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6B" w:rsidRPr="00311E6B" w:rsidRDefault="00311E6B" w:rsidP="00311E6B">
      <w:pPr>
        <w:pStyle w:val="Heading1"/>
        <w:tabs>
          <w:tab w:val="right" w:pos="10800"/>
        </w:tabs>
        <w:spacing w:line="240" w:lineRule="auto"/>
        <w:ind w:left="0" w:right="960"/>
        <w:rPr>
          <w:sz w:val="44"/>
          <w:szCs w:val="44"/>
          <w:lang w:eastAsia="en-IE"/>
        </w:rPr>
      </w:pPr>
      <w:bookmarkStart w:id="0" w:name="_Toc247448952"/>
      <w:bookmarkStart w:id="1" w:name="_Toc255835933"/>
      <w:bookmarkStart w:id="2" w:name="_Toc257037071"/>
      <w:bookmarkStart w:id="3" w:name="_Toc265250673"/>
      <w:bookmarkStart w:id="4" w:name="_Toc267920905"/>
      <w:bookmarkStart w:id="5" w:name="_Toc268161764"/>
      <w:bookmarkStart w:id="6" w:name="_Toc268162322"/>
      <w:bookmarkStart w:id="7" w:name="_Toc268162436"/>
      <w:bookmarkStart w:id="8" w:name="_Toc269227080"/>
      <w:bookmarkStart w:id="9" w:name="_Toc269477959"/>
      <w:bookmarkStart w:id="10" w:name="_Toc269478307"/>
      <w:bookmarkStart w:id="11" w:name="_Toc269478422"/>
      <w:bookmarkStart w:id="12" w:name="_Toc276028290"/>
      <w:r w:rsidRPr="00311E6B">
        <w:rPr>
          <w:b w:val="0"/>
          <w:bCs w:val="0"/>
          <w:sz w:val="52"/>
          <w:szCs w:val="52"/>
        </w:rPr>
        <w:t>Scotland: Health and Personal Social Services for People with Disabilities State Report</w:t>
      </w:r>
    </w:p>
    <w:p w:rsidR="00311E6B" w:rsidRPr="00311E6B" w:rsidRDefault="00311E6B" w:rsidP="00311E6B">
      <w:pPr>
        <w:pStyle w:val="Heading1"/>
        <w:tabs>
          <w:tab w:val="right" w:pos="10800"/>
        </w:tabs>
        <w:spacing w:line="240" w:lineRule="auto"/>
        <w:ind w:left="0" w:right="960"/>
        <w:rPr>
          <w:sz w:val="44"/>
          <w:szCs w:val="44"/>
          <w:lang w:eastAsia="en-IE"/>
        </w:rPr>
      </w:pPr>
      <w:r w:rsidRPr="00311E6B">
        <w:rPr>
          <w:sz w:val="44"/>
          <w:szCs w:val="44"/>
          <w:lang w:eastAsia="en-IE"/>
        </w:rPr>
        <w:t>A Contemporary Developments in Disability Services Paper</w:t>
      </w:r>
    </w:p>
    <w:p w:rsidR="00AD4D17" w:rsidRPr="00311E6B" w:rsidRDefault="00AD4D17" w:rsidP="00311E6B">
      <w:pPr>
        <w:autoSpaceDE w:val="0"/>
        <w:autoSpaceDN w:val="0"/>
        <w:adjustRightInd w:val="0"/>
        <w:spacing w:after="0" w:line="240" w:lineRule="auto"/>
        <w:rPr>
          <w:rFonts w:cs="Arial"/>
          <w:color w:val="000000"/>
          <w:lang w:eastAsia="en-IE"/>
        </w:rPr>
      </w:pPr>
    </w:p>
    <w:p w:rsidR="00AD4D17" w:rsidRPr="00311E6B" w:rsidRDefault="00AD4D17" w:rsidP="001911E6">
      <w:pPr>
        <w:spacing w:after="3720" w:line="240" w:lineRule="auto"/>
        <w:rPr>
          <w:rFonts w:cs="Arial"/>
        </w:rPr>
      </w:pPr>
      <w:r w:rsidRPr="00311E6B">
        <w:rPr>
          <w:rFonts w:cs="Arial"/>
          <w:bCs/>
          <w:color w:val="000000"/>
          <w:sz w:val="23"/>
          <w:szCs w:val="23"/>
          <w:lang w:eastAsia="en-IE"/>
        </w:rPr>
        <w:t>This paper is one of a series of background papers describing how disability services are organised and delivered in selected jurisdictions, to help inform how such services might be organised and delivered in Ireland</w:t>
      </w:r>
      <w:bookmarkStart w:id="13" w:name="_GoBack"/>
      <w:bookmarkEnd w:id="13"/>
      <w:r w:rsidRPr="00311E6B">
        <w:rPr>
          <w:rFonts w:cs="Arial"/>
          <w:bCs/>
          <w:color w:val="000000"/>
          <w:sz w:val="23"/>
          <w:szCs w:val="23"/>
          <w:lang w:eastAsia="en-IE"/>
        </w:rPr>
        <w:t>.</w:t>
      </w:r>
    </w:p>
    <w:p w:rsidR="001911E6" w:rsidRDefault="008249A4" w:rsidP="008249A4">
      <w:pPr>
        <w:rPr>
          <w:b/>
        </w:rPr>
      </w:pPr>
      <w:r w:rsidRPr="008249A4">
        <w:rPr>
          <w:rFonts w:cs="Arial"/>
          <w:noProof/>
          <w:lang w:eastAsia="en-IE"/>
        </w:rPr>
        <w:drawing>
          <wp:anchor distT="0" distB="0" distL="114300" distR="114300" simplePos="0" relativeHeight="251661312" behindDoc="0" locked="0" layoutInCell="1" allowOverlap="1">
            <wp:simplePos x="0" y="0"/>
            <wp:positionH relativeFrom="column">
              <wp:posOffset>0</wp:posOffset>
            </wp:positionH>
            <wp:positionV relativeFrom="paragraph">
              <wp:posOffset>-1651000</wp:posOffset>
            </wp:positionV>
            <wp:extent cx="2523600" cy="1800000"/>
            <wp:effectExtent l="0" t="0" r="0" b="0"/>
            <wp:wrapSquare wrapText="bothSides"/>
            <wp:docPr id="10" name="Picture 10" descr="G:\Common\NDA &amp; Justice Logos\NDA &amp; JUSTICE LOGOS\NDA LOGO\NDA_LOGO_2010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Common\NDA &amp; Justice Logos\NDA &amp; JUSTICE LOGOS\NDA LOGO\NDA_LOGO_2010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36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D17">
        <w:rPr>
          <w:rFonts w:cs="Arial"/>
        </w:rPr>
        <w:tab/>
      </w:r>
      <w:r w:rsidR="00AD4D17">
        <w:rPr>
          <w:rFonts w:cs="Arial"/>
        </w:rPr>
        <w:tab/>
      </w:r>
    </w:p>
    <w:p w:rsidR="00AD4D17" w:rsidRPr="00311E6B" w:rsidRDefault="00311E6B" w:rsidP="001911E6">
      <w:pPr>
        <w:rPr>
          <w:rFonts w:cs="Arial"/>
          <w:b/>
        </w:rPr>
      </w:pPr>
      <w:r>
        <w:rPr>
          <w:rFonts w:cs="Arial"/>
          <w:b/>
        </w:rPr>
        <w:t>November 2010</w:t>
      </w:r>
    </w:p>
    <w:p w:rsidR="001911E6" w:rsidRPr="001911E6" w:rsidRDefault="00311E6B" w:rsidP="001911E6">
      <w:pPr>
        <w:pStyle w:val="Title"/>
        <w:spacing w:after="360" w:line="240" w:lineRule="auto"/>
      </w:pPr>
      <w:bookmarkStart w:id="14" w:name="_Toc279136896"/>
      <w:r>
        <w:br w:type="page"/>
      </w:r>
      <w:r w:rsidR="006B2928">
        <w:t>Health and Personal Social Services for People with Disabilities in Scotland</w:t>
      </w:r>
      <w:bookmarkEnd w:id="0"/>
      <w:bookmarkEnd w:id="1"/>
      <w:bookmarkEnd w:id="2"/>
      <w:bookmarkEnd w:id="3"/>
      <w:bookmarkEnd w:id="4"/>
      <w:bookmarkEnd w:id="5"/>
      <w:bookmarkEnd w:id="6"/>
      <w:bookmarkEnd w:id="7"/>
      <w:bookmarkEnd w:id="8"/>
      <w:bookmarkEnd w:id="9"/>
      <w:bookmarkEnd w:id="10"/>
      <w:bookmarkEnd w:id="11"/>
      <w:bookmarkEnd w:id="12"/>
      <w:bookmarkEnd w:id="14"/>
    </w:p>
    <w:p w:rsidR="006B2928" w:rsidRDefault="00EB771E" w:rsidP="006B2928">
      <w:pPr>
        <w:rPr>
          <w:b/>
        </w:rPr>
        <w:sectPr w:rsidR="006B2928" w:rsidSect="006B2928">
          <w:footerReference w:type="even" r:id="rId8"/>
          <w:footerReference w:type="default" r:id="rId9"/>
          <w:pgSz w:w="11906" w:h="16838"/>
          <w:pgMar w:top="1440" w:right="1800" w:bottom="1440" w:left="1800" w:header="708" w:footer="708" w:gutter="0"/>
          <w:cols w:space="720"/>
        </w:sectPr>
      </w:pPr>
      <w:r>
        <w:rPr>
          <w:b/>
        </w:rPr>
        <w:t xml:space="preserve">November </w:t>
      </w:r>
      <w:r w:rsidR="006B2928">
        <w:rPr>
          <w:b/>
        </w:rPr>
        <w:t xml:space="preserve"> 2010</w:t>
      </w:r>
    </w:p>
    <w:bookmarkStart w:id="15" w:name="_Toc247447218"/>
    <w:bookmarkStart w:id="16" w:name="_Toc246242078"/>
    <w:bookmarkStart w:id="17" w:name="_Toc247447221"/>
    <w:bookmarkStart w:id="18" w:name="_Toc243972896"/>
    <w:bookmarkStart w:id="19" w:name="_Toc255835935"/>
    <w:bookmarkStart w:id="20" w:name="_Toc267920907"/>
    <w:p w:rsidR="005D5ABC" w:rsidRDefault="005D5ABC">
      <w:pPr>
        <w:pStyle w:val="TOC1"/>
        <w:tabs>
          <w:tab w:val="right" w:leader="dot" w:pos="8296"/>
        </w:tabs>
        <w:rPr>
          <w:rFonts w:ascii="Times New Roman" w:hAnsi="Times New Roman"/>
          <w:noProof/>
          <w:lang w:eastAsia="en-IE"/>
        </w:rPr>
      </w:pPr>
      <w:r>
        <w:rPr>
          <w:b/>
          <w:bCs/>
        </w:rPr>
        <w:lastRenderedPageBreak/>
        <w:fldChar w:fldCharType="begin"/>
      </w:r>
      <w:r>
        <w:rPr>
          <w:b/>
          <w:bCs/>
        </w:rPr>
        <w:instrText xml:space="preserve"> TOC \o "1-3" \h \z \u </w:instrText>
      </w:r>
      <w:r>
        <w:rPr>
          <w:b/>
          <w:bCs/>
        </w:rPr>
        <w:fldChar w:fldCharType="separate"/>
      </w:r>
      <w:hyperlink w:anchor="_Toc279136896" w:history="1">
        <w:r w:rsidRPr="001F472F">
          <w:rPr>
            <w:rStyle w:val="Hyperlink"/>
            <w:noProof/>
          </w:rPr>
          <w:t>Health and Personal Social Services for People with Disabilities in Scotland</w:t>
        </w:r>
        <w:r>
          <w:rPr>
            <w:noProof/>
            <w:webHidden/>
          </w:rPr>
          <w:tab/>
        </w:r>
        <w:r>
          <w:rPr>
            <w:noProof/>
            <w:webHidden/>
          </w:rPr>
          <w:fldChar w:fldCharType="begin"/>
        </w:r>
        <w:r>
          <w:rPr>
            <w:noProof/>
            <w:webHidden/>
          </w:rPr>
          <w:instrText xml:space="preserve"> PAGEREF _Toc279136896 \h </w:instrText>
        </w:r>
        <w:r w:rsidR="006F2875">
          <w:rPr>
            <w:noProof/>
          </w:rPr>
        </w:r>
        <w:r>
          <w:rPr>
            <w:noProof/>
            <w:webHidden/>
          </w:rPr>
          <w:fldChar w:fldCharType="separate"/>
        </w:r>
        <w:r w:rsidR="009C59C0">
          <w:rPr>
            <w:noProof/>
            <w:webHidden/>
          </w:rPr>
          <w:t>2</w:t>
        </w:r>
        <w:r>
          <w:rPr>
            <w:noProof/>
            <w:webHidden/>
          </w:rPr>
          <w:fldChar w:fldCharType="end"/>
        </w:r>
      </w:hyperlink>
    </w:p>
    <w:p w:rsidR="005D5ABC" w:rsidRDefault="005D5ABC">
      <w:pPr>
        <w:pStyle w:val="TOC1"/>
        <w:tabs>
          <w:tab w:val="right" w:leader="dot" w:pos="8296"/>
        </w:tabs>
        <w:rPr>
          <w:rFonts w:ascii="Times New Roman" w:hAnsi="Times New Roman"/>
          <w:noProof/>
          <w:lang w:eastAsia="en-IE"/>
        </w:rPr>
      </w:pPr>
      <w:hyperlink w:anchor="_Toc279136897" w:history="1">
        <w:r w:rsidRPr="001F472F">
          <w:rPr>
            <w:rStyle w:val="Hyperlink"/>
            <w:noProof/>
            <w:lang w:bidi="en-US"/>
          </w:rPr>
          <w:t>1. Introduction</w:t>
        </w:r>
        <w:r>
          <w:rPr>
            <w:noProof/>
            <w:webHidden/>
          </w:rPr>
          <w:tab/>
        </w:r>
        <w:r>
          <w:rPr>
            <w:noProof/>
            <w:webHidden/>
          </w:rPr>
          <w:fldChar w:fldCharType="begin"/>
        </w:r>
        <w:r>
          <w:rPr>
            <w:noProof/>
            <w:webHidden/>
          </w:rPr>
          <w:instrText xml:space="preserve"> PAGEREF _Toc279136897 \h </w:instrText>
        </w:r>
        <w:r w:rsidR="006F2875">
          <w:rPr>
            <w:noProof/>
          </w:rPr>
        </w:r>
        <w:r>
          <w:rPr>
            <w:noProof/>
            <w:webHidden/>
          </w:rPr>
          <w:fldChar w:fldCharType="separate"/>
        </w:r>
        <w:r w:rsidR="009C59C0">
          <w:rPr>
            <w:noProof/>
            <w:webHidden/>
          </w:rPr>
          <w:t>5</w:t>
        </w:r>
        <w:r>
          <w:rPr>
            <w:noProof/>
            <w:webHidden/>
          </w:rPr>
          <w:fldChar w:fldCharType="end"/>
        </w:r>
      </w:hyperlink>
    </w:p>
    <w:p w:rsidR="005D5ABC" w:rsidRDefault="005D5ABC">
      <w:pPr>
        <w:pStyle w:val="TOC1"/>
        <w:tabs>
          <w:tab w:val="right" w:leader="dot" w:pos="8296"/>
        </w:tabs>
        <w:rPr>
          <w:rFonts w:ascii="Times New Roman" w:hAnsi="Times New Roman"/>
          <w:noProof/>
          <w:lang w:eastAsia="en-IE"/>
        </w:rPr>
      </w:pPr>
      <w:hyperlink w:anchor="_Toc279136898" w:history="1">
        <w:r w:rsidRPr="001F472F">
          <w:rPr>
            <w:rStyle w:val="Hyperlink"/>
            <w:noProof/>
          </w:rPr>
          <w:t>2. Population</w:t>
        </w:r>
        <w:r>
          <w:rPr>
            <w:noProof/>
            <w:webHidden/>
          </w:rPr>
          <w:tab/>
        </w:r>
        <w:r>
          <w:rPr>
            <w:noProof/>
            <w:webHidden/>
          </w:rPr>
          <w:fldChar w:fldCharType="begin"/>
        </w:r>
        <w:r>
          <w:rPr>
            <w:noProof/>
            <w:webHidden/>
          </w:rPr>
          <w:instrText xml:space="preserve"> PAGEREF _Toc279136898 \h </w:instrText>
        </w:r>
        <w:r w:rsidR="006F2875">
          <w:rPr>
            <w:noProof/>
          </w:rPr>
        </w:r>
        <w:r>
          <w:rPr>
            <w:noProof/>
            <w:webHidden/>
          </w:rPr>
          <w:fldChar w:fldCharType="separate"/>
        </w:r>
        <w:r w:rsidR="009C59C0">
          <w:rPr>
            <w:noProof/>
            <w:webHidden/>
          </w:rPr>
          <w:t>6</w:t>
        </w:r>
        <w:r>
          <w:rPr>
            <w:noProof/>
            <w:webHidden/>
          </w:rPr>
          <w:fldChar w:fldCharType="end"/>
        </w:r>
      </w:hyperlink>
    </w:p>
    <w:p w:rsidR="005D5ABC" w:rsidRDefault="005D5ABC">
      <w:pPr>
        <w:pStyle w:val="TOC2"/>
        <w:tabs>
          <w:tab w:val="right" w:leader="dot" w:pos="8296"/>
        </w:tabs>
        <w:rPr>
          <w:rFonts w:ascii="Times New Roman" w:hAnsi="Times New Roman"/>
          <w:noProof/>
          <w:lang w:eastAsia="en-IE"/>
        </w:rPr>
      </w:pPr>
      <w:hyperlink w:anchor="_Toc279136899" w:history="1">
        <w:r w:rsidRPr="001F472F">
          <w:rPr>
            <w:rStyle w:val="Hyperlink"/>
            <w:noProof/>
          </w:rPr>
          <w:t>2.1 Population with a disability</w:t>
        </w:r>
        <w:r>
          <w:rPr>
            <w:noProof/>
            <w:webHidden/>
          </w:rPr>
          <w:tab/>
        </w:r>
        <w:r>
          <w:rPr>
            <w:noProof/>
            <w:webHidden/>
          </w:rPr>
          <w:fldChar w:fldCharType="begin"/>
        </w:r>
        <w:r>
          <w:rPr>
            <w:noProof/>
            <w:webHidden/>
          </w:rPr>
          <w:instrText xml:space="preserve"> PAGEREF _Toc279136899 \h </w:instrText>
        </w:r>
        <w:r w:rsidR="006F2875">
          <w:rPr>
            <w:noProof/>
          </w:rPr>
        </w:r>
        <w:r>
          <w:rPr>
            <w:noProof/>
            <w:webHidden/>
          </w:rPr>
          <w:fldChar w:fldCharType="separate"/>
        </w:r>
        <w:r w:rsidR="009C59C0">
          <w:rPr>
            <w:noProof/>
            <w:webHidden/>
          </w:rPr>
          <w:t>6</w:t>
        </w:r>
        <w:r>
          <w:rPr>
            <w:noProof/>
            <w:webHidden/>
          </w:rPr>
          <w:fldChar w:fldCharType="end"/>
        </w:r>
      </w:hyperlink>
    </w:p>
    <w:p w:rsidR="005D5ABC" w:rsidRDefault="005D5ABC">
      <w:pPr>
        <w:pStyle w:val="TOC1"/>
        <w:tabs>
          <w:tab w:val="right" w:leader="dot" w:pos="8296"/>
        </w:tabs>
        <w:rPr>
          <w:rFonts w:ascii="Times New Roman" w:hAnsi="Times New Roman"/>
          <w:noProof/>
          <w:lang w:eastAsia="en-IE"/>
        </w:rPr>
      </w:pPr>
      <w:hyperlink w:anchor="_Toc279136900" w:history="1">
        <w:r w:rsidRPr="001F472F">
          <w:rPr>
            <w:rStyle w:val="Hyperlink"/>
            <w:noProof/>
          </w:rPr>
          <w:t>3. Health and Social Services for People with Disabilities</w:t>
        </w:r>
        <w:r>
          <w:rPr>
            <w:noProof/>
            <w:webHidden/>
          </w:rPr>
          <w:tab/>
        </w:r>
        <w:r>
          <w:rPr>
            <w:noProof/>
            <w:webHidden/>
          </w:rPr>
          <w:fldChar w:fldCharType="begin"/>
        </w:r>
        <w:r>
          <w:rPr>
            <w:noProof/>
            <w:webHidden/>
          </w:rPr>
          <w:instrText xml:space="preserve"> PAGEREF _Toc279136900 \h </w:instrText>
        </w:r>
        <w:r w:rsidR="006F2875">
          <w:rPr>
            <w:noProof/>
          </w:rPr>
        </w:r>
        <w:r>
          <w:rPr>
            <w:noProof/>
            <w:webHidden/>
          </w:rPr>
          <w:fldChar w:fldCharType="separate"/>
        </w:r>
        <w:r w:rsidR="009C59C0">
          <w:rPr>
            <w:noProof/>
            <w:webHidden/>
          </w:rPr>
          <w:t>7</w:t>
        </w:r>
        <w:r>
          <w:rPr>
            <w:noProof/>
            <w:webHidden/>
          </w:rPr>
          <w:fldChar w:fldCharType="end"/>
        </w:r>
      </w:hyperlink>
    </w:p>
    <w:p w:rsidR="005D5ABC" w:rsidRDefault="005D5ABC">
      <w:pPr>
        <w:pStyle w:val="TOC2"/>
        <w:tabs>
          <w:tab w:val="right" w:leader="dot" w:pos="8296"/>
        </w:tabs>
        <w:rPr>
          <w:rFonts w:ascii="Times New Roman" w:hAnsi="Times New Roman"/>
          <w:noProof/>
          <w:lang w:eastAsia="en-IE"/>
        </w:rPr>
      </w:pPr>
      <w:hyperlink w:anchor="_Toc279136901" w:history="1">
        <w:r w:rsidRPr="001F472F">
          <w:rPr>
            <w:rStyle w:val="Hyperlink"/>
            <w:noProof/>
            <w:lang w:eastAsia="en-IE"/>
          </w:rPr>
          <w:t>3.1 Overview of Service Provision System</w:t>
        </w:r>
        <w:r>
          <w:rPr>
            <w:noProof/>
            <w:webHidden/>
          </w:rPr>
          <w:tab/>
        </w:r>
        <w:r>
          <w:rPr>
            <w:noProof/>
            <w:webHidden/>
          </w:rPr>
          <w:fldChar w:fldCharType="begin"/>
        </w:r>
        <w:r>
          <w:rPr>
            <w:noProof/>
            <w:webHidden/>
          </w:rPr>
          <w:instrText xml:space="preserve"> PAGEREF _Toc279136901 \h </w:instrText>
        </w:r>
        <w:r w:rsidR="006F2875">
          <w:rPr>
            <w:noProof/>
          </w:rPr>
        </w:r>
        <w:r>
          <w:rPr>
            <w:noProof/>
            <w:webHidden/>
          </w:rPr>
          <w:fldChar w:fldCharType="separate"/>
        </w:r>
        <w:r w:rsidR="009C59C0">
          <w:rPr>
            <w:noProof/>
            <w:webHidden/>
          </w:rPr>
          <w:t>7</w:t>
        </w:r>
        <w:r>
          <w:rPr>
            <w:noProof/>
            <w:webHidden/>
          </w:rPr>
          <w:fldChar w:fldCharType="end"/>
        </w:r>
      </w:hyperlink>
    </w:p>
    <w:p w:rsidR="005D5ABC" w:rsidRDefault="005D5ABC">
      <w:pPr>
        <w:pStyle w:val="TOC2"/>
        <w:tabs>
          <w:tab w:val="right" w:leader="dot" w:pos="8296"/>
        </w:tabs>
        <w:rPr>
          <w:rFonts w:ascii="Times New Roman" w:hAnsi="Times New Roman"/>
          <w:noProof/>
          <w:lang w:eastAsia="en-IE"/>
        </w:rPr>
      </w:pPr>
      <w:hyperlink w:anchor="_Toc279136902" w:history="1">
        <w:r w:rsidRPr="001F472F">
          <w:rPr>
            <w:rStyle w:val="Hyperlink"/>
            <w:noProof/>
          </w:rPr>
          <w:t>3.2 Governmental Strategy on Disability in Scotland</w:t>
        </w:r>
        <w:r>
          <w:rPr>
            <w:noProof/>
            <w:webHidden/>
          </w:rPr>
          <w:tab/>
        </w:r>
        <w:r>
          <w:rPr>
            <w:noProof/>
            <w:webHidden/>
          </w:rPr>
          <w:fldChar w:fldCharType="begin"/>
        </w:r>
        <w:r>
          <w:rPr>
            <w:noProof/>
            <w:webHidden/>
          </w:rPr>
          <w:instrText xml:space="preserve"> PAGEREF _Toc279136902 \h </w:instrText>
        </w:r>
        <w:r w:rsidR="006F2875">
          <w:rPr>
            <w:noProof/>
          </w:rPr>
        </w:r>
        <w:r>
          <w:rPr>
            <w:noProof/>
            <w:webHidden/>
          </w:rPr>
          <w:fldChar w:fldCharType="separate"/>
        </w:r>
        <w:r w:rsidR="009C59C0">
          <w:rPr>
            <w:noProof/>
            <w:webHidden/>
          </w:rPr>
          <w:t>11</w:t>
        </w:r>
        <w:r>
          <w:rPr>
            <w:noProof/>
            <w:webHidden/>
          </w:rPr>
          <w:fldChar w:fldCharType="end"/>
        </w:r>
      </w:hyperlink>
    </w:p>
    <w:p w:rsidR="005D5ABC" w:rsidRDefault="005D5ABC">
      <w:pPr>
        <w:pStyle w:val="TOC3"/>
        <w:tabs>
          <w:tab w:val="right" w:leader="dot" w:pos="8296"/>
        </w:tabs>
        <w:rPr>
          <w:rFonts w:ascii="Times New Roman" w:hAnsi="Times New Roman"/>
          <w:noProof/>
          <w:lang w:eastAsia="en-IE"/>
        </w:rPr>
      </w:pPr>
      <w:hyperlink w:anchor="_Toc279136903" w:history="1">
        <w:r w:rsidRPr="001F472F">
          <w:rPr>
            <w:rStyle w:val="Hyperlink"/>
            <w:noProof/>
          </w:rPr>
          <w:t>Access to services</w:t>
        </w:r>
        <w:r>
          <w:rPr>
            <w:noProof/>
            <w:webHidden/>
          </w:rPr>
          <w:tab/>
        </w:r>
        <w:r>
          <w:rPr>
            <w:noProof/>
            <w:webHidden/>
          </w:rPr>
          <w:fldChar w:fldCharType="begin"/>
        </w:r>
        <w:r>
          <w:rPr>
            <w:noProof/>
            <w:webHidden/>
          </w:rPr>
          <w:instrText xml:space="preserve"> PAGEREF _Toc279136903 \h </w:instrText>
        </w:r>
        <w:r w:rsidR="006F2875">
          <w:rPr>
            <w:noProof/>
          </w:rPr>
        </w:r>
        <w:r>
          <w:rPr>
            <w:noProof/>
            <w:webHidden/>
          </w:rPr>
          <w:fldChar w:fldCharType="separate"/>
        </w:r>
        <w:r w:rsidR="009C59C0">
          <w:rPr>
            <w:noProof/>
            <w:webHidden/>
          </w:rPr>
          <w:t>11</w:t>
        </w:r>
        <w:r>
          <w:rPr>
            <w:noProof/>
            <w:webHidden/>
          </w:rPr>
          <w:fldChar w:fldCharType="end"/>
        </w:r>
      </w:hyperlink>
    </w:p>
    <w:p w:rsidR="005D5ABC" w:rsidRDefault="005D5ABC">
      <w:pPr>
        <w:pStyle w:val="TOC3"/>
        <w:tabs>
          <w:tab w:val="right" w:leader="dot" w:pos="8296"/>
        </w:tabs>
        <w:rPr>
          <w:rFonts w:ascii="Times New Roman" w:hAnsi="Times New Roman"/>
          <w:noProof/>
          <w:lang w:eastAsia="en-IE"/>
        </w:rPr>
      </w:pPr>
      <w:hyperlink w:anchor="_Toc279136904" w:history="1">
        <w:r w:rsidRPr="001F472F">
          <w:rPr>
            <w:rStyle w:val="Hyperlink"/>
            <w:noProof/>
          </w:rPr>
          <w:t>Policy for People with Learning Disabilities</w:t>
        </w:r>
        <w:r>
          <w:rPr>
            <w:noProof/>
            <w:webHidden/>
          </w:rPr>
          <w:tab/>
        </w:r>
        <w:r>
          <w:rPr>
            <w:noProof/>
            <w:webHidden/>
          </w:rPr>
          <w:fldChar w:fldCharType="begin"/>
        </w:r>
        <w:r>
          <w:rPr>
            <w:noProof/>
            <w:webHidden/>
          </w:rPr>
          <w:instrText xml:space="preserve"> PAGEREF _Toc279136904 \h </w:instrText>
        </w:r>
        <w:r w:rsidR="006F2875">
          <w:rPr>
            <w:noProof/>
          </w:rPr>
        </w:r>
        <w:r>
          <w:rPr>
            <w:noProof/>
            <w:webHidden/>
          </w:rPr>
          <w:fldChar w:fldCharType="separate"/>
        </w:r>
        <w:r w:rsidR="009C59C0">
          <w:rPr>
            <w:noProof/>
            <w:webHidden/>
          </w:rPr>
          <w:t>12</w:t>
        </w:r>
        <w:r>
          <w:rPr>
            <w:noProof/>
            <w:webHidden/>
          </w:rPr>
          <w:fldChar w:fldCharType="end"/>
        </w:r>
      </w:hyperlink>
    </w:p>
    <w:p w:rsidR="005D5ABC" w:rsidRDefault="005D5ABC">
      <w:pPr>
        <w:pStyle w:val="TOC1"/>
        <w:tabs>
          <w:tab w:val="right" w:leader="dot" w:pos="8296"/>
        </w:tabs>
        <w:rPr>
          <w:rFonts w:ascii="Times New Roman" w:hAnsi="Times New Roman"/>
          <w:noProof/>
          <w:lang w:eastAsia="en-IE"/>
        </w:rPr>
      </w:pPr>
      <w:hyperlink w:anchor="_Toc279136905" w:history="1">
        <w:r w:rsidRPr="001F472F">
          <w:rPr>
            <w:rStyle w:val="Hyperlink"/>
            <w:noProof/>
            <w:lang w:eastAsia="en-IE"/>
          </w:rPr>
          <w:t>4. Housing, Accommodation and Day Services for people with disabilities</w:t>
        </w:r>
        <w:r>
          <w:rPr>
            <w:noProof/>
            <w:webHidden/>
          </w:rPr>
          <w:tab/>
        </w:r>
        <w:r>
          <w:rPr>
            <w:noProof/>
            <w:webHidden/>
          </w:rPr>
          <w:fldChar w:fldCharType="begin"/>
        </w:r>
        <w:r>
          <w:rPr>
            <w:noProof/>
            <w:webHidden/>
          </w:rPr>
          <w:instrText xml:space="preserve"> PAGEREF _Toc279136905 \h </w:instrText>
        </w:r>
        <w:r w:rsidR="006F2875">
          <w:rPr>
            <w:noProof/>
          </w:rPr>
        </w:r>
        <w:r>
          <w:rPr>
            <w:noProof/>
            <w:webHidden/>
          </w:rPr>
          <w:fldChar w:fldCharType="separate"/>
        </w:r>
        <w:r w:rsidR="009C59C0">
          <w:rPr>
            <w:noProof/>
            <w:webHidden/>
          </w:rPr>
          <w:t>14</w:t>
        </w:r>
        <w:r>
          <w:rPr>
            <w:noProof/>
            <w:webHidden/>
          </w:rPr>
          <w:fldChar w:fldCharType="end"/>
        </w:r>
      </w:hyperlink>
    </w:p>
    <w:p w:rsidR="005D5ABC" w:rsidRDefault="005D5ABC">
      <w:pPr>
        <w:pStyle w:val="TOC2"/>
        <w:tabs>
          <w:tab w:val="right" w:leader="dot" w:pos="8296"/>
        </w:tabs>
        <w:rPr>
          <w:rFonts w:ascii="Times New Roman" w:hAnsi="Times New Roman"/>
          <w:noProof/>
          <w:lang w:eastAsia="en-IE"/>
        </w:rPr>
      </w:pPr>
      <w:hyperlink w:anchor="_Toc279136906" w:history="1">
        <w:r w:rsidRPr="001F472F">
          <w:rPr>
            <w:rStyle w:val="Hyperlink"/>
            <w:noProof/>
          </w:rPr>
          <w:t xml:space="preserve">4.1 </w:t>
        </w:r>
        <w:r w:rsidRPr="001F472F">
          <w:rPr>
            <w:rStyle w:val="Hyperlink"/>
            <w:noProof/>
            <w:lang w:bidi="en-US"/>
          </w:rPr>
          <w:t>Residential services</w:t>
        </w:r>
        <w:r>
          <w:rPr>
            <w:noProof/>
            <w:webHidden/>
          </w:rPr>
          <w:tab/>
        </w:r>
        <w:r>
          <w:rPr>
            <w:noProof/>
            <w:webHidden/>
          </w:rPr>
          <w:fldChar w:fldCharType="begin"/>
        </w:r>
        <w:r>
          <w:rPr>
            <w:noProof/>
            <w:webHidden/>
          </w:rPr>
          <w:instrText xml:space="preserve"> PAGEREF _Toc279136906 \h </w:instrText>
        </w:r>
        <w:r w:rsidR="006F2875">
          <w:rPr>
            <w:noProof/>
          </w:rPr>
        </w:r>
        <w:r>
          <w:rPr>
            <w:noProof/>
            <w:webHidden/>
          </w:rPr>
          <w:fldChar w:fldCharType="separate"/>
        </w:r>
        <w:r w:rsidR="009C59C0">
          <w:rPr>
            <w:noProof/>
            <w:webHidden/>
          </w:rPr>
          <w:t>14</w:t>
        </w:r>
        <w:r>
          <w:rPr>
            <w:noProof/>
            <w:webHidden/>
          </w:rPr>
          <w:fldChar w:fldCharType="end"/>
        </w:r>
      </w:hyperlink>
    </w:p>
    <w:p w:rsidR="005D5ABC" w:rsidRDefault="005D5ABC">
      <w:pPr>
        <w:pStyle w:val="TOC2"/>
        <w:tabs>
          <w:tab w:val="right" w:leader="dot" w:pos="8296"/>
        </w:tabs>
        <w:rPr>
          <w:rFonts w:ascii="Times New Roman" w:hAnsi="Times New Roman"/>
          <w:noProof/>
          <w:lang w:eastAsia="en-IE"/>
        </w:rPr>
      </w:pPr>
      <w:hyperlink w:anchor="_Toc279136907" w:history="1">
        <w:r w:rsidRPr="001F472F">
          <w:rPr>
            <w:rStyle w:val="Hyperlink"/>
            <w:noProof/>
            <w:lang w:eastAsia="en-IE"/>
          </w:rPr>
          <w:t>4.2 Medical and allied health services</w:t>
        </w:r>
        <w:r>
          <w:rPr>
            <w:noProof/>
            <w:webHidden/>
          </w:rPr>
          <w:tab/>
        </w:r>
        <w:r>
          <w:rPr>
            <w:noProof/>
            <w:webHidden/>
          </w:rPr>
          <w:fldChar w:fldCharType="begin"/>
        </w:r>
        <w:r>
          <w:rPr>
            <w:noProof/>
            <w:webHidden/>
          </w:rPr>
          <w:instrText xml:space="preserve"> PAGEREF _Toc279136907 \h </w:instrText>
        </w:r>
        <w:r w:rsidR="006F2875">
          <w:rPr>
            <w:noProof/>
          </w:rPr>
        </w:r>
        <w:r>
          <w:rPr>
            <w:noProof/>
            <w:webHidden/>
          </w:rPr>
          <w:fldChar w:fldCharType="separate"/>
        </w:r>
        <w:r w:rsidR="009C59C0">
          <w:rPr>
            <w:noProof/>
            <w:webHidden/>
          </w:rPr>
          <w:t>15</w:t>
        </w:r>
        <w:r>
          <w:rPr>
            <w:noProof/>
            <w:webHidden/>
          </w:rPr>
          <w:fldChar w:fldCharType="end"/>
        </w:r>
      </w:hyperlink>
    </w:p>
    <w:p w:rsidR="005D5ABC" w:rsidRDefault="005D5ABC">
      <w:pPr>
        <w:pStyle w:val="TOC2"/>
        <w:tabs>
          <w:tab w:val="right" w:leader="dot" w:pos="8296"/>
        </w:tabs>
        <w:rPr>
          <w:rFonts w:ascii="Times New Roman" w:hAnsi="Times New Roman"/>
          <w:noProof/>
          <w:lang w:eastAsia="en-IE"/>
        </w:rPr>
      </w:pPr>
      <w:hyperlink w:anchor="_Toc279136908" w:history="1">
        <w:r w:rsidRPr="001F472F">
          <w:rPr>
            <w:rStyle w:val="Hyperlink"/>
            <w:noProof/>
          </w:rPr>
          <w:t>4.3 Housing</w:t>
        </w:r>
        <w:r>
          <w:rPr>
            <w:noProof/>
            <w:webHidden/>
          </w:rPr>
          <w:tab/>
        </w:r>
        <w:r>
          <w:rPr>
            <w:noProof/>
            <w:webHidden/>
          </w:rPr>
          <w:fldChar w:fldCharType="begin"/>
        </w:r>
        <w:r>
          <w:rPr>
            <w:noProof/>
            <w:webHidden/>
          </w:rPr>
          <w:instrText xml:space="preserve"> PAGEREF _Toc279136908 \h </w:instrText>
        </w:r>
        <w:r w:rsidR="006F2875">
          <w:rPr>
            <w:noProof/>
          </w:rPr>
        </w:r>
        <w:r>
          <w:rPr>
            <w:noProof/>
            <w:webHidden/>
          </w:rPr>
          <w:fldChar w:fldCharType="separate"/>
        </w:r>
        <w:r w:rsidR="009C59C0">
          <w:rPr>
            <w:noProof/>
            <w:webHidden/>
          </w:rPr>
          <w:t>16</w:t>
        </w:r>
        <w:r>
          <w:rPr>
            <w:noProof/>
            <w:webHidden/>
          </w:rPr>
          <w:fldChar w:fldCharType="end"/>
        </w:r>
      </w:hyperlink>
    </w:p>
    <w:p w:rsidR="005D5ABC" w:rsidRDefault="005D5ABC">
      <w:pPr>
        <w:pStyle w:val="TOC2"/>
        <w:tabs>
          <w:tab w:val="right" w:leader="dot" w:pos="8296"/>
        </w:tabs>
        <w:rPr>
          <w:rFonts w:ascii="Times New Roman" w:hAnsi="Times New Roman"/>
          <w:noProof/>
          <w:lang w:eastAsia="en-IE"/>
        </w:rPr>
      </w:pPr>
      <w:hyperlink w:anchor="_Toc279136909" w:history="1">
        <w:r w:rsidRPr="001F472F">
          <w:rPr>
            <w:rStyle w:val="Hyperlink"/>
            <w:noProof/>
            <w:lang w:eastAsia="en-IE"/>
          </w:rPr>
          <w:t>4.4 Assessment of Need</w:t>
        </w:r>
        <w:r>
          <w:rPr>
            <w:noProof/>
            <w:webHidden/>
          </w:rPr>
          <w:tab/>
        </w:r>
        <w:r>
          <w:rPr>
            <w:noProof/>
            <w:webHidden/>
          </w:rPr>
          <w:fldChar w:fldCharType="begin"/>
        </w:r>
        <w:r>
          <w:rPr>
            <w:noProof/>
            <w:webHidden/>
          </w:rPr>
          <w:instrText xml:space="preserve"> PAGEREF _Toc279136909 \h </w:instrText>
        </w:r>
        <w:r w:rsidR="006F2875">
          <w:rPr>
            <w:noProof/>
          </w:rPr>
        </w:r>
        <w:r>
          <w:rPr>
            <w:noProof/>
            <w:webHidden/>
          </w:rPr>
          <w:fldChar w:fldCharType="separate"/>
        </w:r>
        <w:r w:rsidR="009C59C0">
          <w:rPr>
            <w:noProof/>
            <w:webHidden/>
          </w:rPr>
          <w:t>16</w:t>
        </w:r>
        <w:r>
          <w:rPr>
            <w:noProof/>
            <w:webHidden/>
          </w:rPr>
          <w:fldChar w:fldCharType="end"/>
        </w:r>
      </w:hyperlink>
    </w:p>
    <w:p w:rsidR="005D5ABC" w:rsidRDefault="005D5ABC">
      <w:pPr>
        <w:pStyle w:val="TOC2"/>
        <w:tabs>
          <w:tab w:val="right" w:leader="dot" w:pos="8296"/>
        </w:tabs>
        <w:rPr>
          <w:rFonts w:ascii="Times New Roman" w:hAnsi="Times New Roman"/>
          <w:noProof/>
          <w:lang w:eastAsia="en-IE"/>
        </w:rPr>
      </w:pPr>
      <w:hyperlink w:anchor="_Toc279136910" w:history="1">
        <w:r w:rsidRPr="001F472F">
          <w:rPr>
            <w:rStyle w:val="Hyperlink"/>
            <w:noProof/>
            <w:lang w:eastAsia="en-IE"/>
          </w:rPr>
          <w:t>4.5 Care support for people with disabilities</w:t>
        </w:r>
        <w:r>
          <w:rPr>
            <w:noProof/>
            <w:webHidden/>
          </w:rPr>
          <w:tab/>
        </w:r>
        <w:r>
          <w:rPr>
            <w:noProof/>
            <w:webHidden/>
          </w:rPr>
          <w:fldChar w:fldCharType="begin"/>
        </w:r>
        <w:r>
          <w:rPr>
            <w:noProof/>
            <w:webHidden/>
          </w:rPr>
          <w:instrText xml:space="preserve"> PAGEREF _Toc279136910 \h </w:instrText>
        </w:r>
        <w:r w:rsidR="006F2875">
          <w:rPr>
            <w:noProof/>
          </w:rPr>
        </w:r>
        <w:r>
          <w:rPr>
            <w:noProof/>
            <w:webHidden/>
          </w:rPr>
          <w:fldChar w:fldCharType="separate"/>
        </w:r>
        <w:r w:rsidR="009C59C0">
          <w:rPr>
            <w:noProof/>
            <w:webHidden/>
          </w:rPr>
          <w:t>18</w:t>
        </w:r>
        <w:r>
          <w:rPr>
            <w:noProof/>
            <w:webHidden/>
          </w:rPr>
          <w:fldChar w:fldCharType="end"/>
        </w:r>
      </w:hyperlink>
    </w:p>
    <w:p w:rsidR="005D5ABC" w:rsidRDefault="005D5ABC">
      <w:pPr>
        <w:pStyle w:val="TOC2"/>
        <w:tabs>
          <w:tab w:val="right" w:leader="dot" w:pos="8296"/>
        </w:tabs>
        <w:rPr>
          <w:rFonts w:ascii="Times New Roman" w:hAnsi="Times New Roman"/>
          <w:noProof/>
          <w:lang w:eastAsia="en-IE"/>
        </w:rPr>
      </w:pPr>
      <w:hyperlink w:anchor="_Toc279136911" w:history="1">
        <w:r w:rsidRPr="001F472F">
          <w:rPr>
            <w:rStyle w:val="Hyperlink"/>
            <w:noProof/>
            <w:lang w:eastAsia="en-IE"/>
          </w:rPr>
          <w:t>4.6 Respite and Carer Supports</w:t>
        </w:r>
        <w:r>
          <w:rPr>
            <w:noProof/>
            <w:webHidden/>
          </w:rPr>
          <w:tab/>
        </w:r>
        <w:r>
          <w:rPr>
            <w:noProof/>
            <w:webHidden/>
          </w:rPr>
          <w:fldChar w:fldCharType="begin"/>
        </w:r>
        <w:r>
          <w:rPr>
            <w:noProof/>
            <w:webHidden/>
          </w:rPr>
          <w:instrText xml:space="preserve"> PAGEREF _Toc279136911 \h </w:instrText>
        </w:r>
        <w:r w:rsidR="006F2875">
          <w:rPr>
            <w:noProof/>
          </w:rPr>
        </w:r>
        <w:r>
          <w:rPr>
            <w:noProof/>
            <w:webHidden/>
          </w:rPr>
          <w:fldChar w:fldCharType="separate"/>
        </w:r>
        <w:r w:rsidR="009C59C0">
          <w:rPr>
            <w:noProof/>
            <w:webHidden/>
          </w:rPr>
          <w:t>20</w:t>
        </w:r>
        <w:r>
          <w:rPr>
            <w:noProof/>
            <w:webHidden/>
          </w:rPr>
          <w:fldChar w:fldCharType="end"/>
        </w:r>
      </w:hyperlink>
    </w:p>
    <w:p w:rsidR="005D5ABC" w:rsidRDefault="005D5ABC">
      <w:pPr>
        <w:pStyle w:val="TOC2"/>
        <w:tabs>
          <w:tab w:val="right" w:leader="dot" w:pos="8296"/>
        </w:tabs>
        <w:rPr>
          <w:rFonts w:ascii="Times New Roman" w:hAnsi="Times New Roman"/>
          <w:noProof/>
          <w:lang w:eastAsia="en-IE"/>
        </w:rPr>
      </w:pPr>
      <w:hyperlink w:anchor="_Toc279136912" w:history="1">
        <w:r w:rsidRPr="001F472F">
          <w:rPr>
            <w:rStyle w:val="Hyperlink"/>
            <w:noProof/>
          </w:rPr>
          <w:t>4.7 Care supports in education for children with disabilities</w:t>
        </w:r>
        <w:r>
          <w:rPr>
            <w:noProof/>
            <w:webHidden/>
          </w:rPr>
          <w:tab/>
        </w:r>
        <w:r>
          <w:rPr>
            <w:noProof/>
            <w:webHidden/>
          </w:rPr>
          <w:fldChar w:fldCharType="begin"/>
        </w:r>
        <w:r>
          <w:rPr>
            <w:noProof/>
            <w:webHidden/>
          </w:rPr>
          <w:instrText xml:space="preserve"> PAGEREF _Toc279136912 \h </w:instrText>
        </w:r>
        <w:r w:rsidR="006F2875">
          <w:rPr>
            <w:noProof/>
          </w:rPr>
        </w:r>
        <w:r>
          <w:rPr>
            <w:noProof/>
            <w:webHidden/>
          </w:rPr>
          <w:fldChar w:fldCharType="separate"/>
        </w:r>
        <w:r w:rsidR="009C59C0">
          <w:rPr>
            <w:noProof/>
            <w:webHidden/>
          </w:rPr>
          <w:t>21</w:t>
        </w:r>
        <w:r>
          <w:rPr>
            <w:noProof/>
            <w:webHidden/>
          </w:rPr>
          <w:fldChar w:fldCharType="end"/>
        </w:r>
      </w:hyperlink>
    </w:p>
    <w:p w:rsidR="005D5ABC" w:rsidRDefault="005D5ABC">
      <w:pPr>
        <w:pStyle w:val="TOC2"/>
        <w:tabs>
          <w:tab w:val="right" w:leader="dot" w:pos="8296"/>
        </w:tabs>
        <w:rPr>
          <w:rFonts w:ascii="Times New Roman" w:hAnsi="Times New Roman"/>
          <w:noProof/>
          <w:lang w:eastAsia="en-IE"/>
        </w:rPr>
      </w:pPr>
      <w:hyperlink w:anchor="_Toc279136913" w:history="1">
        <w:r w:rsidRPr="001F472F">
          <w:rPr>
            <w:rStyle w:val="Hyperlink"/>
            <w:noProof/>
            <w:lang w:eastAsia="en-IE"/>
          </w:rPr>
          <w:t>4.8 Day &amp; Employment Services</w:t>
        </w:r>
        <w:r>
          <w:rPr>
            <w:noProof/>
            <w:webHidden/>
          </w:rPr>
          <w:tab/>
        </w:r>
        <w:r>
          <w:rPr>
            <w:noProof/>
            <w:webHidden/>
          </w:rPr>
          <w:fldChar w:fldCharType="begin"/>
        </w:r>
        <w:r>
          <w:rPr>
            <w:noProof/>
            <w:webHidden/>
          </w:rPr>
          <w:instrText xml:space="preserve"> PAGEREF _Toc279136913 \h </w:instrText>
        </w:r>
        <w:r w:rsidR="006F2875">
          <w:rPr>
            <w:noProof/>
          </w:rPr>
        </w:r>
        <w:r>
          <w:rPr>
            <w:noProof/>
            <w:webHidden/>
          </w:rPr>
          <w:fldChar w:fldCharType="separate"/>
        </w:r>
        <w:r w:rsidR="009C59C0">
          <w:rPr>
            <w:noProof/>
            <w:webHidden/>
          </w:rPr>
          <w:t>23</w:t>
        </w:r>
        <w:r>
          <w:rPr>
            <w:noProof/>
            <w:webHidden/>
          </w:rPr>
          <w:fldChar w:fldCharType="end"/>
        </w:r>
      </w:hyperlink>
    </w:p>
    <w:p w:rsidR="005D5ABC" w:rsidRDefault="005D5ABC">
      <w:pPr>
        <w:pStyle w:val="TOC3"/>
        <w:tabs>
          <w:tab w:val="right" w:leader="dot" w:pos="8296"/>
        </w:tabs>
        <w:rPr>
          <w:rFonts w:ascii="Times New Roman" w:hAnsi="Times New Roman"/>
          <w:noProof/>
          <w:lang w:eastAsia="en-IE"/>
        </w:rPr>
      </w:pPr>
      <w:hyperlink w:anchor="_Toc279136914" w:history="1">
        <w:r w:rsidRPr="001F472F">
          <w:rPr>
            <w:rStyle w:val="Hyperlink"/>
            <w:noProof/>
          </w:rPr>
          <w:t>Day Care Services</w:t>
        </w:r>
        <w:r>
          <w:rPr>
            <w:noProof/>
            <w:webHidden/>
          </w:rPr>
          <w:tab/>
        </w:r>
        <w:r>
          <w:rPr>
            <w:noProof/>
            <w:webHidden/>
          </w:rPr>
          <w:fldChar w:fldCharType="begin"/>
        </w:r>
        <w:r>
          <w:rPr>
            <w:noProof/>
            <w:webHidden/>
          </w:rPr>
          <w:instrText xml:space="preserve"> PAGEREF _Toc279136914 \h </w:instrText>
        </w:r>
        <w:r w:rsidR="006F2875">
          <w:rPr>
            <w:noProof/>
          </w:rPr>
        </w:r>
        <w:r>
          <w:rPr>
            <w:noProof/>
            <w:webHidden/>
          </w:rPr>
          <w:fldChar w:fldCharType="separate"/>
        </w:r>
        <w:r w:rsidR="009C59C0">
          <w:rPr>
            <w:noProof/>
            <w:webHidden/>
          </w:rPr>
          <w:t>23</w:t>
        </w:r>
        <w:r>
          <w:rPr>
            <w:noProof/>
            <w:webHidden/>
          </w:rPr>
          <w:fldChar w:fldCharType="end"/>
        </w:r>
      </w:hyperlink>
    </w:p>
    <w:p w:rsidR="005D5ABC" w:rsidRDefault="005D5ABC">
      <w:pPr>
        <w:pStyle w:val="TOC3"/>
        <w:tabs>
          <w:tab w:val="right" w:leader="dot" w:pos="8296"/>
        </w:tabs>
        <w:rPr>
          <w:rFonts w:ascii="Times New Roman" w:hAnsi="Times New Roman"/>
          <w:noProof/>
          <w:lang w:eastAsia="en-IE"/>
        </w:rPr>
      </w:pPr>
      <w:hyperlink w:anchor="_Toc279136915" w:history="1">
        <w:r w:rsidRPr="001F472F">
          <w:rPr>
            <w:rStyle w:val="Hyperlink"/>
            <w:noProof/>
          </w:rPr>
          <w:t>Employment</w:t>
        </w:r>
        <w:r>
          <w:rPr>
            <w:noProof/>
            <w:webHidden/>
          </w:rPr>
          <w:tab/>
        </w:r>
        <w:r>
          <w:rPr>
            <w:noProof/>
            <w:webHidden/>
          </w:rPr>
          <w:fldChar w:fldCharType="begin"/>
        </w:r>
        <w:r>
          <w:rPr>
            <w:noProof/>
            <w:webHidden/>
          </w:rPr>
          <w:instrText xml:space="preserve"> PAGEREF _Toc279136915 \h </w:instrText>
        </w:r>
        <w:r w:rsidR="006F2875">
          <w:rPr>
            <w:noProof/>
          </w:rPr>
        </w:r>
        <w:r>
          <w:rPr>
            <w:noProof/>
            <w:webHidden/>
          </w:rPr>
          <w:fldChar w:fldCharType="separate"/>
        </w:r>
        <w:r w:rsidR="009C59C0">
          <w:rPr>
            <w:noProof/>
            <w:webHidden/>
          </w:rPr>
          <w:t>24</w:t>
        </w:r>
        <w:r>
          <w:rPr>
            <w:noProof/>
            <w:webHidden/>
          </w:rPr>
          <w:fldChar w:fldCharType="end"/>
        </w:r>
      </w:hyperlink>
    </w:p>
    <w:p w:rsidR="005D5ABC" w:rsidRDefault="005D5ABC">
      <w:pPr>
        <w:pStyle w:val="TOC3"/>
        <w:tabs>
          <w:tab w:val="right" w:leader="dot" w:pos="8296"/>
        </w:tabs>
        <w:rPr>
          <w:rFonts w:ascii="Times New Roman" w:hAnsi="Times New Roman"/>
          <w:noProof/>
          <w:lang w:eastAsia="en-IE"/>
        </w:rPr>
      </w:pPr>
      <w:hyperlink w:anchor="_Toc279136916" w:history="1">
        <w:r w:rsidRPr="001F472F">
          <w:rPr>
            <w:rStyle w:val="Hyperlink"/>
            <w:noProof/>
          </w:rPr>
          <w:t>New work initiative</w:t>
        </w:r>
        <w:r>
          <w:rPr>
            <w:noProof/>
            <w:webHidden/>
          </w:rPr>
          <w:tab/>
        </w:r>
        <w:r>
          <w:rPr>
            <w:noProof/>
            <w:webHidden/>
          </w:rPr>
          <w:fldChar w:fldCharType="begin"/>
        </w:r>
        <w:r>
          <w:rPr>
            <w:noProof/>
            <w:webHidden/>
          </w:rPr>
          <w:instrText xml:space="preserve"> PAGEREF _Toc279136916 \h </w:instrText>
        </w:r>
        <w:r w:rsidR="006F2875">
          <w:rPr>
            <w:noProof/>
          </w:rPr>
        </w:r>
        <w:r>
          <w:rPr>
            <w:noProof/>
            <w:webHidden/>
          </w:rPr>
          <w:fldChar w:fldCharType="separate"/>
        </w:r>
        <w:r w:rsidR="009C59C0">
          <w:rPr>
            <w:noProof/>
            <w:webHidden/>
          </w:rPr>
          <w:t>26</w:t>
        </w:r>
        <w:r>
          <w:rPr>
            <w:noProof/>
            <w:webHidden/>
          </w:rPr>
          <w:fldChar w:fldCharType="end"/>
        </w:r>
      </w:hyperlink>
    </w:p>
    <w:p w:rsidR="005D5ABC" w:rsidRDefault="005D5ABC">
      <w:pPr>
        <w:pStyle w:val="TOC2"/>
        <w:tabs>
          <w:tab w:val="right" w:leader="dot" w:pos="8296"/>
        </w:tabs>
        <w:rPr>
          <w:rFonts w:ascii="Times New Roman" w:hAnsi="Times New Roman"/>
          <w:noProof/>
          <w:lang w:eastAsia="en-IE"/>
        </w:rPr>
      </w:pPr>
      <w:hyperlink w:anchor="_Toc279136917" w:history="1">
        <w:r w:rsidRPr="001F472F">
          <w:rPr>
            <w:rStyle w:val="Hyperlink"/>
            <w:noProof/>
          </w:rPr>
          <w:t xml:space="preserve">4.9 </w:t>
        </w:r>
        <w:r w:rsidRPr="001F472F">
          <w:rPr>
            <w:rStyle w:val="Hyperlink"/>
            <w:noProof/>
            <w:lang w:eastAsia="en-IE"/>
          </w:rPr>
          <w:t>Direct Payments</w:t>
        </w:r>
        <w:r>
          <w:rPr>
            <w:noProof/>
            <w:webHidden/>
          </w:rPr>
          <w:tab/>
        </w:r>
        <w:r>
          <w:rPr>
            <w:noProof/>
            <w:webHidden/>
          </w:rPr>
          <w:fldChar w:fldCharType="begin"/>
        </w:r>
        <w:r>
          <w:rPr>
            <w:noProof/>
            <w:webHidden/>
          </w:rPr>
          <w:instrText xml:space="preserve"> PAGEREF _Toc279136917 \h </w:instrText>
        </w:r>
        <w:r w:rsidR="006F2875">
          <w:rPr>
            <w:noProof/>
          </w:rPr>
        </w:r>
        <w:r>
          <w:rPr>
            <w:noProof/>
            <w:webHidden/>
          </w:rPr>
          <w:fldChar w:fldCharType="separate"/>
        </w:r>
        <w:r w:rsidR="009C59C0">
          <w:rPr>
            <w:noProof/>
            <w:webHidden/>
          </w:rPr>
          <w:t>27</w:t>
        </w:r>
        <w:r>
          <w:rPr>
            <w:noProof/>
            <w:webHidden/>
          </w:rPr>
          <w:fldChar w:fldCharType="end"/>
        </w:r>
      </w:hyperlink>
    </w:p>
    <w:p w:rsidR="005D5ABC" w:rsidRDefault="005D5ABC">
      <w:pPr>
        <w:pStyle w:val="TOC2"/>
        <w:tabs>
          <w:tab w:val="right" w:leader="dot" w:pos="8296"/>
        </w:tabs>
        <w:rPr>
          <w:rFonts w:ascii="Times New Roman" w:hAnsi="Times New Roman"/>
          <w:noProof/>
          <w:lang w:eastAsia="en-IE"/>
        </w:rPr>
      </w:pPr>
      <w:hyperlink w:anchor="_Toc279136918" w:history="1">
        <w:r w:rsidRPr="001F472F">
          <w:rPr>
            <w:rStyle w:val="Hyperlink"/>
            <w:noProof/>
            <w:lang w:eastAsia="en-IE"/>
          </w:rPr>
          <w:t>4.10 Supports to Independent Living</w:t>
        </w:r>
        <w:r>
          <w:rPr>
            <w:noProof/>
            <w:webHidden/>
          </w:rPr>
          <w:tab/>
        </w:r>
        <w:r>
          <w:rPr>
            <w:noProof/>
            <w:webHidden/>
          </w:rPr>
          <w:fldChar w:fldCharType="begin"/>
        </w:r>
        <w:r>
          <w:rPr>
            <w:noProof/>
            <w:webHidden/>
          </w:rPr>
          <w:instrText xml:space="preserve"> PAGEREF _Toc279136918 \h </w:instrText>
        </w:r>
        <w:r w:rsidR="006F2875">
          <w:rPr>
            <w:noProof/>
          </w:rPr>
        </w:r>
        <w:r>
          <w:rPr>
            <w:noProof/>
            <w:webHidden/>
          </w:rPr>
          <w:fldChar w:fldCharType="separate"/>
        </w:r>
        <w:r w:rsidR="009C59C0">
          <w:rPr>
            <w:noProof/>
            <w:webHidden/>
          </w:rPr>
          <w:t>31</w:t>
        </w:r>
        <w:r>
          <w:rPr>
            <w:noProof/>
            <w:webHidden/>
          </w:rPr>
          <w:fldChar w:fldCharType="end"/>
        </w:r>
      </w:hyperlink>
    </w:p>
    <w:p w:rsidR="005D5ABC" w:rsidRDefault="005D5ABC">
      <w:pPr>
        <w:pStyle w:val="TOC1"/>
        <w:tabs>
          <w:tab w:val="right" w:leader="dot" w:pos="8296"/>
        </w:tabs>
        <w:rPr>
          <w:rFonts w:ascii="Times New Roman" w:hAnsi="Times New Roman"/>
          <w:noProof/>
          <w:lang w:eastAsia="en-IE"/>
        </w:rPr>
      </w:pPr>
      <w:hyperlink w:anchor="_Toc279136919" w:history="1">
        <w:r w:rsidRPr="001F472F">
          <w:rPr>
            <w:rStyle w:val="Hyperlink"/>
            <w:noProof/>
          </w:rPr>
          <w:t>5. Entitlement, Choice and User Involvement</w:t>
        </w:r>
        <w:r>
          <w:rPr>
            <w:noProof/>
            <w:webHidden/>
          </w:rPr>
          <w:tab/>
        </w:r>
        <w:r>
          <w:rPr>
            <w:noProof/>
            <w:webHidden/>
          </w:rPr>
          <w:fldChar w:fldCharType="begin"/>
        </w:r>
        <w:r>
          <w:rPr>
            <w:noProof/>
            <w:webHidden/>
          </w:rPr>
          <w:instrText xml:space="preserve"> PAGEREF _Toc279136919 \h </w:instrText>
        </w:r>
        <w:r w:rsidR="006F2875">
          <w:rPr>
            <w:noProof/>
          </w:rPr>
        </w:r>
        <w:r>
          <w:rPr>
            <w:noProof/>
            <w:webHidden/>
          </w:rPr>
          <w:fldChar w:fldCharType="separate"/>
        </w:r>
        <w:r w:rsidR="009C59C0">
          <w:rPr>
            <w:noProof/>
            <w:webHidden/>
          </w:rPr>
          <w:t>33</w:t>
        </w:r>
        <w:r>
          <w:rPr>
            <w:noProof/>
            <w:webHidden/>
          </w:rPr>
          <w:fldChar w:fldCharType="end"/>
        </w:r>
      </w:hyperlink>
    </w:p>
    <w:p w:rsidR="005D5ABC" w:rsidRDefault="005D5ABC">
      <w:pPr>
        <w:pStyle w:val="TOC1"/>
        <w:tabs>
          <w:tab w:val="right" w:leader="dot" w:pos="8296"/>
        </w:tabs>
        <w:rPr>
          <w:rFonts w:ascii="Times New Roman" w:hAnsi="Times New Roman"/>
          <w:noProof/>
          <w:lang w:eastAsia="en-IE"/>
        </w:rPr>
      </w:pPr>
      <w:hyperlink w:anchor="_Toc279136920" w:history="1">
        <w:r w:rsidRPr="001F472F">
          <w:rPr>
            <w:rStyle w:val="Hyperlink"/>
            <w:noProof/>
          </w:rPr>
          <w:t>5.1 Entitlement and service procurement</w:t>
        </w:r>
        <w:r>
          <w:rPr>
            <w:noProof/>
            <w:webHidden/>
          </w:rPr>
          <w:tab/>
        </w:r>
        <w:r>
          <w:rPr>
            <w:noProof/>
            <w:webHidden/>
          </w:rPr>
          <w:fldChar w:fldCharType="begin"/>
        </w:r>
        <w:r>
          <w:rPr>
            <w:noProof/>
            <w:webHidden/>
          </w:rPr>
          <w:instrText xml:space="preserve"> PAGEREF _Toc279136920 \h </w:instrText>
        </w:r>
        <w:r w:rsidR="006F2875">
          <w:rPr>
            <w:noProof/>
          </w:rPr>
        </w:r>
        <w:r>
          <w:rPr>
            <w:noProof/>
            <w:webHidden/>
          </w:rPr>
          <w:fldChar w:fldCharType="separate"/>
        </w:r>
        <w:r w:rsidR="009C59C0">
          <w:rPr>
            <w:noProof/>
            <w:webHidden/>
          </w:rPr>
          <w:t>33</w:t>
        </w:r>
        <w:r>
          <w:rPr>
            <w:noProof/>
            <w:webHidden/>
          </w:rPr>
          <w:fldChar w:fldCharType="end"/>
        </w:r>
      </w:hyperlink>
    </w:p>
    <w:p w:rsidR="005D5ABC" w:rsidRDefault="005D5ABC">
      <w:pPr>
        <w:pStyle w:val="TOC1"/>
        <w:tabs>
          <w:tab w:val="right" w:leader="dot" w:pos="8296"/>
        </w:tabs>
        <w:rPr>
          <w:rFonts w:ascii="Times New Roman" w:hAnsi="Times New Roman"/>
          <w:noProof/>
          <w:lang w:eastAsia="en-IE"/>
        </w:rPr>
      </w:pPr>
      <w:hyperlink w:anchor="_Toc279136921" w:history="1">
        <w:r w:rsidRPr="001F472F">
          <w:rPr>
            <w:rStyle w:val="Hyperlink"/>
            <w:noProof/>
          </w:rPr>
          <w:t>5.2. Involvement of People with Disabilities</w:t>
        </w:r>
        <w:r>
          <w:rPr>
            <w:noProof/>
            <w:webHidden/>
          </w:rPr>
          <w:tab/>
        </w:r>
        <w:r>
          <w:rPr>
            <w:noProof/>
            <w:webHidden/>
          </w:rPr>
          <w:fldChar w:fldCharType="begin"/>
        </w:r>
        <w:r>
          <w:rPr>
            <w:noProof/>
            <w:webHidden/>
          </w:rPr>
          <w:instrText xml:space="preserve"> PAGEREF _Toc279136921 \h </w:instrText>
        </w:r>
        <w:r w:rsidR="006F2875">
          <w:rPr>
            <w:noProof/>
          </w:rPr>
        </w:r>
        <w:r>
          <w:rPr>
            <w:noProof/>
            <w:webHidden/>
          </w:rPr>
          <w:fldChar w:fldCharType="separate"/>
        </w:r>
        <w:r w:rsidR="009C59C0">
          <w:rPr>
            <w:noProof/>
            <w:webHidden/>
          </w:rPr>
          <w:t>34</w:t>
        </w:r>
        <w:r>
          <w:rPr>
            <w:noProof/>
            <w:webHidden/>
          </w:rPr>
          <w:fldChar w:fldCharType="end"/>
        </w:r>
      </w:hyperlink>
    </w:p>
    <w:p w:rsidR="005D5ABC" w:rsidRDefault="005D5ABC">
      <w:pPr>
        <w:pStyle w:val="TOC1"/>
        <w:tabs>
          <w:tab w:val="right" w:leader="dot" w:pos="8296"/>
        </w:tabs>
        <w:rPr>
          <w:rFonts w:ascii="Times New Roman" w:hAnsi="Times New Roman"/>
          <w:noProof/>
          <w:lang w:eastAsia="en-IE"/>
        </w:rPr>
      </w:pPr>
      <w:hyperlink w:anchor="_Toc279136922" w:history="1">
        <w:r w:rsidRPr="001F472F">
          <w:rPr>
            <w:rStyle w:val="Hyperlink"/>
            <w:noProof/>
            <w:lang w:eastAsia="en-IE"/>
          </w:rPr>
          <w:t>6.</w:t>
        </w:r>
        <w:r w:rsidRPr="001F472F">
          <w:rPr>
            <w:rStyle w:val="Hyperlink"/>
            <w:noProof/>
          </w:rPr>
          <w:t xml:space="preserve"> Summary of Key learning Points</w:t>
        </w:r>
        <w:r>
          <w:rPr>
            <w:noProof/>
            <w:webHidden/>
          </w:rPr>
          <w:tab/>
        </w:r>
        <w:r>
          <w:rPr>
            <w:noProof/>
            <w:webHidden/>
          </w:rPr>
          <w:fldChar w:fldCharType="begin"/>
        </w:r>
        <w:r>
          <w:rPr>
            <w:noProof/>
            <w:webHidden/>
          </w:rPr>
          <w:instrText xml:space="preserve"> PAGEREF _Toc279136922 \h </w:instrText>
        </w:r>
        <w:r w:rsidR="006F2875">
          <w:rPr>
            <w:noProof/>
          </w:rPr>
        </w:r>
        <w:r>
          <w:rPr>
            <w:noProof/>
            <w:webHidden/>
          </w:rPr>
          <w:fldChar w:fldCharType="separate"/>
        </w:r>
        <w:r w:rsidR="009C59C0">
          <w:rPr>
            <w:noProof/>
            <w:webHidden/>
          </w:rPr>
          <w:t>34</w:t>
        </w:r>
        <w:r>
          <w:rPr>
            <w:noProof/>
            <w:webHidden/>
          </w:rPr>
          <w:fldChar w:fldCharType="end"/>
        </w:r>
      </w:hyperlink>
    </w:p>
    <w:p w:rsidR="005D5ABC" w:rsidRDefault="005D5ABC">
      <w:pPr>
        <w:pStyle w:val="TOC1"/>
        <w:tabs>
          <w:tab w:val="right" w:leader="dot" w:pos="8296"/>
        </w:tabs>
        <w:rPr>
          <w:rFonts w:ascii="Times New Roman" w:hAnsi="Times New Roman"/>
          <w:noProof/>
          <w:lang w:eastAsia="en-IE"/>
        </w:rPr>
      </w:pPr>
      <w:hyperlink w:anchor="_Toc279136923" w:history="1">
        <w:r w:rsidRPr="001F472F">
          <w:rPr>
            <w:rStyle w:val="Hyperlink"/>
            <w:noProof/>
          </w:rPr>
          <w:t>10. References</w:t>
        </w:r>
        <w:r>
          <w:rPr>
            <w:noProof/>
            <w:webHidden/>
          </w:rPr>
          <w:tab/>
        </w:r>
        <w:r>
          <w:rPr>
            <w:noProof/>
            <w:webHidden/>
          </w:rPr>
          <w:fldChar w:fldCharType="begin"/>
        </w:r>
        <w:r>
          <w:rPr>
            <w:noProof/>
            <w:webHidden/>
          </w:rPr>
          <w:instrText xml:space="preserve"> PAGEREF _Toc279136923 \h </w:instrText>
        </w:r>
        <w:r w:rsidR="006F2875">
          <w:rPr>
            <w:noProof/>
          </w:rPr>
        </w:r>
        <w:r>
          <w:rPr>
            <w:noProof/>
            <w:webHidden/>
          </w:rPr>
          <w:fldChar w:fldCharType="separate"/>
        </w:r>
        <w:r w:rsidR="009C59C0">
          <w:rPr>
            <w:noProof/>
            <w:webHidden/>
          </w:rPr>
          <w:t>37</w:t>
        </w:r>
        <w:r>
          <w:rPr>
            <w:noProof/>
            <w:webHidden/>
          </w:rPr>
          <w:fldChar w:fldCharType="end"/>
        </w:r>
      </w:hyperlink>
    </w:p>
    <w:p w:rsidR="005D5ABC" w:rsidRDefault="005D5ABC">
      <w:pPr>
        <w:pStyle w:val="TOC1"/>
        <w:tabs>
          <w:tab w:val="right" w:leader="dot" w:pos="8296"/>
        </w:tabs>
        <w:rPr>
          <w:rFonts w:ascii="Times New Roman" w:hAnsi="Times New Roman"/>
          <w:noProof/>
          <w:lang w:eastAsia="en-IE"/>
        </w:rPr>
      </w:pPr>
      <w:hyperlink w:anchor="_Toc279136924" w:history="1">
        <w:r w:rsidRPr="001F472F">
          <w:rPr>
            <w:rStyle w:val="Hyperlink"/>
            <w:noProof/>
          </w:rPr>
          <w:t>Appendix 1 Services provided by 8 special NHS Boards</w:t>
        </w:r>
        <w:r>
          <w:rPr>
            <w:noProof/>
            <w:webHidden/>
          </w:rPr>
          <w:tab/>
        </w:r>
        <w:r>
          <w:rPr>
            <w:noProof/>
            <w:webHidden/>
          </w:rPr>
          <w:fldChar w:fldCharType="begin"/>
        </w:r>
        <w:r>
          <w:rPr>
            <w:noProof/>
            <w:webHidden/>
          </w:rPr>
          <w:instrText xml:space="preserve"> PAGEREF _Toc279136924 \h </w:instrText>
        </w:r>
        <w:r w:rsidR="006F2875">
          <w:rPr>
            <w:noProof/>
          </w:rPr>
        </w:r>
        <w:r>
          <w:rPr>
            <w:noProof/>
            <w:webHidden/>
          </w:rPr>
          <w:fldChar w:fldCharType="separate"/>
        </w:r>
        <w:r w:rsidR="009C59C0">
          <w:rPr>
            <w:noProof/>
            <w:webHidden/>
          </w:rPr>
          <w:t>42</w:t>
        </w:r>
        <w:r>
          <w:rPr>
            <w:noProof/>
            <w:webHidden/>
          </w:rPr>
          <w:fldChar w:fldCharType="end"/>
        </w:r>
      </w:hyperlink>
    </w:p>
    <w:p w:rsidR="005D5ABC" w:rsidRDefault="005D5ABC">
      <w:pPr>
        <w:pStyle w:val="TOC1"/>
        <w:tabs>
          <w:tab w:val="left" w:pos="1680"/>
          <w:tab w:val="right" w:leader="dot" w:pos="8296"/>
        </w:tabs>
        <w:rPr>
          <w:rFonts w:ascii="Times New Roman" w:hAnsi="Times New Roman"/>
          <w:noProof/>
          <w:lang w:eastAsia="en-IE"/>
        </w:rPr>
      </w:pPr>
      <w:hyperlink w:anchor="_Toc279136925" w:history="1">
        <w:r w:rsidRPr="001F472F">
          <w:rPr>
            <w:rStyle w:val="Hyperlink"/>
            <w:noProof/>
          </w:rPr>
          <w:t>Appendix 2</w:t>
        </w:r>
        <w:r>
          <w:rPr>
            <w:rFonts w:ascii="Times New Roman" w:hAnsi="Times New Roman"/>
            <w:noProof/>
            <w:lang w:eastAsia="en-IE"/>
          </w:rPr>
          <w:tab/>
        </w:r>
        <w:r w:rsidRPr="001F472F">
          <w:rPr>
            <w:rStyle w:val="Hyperlink"/>
            <w:noProof/>
          </w:rPr>
          <w:t>CHP Model of Service Delivery</w:t>
        </w:r>
        <w:r>
          <w:rPr>
            <w:noProof/>
            <w:webHidden/>
          </w:rPr>
          <w:tab/>
        </w:r>
        <w:r>
          <w:rPr>
            <w:noProof/>
            <w:webHidden/>
          </w:rPr>
          <w:fldChar w:fldCharType="begin"/>
        </w:r>
        <w:r>
          <w:rPr>
            <w:noProof/>
            <w:webHidden/>
          </w:rPr>
          <w:instrText xml:space="preserve"> PAGEREF _Toc279136925 \h </w:instrText>
        </w:r>
        <w:r w:rsidR="006F2875">
          <w:rPr>
            <w:noProof/>
          </w:rPr>
        </w:r>
        <w:r>
          <w:rPr>
            <w:noProof/>
            <w:webHidden/>
          </w:rPr>
          <w:fldChar w:fldCharType="separate"/>
        </w:r>
        <w:r w:rsidR="009C59C0">
          <w:rPr>
            <w:noProof/>
            <w:webHidden/>
          </w:rPr>
          <w:t>43</w:t>
        </w:r>
        <w:r>
          <w:rPr>
            <w:noProof/>
            <w:webHidden/>
          </w:rPr>
          <w:fldChar w:fldCharType="end"/>
        </w:r>
      </w:hyperlink>
    </w:p>
    <w:p w:rsidR="005D5ABC" w:rsidRDefault="005D5ABC">
      <w:pPr>
        <w:pStyle w:val="TOC1"/>
        <w:tabs>
          <w:tab w:val="right" w:leader="dot" w:pos="8296"/>
        </w:tabs>
        <w:rPr>
          <w:rFonts w:ascii="Times New Roman" w:hAnsi="Times New Roman"/>
          <w:noProof/>
          <w:lang w:eastAsia="en-IE"/>
        </w:rPr>
      </w:pPr>
      <w:hyperlink w:anchor="_Toc279136934" w:history="1">
        <w:r w:rsidRPr="001F472F">
          <w:rPr>
            <w:rStyle w:val="Hyperlink"/>
            <w:noProof/>
          </w:rPr>
          <w:t>Appendix 3 Benefits for People with Disabilities</w:t>
        </w:r>
        <w:r>
          <w:rPr>
            <w:noProof/>
            <w:webHidden/>
          </w:rPr>
          <w:tab/>
        </w:r>
        <w:r>
          <w:rPr>
            <w:noProof/>
            <w:webHidden/>
          </w:rPr>
          <w:fldChar w:fldCharType="begin"/>
        </w:r>
        <w:r>
          <w:rPr>
            <w:noProof/>
            <w:webHidden/>
          </w:rPr>
          <w:instrText xml:space="preserve"> PAGEREF _Toc279136934 \h </w:instrText>
        </w:r>
        <w:r w:rsidR="006F2875">
          <w:rPr>
            <w:noProof/>
          </w:rPr>
        </w:r>
        <w:r>
          <w:rPr>
            <w:noProof/>
            <w:webHidden/>
          </w:rPr>
          <w:fldChar w:fldCharType="separate"/>
        </w:r>
        <w:r w:rsidR="009C59C0">
          <w:rPr>
            <w:noProof/>
            <w:webHidden/>
          </w:rPr>
          <w:t>44</w:t>
        </w:r>
        <w:r>
          <w:rPr>
            <w:noProof/>
            <w:webHidden/>
          </w:rPr>
          <w:fldChar w:fldCharType="end"/>
        </w:r>
      </w:hyperlink>
    </w:p>
    <w:p w:rsidR="005D5ABC" w:rsidRDefault="005D5ABC">
      <w:pPr>
        <w:pStyle w:val="TOC1"/>
        <w:tabs>
          <w:tab w:val="right" w:leader="dot" w:pos="8296"/>
        </w:tabs>
        <w:rPr>
          <w:rFonts w:ascii="Times New Roman" w:hAnsi="Times New Roman"/>
          <w:noProof/>
          <w:lang w:eastAsia="en-IE"/>
        </w:rPr>
      </w:pPr>
      <w:hyperlink w:anchor="_Toc279136935" w:history="1">
        <w:r w:rsidRPr="001F472F">
          <w:rPr>
            <w:rStyle w:val="Hyperlink"/>
            <w:noProof/>
          </w:rPr>
          <w:t>Appendix 4: How health and personal services are overseen and monitored in Scotland</w:t>
        </w:r>
        <w:r>
          <w:rPr>
            <w:noProof/>
            <w:webHidden/>
          </w:rPr>
          <w:tab/>
        </w:r>
        <w:r>
          <w:rPr>
            <w:noProof/>
            <w:webHidden/>
          </w:rPr>
          <w:fldChar w:fldCharType="begin"/>
        </w:r>
        <w:r>
          <w:rPr>
            <w:noProof/>
            <w:webHidden/>
          </w:rPr>
          <w:instrText xml:space="preserve"> PAGEREF _Toc279136935 \h </w:instrText>
        </w:r>
        <w:r w:rsidR="006F2875">
          <w:rPr>
            <w:noProof/>
          </w:rPr>
        </w:r>
        <w:r>
          <w:rPr>
            <w:noProof/>
            <w:webHidden/>
          </w:rPr>
          <w:fldChar w:fldCharType="separate"/>
        </w:r>
        <w:r w:rsidR="009C59C0">
          <w:rPr>
            <w:noProof/>
            <w:webHidden/>
          </w:rPr>
          <w:t>50</w:t>
        </w:r>
        <w:r>
          <w:rPr>
            <w:noProof/>
            <w:webHidden/>
          </w:rPr>
          <w:fldChar w:fldCharType="end"/>
        </w:r>
      </w:hyperlink>
    </w:p>
    <w:p w:rsidR="00C36CA2" w:rsidRDefault="005D5ABC" w:rsidP="00594A89">
      <w:pPr>
        <w:pStyle w:val="Heading1"/>
        <w:sectPr w:rsidR="00C36CA2" w:rsidSect="006B2928">
          <w:pgSz w:w="11906" w:h="16838"/>
          <w:pgMar w:top="1440" w:right="1800" w:bottom="1440" w:left="1800" w:header="708" w:footer="708" w:gutter="0"/>
          <w:cols w:space="720"/>
        </w:sectPr>
      </w:pPr>
      <w:r>
        <w:rPr>
          <w:rFonts w:cs="Times New Roman"/>
          <w:b w:val="0"/>
          <w:bCs w:val="0"/>
          <w:kern w:val="0"/>
          <w:sz w:val="24"/>
          <w:szCs w:val="24"/>
        </w:rPr>
        <w:fldChar w:fldCharType="end"/>
      </w:r>
    </w:p>
    <w:p w:rsidR="00001E72" w:rsidRDefault="00001E72" w:rsidP="001A05DA">
      <w:pPr>
        <w:pStyle w:val="Heading1"/>
        <w:rPr>
          <w:lang w:val="en-US" w:bidi="en-US"/>
        </w:rPr>
      </w:pPr>
      <w:bookmarkStart w:id="21" w:name="_Toc268689530"/>
      <w:bookmarkStart w:id="22" w:name="_Toc279136897"/>
      <w:r>
        <w:rPr>
          <w:lang w:val="en-US" w:bidi="en-US"/>
        </w:rPr>
        <w:t>1. Introduction</w:t>
      </w:r>
      <w:bookmarkEnd w:id="21"/>
      <w:bookmarkEnd w:id="22"/>
    </w:p>
    <w:p w:rsidR="00001E72" w:rsidRPr="00FE31FE" w:rsidRDefault="00001E72" w:rsidP="00001E72">
      <w:pPr>
        <w:rPr>
          <w:lang w:val="en-US"/>
        </w:rPr>
      </w:pPr>
      <w:r w:rsidRPr="00FE31FE">
        <w:rPr>
          <w:lang w:val="en-US"/>
        </w:rPr>
        <w:t xml:space="preserve">This paper is one of a series of background papers describing how disability services are organised and delivered in selected jurisdictions, to help inform how such services might be organised and delivered in </w:t>
      </w:r>
      <w:smartTag w:uri="urn:schemas-microsoft-com:office:smarttags" w:element="country-region">
        <w:smartTag w:uri="urn:schemas-microsoft-com:office:smarttags" w:element="place">
          <w:r w:rsidRPr="00FE31FE">
            <w:rPr>
              <w:lang w:val="en-US"/>
            </w:rPr>
            <w:t>Ireland</w:t>
          </w:r>
        </w:smartTag>
      </w:smartTag>
      <w:r w:rsidRPr="00FE31FE">
        <w:rPr>
          <w:lang w:val="en-US"/>
        </w:rPr>
        <w:t>. A composite report setting out key learning from across the six jurisdicti</w:t>
      </w:r>
      <w:r w:rsidR="00532E37">
        <w:rPr>
          <w:lang w:val="en-US"/>
        </w:rPr>
        <w:t>ons is also available (www.nda.ie</w:t>
      </w:r>
      <w:r w:rsidRPr="00FE31FE">
        <w:rPr>
          <w:lang w:val="en-US"/>
        </w:rPr>
        <w:t xml:space="preserve">). This composite report also draws on additional literature from the </w:t>
      </w:r>
      <w:smartTag w:uri="urn:schemas-microsoft-com:office:smarttags" w:element="country-region">
        <w:smartTag w:uri="urn:schemas-microsoft-com:office:smarttags" w:element="place">
          <w:r w:rsidRPr="00FE31FE">
            <w:rPr>
              <w:lang w:val="en-US"/>
            </w:rPr>
            <w:t>US</w:t>
          </w:r>
        </w:smartTag>
      </w:smartTag>
      <w:r w:rsidRPr="00FE31FE">
        <w:rPr>
          <w:lang w:val="en-US"/>
        </w:rPr>
        <w:t xml:space="preserve"> and the National Disability Authority's (NDA) broader programme of work in the area of independent living for people with disabilities. </w:t>
      </w:r>
    </w:p>
    <w:p w:rsidR="00001E72" w:rsidRDefault="00001E72" w:rsidP="00001E72">
      <w:pPr>
        <w:rPr>
          <w:lang w:val="en-US"/>
        </w:rPr>
      </w:pPr>
      <w:r w:rsidRPr="00FE31FE">
        <w:rPr>
          <w:lang w:val="en-US"/>
        </w:rPr>
        <w:t>The jurisdictions were chosen after canvassing expert opinion on where there were opportunities for learning due to innovations in service procurement, design or delivery or evidence of quality. Data was collected for each jurisdiction under a common framework, although information was not always readily available across all elements of the framework for each jurisdiction.  The sources of information included published and web sources, as well as interviews with three key informants, with different roles, in each jurisdiction. The draft paper was checked for accuracy and completeness with a national expert in each of the countries studied. Readers are advised that a key finding from this project is that disability service systems in all of the selected jurisdictions are in transition, and in some areas systems are undergoing rapid development. We welcome any feedback on any of the jurisdictions investigated that can update or enhance these background papers.  The jurisdictions investigated include those set out b</w:t>
      </w:r>
      <w:r w:rsidR="00213750">
        <w:rPr>
          <w:lang w:val="en-US"/>
        </w:rPr>
        <w:t>elow and can be found at www.nda.ie.</w:t>
      </w:r>
    </w:p>
    <w:p w:rsidR="004F1BF1" w:rsidRDefault="004F1BF1" w:rsidP="004F1BF1">
      <w:pPr>
        <w:pStyle w:val="TableTitle"/>
        <w:rPr>
          <w:lang w:val="en-US"/>
        </w:rPr>
      </w:pPr>
      <w:r>
        <w:rPr>
          <w:lang w:val="en-US"/>
        </w:rPr>
        <w:t>Table 1: Populat</w:t>
      </w:r>
      <w:r w:rsidR="00501C05">
        <w:rPr>
          <w:lang w:val="en-US"/>
        </w:rPr>
        <w:t>ion of Jurisdic</w:t>
      </w:r>
      <w:r>
        <w:rPr>
          <w:lang w:val="en-US"/>
        </w:rPr>
        <w:t>tions</w:t>
      </w:r>
    </w:p>
    <w:tbl>
      <w:tblPr>
        <w:tblW w:w="9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368"/>
        <w:gridCol w:w="900"/>
        <w:gridCol w:w="1080"/>
        <w:gridCol w:w="1080"/>
        <w:gridCol w:w="1440"/>
        <w:gridCol w:w="1080"/>
        <w:gridCol w:w="1080"/>
        <w:gridCol w:w="1260"/>
      </w:tblGrid>
      <w:tr w:rsidR="00001E72" w:rsidRPr="00001E72">
        <w:tblPrEx>
          <w:tblCellMar>
            <w:top w:w="0" w:type="dxa"/>
            <w:bottom w:w="0" w:type="dxa"/>
          </w:tblCellMar>
        </w:tblPrEx>
        <w:trPr>
          <w:tblHeader/>
        </w:trPr>
        <w:tc>
          <w:tcPr>
            <w:tcW w:w="1368" w:type="dxa"/>
            <w:tcBorders>
              <w:bottom w:val="single" w:sz="12" w:space="0" w:color="000000"/>
            </w:tcBorders>
            <w:shd w:val="clear" w:color="auto" w:fill="auto"/>
          </w:tcPr>
          <w:p w:rsidR="00001E72" w:rsidRPr="00001E72" w:rsidRDefault="00001E72" w:rsidP="00001E72">
            <w:pPr>
              <w:pStyle w:val="TableHead"/>
              <w:jc w:val="right"/>
              <w:rPr>
                <w:sz w:val="20"/>
                <w:szCs w:val="20"/>
                <w:lang w:val="en-US"/>
              </w:rPr>
            </w:pPr>
          </w:p>
        </w:tc>
        <w:tc>
          <w:tcPr>
            <w:tcW w:w="900" w:type="dxa"/>
            <w:tcBorders>
              <w:bottom w:val="single" w:sz="12" w:space="0" w:color="000000"/>
            </w:tcBorders>
            <w:shd w:val="clear" w:color="auto" w:fill="auto"/>
          </w:tcPr>
          <w:p w:rsidR="00001E72" w:rsidRPr="00FE31FE" w:rsidRDefault="00001E72" w:rsidP="008B6DDA">
            <w:pPr>
              <w:pStyle w:val="TableHead"/>
              <w:jc w:val="right"/>
              <w:rPr>
                <w:sz w:val="20"/>
                <w:szCs w:val="20"/>
                <w:lang w:val="en-US"/>
              </w:rPr>
            </w:pPr>
            <w:smartTag w:uri="urn:schemas-microsoft-com:office:smarttags" w:element="country-region">
              <w:smartTag w:uri="urn:schemas-microsoft-com:office:smarttags" w:element="place">
                <w:r>
                  <w:rPr>
                    <w:sz w:val="20"/>
                    <w:szCs w:val="20"/>
                    <w:lang w:val="en-US"/>
                  </w:rPr>
                  <w:t>Ireland</w:t>
                </w:r>
              </w:smartTag>
            </w:smartTag>
          </w:p>
        </w:tc>
        <w:tc>
          <w:tcPr>
            <w:tcW w:w="1080" w:type="dxa"/>
            <w:tcBorders>
              <w:bottom w:val="single" w:sz="12" w:space="0" w:color="000000"/>
            </w:tcBorders>
            <w:shd w:val="clear" w:color="auto" w:fill="auto"/>
          </w:tcPr>
          <w:p w:rsidR="00001E72" w:rsidRPr="00FE31FE" w:rsidRDefault="00001E72" w:rsidP="008B6DDA">
            <w:pPr>
              <w:pStyle w:val="TableHead"/>
              <w:jc w:val="right"/>
              <w:rPr>
                <w:sz w:val="20"/>
                <w:szCs w:val="20"/>
                <w:lang w:val="en-US"/>
              </w:rPr>
            </w:pPr>
            <w:smartTag w:uri="urn:schemas-microsoft-com:office:smarttags" w:element="country-region">
              <w:smartTag w:uri="urn:schemas-microsoft-com:office:smarttags" w:element="place">
                <w:r>
                  <w:rPr>
                    <w:sz w:val="20"/>
                    <w:szCs w:val="20"/>
                    <w:lang w:val="en-US"/>
                  </w:rPr>
                  <w:t>England</w:t>
                </w:r>
              </w:smartTag>
            </w:smartTag>
          </w:p>
        </w:tc>
        <w:tc>
          <w:tcPr>
            <w:tcW w:w="1080" w:type="dxa"/>
            <w:tcBorders>
              <w:bottom w:val="single" w:sz="12" w:space="0" w:color="000000"/>
            </w:tcBorders>
            <w:shd w:val="clear" w:color="auto" w:fill="auto"/>
          </w:tcPr>
          <w:p w:rsidR="00001E72" w:rsidRPr="00FE31FE" w:rsidRDefault="00001E72" w:rsidP="008B6DDA">
            <w:pPr>
              <w:pStyle w:val="TableHead"/>
              <w:jc w:val="right"/>
              <w:rPr>
                <w:sz w:val="20"/>
                <w:szCs w:val="20"/>
                <w:lang w:val="en-US"/>
              </w:rPr>
            </w:pPr>
            <w:smartTag w:uri="urn:schemas-microsoft-com:office:smarttags" w:element="country-region">
              <w:smartTag w:uri="urn:schemas-microsoft-com:office:smarttags" w:element="place">
                <w:r>
                  <w:rPr>
                    <w:sz w:val="20"/>
                    <w:szCs w:val="20"/>
                    <w:lang w:val="en-US"/>
                  </w:rPr>
                  <w:t>Scotland</w:t>
                </w:r>
              </w:smartTag>
            </w:smartTag>
          </w:p>
        </w:tc>
        <w:tc>
          <w:tcPr>
            <w:tcW w:w="1440" w:type="dxa"/>
            <w:tcBorders>
              <w:bottom w:val="single" w:sz="12" w:space="0" w:color="000000"/>
            </w:tcBorders>
            <w:shd w:val="clear" w:color="auto" w:fill="auto"/>
          </w:tcPr>
          <w:p w:rsidR="00001E72" w:rsidRPr="00FE31FE" w:rsidRDefault="00001E72" w:rsidP="008B6DDA">
            <w:pPr>
              <w:pStyle w:val="TableHead"/>
              <w:jc w:val="right"/>
              <w:rPr>
                <w:sz w:val="20"/>
                <w:szCs w:val="20"/>
                <w:lang w:val="en-US"/>
              </w:rPr>
            </w:pPr>
            <w:smartTag w:uri="urn:schemas-microsoft-com:office:smarttags" w:element="country-region">
              <w:smartTag w:uri="urn:schemas-microsoft-com:office:smarttags" w:element="place">
                <w:r>
                  <w:rPr>
                    <w:sz w:val="20"/>
                    <w:szCs w:val="20"/>
                    <w:lang w:val="en-US"/>
                  </w:rPr>
                  <w:t>Netherlands</w:t>
                </w:r>
              </w:smartTag>
            </w:smartTag>
          </w:p>
        </w:tc>
        <w:tc>
          <w:tcPr>
            <w:tcW w:w="1080" w:type="dxa"/>
            <w:tcBorders>
              <w:bottom w:val="single" w:sz="12" w:space="0" w:color="000000"/>
            </w:tcBorders>
            <w:shd w:val="clear" w:color="auto" w:fill="auto"/>
          </w:tcPr>
          <w:p w:rsidR="00001E72" w:rsidRPr="00FE31FE" w:rsidRDefault="00001E72" w:rsidP="008B6DDA">
            <w:pPr>
              <w:pStyle w:val="TableHead"/>
              <w:jc w:val="right"/>
              <w:rPr>
                <w:sz w:val="20"/>
                <w:szCs w:val="20"/>
                <w:lang w:val="en-US"/>
              </w:rPr>
            </w:pPr>
            <w:smartTag w:uri="urn:schemas-microsoft-com:office:smarttags" w:element="country-region">
              <w:smartTag w:uri="urn:schemas-microsoft-com:office:smarttags" w:element="place">
                <w:r>
                  <w:rPr>
                    <w:sz w:val="20"/>
                    <w:szCs w:val="20"/>
                    <w:lang w:val="en-US"/>
                  </w:rPr>
                  <w:t>Norway</w:t>
                </w:r>
              </w:smartTag>
            </w:smartTag>
          </w:p>
        </w:tc>
        <w:tc>
          <w:tcPr>
            <w:tcW w:w="1080" w:type="dxa"/>
            <w:tcBorders>
              <w:bottom w:val="single" w:sz="12" w:space="0" w:color="000000"/>
            </w:tcBorders>
            <w:shd w:val="clear" w:color="auto" w:fill="auto"/>
          </w:tcPr>
          <w:p w:rsidR="00001E72" w:rsidRPr="00FE31FE" w:rsidRDefault="00001E72" w:rsidP="008B6DDA">
            <w:pPr>
              <w:pStyle w:val="TableHead"/>
              <w:jc w:val="right"/>
              <w:rPr>
                <w:sz w:val="20"/>
                <w:szCs w:val="20"/>
                <w:lang w:val="en-US"/>
              </w:rPr>
            </w:pPr>
            <w:smartTag w:uri="urn:schemas-microsoft-com:office:smarttags" w:element="State">
              <w:smartTag w:uri="urn:schemas-microsoft-com:office:smarttags" w:element="place">
                <w:r>
                  <w:rPr>
                    <w:sz w:val="20"/>
                    <w:szCs w:val="20"/>
                    <w:lang w:val="en-US"/>
                  </w:rPr>
                  <w:t>Victoria</w:t>
                </w:r>
              </w:smartTag>
            </w:smartTag>
          </w:p>
        </w:tc>
        <w:tc>
          <w:tcPr>
            <w:tcW w:w="1260" w:type="dxa"/>
            <w:tcBorders>
              <w:bottom w:val="single" w:sz="12" w:space="0" w:color="000000"/>
            </w:tcBorders>
            <w:shd w:val="clear" w:color="auto" w:fill="auto"/>
          </w:tcPr>
          <w:p w:rsidR="00001E72" w:rsidRPr="00FE31FE" w:rsidRDefault="00001E72" w:rsidP="008B6DDA">
            <w:pPr>
              <w:pStyle w:val="TableHead"/>
              <w:jc w:val="right"/>
              <w:rPr>
                <w:sz w:val="20"/>
                <w:szCs w:val="20"/>
                <w:lang w:val="en-US"/>
              </w:rPr>
            </w:pPr>
            <w:r>
              <w:rPr>
                <w:sz w:val="20"/>
                <w:szCs w:val="20"/>
                <w:lang w:val="en-US"/>
              </w:rPr>
              <w:t>N. Zealand</w:t>
            </w:r>
          </w:p>
        </w:tc>
      </w:tr>
      <w:tr w:rsidR="00001E72" w:rsidRPr="00001E72">
        <w:tblPrEx>
          <w:tblCellMar>
            <w:top w:w="0" w:type="dxa"/>
            <w:bottom w:w="0" w:type="dxa"/>
          </w:tblCellMar>
        </w:tblPrEx>
        <w:tc>
          <w:tcPr>
            <w:tcW w:w="1368" w:type="dxa"/>
            <w:tcBorders>
              <w:top w:val="single" w:sz="12" w:space="0" w:color="000000"/>
            </w:tcBorders>
            <w:shd w:val="clear" w:color="auto" w:fill="auto"/>
          </w:tcPr>
          <w:p w:rsidR="00001E72" w:rsidRDefault="00001E72" w:rsidP="00001E72">
            <w:pPr>
              <w:pStyle w:val="TableRowHead"/>
              <w:rPr>
                <w:sz w:val="20"/>
                <w:szCs w:val="20"/>
                <w:lang w:val="en-US"/>
              </w:rPr>
            </w:pPr>
            <w:r>
              <w:rPr>
                <w:sz w:val="20"/>
                <w:szCs w:val="20"/>
                <w:lang w:val="en-US"/>
              </w:rPr>
              <w:t>Total</w:t>
            </w:r>
          </w:p>
          <w:p w:rsidR="00001E72" w:rsidRPr="00001E72" w:rsidRDefault="00001E72" w:rsidP="00001E72">
            <w:pPr>
              <w:pStyle w:val="TableRowHead"/>
              <w:rPr>
                <w:sz w:val="20"/>
                <w:szCs w:val="20"/>
                <w:lang w:val="en-US"/>
              </w:rPr>
            </w:pPr>
            <w:r>
              <w:rPr>
                <w:sz w:val="20"/>
                <w:szCs w:val="20"/>
                <w:lang w:val="en-US"/>
              </w:rPr>
              <w:t>Population</w:t>
            </w:r>
          </w:p>
        </w:tc>
        <w:tc>
          <w:tcPr>
            <w:tcW w:w="900" w:type="dxa"/>
            <w:tcBorders>
              <w:top w:val="single" w:sz="12" w:space="0" w:color="000000"/>
            </w:tcBorders>
            <w:shd w:val="clear" w:color="auto" w:fill="auto"/>
          </w:tcPr>
          <w:p w:rsidR="00001E72" w:rsidRPr="00FE31FE" w:rsidRDefault="00001E72" w:rsidP="008B6DDA">
            <w:pPr>
              <w:pStyle w:val="TableCell"/>
              <w:jc w:val="right"/>
              <w:rPr>
                <w:sz w:val="20"/>
                <w:szCs w:val="20"/>
                <w:lang w:val="en-US"/>
              </w:rPr>
            </w:pPr>
            <w:r>
              <w:rPr>
                <w:sz w:val="20"/>
                <w:szCs w:val="20"/>
                <w:lang w:val="en-US"/>
              </w:rPr>
              <w:t>4.24m</w:t>
            </w:r>
          </w:p>
        </w:tc>
        <w:tc>
          <w:tcPr>
            <w:tcW w:w="1080" w:type="dxa"/>
            <w:tcBorders>
              <w:top w:val="single" w:sz="12" w:space="0" w:color="000000"/>
            </w:tcBorders>
            <w:shd w:val="clear" w:color="auto" w:fill="auto"/>
          </w:tcPr>
          <w:p w:rsidR="00001E72" w:rsidRPr="00FE31FE" w:rsidRDefault="00001E72" w:rsidP="008B6DDA">
            <w:pPr>
              <w:pStyle w:val="TableCell"/>
              <w:jc w:val="right"/>
              <w:rPr>
                <w:sz w:val="20"/>
                <w:szCs w:val="20"/>
                <w:lang w:val="en-US"/>
              </w:rPr>
            </w:pPr>
            <w:r>
              <w:rPr>
                <w:sz w:val="20"/>
                <w:szCs w:val="20"/>
                <w:lang w:val="en-US"/>
              </w:rPr>
              <w:t>51.5m</w:t>
            </w:r>
          </w:p>
        </w:tc>
        <w:tc>
          <w:tcPr>
            <w:tcW w:w="1080" w:type="dxa"/>
            <w:tcBorders>
              <w:top w:val="single" w:sz="12" w:space="0" w:color="000000"/>
            </w:tcBorders>
            <w:shd w:val="clear" w:color="auto" w:fill="auto"/>
          </w:tcPr>
          <w:p w:rsidR="00001E72" w:rsidRPr="00FE31FE" w:rsidRDefault="00001E72" w:rsidP="008B6DDA">
            <w:pPr>
              <w:pStyle w:val="TableCell"/>
              <w:jc w:val="right"/>
              <w:rPr>
                <w:sz w:val="20"/>
                <w:szCs w:val="20"/>
                <w:lang w:val="en-US"/>
              </w:rPr>
            </w:pPr>
            <w:r>
              <w:rPr>
                <w:sz w:val="20"/>
                <w:szCs w:val="20"/>
                <w:lang w:val="en-US"/>
              </w:rPr>
              <w:t>5.14m</w:t>
            </w:r>
          </w:p>
        </w:tc>
        <w:tc>
          <w:tcPr>
            <w:tcW w:w="1440" w:type="dxa"/>
            <w:tcBorders>
              <w:top w:val="single" w:sz="12" w:space="0" w:color="000000"/>
            </w:tcBorders>
            <w:shd w:val="clear" w:color="auto" w:fill="auto"/>
          </w:tcPr>
          <w:p w:rsidR="00001E72" w:rsidRPr="00FE31FE" w:rsidRDefault="00001E72" w:rsidP="008B6DDA">
            <w:pPr>
              <w:pStyle w:val="TableCell"/>
              <w:jc w:val="right"/>
              <w:rPr>
                <w:sz w:val="20"/>
                <w:szCs w:val="20"/>
                <w:lang w:val="en-US"/>
              </w:rPr>
            </w:pPr>
            <w:r>
              <w:rPr>
                <w:sz w:val="20"/>
                <w:szCs w:val="20"/>
                <w:lang w:val="en-US"/>
              </w:rPr>
              <w:t>17m</w:t>
            </w:r>
          </w:p>
        </w:tc>
        <w:tc>
          <w:tcPr>
            <w:tcW w:w="1080" w:type="dxa"/>
            <w:tcBorders>
              <w:top w:val="single" w:sz="12" w:space="0" w:color="000000"/>
            </w:tcBorders>
            <w:shd w:val="clear" w:color="auto" w:fill="auto"/>
          </w:tcPr>
          <w:p w:rsidR="00001E72" w:rsidRPr="00FE31FE" w:rsidRDefault="00001E72" w:rsidP="008B6DDA">
            <w:pPr>
              <w:pStyle w:val="TableCell"/>
              <w:jc w:val="right"/>
              <w:rPr>
                <w:sz w:val="20"/>
                <w:szCs w:val="20"/>
                <w:lang w:val="en-US"/>
              </w:rPr>
            </w:pPr>
            <w:r>
              <w:rPr>
                <w:sz w:val="20"/>
                <w:szCs w:val="20"/>
                <w:lang w:val="en-US"/>
              </w:rPr>
              <w:t>4.8m</w:t>
            </w:r>
          </w:p>
        </w:tc>
        <w:tc>
          <w:tcPr>
            <w:tcW w:w="1080" w:type="dxa"/>
            <w:tcBorders>
              <w:top w:val="single" w:sz="12" w:space="0" w:color="000000"/>
            </w:tcBorders>
            <w:shd w:val="clear" w:color="auto" w:fill="auto"/>
          </w:tcPr>
          <w:p w:rsidR="00001E72" w:rsidRPr="00FE31FE" w:rsidRDefault="00001E72" w:rsidP="008B6DDA">
            <w:pPr>
              <w:pStyle w:val="TableCell"/>
              <w:jc w:val="right"/>
              <w:rPr>
                <w:sz w:val="20"/>
                <w:szCs w:val="20"/>
                <w:lang w:val="en-US"/>
              </w:rPr>
            </w:pPr>
            <w:r>
              <w:rPr>
                <w:sz w:val="20"/>
                <w:szCs w:val="20"/>
                <w:lang w:val="en-US"/>
              </w:rPr>
              <w:t>4.9m</w:t>
            </w:r>
          </w:p>
        </w:tc>
        <w:tc>
          <w:tcPr>
            <w:tcW w:w="1260" w:type="dxa"/>
            <w:tcBorders>
              <w:top w:val="single" w:sz="12" w:space="0" w:color="000000"/>
            </w:tcBorders>
            <w:shd w:val="clear" w:color="auto" w:fill="auto"/>
          </w:tcPr>
          <w:p w:rsidR="00001E72" w:rsidRPr="00FE31FE" w:rsidRDefault="00001E72" w:rsidP="008B6DDA">
            <w:pPr>
              <w:pStyle w:val="TableCell"/>
              <w:jc w:val="right"/>
              <w:rPr>
                <w:sz w:val="20"/>
                <w:szCs w:val="20"/>
                <w:lang w:val="en-US"/>
              </w:rPr>
            </w:pPr>
            <w:r>
              <w:rPr>
                <w:sz w:val="20"/>
                <w:szCs w:val="20"/>
                <w:lang w:val="en-US"/>
              </w:rPr>
              <w:t>4.4m</w:t>
            </w:r>
          </w:p>
        </w:tc>
      </w:tr>
      <w:tr w:rsidR="00001E72" w:rsidRPr="00001E72">
        <w:tblPrEx>
          <w:tblCellMar>
            <w:top w:w="0" w:type="dxa"/>
            <w:bottom w:w="0" w:type="dxa"/>
          </w:tblCellMar>
        </w:tblPrEx>
        <w:tc>
          <w:tcPr>
            <w:tcW w:w="1368" w:type="dxa"/>
            <w:shd w:val="clear" w:color="auto" w:fill="auto"/>
          </w:tcPr>
          <w:p w:rsidR="00001E72" w:rsidRPr="00001E72" w:rsidRDefault="00001E72" w:rsidP="00001E72">
            <w:pPr>
              <w:pStyle w:val="TableRowHead"/>
              <w:rPr>
                <w:sz w:val="20"/>
                <w:szCs w:val="20"/>
                <w:lang w:val="en-US"/>
              </w:rPr>
            </w:pPr>
            <w:r>
              <w:rPr>
                <w:sz w:val="20"/>
                <w:szCs w:val="20"/>
                <w:lang w:val="en-US"/>
              </w:rPr>
              <w:t xml:space="preserve">Ratio to </w:t>
            </w:r>
            <w:smartTag w:uri="urn:schemas-microsoft-com:office:smarttags" w:element="country-region">
              <w:smartTag w:uri="urn:schemas-microsoft-com:office:smarttags" w:element="place">
                <w:r>
                  <w:rPr>
                    <w:sz w:val="20"/>
                    <w:szCs w:val="20"/>
                    <w:lang w:val="en-US"/>
                  </w:rPr>
                  <w:t>Ireland</w:t>
                </w:r>
              </w:smartTag>
            </w:smartTag>
          </w:p>
        </w:tc>
        <w:tc>
          <w:tcPr>
            <w:tcW w:w="900" w:type="dxa"/>
            <w:shd w:val="clear" w:color="auto" w:fill="auto"/>
          </w:tcPr>
          <w:p w:rsidR="00001E72" w:rsidRPr="00FE31FE" w:rsidRDefault="00001E72" w:rsidP="008B6DDA">
            <w:pPr>
              <w:pStyle w:val="TableCell"/>
              <w:jc w:val="right"/>
              <w:rPr>
                <w:sz w:val="20"/>
                <w:szCs w:val="20"/>
                <w:lang w:val="en-US"/>
              </w:rPr>
            </w:pPr>
            <w:r>
              <w:rPr>
                <w:sz w:val="20"/>
                <w:szCs w:val="20"/>
                <w:lang w:val="en-US"/>
              </w:rPr>
              <w:t>1</w:t>
            </w:r>
          </w:p>
        </w:tc>
        <w:tc>
          <w:tcPr>
            <w:tcW w:w="1080" w:type="dxa"/>
            <w:shd w:val="clear" w:color="auto" w:fill="auto"/>
          </w:tcPr>
          <w:p w:rsidR="00001E72" w:rsidRPr="00FE31FE" w:rsidRDefault="00001E72" w:rsidP="008B6DDA">
            <w:pPr>
              <w:pStyle w:val="TableCell"/>
              <w:jc w:val="right"/>
              <w:rPr>
                <w:sz w:val="20"/>
                <w:szCs w:val="20"/>
                <w:lang w:val="en-US"/>
              </w:rPr>
            </w:pPr>
            <w:r>
              <w:rPr>
                <w:sz w:val="20"/>
                <w:szCs w:val="20"/>
                <w:lang w:val="en-US"/>
              </w:rPr>
              <w:t>12.1</w:t>
            </w:r>
          </w:p>
        </w:tc>
        <w:tc>
          <w:tcPr>
            <w:tcW w:w="1080" w:type="dxa"/>
            <w:shd w:val="clear" w:color="auto" w:fill="auto"/>
          </w:tcPr>
          <w:p w:rsidR="00001E72" w:rsidRPr="00FE31FE" w:rsidRDefault="00001E72" w:rsidP="008B6DDA">
            <w:pPr>
              <w:pStyle w:val="TableCell"/>
              <w:jc w:val="right"/>
              <w:rPr>
                <w:sz w:val="20"/>
                <w:szCs w:val="20"/>
                <w:lang w:val="en-US"/>
              </w:rPr>
            </w:pPr>
            <w:r>
              <w:rPr>
                <w:sz w:val="20"/>
                <w:szCs w:val="20"/>
                <w:lang w:val="en-US"/>
              </w:rPr>
              <w:t>1.2</w:t>
            </w:r>
          </w:p>
        </w:tc>
        <w:tc>
          <w:tcPr>
            <w:tcW w:w="1440" w:type="dxa"/>
            <w:shd w:val="clear" w:color="auto" w:fill="auto"/>
          </w:tcPr>
          <w:p w:rsidR="00001E72" w:rsidRPr="00FE31FE" w:rsidRDefault="00001E72" w:rsidP="008B6DDA">
            <w:pPr>
              <w:pStyle w:val="TableCell"/>
              <w:jc w:val="right"/>
              <w:rPr>
                <w:sz w:val="20"/>
                <w:szCs w:val="20"/>
                <w:lang w:val="en-US"/>
              </w:rPr>
            </w:pPr>
            <w:r>
              <w:rPr>
                <w:sz w:val="20"/>
                <w:szCs w:val="20"/>
                <w:lang w:val="en-US"/>
              </w:rPr>
              <w:t>3.9</w:t>
            </w:r>
          </w:p>
        </w:tc>
        <w:tc>
          <w:tcPr>
            <w:tcW w:w="1080" w:type="dxa"/>
            <w:shd w:val="clear" w:color="auto" w:fill="auto"/>
          </w:tcPr>
          <w:p w:rsidR="00001E72" w:rsidRPr="00FE31FE" w:rsidRDefault="00001E72" w:rsidP="008B6DDA">
            <w:pPr>
              <w:pStyle w:val="TableCell"/>
              <w:jc w:val="right"/>
              <w:rPr>
                <w:sz w:val="20"/>
                <w:szCs w:val="20"/>
                <w:lang w:val="en-US"/>
              </w:rPr>
            </w:pPr>
            <w:r>
              <w:rPr>
                <w:sz w:val="20"/>
                <w:szCs w:val="20"/>
                <w:lang w:val="en-US"/>
              </w:rPr>
              <w:t>1.1</w:t>
            </w:r>
          </w:p>
        </w:tc>
        <w:tc>
          <w:tcPr>
            <w:tcW w:w="1080" w:type="dxa"/>
            <w:shd w:val="clear" w:color="auto" w:fill="auto"/>
          </w:tcPr>
          <w:p w:rsidR="00001E72" w:rsidRPr="00FE31FE" w:rsidRDefault="00001E72" w:rsidP="008B6DDA">
            <w:pPr>
              <w:pStyle w:val="TableCell"/>
              <w:jc w:val="right"/>
              <w:rPr>
                <w:sz w:val="20"/>
                <w:szCs w:val="20"/>
                <w:lang w:val="en-US"/>
              </w:rPr>
            </w:pPr>
            <w:r>
              <w:rPr>
                <w:sz w:val="20"/>
                <w:szCs w:val="20"/>
                <w:lang w:val="en-US"/>
              </w:rPr>
              <w:t>1.2</w:t>
            </w:r>
          </w:p>
        </w:tc>
        <w:tc>
          <w:tcPr>
            <w:tcW w:w="1260" w:type="dxa"/>
            <w:shd w:val="clear" w:color="auto" w:fill="auto"/>
          </w:tcPr>
          <w:p w:rsidR="00001E72" w:rsidRPr="00FE31FE" w:rsidRDefault="00001E72" w:rsidP="008B6DDA">
            <w:pPr>
              <w:pStyle w:val="TableCell"/>
              <w:jc w:val="right"/>
              <w:rPr>
                <w:sz w:val="20"/>
                <w:szCs w:val="20"/>
                <w:lang w:val="en-US"/>
              </w:rPr>
            </w:pPr>
            <w:r>
              <w:rPr>
                <w:sz w:val="20"/>
                <w:szCs w:val="20"/>
                <w:lang w:val="en-US"/>
              </w:rPr>
              <w:t>1.0</w:t>
            </w:r>
          </w:p>
        </w:tc>
      </w:tr>
    </w:tbl>
    <w:p w:rsidR="00001E72" w:rsidRDefault="00001E72" w:rsidP="00001E72">
      <w:pPr>
        <w:pStyle w:val="TableNote"/>
        <w:rPr>
          <w:lang w:val="en-US"/>
        </w:rPr>
      </w:pPr>
    </w:p>
    <w:p w:rsidR="00001E72" w:rsidRPr="00001E72" w:rsidRDefault="00001E72" w:rsidP="00001E72">
      <w:pPr>
        <w:rPr>
          <w:rFonts w:ascii="Verdana" w:hAnsi="Verdana"/>
          <w:lang w:val="en-US"/>
        </w:rPr>
      </w:pPr>
    </w:p>
    <w:p w:rsidR="00001E72" w:rsidRPr="00FE31FE" w:rsidRDefault="00001E72" w:rsidP="00001E72">
      <w:pPr>
        <w:rPr>
          <w:rFonts w:ascii="Verdana" w:hAnsi="Verdana"/>
          <w:lang w:val="en-US"/>
        </w:rPr>
      </w:pPr>
    </w:p>
    <w:p w:rsidR="00512F86" w:rsidRDefault="00512F86" w:rsidP="00512F86">
      <w:pPr>
        <w:rPr>
          <w:lang w:eastAsia="en-IE"/>
        </w:rPr>
      </w:pPr>
    </w:p>
    <w:p w:rsidR="00512F86" w:rsidRDefault="00512F86" w:rsidP="00512F86">
      <w:pPr>
        <w:rPr>
          <w:lang w:eastAsia="en-IE"/>
        </w:rPr>
      </w:pPr>
    </w:p>
    <w:p w:rsidR="00594A89" w:rsidRPr="00CF6910" w:rsidRDefault="00594A89" w:rsidP="00594A89">
      <w:pPr>
        <w:pStyle w:val="Heading1"/>
        <w:rPr>
          <w:lang w:val="en-US"/>
        </w:rPr>
      </w:pPr>
      <w:bookmarkStart w:id="23" w:name="_Toc255835936"/>
      <w:bookmarkStart w:id="24" w:name="_Toc267920908"/>
      <w:bookmarkStart w:id="25" w:name="_Toc279136898"/>
      <w:bookmarkEnd w:id="18"/>
      <w:bookmarkEnd w:id="19"/>
      <w:bookmarkEnd w:id="20"/>
      <w:r w:rsidRPr="00CF6910">
        <w:rPr>
          <w:lang w:val="en-US"/>
        </w:rPr>
        <w:t xml:space="preserve">2. </w:t>
      </w:r>
      <w:r w:rsidR="00A01722">
        <w:rPr>
          <w:lang w:val="en-US"/>
        </w:rPr>
        <w:t>Population</w:t>
      </w:r>
      <w:bookmarkEnd w:id="25"/>
    </w:p>
    <w:p w:rsidR="00E92649" w:rsidRDefault="00E92649" w:rsidP="00E92649">
      <w:pPr>
        <w:pStyle w:val="Heading2"/>
      </w:pPr>
      <w:bookmarkStart w:id="26" w:name="_Toc269478425"/>
      <w:bookmarkStart w:id="27" w:name="_Toc279136899"/>
      <w:r>
        <w:t xml:space="preserve">2.1 </w:t>
      </w:r>
      <w:bookmarkEnd w:id="23"/>
      <w:bookmarkEnd w:id="24"/>
      <w:r w:rsidR="00A01722">
        <w:t>Population with a disability</w:t>
      </w:r>
      <w:bookmarkEnd w:id="26"/>
      <w:bookmarkEnd w:id="27"/>
    </w:p>
    <w:p w:rsidR="0095545E" w:rsidRPr="00755BEF" w:rsidRDefault="0095545E" w:rsidP="0095545E">
      <w:pPr>
        <w:pStyle w:val="TableTitle"/>
        <w:jc w:val="left"/>
        <w:rPr>
          <w:b w:val="0"/>
          <w:lang w:val="en-US"/>
        </w:rPr>
      </w:pPr>
      <w:r w:rsidRPr="0095545E">
        <w:rPr>
          <w:b w:val="0"/>
          <w:lang w:val="en-GB"/>
        </w:rPr>
        <w:t>The 2001/2002 S</w:t>
      </w:r>
      <w:r w:rsidR="00003BDB">
        <w:rPr>
          <w:b w:val="0"/>
          <w:lang w:val="en-GB"/>
        </w:rPr>
        <w:t>cottish Household Survey e</w:t>
      </w:r>
      <w:r w:rsidRPr="0095545E">
        <w:rPr>
          <w:b w:val="0"/>
          <w:lang w:val="en-GB"/>
        </w:rPr>
        <w:t>stimate</w:t>
      </w:r>
      <w:r w:rsidR="00003BDB">
        <w:rPr>
          <w:b w:val="0"/>
          <w:lang w:val="en-GB"/>
        </w:rPr>
        <w:t>d</w:t>
      </w:r>
      <w:r w:rsidRPr="0095545E">
        <w:rPr>
          <w:b w:val="0"/>
          <w:lang w:val="en-GB"/>
        </w:rPr>
        <w:t xml:space="preserve"> that just under one in five adults in Scotland have a disability and/or a long-term illness</w:t>
      </w:r>
      <w:r w:rsidR="00975ADD">
        <w:rPr>
          <w:b w:val="0"/>
          <w:lang w:val="en-GB"/>
        </w:rPr>
        <w:t xml:space="preserve"> with </w:t>
      </w:r>
      <w:r w:rsidRPr="0095545E">
        <w:rPr>
          <w:b w:val="0"/>
          <w:lang w:val="en-GB"/>
        </w:rPr>
        <w:t xml:space="preserve">18 per cent of men and 19 per cent of women </w:t>
      </w:r>
      <w:r w:rsidR="00975ADD">
        <w:rPr>
          <w:b w:val="0"/>
          <w:lang w:val="en-GB"/>
        </w:rPr>
        <w:t xml:space="preserve">reporting that they </w:t>
      </w:r>
      <w:r w:rsidRPr="0095545E">
        <w:rPr>
          <w:b w:val="0"/>
          <w:lang w:val="en-GB"/>
        </w:rPr>
        <w:t>have a disability and/or a long-term illness.</w:t>
      </w:r>
      <w:r w:rsidR="00003BDB">
        <w:rPr>
          <w:rStyle w:val="FootnoteReference"/>
          <w:b w:val="0"/>
        </w:rPr>
        <w:footnoteReference w:id="1"/>
      </w:r>
      <w:r w:rsidR="00501C05">
        <w:rPr>
          <w:lang w:val="en-US"/>
        </w:rPr>
        <w:t xml:space="preserve"> </w:t>
      </w:r>
      <w:r w:rsidR="00EB771E" w:rsidRPr="00755BEF">
        <w:rPr>
          <w:rStyle w:val="FootnoteReference"/>
          <w:b w:val="0"/>
        </w:rPr>
        <w:footnoteReference w:id="2"/>
      </w:r>
    </w:p>
    <w:p w:rsidR="00501C05" w:rsidRDefault="00501C05" w:rsidP="0095545E">
      <w:pPr>
        <w:pStyle w:val="TableTitle"/>
        <w:jc w:val="left"/>
        <w:rPr>
          <w:lang w:val="en-US"/>
        </w:rPr>
      </w:pPr>
      <w:r>
        <w:rPr>
          <w:lang w:val="en-US"/>
        </w:rPr>
        <w:t>Table 2. Population with a disability</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4261"/>
        <w:gridCol w:w="4261"/>
      </w:tblGrid>
      <w:tr w:rsidR="00501C05" w:rsidRPr="00501C05">
        <w:tblPrEx>
          <w:tblCellMar>
            <w:top w:w="0" w:type="dxa"/>
            <w:bottom w:w="0" w:type="dxa"/>
          </w:tblCellMar>
        </w:tblPrEx>
        <w:trPr>
          <w:tblHeader/>
        </w:trPr>
        <w:tc>
          <w:tcPr>
            <w:tcW w:w="4261" w:type="dxa"/>
            <w:tcBorders>
              <w:bottom w:val="single" w:sz="12" w:space="0" w:color="000000"/>
            </w:tcBorders>
            <w:shd w:val="clear" w:color="auto" w:fill="auto"/>
          </w:tcPr>
          <w:p w:rsidR="00501C05" w:rsidRPr="00501C05" w:rsidRDefault="00501C05" w:rsidP="00501C05">
            <w:pPr>
              <w:pStyle w:val="TableHead"/>
              <w:jc w:val="right"/>
              <w:rPr>
                <w:sz w:val="20"/>
                <w:szCs w:val="20"/>
                <w:lang w:val="en-US"/>
              </w:rPr>
            </w:pPr>
            <w:r w:rsidRPr="00501C05">
              <w:rPr>
                <w:sz w:val="20"/>
                <w:szCs w:val="20"/>
                <w:lang w:val="en-US"/>
              </w:rPr>
              <w:t>Type of Dis</w:t>
            </w:r>
            <w:r>
              <w:rPr>
                <w:sz w:val="20"/>
                <w:szCs w:val="20"/>
                <w:lang w:val="en-US"/>
              </w:rPr>
              <w:t>ability</w:t>
            </w:r>
          </w:p>
        </w:tc>
        <w:tc>
          <w:tcPr>
            <w:tcW w:w="4261" w:type="dxa"/>
            <w:tcBorders>
              <w:bottom w:val="single" w:sz="12" w:space="0" w:color="000000"/>
            </w:tcBorders>
            <w:shd w:val="clear" w:color="auto" w:fill="auto"/>
          </w:tcPr>
          <w:p w:rsidR="00501C05" w:rsidRPr="00501C05" w:rsidRDefault="00501C05" w:rsidP="00501C05">
            <w:pPr>
              <w:pStyle w:val="TableHead"/>
              <w:jc w:val="right"/>
              <w:rPr>
                <w:sz w:val="20"/>
                <w:szCs w:val="20"/>
                <w:lang w:val="en-US"/>
              </w:rPr>
            </w:pPr>
            <w:r>
              <w:rPr>
                <w:sz w:val="20"/>
                <w:szCs w:val="20"/>
                <w:lang w:val="en-US"/>
              </w:rPr>
              <w:t>Population</w:t>
            </w:r>
          </w:p>
        </w:tc>
      </w:tr>
      <w:tr w:rsidR="00501C05" w:rsidRPr="00501C05">
        <w:tblPrEx>
          <w:tblCellMar>
            <w:top w:w="0" w:type="dxa"/>
            <w:bottom w:w="0" w:type="dxa"/>
          </w:tblCellMar>
        </w:tblPrEx>
        <w:tc>
          <w:tcPr>
            <w:tcW w:w="4261" w:type="dxa"/>
            <w:tcBorders>
              <w:top w:val="single" w:sz="12" w:space="0" w:color="000000"/>
            </w:tcBorders>
            <w:shd w:val="clear" w:color="auto" w:fill="auto"/>
          </w:tcPr>
          <w:p w:rsidR="00501C05" w:rsidRPr="00501C05" w:rsidRDefault="00501C05" w:rsidP="00501C05">
            <w:pPr>
              <w:pStyle w:val="TableRowHead"/>
              <w:rPr>
                <w:sz w:val="20"/>
                <w:szCs w:val="20"/>
                <w:lang w:val="en-US"/>
              </w:rPr>
            </w:pPr>
            <w:r>
              <w:rPr>
                <w:sz w:val="20"/>
                <w:szCs w:val="20"/>
                <w:lang w:val="en-US"/>
              </w:rPr>
              <w:t>People with physical disabil</w:t>
            </w:r>
            <w:r w:rsidR="002104F6">
              <w:rPr>
                <w:sz w:val="20"/>
                <w:szCs w:val="20"/>
                <w:lang w:val="en-US"/>
              </w:rPr>
              <w:t>i</w:t>
            </w:r>
            <w:r>
              <w:rPr>
                <w:sz w:val="20"/>
                <w:szCs w:val="20"/>
                <w:lang w:val="en-US"/>
              </w:rPr>
              <w:t>ties</w:t>
            </w:r>
          </w:p>
        </w:tc>
        <w:tc>
          <w:tcPr>
            <w:tcW w:w="4261" w:type="dxa"/>
            <w:tcBorders>
              <w:top w:val="single" w:sz="12" w:space="0" w:color="000000"/>
            </w:tcBorders>
            <w:shd w:val="clear" w:color="auto" w:fill="auto"/>
          </w:tcPr>
          <w:p w:rsidR="00501C05" w:rsidRPr="00501C05" w:rsidRDefault="00501C05" w:rsidP="00501C05">
            <w:pPr>
              <w:pStyle w:val="TableCell"/>
              <w:jc w:val="right"/>
              <w:rPr>
                <w:sz w:val="20"/>
                <w:szCs w:val="20"/>
                <w:lang w:val="en-US"/>
              </w:rPr>
            </w:pPr>
            <w:r>
              <w:rPr>
                <w:sz w:val="20"/>
                <w:szCs w:val="20"/>
                <w:lang w:val="en-US"/>
              </w:rPr>
              <w:t>830,000</w:t>
            </w:r>
            <w:r>
              <w:rPr>
                <w:rStyle w:val="FootnoteReference"/>
                <w:sz w:val="20"/>
                <w:szCs w:val="20"/>
              </w:rPr>
              <w:footnoteReference w:id="3"/>
            </w:r>
          </w:p>
        </w:tc>
      </w:tr>
      <w:tr w:rsidR="00501C05" w:rsidRPr="00501C05">
        <w:tblPrEx>
          <w:tblCellMar>
            <w:top w:w="0" w:type="dxa"/>
            <w:bottom w:w="0" w:type="dxa"/>
          </w:tblCellMar>
        </w:tblPrEx>
        <w:tc>
          <w:tcPr>
            <w:tcW w:w="4261" w:type="dxa"/>
            <w:shd w:val="clear" w:color="auto" w:fill="auto"/>
          </w:tcPr>
          <w:p w:rsidR="00501C05" w:rsidRPr="00501C05" w:rsidRDefault="002104F6" w:rsidP="00501C05">
            <w:pPr>
              <w:pStyle w:val="TableRowHead"/>
              <w:rPr>
                <w:sz w:val="20"/>
                <w:szCs w:val="20"/>
                <w:lang w:val="en-US"/>
              </w:rPr>
            </w:pPr>
            <w:r>
              <w:rPr>
                <w:sz w:val="20"/>
                <w:szCs w:val="20"/>
                <w:lang w:val="en-US"/>
              </w:rPr>
              <w:t>People with visual impairments</w:t>
            </w:r>
          </w:p>
        </w:tc>
        <w:tc>
          <w:tcPr>
            <w:tcW w:w="4261" w:type="dxa"/>
            <w:shd w:val="clear" w:color="auto" w:fill="auto"/>
          </w:tcPr>
          <w:p w:rsidR="00501C05" w:rsidRPr="00501C05" w:rsidRDefault="002104F6" w:rsidP="00501C05">
            <w:pPr>
              <w:pStyle w:val="TableCell"/>
              <w:jc w:val="right"/>
              <w:rPr>
                <w:sz w:val="20"/>
                <w:szCs w:val="20"/>
                <w:lang w:val="en-US"/>
              </w:rPr>
            </w:pPr>
            <w:r>
              <w:rPr>
                <w:sz w:val="20"/>
                <w:szCs w:val="20"/>
                <w:lang w:val="en-US"/>
              </w:rPr>
              <w:t>23,000</w:t>
            </w:r>
            <w:r>
              <w:rPr>
                <w:rStyle w:val="FootnoteReference"/>
                <w:sz w:val="20"/>
                <w:szCs w:val="20"/>
              </w:rPr>
              <w:footnoteReference w:id="4"/>
            </w:r>
          </w:p>
        </w:tc>
      </w:tr>
      <w:tr w:rsidR="00501C05" w:rsidRPr="00501C05">
        <w:tblPrEx>
          <w:tblCellMar>
            <w:top w:w="0" w:type="dxa"/>
            <w:bottom w:w="0" w:type="dxa"/>
          </w:tblCellMar>
        </w:tblPrEx>
        <w:tc>
          <w:tcPr>
            <w:tcW w:w="4261" w:type="dxa"/>
            <w:shd w:val="clear" w:color="auto" w:fill="auto"/>
          </w:tcPr>
          <w:p w:rsidR="00501C05" w:rsidRPr="00501C05" w:rsidRDefault="002104F6" w:rsidP="00501C05">
            <w:pPr>
              <w:pStyle w:val="TableRowHead"/>
              <w:rPr>
                <w:sz w:val="20"/>
                <w:szCs w:val="20"/>
                <w:lang w:val="en-US"/>
              </w:rPr>
            </w:pPr>
            <w:r>
              <w:rPr>
                <w:sz w:val="20"/>
                <w:szCs w:val="20"/>
                <w:lang w:val="en-US"/>
              </w:rPr>
              <w:t>People with partial sight</w:t>
            </w:r>
          </w:p>
        </w:tc>
        <w:tc>
          <w:tcPr>
            <w:tcW w:w="4261" w:type="dxa"/>
            <w:shd w:val="clear" w:color="auto" w:fill="auto"/>
          </w:tcPr>
          <w:p w:rsidR="00501C05" w:rsidRPr="00501C05" w:rsidRDefault="002104F6" w:rsidP="00501C05">
            <w:pPr>
              <w:pStyle w:val="TableCell"/>
              <w:jc w:val="right"/>
              <w:rPr>
                <w:sz w:val="20"/>
                <w:szCs w:val="20"/>
                <w:lang w:val="en-US"/>
              </w:rPr>
            </w:pPr>
            <w:r>
              <w:rPr>
                <w:sz w:val="20"/>
                <w:szCs w:val="20"/>
                <w:lang w:val="en-US"/>
              </w:rPr>
              <w:t>15,2000</w:t>
            </w:r>
            <w:r>
              <w:rPr>
                <w:rStyle w:val="FootnoteReference"/>
                <w:sz w:val="20"/>
                <w:szCs w:val="20"/>
              </w:rPr>
              <w:footnoteReference w:id="5"/>
            </w:r>
          </w:p>
        </w:tc>
      </w:tr>
      <w:tr w:rsidR="00501C05" w:rsidRPr="00501C05">
        <w:tblPrEx>
          <w:tblCellMar>
            <w:top w:w="0" w:type="dxa"/>
            <w:bottom w:w="0" w:type="dxa"/>
          </w:tblCellMar>
        </w:tblPrEx>
        <w:tc>
          <w:tcPr>
            <w:tcW w:w="4261" w:type="dxa"/>
            <w:shd w:val="clear" w:color="auto" w:fill="auto"/>
          </w:tcPr>
          <w:p w:rsidR="00501C05" w:rsidRPr="00501C05" w:rsidRDefault="002104F6" w:rsidP="00501C05">
            <w:pPr>
              <w:pStyle w:val="TableRowHead"/>
              <w:rPr>
                <w:sz w:val="20"/>
                <w:szCs w:val="20"/>
                <w:lang w:val="en-US"/>
              </w:rPr>
            </w:pPr>
            <w:r>
              <w:rPr>
                <w:sz w:val="20"/>
                <w:szCs w:val="20"/>
                <w:lang w:val="en-US"/>
              </w:rPr>
              <w:t xml:space="preserve">People with </w:t>
            </w:r>
            <w:r w:rsidR="00EA167B">
              <w:rPr>
                <w:sz w:val="20"/>
                <w:szCs w:val="20"/>
                <w:lang w:val="en-US"/>
              </w:rPr>
              <w:t>learning</w:t>
            </w:r>
            <w:r>
              <w:rPr>
                <w:sz w:val="20"/>
                <w:szCs w:val="20"/>
                <w:lang w:val="en-US"/>
              </w:rPr>
              <w:t xml:space="preserve"> disabilities</w:t>
            </w:r>
          </w:p>
        </w:tc>
        <w:tc>
          <w:tcPr>
            <w:tcW w:w="4261" w:type="dxa"/>
            <w:shd w:val="clear" w:color="auto" w:fill="auto"/>
          </w:tcPr>
          <w:p w:rsidR="00501C05" w:rsidRPr="00501C05" w:rsidRDefault="002104F6" w:rsidP="00501C05">
            <w:pPr>
              <w:pStyle w:val="TableCell"/>
              <w:jc w:val="right"/>
              <w:rPr>
                <w:sz w:val="20"/>
                <w:szCs w:val="20"/>
                <w:lang w:val="en-US"/>
              </w:rPr>
            </w:pPr>
            <w:r>
              <w:rPr>
                <w:sz w:val="20"/>
                <w:szCs w:val="20"/>
                <w:lang w:val="en-US"/>
              </w:rPr>
              <w:t>25, 200</w:t>
            </w:r>
            <w:r>
              <w:rPr>
                <w:rStyle w:val="FootnoteReference"/>
                <w:sz w:val="20"/>
                <w:szCs w:val="20"/>
              </w:rPr>
              <w:footnoteReference w:id="6"/>
            </w:r>
          </w:p>
        </w:tc>
      </w:tr>
    </w:tbl>
    <w:p w:rsidR="002104F6" w:rsidRDefault="002104F6" w:rsidP="002104F6">
      <w:pPr>
        <w:pStyle w:val="Heading3"/>
        <w:rPr>
          <w:lang w:eastAsia="en-IE"/>
        </w:rPr>
      </w:pPr>
    </w:p>
    <w:p w:rsidR="002104F6" w:rsidRPr="00501C05" w:rsidRDefault="0095545E" w:rsidP="002104F6">
      <w:pPr>
        <w:rPr>
          <w:lang w:val="en-US"/>
        </w:rPr>
      </w:pPr>
      <w:r>
        <w:rPr>
          <w:rFonts w:cs="Arial"/>
          <w:lang w:eastAsia="en-IE"/>
        </w:rPr>
        <w:t xml:space="preserve">Table 2 above sets out reported figures on levels of types of disability in </w:t>
      </w:r>
      <w:smartTag w:uri="urn:schemas-microsoft-com:office:smarttags" w:element="country-region">
        <w:smartTag w:uri="urn:schemas-microsoft-com:office:smarttags" w:element="place">
          <w:r>
            <w:rPr>
              <w:rFonts w:cs="Arial"/>
              <w:lang w:eastAsia="en-IE"/>
            </w:rPr>
            <w:t>Scotland</w:t>
          </w:r>
        </w:smartTag>
      </w:smartTag>
      <w:r>
        <w:rPr>
          <w:rFonts w:cs="Arial"/>
          <w:lang w:eastAsia="en-IE"/>
        </w:rPr>
        <w:t xml:space="preserve">. </w:t>
      </w:r>
      <w:r w:rsidR="00D853B6">
        <w:rPr>
          <w:rFonts w:cs="Arial"/>
          <w:lang w:eastAsia="en-IE"/>
        </w:rPr>
        <w:t>T</w:t>
      </w:r>
      <w:r w:rsidR="002104F6">
        <w:rPr>
          <w:rFonts w:cs="Arial"/>
          <w:lang w:eastAsia="en-IE"/>
        </w:rPr>
        <w:t>he Scottish Health Survey suggests that those with a ‘high score’ on the General Health Questionnaire in relation to mental health problems amounted to some 13% of men aged 16-64, which was constant between 1995 and 2003. For women, however, there was a reduction from 19% to 17% during the same period</w:t>
      </w:r>
      <w:r w:rsidR="002104F6">
        <w:rPr>
          <w:rStyle w:val="FootnoteReference"/>
          <w:rFonts w:cs="Arial"/>
        </w:rPr>
        <w:footnoteReference w:id="7"/>
      </w:r>
      <w:r w:rsidR="002104F6">
        <w:rPr>
          <w:rFonts w:cs="Arial"/>
          <w:lang w:eastAsia="en-IE"/>
        </w:rPr>
        <w:t>.</w:t>
      </w:r>
    </w:p>
    <w:p w:rsidR="00A01722" w:rsidRPr="00A01722" w:rsidRDefault="00A01722" w:rsidP="00A01722">
      <w:pPr>
        <w:rPr>
          <w:rFonts w:ascii="Verdana" w:hAnsi="Verdana"/>
          <w:lang w:val="en-US"/>
        </w:rPr>
      </w:pPr>
    </w:p>
    <w:p w:rsidR="00A01722" w:rsidRDefault="00A01722" w:rsidP="00A01722">
      <w:pPr>
        <w:pStyle w:val="Heading1"/>
      </w:pPr>
      <w:bookmarkStart w:id="28" w:name="_Toc279136900"/>
      <w:r>
        <w:t xml:space="preserve">3. </w:t>
      </w:r>
      <w:r w:rsidR="007A22D5">
        <w:t xml:space="preserve">Health and </w:t>
      </w:r>
      <w:r>
        <w:t>S</w:t>
      </w:r>
      <w:r w:rsidR="00B15C22">
        <w:t xml:space="preserve">ocial Services for People with </w:t>
      </w:r>
      <w:r>
        <w:t>Disabilities</w:t>
      </w:r>
      <w:bookmarkEnd w:id="28"/>
      <w:r>
        <w:t xml:space="preserve"> </w:t>
      </w:r>
    </w:p>
    <w:p w:rsidR="00E92649" w:rsidRDefault="002104F6" w:rsidP="00E92649">
      <w:pPr>
        <w:pStyle w:val="TableTitle"/>
      </w:pPr>
      <w:r>
        <w:t>Table 3</w:t>
      </w:r>
      <w:r w:rsidR="00A01722">
        <w:t>.</w:t>
      </w:r>
      <w:r w:rsidR="00E92649">
        <w:t xml:space="preserve"> Organisational Structure of Disability Services in </w:t>
      </w:r>
      <w:smartTag w:uri="urn:schemas-microsoft-com:office:smarttags" w:element="country-region">
        <w:smartTag w:uri="urn:schemas-microsoft-com:office:smarttags" w:element="place">
          <w:r w:rsidR="00E92649">
            <w:t>Scotland</w:t>
          </w:r>
        </w:smartTag>
      </w:smartTag>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4261"/>
        <w:gridCol w:w="4261"/>
      </w:tblGrid>
      <w:tr w:rsidR="00E92649" w:rsidRPr="00681C8B">
        <w:tblPrEx>
          <w:tblCellMar>
            <w:top w:w="0" w:type="dxa"/>
            <w:bottom w:w="0" w:type="dxa"/>
          </w:tblCellMar>
        </w:tblPrEx>
        <w:tc>
          <w:tcPr>
            <w:tcW w:w="4261" w:type="dxa"/>
            <w:tcBorders>
              <w:top w:val="single" w:sz="12" w:space="0" w:color="000000"/>
            </w:tcBorders>
            <w:shd w:val="clear" w:color="auto" w:fill="auto"/>
          </w:tcPr>
          <w:p w:rsidR="00E92649" w:rsidRDefault="00E92649" w:rsidP="00F81998">
            <w:pPr>
              <w:pStyle w:val="TableRowHead"/>
              <w:rPr>
                <w:sz w:val="20"/>
                <w:szCs w:val="20"/>
              </w:rPr>
            </w:pPr>
            <w:r>
              <w:rPr>
                <w:sz w:val="20"/>
                <w:szCs w:val="20"/>
              </w:rPr>
              <w:t>Government Body</w:t>
            </w:r>
          </w:p>
        </w:tc>
        <w:tc>
          <w:tcPr>
            <w:tcW w:w="4261" w:type="dxa"/>
            <w:tcBorders>
              <w:top w:val="single" w:sz="12" w:space="0" w:color="000000"/>
            </w:tcBorders>
            <w:shd w:val="clear" w:color="auto" w:fill="auto"/>
          </w:tcPr>
          <w:p w:rsidR="00E92649" w:rsidRPr="00C03001" w:rsidRDefault="00E92649" w:rsidP="00F81998">
            <w:pPr>
              <w:pStyle w:val="TableCell"/>
              <w:jc w:val="right"/>
              <w:rPr>
                <w:b/>
                <w:sz w:val="20"/>
                <w:szCs w:val="20"/>
              </w:rPr>
            </w:pPr>
            <w:r w:rsidRPr="00C03001">
              <w:rPr>
                <w:b/>
                <w:sz w:val="20"/>
                <w:szCs w:val="20"/>
              </w:rPr>
              <w:t>Function</w:t>
            </w:r>
          </w:p>
        </w:tc>
      </w:tr>
      <w:tr w:rsidR="00E92649" w:rsidRPr="00681C8B">
        <w:tblPrEx>
          <w:tblCellMar>
            <w:top w:w="0" w:type="dxa"/>
            <w:bottom w:w="0" w:type="dxa"/>
          </w:tblCellMar>
        </w:tblPrEx>
        <w:tc>
          <w:tcPr>
            <w:tcW w:w="4261" w:type="dxa"/>
            <w:tcBorders>
              <w:top w:val="single" w:sz="12" w:space="0" w:color="000000"/>
            </w:tcBorders>
            <w:shd w:val="clear" w:color="auto" w:fill="auto"/>
          </w:tcPr>
          <w:p w:rsidR="00E92649" w:rsidRDefault="001A05DA" w:rsidP="00F81998">
            <w:pPr>
              <w:pStyle w:val="TableRowHead"/>
              <w:rPr>
                <w:sz w:val="20"/>
                <w:szCs w:val="20"/>
              </w:rPr>
            </w:pPr>
            <w:r>
              <w:rPr>
                <w:sz w:val="20"/>
                <w:szCs w:val="20"/>
              </w:rPr>
              <w:t>Department of Health and Well</w:t>
            </w:r>
            <w:r w:rsidR="00E92649">
              <w:rPr>
                <w:sz w:val="20"/>
                <w:szCs w:val="20"/>
              </w:rPr>
              <w:t xml:space="preserve">being </w:t>
            </w:r>
          </w:p>
          <w:p w:rsidR="00E92649" w:rsidRPr="00681C8B" w:rsidRDefault="00E92649" w:rsidP="00F81998">
            <w:pPr>
              <w:pStyle w:val="TableRowHead"/>
              <w:rPr>
                <w:sz w:val="20"/>
                <w:szCs w:val="20"/>
              </w:rPr>
            </w:pPr>
            <w:r>
              <w:rPr>
                <w:sz w:val="20"/>
                <w:szCs w:val="20"/>
              </w:rPr>
              <w:t>(3 ministers)</w:t>
            </w:r>
          </w:p>
        </w:tc>
        <w:tc>
          <w:tcPr>
            <w:tcW w:w="4261" w:type="dxa"/>
            <w:tcBorders>
              <w:top w:val="single" w:sz="12" w:space="0" w:color="000000"/>
            </w:tcBorders>
            <w:shd w:val="clear" w:color="auto" w:fill="auto"/>
          </w:tcPr>
          <w:p w:rsidR="00E92649" w:rsidRPr="00681C8B" w:rsidRDefault="00E92649" w:rsidP="00F81998">
            <w:pPr>
              <w:pStyle w:val="TableCell"/>
              <w:jc w:val="right"/>
              <w:rPr>
                <w:sz w:val="20"/>
                <w:szCs w:val="20"/>
              </w:rPr>
            </w:pPr>
            <w:r>
              <w:rPr>
                <w:sz w:val="20"/>
                <w:szCs w:val="20"/>
              </w:rPr>
              <w:t xml:space="preserve">Responsible for supervising </w:t>
            </w:r>
            <w:smartTag w:uri="urn:schemas-microsoft-com:office:smarttags" w:element="country-region">
              <w:smartTag w:uri="urn:schemas-microsoft-com:office:smarttags" w:element="place">
                <w:r>
                  <w:rPr>
                    <w:sz w:val="20"/>
                    <w:szCs w:val="20"/>
                  </w:rPr>
                  <w:t>Scotland</w:t>
                </w:r>
              </w:smartTag>
            </w:smartTag>
            <w:r>
              <w:rPr>
                <w:sz w:val="20"/>
                <w:szCs w:val="20"/>
              </w:rPr>
              <w:t xml:space="preserve">'s health service and provision of health, social and housing services for people with disabilities </w:t>
            </w:r>
          </w:p>
        </w:tc>
      </w:tr>
      <w:tr w:rsidR="00E92649" w:rsidRPr="00681C8B">
        <w:tblPrEx>
          <w:tblCellMar>
            <w:top w:w="0" w:type="dxa"/>
            <w:bottom w:w="0" w:type="dxa"/>
          </w:tblCellMar>
        </w:tblPrEx>
        <w:tc>
          <w:tcPr>
            <w:tcW w:w="4261" w:type="dxa"/>
            <w:shd w:val="clear" w:color="auto" w:fill="auto"/>
          </w:tcPr>
          <w:p w:rsidR="00C2357E" w:rsidRDefault="00C2357E" w:rsidP="00F81998">
            <w:pPr>
              <w:pStyle w:val="TableRowHead"/>
              <w:rPr>
                <w:sz w:val="20"/>
                <w:szCs w:val="20"/>
              </w:rPr>
            </w:pPr>
            <w:r>
              <w:rPr>
                <w:sz w:val="20"/>
                <w:szCs w:val="20"/>
              </w:rPr>
              <w:t>*Strategic Board</w:t>
            </w:r>
            <w:r w:rsidR="00E92649">
              <w:rPr>
                <w:sz w:val="20"/>
                <w:szCs w:val="20"/>
              </w:rPr>
              <w:t xml:space="preserve">, </w:t>
            </w:r>
          </w:p>
          <w:p w:rsidR="00E92649" w:rsidRPr="00681C8B" w:rsidRDefault="00E92649" w:rsidP="00F81998">
            <w:pPr>
              <w:pStyle w:val="TableRowHead"/>
              <w:rPr>
                <w:sz w:val="20"/>
                <w:szCs w:val="20"/>
              </w:rPr>
            </w:pPr>
            <w:r>
              <w:rPr>
                <w:sz w:val="20"/>
                <w:szCs w:val="20"/>
              </w:rPr>
              <w:t>Director General, Health and Chief Executive of NHS Scotland, Head of Health department</w:t>
            </w:r>
          </w:p>
        </w:tc>
        <w:tc>
          <w:tcPr>
            <w:tcW w:w="4261" w:type="dxa"/>
            <w:shd w:val="clear" w:color="auto" w:fill="auto"/>
          </w:tcPr>
          <w:p w:rsidR="00E92649" w:rsidRPr="00681C8B" w:rsidRDefault="00E92649" w:rsidP="00F81998">
            <w:pPr>
              <w:pStyle w:val="TableCell"/>
              <w:jc w:val="right"/>
              <w:rPr>
                <w:sz w:val="20"/>
                <w:szCs w:val="20"/>
              </w:rPr>
            </w:pPr>
            <w:r>
              <w:rPr>
                <w:sz w:val="20"/>
                <w:szCs w:val="20"/>
              </w:rPr>
              <w:t>Reports to the Minister on performance of health services. Supervises management of NHS Scotland and 14 NHS boards</w:t>
            </w:r>
          </w:p>
        </w:tc>
      </w:tr>
      <w:tr w:rsidR="00E92649" w:rsidRPr="00681C8B">
        <w:tblPrEx>
          <w:tblCellMar>
            <w:top w:w="0" w:type="dxa"/>
            <w:bottom w:w="0" w:type="dxa"/>
          </w:tblCellMar>
        </w:tblPrEx>
        <w:tc>
          <w:tcPr>
            <w:tcW w:w="4261" w:type="dxa"/>
            <w:shd w:val="clear" w:color="auto" w:fill="auto"/>
          </w:tcPr>
          <w:p w:rsidR="00E92649" w:rsidRPr="00681C8B" w:rsidRDefault="00E92649" w:rsidP="00F81998">
            <w:pPr>
              <w:pStyle w:val="TableRowHead"/>
              <w:rPr>
                <w:sz w:val="20"/>
                <w:szCs w:val="20"/>
              </w:rPr>
            </w:pPr>
            <w:r>
              <w:rPr>
                <w:sz w:val="20"/>
                <w:szCs w:val="20"/>
              </w:rPr>
              <w:t>Scottish Health Department (10 directorates)</w:t>
            </w:r>
          </w:p>
        </w:tc>
        <w:tc>
          <w:tcPr>
            <w:tcW w:w="4261" w:type="dxa"/>
            <w:shd w:val="clear" w:color="auto" w:fill="auto"/>
          </w:tcPr>
          <w:p w:rsidR="00E92649" w:rsidRPr="00681C8B" w:rsidRDefault="00E92649" w:rsidP="00F81998">
            <w:pPr>
              <w:pStyle w:val="TableCell"/>
              <w:jc w:val="right"/>
              <w:rPr>
                <w:sz w:val="20"/>
                <w:szCs w:val="20"/>
              </w:rPr>
            </w:pPr>
            <w:r>
              <w:rPr>
                <w:sz w:val="20"/>
                <w:szCs w:val="20"/>
              </w:rPr>
              <w:t xml:space="preserve">Report to the Director General. Responsible for developing and implementing health and community care policy; 14 NHS boards and 8 special NHS boards </w:t>
            </w:r>
            <w:r w:rsidRPr="00681C8B">
              <w:rPr>
                <w:sz w:val="20"/>
                <w:szCs w:val="20"/>
                <w:lang w:eastAsia="en-IE"/>
              </w:rPr>
              <w:t>which deal with central functions across the 14 NHS areas</w:t>
            </w:r>
            <w:r w:rsidRPr="00681C8B">
              <w:rPr>
                <w:rStyle w:val="FootnoteReference"/>
                <w:sz w:val="20"/>
                <w:szCs w:val="20"/>
                <w:lang w:eastAsia="en-IE"/>
              </w:rPr>
              <w:footnoteReference w:id="8"/>
            </w:r>
            <w:r>
              <w:rPr>
                <w:sz w:val="20"/>
                <w:szCs w:val="20"/>
              </w:rPr>
              <w:t xml:space="preserve"> </w:t>
            </w:r>
          </w:p>
        </w:tc>
      </w:tr>
      <w:tr w:rsidR="00E92649" w:rsidRPr="00681C8B">
        <w:tblPrEx>
          <w:tblCellMar>
            <w:top w:w="0" w:type="dxa"/>
            <w:bottom w:w="0" w:type="dxa"/>
          </w:tblCellMar>
        </w:tblPrEx>
        <w:tc>
          <w:tcPr>
            <w:tcW w:w="4261" w:type="dxa"/>
            <w:shd w:val="clear" w:color="auto" w:fill="auto"/>
          </w:tcPr>
          <w:p w:rsidR="008E08DD" w:rsidRDefault="00E92649" w:rsidP="00F81998">
            <w:pPr>
              <w:pStyle w:val="TableRowHead"/>
              <w:rPr>
                <w:sz w:val="20"/>
                <w:szCs w:val="20"/>
              </w:rPr>
            </w:pPr>
            <w:r>
              <w:rPr>
                <w:sz w:val="20"/>
                <w:szCs w:val="20"/>
              </w:rPr>
              <w:t>Territorial NHS boards (14)</w:t>
            </w:r>
          </w:p>
          <w:p w:rsidR="00E92649" w:rsidRPr="00681C8B" w:rsidRDefault="00E92649" w:rsidP="00F81998">
            <w:pPr>
              <w:pStyle w:val="TableRowHead"/>
              <w:rPr>
                <w:sz w:val="20"/>
                <w:szCs w:val="20"/>
              </w:rPr>
            </w:pPr>
            <w:r>
              <w:rPr>
                <w:sz w:val="20"/>
                <w:szCs w:val="20"/>
              </w:rPr>
              <w:t xml:space="preserve">Special NHS Boards (8) </w:t>
            </w:r>
          </w:p>
        </w:tc>
        <w:tc>
          <w:tcPr>
            <w:tcW w:w="4261" w:type="dxa"/>
            <w:shd w:val="clear" w:color="auto" w:fill="auto"/>
          </w:tcPr>
          <w:p w:rsidR="00E92649" w:rsidRPr="008A38C4" w:rsidRDefault="00E92649" w:rsidP="008A38C4">
            <w:pPr>
              <w:pStyle w:val="TableCell"/>
              <w:jc w:val="right"/>
              <w:rPr>
                <w:sz w:val="20"/>
                <w:szCs w:val="20"/>
              </w:rPr>
            </w:pPr>
            <w:r w:rsidRPr="008A38C4">
              <w:rPr>
                <w:sz w:val="20"/>
                <w:szCs w:val="20"/>
              </w:rPr>
              <w:t>Report into the Health department via the directorates. Responsible for delivery of front line health services.</w:t>
            </w:r>
          </w:p>
          <w:p w:rsidR="00E92649" w:rsidRPr="00681C8B" w:rsidRDefault="00E92649" w:rsidP="008A38C4">
            <w:pPr>
              <w:pStyle w:val="TableCell"/>
              <w:jc w:val="right"/>
            </w:pPr>
            <w:r w:rsidRPr="008A38C4">
              <w:rPr>
                <w:sz w:val="20"/>
                <w:szCs w:val="20"/>
              </w:rPr>
              <w:t>Support the NHS boards by providing necessary services</w:t>
            </w:r>
            <w:r>
              <w:t xml:space="preserve"> </w:t>
            </w:r>
          </w:p>
        </w:tc>
      </w:tr>
      <w:tr w:rsidR="00E92649" w:rsidRPr="00681C8B">
        <w:tblPrEx>
          <w:tblCellMar>
            <w:top w:w="0" w:type="dxa"/>
            <w:bottom w:w="0" w:type="dxa"/>
          </w:tblCellMar>
        </w:tblPrEx>
        <w:tc>
          <w:tcPr>
            <w:tcW w:w="4261" w:type="dxa"/>
            <w:shd w:val="clear" w:color="auto" w:fill="auto"/>
          </w:tcPr>
          <w:p w:rsidR="00E92649" w:rsidRPr="00681C8B" w:rsidRDefault="00E92649" w:rsidP="00F81998">
            <w:pPr>
              <w:pStyle w:val="TableRowHead"/>
              <w:rPr>
                <w:sz w:val="20"/>
                <w:szCs w:val="20"/>
              </w:rPr>
            </w:pPr>
            <w:r>
              <w:rPr>
                <w:sz w:val="20"/>
                <w:szCs w:val="20"/>
              </w:rPr>
              <w:t>Community Health Partnerships (CHPS) (40)</w:t>
            </w:r>
          </w:p>
        </w:tc>
        <w:tc>
          <w:tcPr>
            <w:tcW w:w="4261" w:type="dxa"/>
            <w:shd w:val="clear" w:color="auto" w:fill="auto"/>
          </w:tcPr>
          <w:p w:rsidR="00E92649" w:rsidRPr="00681C8B" w:rsidRDefault="00E92649" w:rsidP="00F81998">
            <w:pPr>
              <w:pStyle w:val="TableCell"/>
              <w:jc w:val="right"/>
              <w:rPr>
                <w:sz w:val="20"/>
                <w:szCs w:val="20"/>
              </w:rPr>
            </w:pPr>
            <w:r w:rsidRPr="00681C8B">
              <w:rPr>
                <w:rFonts w:cs="Arial"/>
                <w:sz w:val="20"/>
                <w:szCs w:val="20"/>
              </w:rPr>
              <w:t>Report into NHS boards. Manage the primary and community health services. They provide a focus for the integration between primary care, specialist services and social care</w:t>
            </w:r>
          </w:p>
        </w:tc>
      </w:tr>
      <w:tr w:rsidR="00E92649" w:rsidRPr="00681C8B">
        <w:tblPrEx>
          <w:tblCellMar>
            <w:top w:w="0" w:type="dxa"/>
            <w:bottom w:w="0" w:type="dxa"/>
          </w:tblCellMar>
        </w:tblPrEx>
        <w:tc>
          <w:tcPr>
            <w:tcW w:w="4261" w:type="dxa"/>
            <w:shd w:val="clear" w:color="auto" w:fill="auto"/>
          </w:tcPr>
          <w:p w:rsidR="00E92649" w:rsidRPr="00681C8B" w:rsidRDefault="00E92649" w:rsidP="00F81998">
            <w:pPr>
              <w:pStyle w:val="TableRowHead"/>
              <w:rPr>
                <w:sz w:val="20"/>
                <w:szCs w:val="20"/>
              </w:rPr>
            </w:pPr>
            <w:r>
              <w:rPr>
                <w:sz w:val="20"/>
                <w:szCs w:val="20"/>
              </w:rPr>
              <w:t>Local authorities (32)</w:t>
            </w:r>
          </w:p>
        </w:tc>
        <w:tc>
          <w:tcPr>
            <w:tcW w:w="4261" w:type="dxa"/>
            <w:shd w:val="clear" w:color="auto" w:fill="auto"/>
          </w:tcPr>
          <w:p w:rsidR="00E92649" w:rsidRPr="00681C8B" w:rsidRDefault="00E92649" w:rsidP="00F81998">
            <w:pPr>
              <w:pStyle w:val="TableCell"/>
              <w:jc w:val="right"/>
              <w:rPr>
                <w:sz w:val="20"/>
                <w:szCs w:val="20"/>
              </w:rPr>
            </w:pPr>
            <w:r w:rsidRPr="00681C8B">
              <w:rPr>
                <w:sz w:val="20"/>
                <w:szCs w:val="20"/>
              </w:rPr>
              <w:t>Report to</w:t>
            </w:r>
            <w:r w:rsidR="001E07DB">
              <w:rPr>
                <w:sz w:val="20"/>
                <w:szCs w:val="20"/>
              </w:rPr>
              <w:t xml:space="preserve"> Government through the Convention of Scottish Local Authorities</w:t>
            </w:r>
            <w:r w:rsidR="008A38C4">
              <w:rPr>
                <w:sz w:val="20"/>
                <w:szCs w:val="20"/>
              </w:rPr>
              <w:t xml:space="preserve"> </w:t>
            </w:r>
            <w:r w:rsidR="001E07DB">
              <w:rPr>
                <w:sz w:val="20"/>
                <w:szCs w:val="20"/>
              </w:rPr>
              <w:t>(C</w:t>
            </w:r>
            <w:r w:rsidRPr="00681C8B">
              <w:rPr>
                <w:sz w:val="20"/>
                <w:szCs w:val="20"/>
              </w:rPr>
              <w:t>OSLA</w:t>
            </w:r>
            <w:r w:rsidR="001E07DB">
              <w:rPr>
                <w:sz w:val="20"/>
                <w:szCs w:val="20"/>
              </w:rPr>
              <w:t>)</w:t>
            </w:r>
            <w:r>
              <w:rPr>
                <w:rStyle w:val="FootnoteReference"/>
                <w:sz w:val="20"/>
                <w:szCs w:val="20"/>
              </w:rPr>
              <w:footnoteReference w:id="9"/>
            </w:r>
            <w:r w:rsidR="001E07DB">
              <w:rPr>
                <w:sz w:val="20"/>
                <w:szCs w:val="20"/>
              </w:rPr>
              <w:t xml:space="preserve">. </w:t>
            </w:r>
            <w:r w:rsidRPr="00681C8B">
              <w:rPr>
                <w:sz w:val="20"/>
                <w:szCs w:val="20"/>
              </w:rPr>
              <w:t>Responsible for providing services</w:t>
            </w:r>
            <w:r>
              <w:rPr>
                <w:sz w:val="20"/>
                <w:szCs w:val="20"/>
              </w:rPr>
              <w:t xml:space="preserve"> including assessment of need for disability benefits and services</w:t>
            </w:r>
            <w:r w:rsidRPr="00681C8B">
              <w:rPr>
                <w:sz w:val="20"/>
                <w:szCs w:val="20"/>
              </w:rPr>
              <w:t xml:space="preserve"> for people with disabilities in their </w:t>
            </w:r>
            <w:r>
              <w:rPr>
                <w:sz w:val="20"/>
                <w:szCs w:val="20"/>
              </w:rPr>
              <w:t xml:space="preserve">community. Work with CHPs </w:t>
            </w:r>
            <w:r w:rsidRPr="00681C8B">
              <w:rPr>
                <w:sz w:val="20"/>
                <w:szCs w:val="20"/>
              </w:rPr>
              <w:t>to provide health an</w:t>
            </w:r>
            <w:r w:rsidR="008A38C4">
              <w:rPr>
                <w:sz w:val="20"/>
                <w:szCs w:val="20"/>
              </w:rPr>
              <w:t>d</w:t>
            </w:r>
            <w:r w:rsidRPr="00681C8B">
              <w:rPr>
                <w:sz w:val="20"/>
                <w:szCs w:val="20"/>
              </w:rPr>
              <w:t xml:space="preserve"> community care services to local population</w:t>
            </w:r>
            <w:r w:rsidRPr="00681C8B">
              <w:rPr>
                <w:rStyle w:val="FootnoteReference"/>
                <w:sz w:val="20"/>
                <w:szCs w:val="20"/>
              </w:rPr>
              <w:footnoteReference w:id="10"/>
            </w:r>
          </w:p>
        </w:tc>
      </w:tr>
    </w:tbl>
    <w:p w:rsidR="00E92649" w:rsidRDefault="00E92649" w:rsidP="00E92649">
      <w:pPr>
        <w:rPr>
          <w:sz w:val="20"/>
          <w:szCs w:val="20"/>
        </w:rPr>
      </w:pPr>
      <w:r>
        <w:t>*</w:t>
      </w:r>
      <w:r w:rsidRPr="00256D6F">
        <w:rPr>
          <w:sz w:val="20"/>
          <w:szCs w:val="20"/>
        </w:rPr>
        <w:t xml:space="preserve">Representatives on </w:t>
      </w:r>
      <w:smartTag w:uri="urn:schemas-microsoft-com:office:smarttags" w:element="country-region">
        <w:smartTag w:uri="urn:schemas-microsoft-com:office:smarttags" w:element="place">
          <w:r w:rsidRPr="00256D6F">
            <w:rPr>
              <w:sz w:val="20"/>
              <w:szCs w:val="20"/>
            </w:rPr>
            <w:t>Scotland</w:t>
          </w:r>
        </w:smartTag>
      </w:smartTag>
      <w:r w:rsidRPr="00256D6F">
        <w:rPr>
          <w:sz w:val="20"/>
          <w:szCs w:val="20"/>
        </w:rPr>
        <w:t xml:space="preserve">'s </w:t>
      </w:r>
      <w:r>
        <w:rPr>
          <w:sz w:val="20"/>
          <w:szCs w:val="20"/>
        </w:rPr>
        <w:t xml:space="preserve">Strategic board are the equivalent of </w:t>
      </w:r>
      <w:smartTag w:uri="urn:schemas-microsoft-com:office:smarttags" w:element="country-region">
        <w:smartTag w:uri="urn:schemas-microsoft-com:office:smarttags" w:element="place">
          <w:r>
            <w:rPr>
              <w:sz w:val="20"/>
              <w:szCs w:val="20"/>
            </w:rPr>
            <w:t>Ireland</w:t>
          </w:r>
        </w:smartTag>
      </w:smartTag>
      <w:r>
        <w:rPr>
          <w:sz w:val="20"/>
          <w:szCs w:val="20"/>
        </w:rPr>
        <w:t>'s Secretary General.</w:t>
      </w:r>
    </w:p>
    <w:p w:rsidR="00717D79" w:rsidRDefault="00717D79" w:rsidP="00717D79">
      <w:pPr>
        <w:pStyle w:val="Heading2"/>
        <w:rPr>
          <w:lang w:eastAsia="en-IE"/>
        </w:rPr>
      </w:pPr>
      <w:bookmarkStart w:id="29" w:name="_Toc246242079"/>
      <w:bookmarkStart w:id="30" w:name="_Toc247447222"/>
      <w:bookmarkStart w:id="31" w:name="_Toc267920909"/>
      <w:bookmarkStart w:id="32" w:name="_Toc279136901"/>
      <w:bookmarkEnd w:id="17"/>
      <w:r>
        <w:rPr>
          <w:lang w:eastAsia="en-IE"/>
        </w:rPr>
        <w:t>3.1 Overview of Service Provision System</w:t>
      </w:r>
      <w:bookmarkEnd w:id="32"/>
    </w:p>
    <w:p w:rsidR="00E92649" w:rsidRDefault="00E92649" w:rsidP="00B15C22">
      <w:pPr>
        <w:pStyle w:val="Heading4"/>
        <w:rPr>
          <w:lang w:eastAsia="en-IE"/>
        </w:rPr>
      </w:pPr>
      <w:r>
        <w:rPr>
          <w:lang w:eastAsia="en-IE"/>
        </w:rPr>
        <w:t>The Department of Health and Wellbeing</w:t>
      </w:r>
      <w:bookmarkEnd w:id="31"/>
      <w:r>
        <w:rPr>
          <w:lang w:eastAsia="en-IE"/>
        </w:rPr>
        <w:t xml:space="preserve"> </w:t>
      </w:r>
    </w:p>
    <w:p w:rsidR="00E92649" w:rsidRDefault="00D853B6" w:rsidP="00D853B6">
      <w:pPr>
        <w:rPr>
          <w:rFonts w:cs="Arial"/>
          <w:lang w:eastAsia="en-IE"/>
        </w:rPr>
      </w:pPr>
      <w:r>
        <w:rPr>
          <w:rFonts w:cs="Arial"/>
        </w:rPr>
        <w:t xml:space="preserve">The Ministry of Health and Wellbeing funds supports for people with disabilities that are delivered through the Scottish Health Department, NHS boards, CHPs and local authorities. </w:t>
      </w:r>
      <w:r w:rsidR="00E92649">
        <w:rPr>
          <w:rFonts w:cs="Arial"/>
          <w:lang w:eastAsia="en-IE"/>
        </w:rPr>
        <w:t xml:space="preserve">The Department </w:t>
      </w:r>
      <w:r w:rsidR="005151B4">
        <w:rPr>
          <w:rFonts w:cs="Arial"/>
          <w:lang w:eastAsia="en-IE"/>
        </w:rPr>
        <w:t xml:space="preserve">of Health and Wellbeing </w:t>
      </w:r>
      <w:r>
        <w:rPr>
          <w:rFonts w:cs="Arial"/>
          <w:lang w:eastAsia="en-IE"/>
        </w:rPr>
        <w:t xml:space="preserve">has ultimate </w:t>
      </w:r>
      <w:r w:rsidR="00E92649">
        <w:rPr>
          <w:rFonts w:cs="Arial"/>
          <w:lang w:eastAsia="en-IE"/>
        </w:rPr>
        <w:t>responsib</w:t>
      </w:r>
      <w:r>
        <w:rPr>
          <w:rFonts w:cs="Arial"/>
          <w:lang w:eastAsia="en-IE"/>
        </w:rPr>
        <w:t xml:space="preserve">ility </w:t>
      </w:r>
      <w:r w:rsidR="00E92649">
        <w:rPr>
          <w:rFonts w:cs="Arial"/>
          <w:lang w:eastAsia="en-IE"/>
        </w:rPr>
        <w:t xml:space="preserve">for the operation and monitoring of </w:t>
      </w:r>
      <w:smartTag w:uri="urn:schemas-microsoft-com:office:smarttags" w:element="country-region">
        <w:smartTag w:uri="urn:schemas-microsoft-com:office:smarttags" w:element="place">
          <w:r w:rsidR="00E92649">
            <w:rPr>
              <w:rFonts w:cs="Arial"/>
              <w:lang w:eastAsia="en-IE"/>
            </w:rPr>
            <w:t>Scotland</w:t>
          </w:r>
        </w:smartTag>
      </w:smartTag>
      <w:r w:rsidR="00E92649">
        <w:rPr>
          <w:rFonts w:cs="Arial"/>
          <w:lang w:eastAsia="en-IE"/>
        </w:rPr>
        <w:t>’s health system and for supervising the provision and evaluation of health and personal social services, including housing for people with disabilities.</w:t>
      </w:r>
    </w:p>
    <w:p w:rsidR="00E92649" w:rsidRDefault="00E92649" w:rsidP="00B15C22">
      <w:pPr>
        <w:pStyle w:val="Heading4"/>
        <w:rPr>
          <w:lang w:eastAsia="en-IE"/>
        </w:rPr>
      </w:pPr>
      <w:bookmarkStart w:id="33" w:name="_Toc267920910"/>
      <w:r>
        <w:rPr>
          <w:lang w:eastAsia="en-IE"/>
        </w:rPr>
        <w:t>Direct</w:t>
      </w:r>
      <w:r w:rsidR="00C2357E">
        <w:rPr>
          <w:lang w:eastAsia="en-IE"/>
        </w:rPr>
        <w:t>or General and Scottish Health D</w:t>
      </w:r>
      <w:r>
        <w:rPr>
          <w:lang w:eastAsia="en-IE"/>
        </w:rPr>
        <w:t>epartment</w:t>
      </w:r>
      <w:bookmarkEnd w:id="33"/>
      <w:r>
        <w:rPr>
          <w:lang w:eastAsia="en-IE"/>
        </w:rPr>
        <w:t xml:space="preserve"> </w:t>
      </w:r>
    </w:p>
    <w:p w:rsidR="00E92649" w:rsidRDefault="00E92649" w:rsidP="00E92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rFonts w:cs="Arial"/>
          <w:lang w:eastAsia="en-IE"/>
        </w:rPr>
        <w:t>The Director-General of Healt</w:t>
      </w:r>
      <w:r w:rsidR="0030689D">
        <w:rPr>
          <w:rFonts w:cs="Arial"/>
          <w:lang w:eastAsia="en-IE"/>
        </w:rPr>
        <w:t>h/</w:t>
      </w:r>
      <w:r>
        <w:rPr>
          <w:rFonts w:cs="Arial"/>
          <w:lang w:eastAsia="en-IE"/>
        </w:rPr>
        <w:t>Chief Executive of the NHS Scotland and the Scottish Health Department report into the Department of Health and Wellbeing on the progress of the health services and various bodies such as the NHS boards and the Community Health Partnerships (CHPs).</w:t>
      </w:r>
      <w:r w:rsidRPr="000F5F06">
        <w:rPr>
          <w:sz w:val="20"/>
          <w:szCs w:val="20"/>
        </w:rPr>
        <w:t xml:space="preserve"> </w:t>
      </w:r>
    </w:p>
    <w:p w:rsidR="00E92649" w:rsidRDefault="00E92649" w:rsidP="00B15C22">
      <w:pPr>
        <w:pStyle w:val="Heading4"/>
        <w:rPr>
          <w:lang w:eastAsia="en-IE"/>
        </w:rPr>
      </w:pPr>
      <w:bookmarkStart w:id="34" w:name="_Toc267920911"/>
      <w:r w:rsidRPr="008F4A5D">
        <w:rPr>
          <w:lang w:eastAsia="en-IE"/>
        </w:rPr>
        <w:t>National Health Boards</w:t>
      </w:r>
      <w:bookmarkEnd w:id="34"/>
    </w:p>
    <w:p w:rsidR="00E92649" w:rsidRPr="00217BED" w:rsidRDefault="00E92649" w:rsidP="00E92649">
      <w:pPr>
        <w:rPr>
          <w:b/>
          <w:lang w:eastAsia="en-IE"/>
        </w:rPr>
      </w:pPr>
      <w:r>
        <w:rPr>
          <w:lang w:eastAsia="en-IE"/>
        </w:rPr>
        <w:t xml:space="preserve">In </w:t>
      </w:r>
      <w:smartTag w:uri="urn:schemas-microsoft-com:office:smarttags" w:element="country-region">
        <w:smartTag w:uri="urn:schemas-microsoft-com:office:smarttags" w:element="place">
          <w:r>
            <w:rPr>
              <w:lang w:eastAsia="en-IE"/>
            </w:rPr>
            <w:t>Scotland</w:t>
          </w:r>
        </w:smartTag>
      </w:smartTag>
      <w:r>
        <w:rPr>
          <w:lang w:eastAsia="en-IE"/>
        </w:rPr>
        <w:t>, regional</w:t>
      </w:r>
      <w:r w:rsidRPr="002028EC">
        <w:rPr>
          <w:lang w:eastAsia="en-IE"/>
        </w:rPr>
        <w:t xml:space="preserve"> </w:t>
      </w:r>
      <w:r>
        <w:rPr>
          <w:bCs/>
          <w:lang w:eastAsia="en-IE"/>
        </w:rPr>
        <w:t xml:space="preserve">NHS </w:t>
      </w:r>
      <w:r w:rsidRPr="002028EC">
        <w:rPr>
          <w:bCs/>
          <w:lang w:eastAsia="en-IE"/>
        </w:rPr>
        <w:t>Boards</w:t>
      </w:r>
      <w:r>
        <w:rPr>
          <w:lang w:eastAsia="en-IE"/>
        </w:rPr>
        <w:t xml:space="preserve"> are responsible for providing and managing the range of health services in their areas including hospitals and primary care. </w:t>
      </w:r>
      <w:r w:rsidRPr="002028EC">
        <w:rPr>
          <w:lang w:eastAsia="en-IE"/>
        </w:rPr>
        <w:t xml:space="preserve">These Boards </w:t>
      </w:r>
      <w:r>
        <w:rPr>
          <w:lang w:eastAsia="en-IE"/>
        </w:rPr>
        <w:t xml:space="preserve">also </w:t>
      </w:r>
      <w:r w:rsidRPr="002028EC">
        <w:rPr>
          <w:lang w:eastAsia="en-IE"/>
        </w:rPr>
        <w:t>provide strategic leadership and performance management for the entire loca</w:t>
      </w:r>
      <w:r>
        <w:rPr>
          <w:lang w:eastAsia="en-IE"/>
        </w:rPr>
        <w:t xml:space="preserve">l NHS system in their areas </w:t>
      </w:r>
      <w:r>
        <w:rPr>
          <w:rStyle w:val="FootnoteReference"/>
          <w:rFonts w:cs="Arial"/>
          <w:lang w:eastAsia="en-IE"/>
        </w:rPr>
        <w:footnoteReference w:id="11"/>
      </w:r>
      <w:r>
        <w:rPr>
          <w:lang w:eastAsia="en-IE"/>
        </w:rPr>
        <w:t>.</w:t>
      </w:r>
      <w:r w:rsidRPr="002028EC">
        <w:rPr>
          <w:lang w:eastAsia="en-IE"/>
        </w:rPr>
        <w:t xml:space="preserve"> </w:t>
      </w:r>
    </w:p>
    <w:p w:rsidR="00E92649" w:rsidRPr="008F4A5D" w:rsidRDefault="00E92649" w:rsidP="00E92649">
      <w:pPr>
        <w:pStyle w:val="FootnoteText"/>
      </w:pPr>
      <w:r>
        <w:rPr>
          <w:rFonts w:cs="Arial"/>
          <w:lang w:eastAsia="en-IE"/>
        </w:rPr>
        <w:t>Th</w:t>
      </w:r>
      <w:r w:rsidR="008A38C4">
        <w:rPr>
          <w:rFonts w:cs="Arial"/>
          <w:lang w:eastAsia="en-IE"/>
        </w:rPr>
        <w:t xml:space="preserve">e 8 Special NHS Boards support </w:t>
      </w:r>
      <w:r>
        <w:rPr>
          <w:rFonts w:cs="Arial"/>
          <w:lang w:eastAsia="en-IE"/>
        </w:rPr>
        <w:t>the 14 NHS boards by providing essential services</w:t>
      </w:r>
      <w:r w:rsidR="0018146F">
        <w:rPr>
          <w:rFonts w:cs="Arial"/>
          <w:lang w:eastAsia="en-IE"/>
        </w:rPr>
        <w:t xml:space="preserve"> such as ambulance services, 24</w:t>
      </w:r>
      <w:r>
        <w:rPr>
          <w:rFonts w:cs="Arial"/>
          <w:lang w:eastAsia="en-IE"/>
        </w:rPr>
        <w:t>–hour telephone access. See Appendix 1 for further information about the services provided by these special NHS Boards.</w:t>
      </w:r>
    </w:p>
    <w:p w:rsidR="00E92649" w:rsidRDefault="00E92649" w:rsidP="00B15C22">
      <w:pPr>
        <w:pStyle w:val="Heading4"/>
      </w:pPr>
      <w:bookmarkStart w:id="35" w:name="_Toc255485452"/>
      <w:bookmarkStart w:id="36" w:name="_Toc267920912"/>
      <w:r>
        <w:t>Community Health Partnerships</w:t>
      </w:r>
      <w:bookmarkEnd w:id="35"/>
      <w:bookmarkEnd w:id="36"/>
    </w:p>
    <w:p w:rsidR="008A38C4" w:rsidRDefault="00E92649" w:rsidP="00E92649">
      <w:pPr>
        <w:autoSpaceDE w:val="0"/>
        <w:autoSpaceDN w:val="0"/>
        <w:adjustRightInd w:val="0"/>
        <w:rPr>
          <w:rFonts w:cs="Arial"/>
        </w:rPr>
      </w:pPr>
      <w:r>
        <w:rPr>
          <w:rFonts w:cs="Arial"/>
        </w:rPr>
        <w:t>In 2004 the Scottish government dissolved the NHS Trusts (which still exist in the English system) and their responsibilities and duties reverted to the NHS Boards</w:t>
      </w:r>
      <w:r>
        <w:rPr>
          <w:rStyle w:val="FootnoteReference"/>
          <w:rFonts w:cs="Arial"/>
        </w:rPr>
        <w:footnoteReference w:id="12"/>
      </w:r>
      <w:r w:rsidR="0000415D">
        <w:rPr>
          <w:rFonts w:cs="Arial"/>
        </w:rPr>
        <w:t xml:space="preserve">. The CHPs </w:t>
      </w:r>
      <w:r w:rsidR="008A38C4">
        <w:rPr>
          <w:rFonts w:cs="Arial"/>
        </w:rPr>
        <w:t>were created by the NHS to:</w:t>
      </w:r>
    </w:p>
    <w:p w:rsidR="008A38C4" w:rsidRDefault="008A38C4" w:rsidP="008A38C4">
      <w:pPr>
        <w:pStyle w:val="ListBullet"/>
      </w:pPr>
      <w:r>
        <w:t>M</w:t>
      </w:r>
      <w:r w:rsidR="00E92649">
        <w:t>anage the primary and com</w:t>
      </w:r>
      <w:r>
        <w:t>munity health services</w:t>
      </w:r>
    </w:p>
    <w:p w:rsidR="008A38C4" w:rsidRDefault="008A38C4" w:rsidP="008A38C4">
      <w:pPr>
        <w:pStyle w:val="ListBullet"/>
      </w:pPr>
      <w:r>
        <w:t>M</w:t>
      </w:r>
      <w:r w:rsidR="00E92649">
        <w:t>odernis</w:t>
      </w:r>
      <w:r>
        <w:t>e the NHS and joint services</w:t>
      </w:r>
      <w:r w:rsidR="00E92649">
        <w:t xml:space="preserve"> </w:t>
      </w:r>
    </w:p>
    <w:p w:rsidR="008A38C4" w:rsidRPr="008A38C4" w:rsidRDefault="008A38C4" w:rsidP="008A38C4">
      <w:pPr>
        <w:pStyle w:val="ListBullet"/>
      </w:pPr>
      <w:r>
        <w:t xml:space="preserve">Play an </w:t>
      </w:r>
      <w:r w:rsidR="00E92649">
        <w:t>important role in partnership, in</w:t>
      </w:r>
      <w:r>
        <w:t>tegration and service redesign</w:t>
      </w:r>
      <w:r w:rsidR="001B6F64">
        <w:t>.</w:t>
      </w:r>
    </w:p>
    <w:p w:rsidR="00E92649" w:rsidRDefault="008A38C4" w:rsidP="00E92649">
      <w:pPr>
        <w:autoSpaceDE w:val="0"/>
        <w:autoSpaceDN w:val="0"/>
        <w:adjustRightInd w:val="0"/>
        <w:rPr>
          <w:rFonts w:cs="Arial"/>
        </w:rPr>
      </w:pPr>
      <w:r>
        <w:rPr>
          <w:rFonts w:cs="Arial"/>
        </w:rPr>
        <w:t xml:space="preserve">The CHPs </w:t>
      </w:r>
      <w:r w:rsidR="00E92649">
        <w:rPr>
          <w:rFonts w:cs="Arial"/>
        </w:rPr>
        <w:t xml:space="preserve">provide a focus for the integration between primary care, specialist services and social care. </w:t>
      </w:r>
      <w:r>
        <w:rPr>
          <w:rFonts w:cs="Arial"/>
        </w:rPr>
        <w:t xml:space="preserve">They are part of the Scottish government's initiative to create </w:t>
      </w:r>
      <w:r w:rsidR="00E92649">
        <w:rPr>
          <w:rFonts w:cs="Arial"/>
        </w:rPr>
        <w:t>a single system to ensure that the health needs of each community is at the core of service planning and delivery</w:t>
      </w:r>
      <w:r w:rsidR="00E92649">
        <w:rPr>
          <w:rStyle w:val="FootnoteReference"/>
          <w:rFonts w:cs="Arial"/>
        </w:rPr>
        <w:footnoteReference w:id="13"/>
      </w:r>
      <w:r w:rsidR="00E92649">
        <w:rPr>
          <w:rFonts w:cs="Arial"/>
        </w:rPr>
        <w:t xml:space="preserve"> </w:t>
      </w:r>
      <w:r w:rsidR="00E92649">
        <w:rPr>
          <w:rStyle w:val="FootnoteReference"/>
          <w:rFonts w:cs="Arial"/>
        </w:rPr>
        <w:footnoteReference w:id="14"/>
      </w:r>
      <w:r w:rsidR="00E92649">
        <w:rPr>
          <w:rFonts w:cs="Arial"/>
        </w:rPr>
        <w:t xml:space="preserve">. </w:t>
      </w:r>
    </w:p>
    <w:p w:rsidR="00B747C5" w:rsidRDefault="00E92649" w:rsidP="00E92649">
      <w:pPr>
        <w:autoSpaceDE w:val="0"/>
        <w:autoSpaceDN w:val="0"/>
        <w:adjustRightInd w:val="0"/>
        <w:rPr>
          <w:rFonts w:cs="Arial"/>
        </w:rPr>
      </w:pPr>
      <w:r>
        <w:rPr>
          <w:rFonts w:cs="Arial"/>
        </w:rPr>
        <w:t xml:space="preserve">This single system ethos is also designed to implement shared aims, common values and clear lines of accountability, in addition to breaking down traditional barriers between primary and acute care. </w:t>
      </w:r>
    </w:p>
    <w:p w:rsidR="00E92649" w:rsidRDefault="00E92649" w:rsidP="00E92649">
      <w:pPr>
        <w:autoSpaceDE w:val="0"/>
        <w:autoSpaceDN w:val="0"/>
        <w:adjustRightInd w:val="0"/>
        <w:rPr>
          <w:rFonts w:cs="Arial"/>
        </w:rPr>
      </w:pPr>
      <w:r>
        <w:rPr>
          <w:rFonts w:cs="Arial"/>
        </w:rPr>
        <w:t xml:space="preserve">To achieve this objective the CHPs work with the 32 local authorities in </w:t>
      </w:r>
      <w:smartTag w:uri="urn:schemas-microsoft-com:office:smarttags" w:element="country-region">
        <w:smartTag w:uri="urn:schemas-microsoft-com:office:smarttags" w:element="place">
          <w:r>
            <w:rPr>
              <w:rFonts w:cs="Arial"/>
            </w:rPr>
            <w:t>Scotland</w:t>
          </w:r>
        </w:smartTag>
      </w:smartTag>
      <w:r>
        <w:rPr>
          <w:rFonts w:cs="Arial"/>
        </w:rPr>
        <w:t>, in addition to members of the voluntary sector, clinical and care teams, the public, patients and carers</w:t>
      </w:r>
      <w:r>
        <w:rPr>
          <w:rStyle w:val="FootnoteReference"/>
          <w:rFonts w:cs="Arial"/>
        </w:rPr>
        <w:footnoteReference w:id="15"/>
      </w:r>
      <w:r>
        <w:rPr>
          <w:rFonts w:cs="Arial"/>
        </w:rPr>
        <w:t>. CHPs influence</w:t>
      </w:r>
      <w:r>
        <w:rPr>
          <w:rFonts w:cs="Arial"/>
          <w:sz w:val="20"/>
          <w:szCs w:val="20"/>
        </w:rPr>
        <w:t xml:space="preserve"> </w:t>
      </w:r>
      <w:r>
        <w:rPr>
          <w:rFonts w:cs="Arial"/>
        </w:rPr>
        <w:t>how NHS boards disseminate their resources</w:t>
      </w:r>
      <w:r>
        <w:rPr>
          <w:rStyle w:val="FootnoteReference"/>
          <w:rFonts w:cs="Arial"/>
        </w:rPr>
        <w:footnoteReference w:id="16"/>
      </w:r>
      <w:r>
        <w:rPr>
          <w:rFonts w:cs="Arial"/>
        </w:rPr>
        <w:t xml:space="preserve">. </w:t>
      </w:r>
    </w:p>
    <w:p w:rsidR="00150B73" w:rsidRDefault="00E92649" w:rsidP="00394B42">
      <w:pPr>
        <w:rPr>
          <w:rFonts w:cs="Arial"/>
          <w:color w:val="000000"/>
          <w:lang w:val="en"/>
        </w:rPr>
      </w:pPr>
      <w:r>
        <w:rPr>
          <w:rFonts w:cs="Arial"/>
        </w:rPr>
        <w:t xml:space="preserve">The establishment of managed clinical networks for a wide range of long-term conditions is seen as an effective means of promoting integration and cross-boundary working with social care integration of these services. The CHPs provide a diverse range of community based health services such as: health visiting, district nursing, speech and language therapy, physiotherapy and providing services for people with mental health issues. These services are </w:t>
      </w:r>
      <w:r>
        <w:rPr>
          <w:rFonts w:cs="Arial"/>
          <w:color w:val="000000"/>
          <w:lang w:val="en"/>
        </w:rPr>
        <w:t>delivered in homes, health centres, clinics and schools, through a co-ordinated set of partners. Staff providing these services to people in their community may work in consultation with dentists, pharmacists and opticians (on UK-based national contracts), to plan and develop services across the CHP area</w:t>
      </w:r>
      <w:r w:rsidR="00394B42">
        <w:rPr>
          <w:rFonts w:cs="Arial"/>
          <w:color w:val="000000"/>
          <w:lang w:val="en"/>
        </w:rPr>
        <w:t xml:space="preserve">. </w:t>
      </w:r>
    </w:p>
    <w:p w:rsidR="00B747C5" w:rsidRDefault="00394B42" w:rsidP="00394B42">
      <w:pPr>
        <w:rPr>
          <w:rFonts w:cs="Arial"/>
          <w:color w:val="000000"/>
          <w:lang w:val="en"/>
        </w:rPr>
        <w:sectPr w:rsidR="00B747C5" w:rsidSect="006B2928">
          <w:pgSz w:w="11906" w:h="16838"/>
          <w:pgMar w:top="1440" w:right="1800" w:bottom="1440" w:left="1800" w:header="708" w:footer="708" w:gutter="0"/>
          <w:cols w:space="720"/>
        </w:sectPr>
      </w:pPr>
      <w:r>
        <w:rPr>
          <w:rFonts w:cs="Arial"/>
          <w:color w:val="000000"/>
          <w:lang w:val="en"/>
        </w:rPr>
        <w:t>CHPs have separate systems for the governance and financial accountability of</w:t>
      </w:r>
      <w:r w:rsidR="008A38C4">
        <w:rPr>
          <w:rFonts w:cs="Arial"/>
          <w:color w:val="000000"/>
          <w:lang w:val="en"/>
        </w:rPr>
        <w:t xml:space="preserve"> services for people with l</w:t>
      </w:r>
      <w:r>
        <w:rPr>
          <w:rFonts w:cs="Arial"/>
          <w:color w:val="000000"/>
          <w:lang w:val="en"/>
        </w:rPr>
        <w:t>earning disabilites, people with mental health difficulties and people with physical disabilities, and the delivery of  these services in each region</w:t>
      </w:r>
      <w:r w:rsidR="00423DC1">
        <w:rPr>
          <w:rStyle w:val="FootnoteReference"/>
          <w:rFonts w:cs="Arial"/>
          <w:color w:val="000000"/>
        </w:rPr>
        <w:footnoteReference w:id="17"/>
      </w:r>
      <w:r>
        <w:rPr>
          <w:rFonts w:cs="Arial"/>
          <w:color w:val="000000"/>
          <w:lang w:val="en"/>
        </w:rPr>
        <w:t xml:space="preserve">. </w:t>
      </w:r>
      <w:r w:rsidR="00200921">
        <w:t>Appendix 2 details the model of service delivery by CHPs.</w:t>
      </w:r>
    </w:p>
    <w:p w:rsidR="00B534D1" w:rsidRPr="0030689D" w:rsidDel="00E93A5E" w:rsidRDefault="00150B73" w:rsidP="00B15C22">
      <w:pPr>
        <w:pStyle w:val="Heading4"/>
        <w:rPr>
          <w:lang w:eastAsia="en-IE"/>
        </w:rPr>
      </w:pPr>
      <w:bookmarkStart w:id="37" w:name="_Toc267920913"/>
      <w:r w:rsidRPr="0030689D">
        <w:rPr>
          <w:lang w:eastAsia="en-IE"/>
        </w:rPr>
        <w:t>Local Authorities</w:t>
      </w:r>
      <w:bookmarkEnd w:id="37"/>
    </w:p>
    <w:p w:rsidR="003F4DC4" w:rsidRDefault="006C7976" w:rsidP="00150B73">
      <w:pPr>
        <w:rPr>
          <w:lang w:eastAsia="en-IE"/>
        </w:rPr>
      </w:pPr>
      <w:r>
        <w:rPr>
          <w:lang w:eastAsia="en-IE"/>
        </w:rPr>
        <w:t xml:space="preserve">Scottish local authorities </w:t>
      </w:r>
      <w:r w:rsidR="0090325B" w:rsidRPr="00B76538">
        <w:rPr>
          <w:lang w:eastAsia="en-IE"/>
        </w:rPr>
        <w:t xml:space="preserve">provide a range of services </w:t>
      </w:r>
      <w:r w:rsidR="0090325B">
        <w:rPr>
          <w:lang w:eastAsia="en-IE"/>
        </w:rPr>
        <w:t xml:space="preserve">relevant </w:t>
      </w:r>
      <w:r w:rsidR="0090325B" w:rsidRPr="00B76538">
        <w:rPr>
          <w:lang w:eastAsia="en-IE"/>
        </w:rPr>
        <w:t>to people with disabil</w:t>
      </w:r>
      <w:r w:rsidR="0090325B">
        <w:rPr>
          <w:lang w:eastAsia="en-IE"/>
        </w:rPr>
        <w:t>i</w:t>
      </w:r>
      <w:r w:rsidR="0090325B" w:rsidRPr="00B76538">
        <w:rPr>
          <w:lang w:eastAsia="en-IE"/>
        </w:rPr>
        <w:t>ties</w:t>
      </w:r>
      <w:r w:rsidR="0090325B">
        <w:rPr>
          <w:lang w:eastAsia="en-IE"/>
        </w:rPr>
        <w:t xml:space="preserve">, including education, social work, leisure and recreation activities. </w:t>
      </w:r>
      <w:r>
        <w:rPr>
          <w:lang w:eastAsia="en-IE"/>
        </w:rPr>
        <w:t xml:space="preserve"> </w:t>
      </w:r>
      <w:r w:rsidR="003F4DC4">
        <w:rPr>
          <w:lang w:eastAsia="en-IE"/>
        </w:rPr>
        <w:t xml:space="preserve">The </w:t>
      </w:r>
      <w:r w:rsidR="00376FFD">
        <w:rPr>
          <w:lang w:eastAsia="en-IE"/>
        </w:rPr>
        <w:t xml:space="preserve">Scottish government has recognised the </w:t>
      </w:r>
      <w:r w:rsidR="003F4DC4">
        <w:rPr>
          <w:lang w:eastAsia="en-IE"/>
        </w:rPr>
        <w:t>strategic role of local authorities in assisting the</w:t>
      </w:r>
      <w:r w:rsidR="00376FFD">
        <w:rPr>
          <w:lang w:eastAsia="en-IE"/>
        </w:rPr>
        <w:t xml:space="preserve">m in achieving their national goals. </w:t>
      </w:r>
    </w:p>
    <w:p w:rsidR="00376FFD" w:rsidRDefault="00376FFD" w:rsidP="00376FFD">
      <w:pPr>
        <w:autoSpaceDE w:val="0"/>
        <w:autoSpaceDN w:val="0"/>
        <w:adjustRightInd w:val="0"/>
        <w:spacing w:after="0" w:line="240" w:lineRule="auto"/>
      </w:pPr>
      <w:r>
        <w:t>In</w:t>
      </w:r>
      <w:r w:rsidR="003F2A13">
        <w:t xml:space="preserve"> 2007, the Scottish government </w:t>
      </w:r>
      <w:r>
        <w:t xml:space="preserve">implemented the </w:t>
      </w:r>
      <w:r>
        <w:rPr>
          <w:rFonts w:ascii="ArialMT" w:hAnsi="ArialMT" w:cs="ArialMT"/>
          <w:lang w:eastAsia="en-IE"/>
        </w:rPr>
        <w:t xml:space="preserve">National Performance Framework. This Framework has 15 National Outcomes to make </w:t>
      </w:r>
      <w:smartTag w:uri="urn:schemas-microsoft-com:office:smarttags" w:element="country-region">
        <w:smartTag w:uri="urn:schemas-microsoft-com:office:smarttags" w:element="place">
          <w:r>
            <w:rPr>
              <w:rFonts w:ascii="ArialMT" w:hAnsi="ArialMT" w:cs="ArialMT"/>
              <w:lang w:eastAsia="en-IE"/>
            </w:rPr>
            <w:t>Scotland</w:t>
          </w:r>
        </w:smartTag>
      </w:smartTag>
      <w:r>
        <w:rPr>
          <w:rFonts w:ascii="ArialMT" w:hAnsi="ArialMT" w:cs="ArialMT"/>
          <w:lang w:eastAsia="en-IE"/>
        </w:rPr>
        <w:t xml:space="preserve"> a 'wealthier, fairer, smarter, healthier, safer, stronger and greener country'</w:t>
      </w:r>
      <w:r>
        <w:rPr>
          <w:rStyle w:val="FootnoteReference"/>
          <w:rFonts w:cs="ArialMT"/>
        </w:rPr>
        <w:footnoteReference w:id="18"/>
      </w:r>
      <w:r>
        <w:rPr>
          <w:rFonts w:ascii="ArialMT" w:hAnsi="ArialMT" w:cs="ArialMT"/>
          <w:lang w:eastAsia="en-IE"/>
        </w:rPr>
        <w:t>.</w:t>
      </w:r>
    </w:p>
    <w:p w:rsidR="00512F86" w:rsidRDefault="00376FFD" w:rsidP="00376FFD">
      <w:pPr>
        <w:autoSpaceDE w:val="0"/>
        <w:autoSpaceDN w:val="0"/>
        <w:adjustRightInd w:val="0"/>
        <w:spacing w:after="0" w:line="240" w:lineRule="auto"/>
        <w:rPr>
          <w:rFonts w:ascii="ArialMT" w:hAnsi="ArialMT" w:cs="ArialMT"/>
          <w:lang w:eastAsia="en-IE"/>
        </w:rPr>
      </w:pPr>
      <w:r>
        <w:rPr>
          <w:rFonts w:ascii="ArialMT" w:hAnsi="ArialMT" w:cs="ArialMT"/>
          <w:lang w:eastAsia="en-IE"/>
        </w:rPr>
        <w:t>The Scottish government recognised that achieving these national outcomes was not possible unless progress was made at a local level via local authorities</w:t>
      </w:r>
      <w:r>
        <w:rPr>
          <w:rStyle w:val="FootnoteReference"/>
          <w:rFonts w:cs="ArialMT"/>
        </w:rPr>
        <w:footnoteReference w:id="19"/>
      </w:r>
      <w:r w:rsidRPr="00E351F7">
        <w:rPr>
          <w:rFonts w:ascii="ArialMT" w:hAnsi="ArialMT" w:cs="ArialMT"/>
          <w:lang w:eastAsia="en-IE"/>
        </w:rPr>
        <w:t>.</w:t>
      </w:r>
    </w:p>
    <w:p w:rsidR="00537B73" w:rsidRDefault="00537B73" w:rsidP="00376FFD">
      <w:pPr>
        <w:autoSpaceDE w:val="0"/>
        <w:autoSpaceDN w:val="0"/>
        <w:adjustRightInd w:val="0"/>
        <w:spacing w:after="0" w:line="240" w:lineRule="auto"/>
        <w:rPr>
          <w:rFonts w:ascii="ArialMT" w:hAnsi="ArialMT" w:cs="ArialMT"/>
          <w:lang w:eastAsia="en-IE"/>
        </w:rPr>
      </w:pPr>
    </w:p>
    <w:p w:rsidR="003F2A13" w:rsidRDefault="003F2A13" w:rsidP="003F2A13">
      <w:pPr>
        <w:autoSpaceDE w:val="0"/>
        <w:autoSpaceDN w:val="0"/>
        <w:adjustRightInd w:val="0"/>
        <w:spacing w:after="0" w:line="240" w:lineRule="auto"/>
        <w:rPr>
          <w:rFonts w:ascii="ArialMT" w:hAnsi="ArialMT" w:cs="ArialMT"/>
          <w:lang w:eastAsia="en-IE"/>
        </w:rPr>
      </w:pPr>
      <w:r>
        <w:rPr>
          <w:rFonts w:ascii="ArialMT" w:hAnsi="ArialMT" w:cs="ArialMT"/>
          <w:lang w:eastAsia="en-IE"/>
        </w:rPr>
        <w:t>To empower the position of local authorities the Scottish government and the  Convention of Scottish Local Authorities (COSLA) agreed a concordat in 2007. Under this concordat:</w:t>
      </w:r>
    </w:p>
    <w:p w:rsidR="003F2A13" w:rsidRPr="002A6514" w:rsidRDefault="003F2A13" w:rsidP="002A6514">
      <w:pPr>
        <w:pStyle w:val="ListBullet"/>
        <w:rPr>
          <w:lang w:eastAsia="en-IE"/>
        </w:rPr>
      </w:pPr>
      <w:r w:rsidRPr="002A6514">
        <w:rPr>
          <w:lang w:eastAsia="en-IE"/>
        </w:rPr>
        <w:t>The Scottish government sets policy direction and the local authorities carry out service provisi</w:t>
      </w:r>
      <w:r w:rsidR="00821B9B">
        <w:rPr>
          <w:lang w:eastAsia="en-IE"/>
        </w:rPr>
        <w:t>on</w:t>
      </w:r>
    </w:p>
    <w:p w:rsidR="00821B9B" w:rsidRDefault="003F2A13" w:rsidP="002A6514">
      <w:pPr>
        <w:pStyle w:val="ListBullet"/>
        <w:rPr>
          <w:lang w:eastAsia="en-IE"/>
        </w:rPr>
      </w:pPr>
      <w:r w:rsidRPr="002A6514">
        <w:rPr>
          <w:lang w:eastAsia="en-IE"/>
        </w:rPr>
        <w:t xml:space="preserve">The </w:t>
      </w:r>
      <w:r w:rsidR="00821B9B">
        <w:rPr>
          <w:lang w:eastAsia="en-IE"/>
        </w:rPr>
        <w:t>Scottish government ended its practice of ring fencing funding to local authorities. Local authorities now have complete independence and flexibility regarding how they allocate funding to local projects that they and their partners have agreed are priorities that fit with the National Outcomes</w:t>
      </w:r>
    </w:p>
    <w:p w:rsidR="003F2A13" w:rsidRDefault="003F2A13" w:rsidP="002A6514">
      <w:pPr>
        <w:pStyle w:val="ListBullet"/>
        <w:rPr>
          <w:lang w:eastAsia="en-IE"/>
        </w:rPr>
      </w:pPr>
      <w:r w:rsidRPr="002A6514">
        <w:rPr>
          <w:lang w:eastAsia="en-IE"/>
        </w:rPr>
        <w:t xml:space="preserve">Each local authority </w:t>
      </w:r>
      <w:r w:rsidR="002A6514" w:rsidRPr="002A6514">
        <w:rPr>
          <w:lang w:eastAsia="en-IE"/>
        </w:rPr>
        <w:t xml:space="preserve">through their Community Planning Partnerships  </w:t>
      </w:r>
      <w:r w:rsidRPr="002A6514">
        <w:rPr>
          <w:lang w:eastAsia="en-IE"/>
        </w:rPr>
        <w:t xml:space="preserve">developed a Single Outcome Agreement </w:t>
      </w:r>
      <w:r w:rsidR="002A6514" w:rsidRPr="002A6514">
        <w:rPr>
          <w:lang w:eastAsia="en-IE"/>
        </w:rPr>
        <w:t>(SOA) with the Scottish government</w:t>
      </w:r>
      <w:r w:rsidR="002A6514">
        <w:rPr>
          <w:rStyle w:val="FootnoteReference"/>
        </w:rPr>
        <w:footnoteReference w:id="20"/>
      </w:r>
      <w:r w:rsidR="002A6514" w:rsidRPr="002A6514">
        <w:rPr>
          <w:lang w:eastAsia="en-IE"/>
        </w:rPr>
        <w:t xml:space="preserve"> </w:t>
      </w:r>
      <w:r w:rsidRPr="002A6514">
        <w:rPr>
          <w:lang w:eastAsia="en-IE"/>
        </w:rPr>
        <w:t xml:space="preserve">  </w:t>
      </w:r>
    </w:p>
    <w:p w:rsidR="003F2A13" w:rsidRPr="00C7681B" w:rsidRDefault="00DB07CB" w:rsidP="00C7681B">
      <w:pPr>
        <w:rPr>
          <w:lang w:eastAsia="en-IE"/>
        </w:rPr>
      </w:pPr>
      <w:r>
        <w:rPr>
          <w:lang w:eastAsia="en-IE"/>
        </w:rPr>
        <w:t xml:space="preserve">Community Planning Partnerships are partnerships between local authorities and organisations such as </w:t>
      </w:r>
      <w:r>
        <w:t xml:space="preserve">Job Centre Plus, Health Boards, education institutions, and businesses/enterprise networks. The objective of the CPPs  is to bring different interests together and to involve communities in dealing with issues such as poverty and health inequalities. They provide the link between local authorities and other agencies in aligning national priorities with local priorities. There is no information about the number of CPPs in operation in </w:t>
      </w:r>
      <w:smartTag w:uri="urn:schemas-microsoft-com:office:smarttags" w:element="country-region">
        <w:smartTag w:uri="urn:schemas-microsoft-com:office:smarttags" w:element="place">
          <w:r>
            <w:t>Scotland</w:t>
          </w:r>
        </w:smartTag>
      </w:smartTag>
      <w:r>
        <w:t xml:space="preserve"> but they operate in all 32 local authority areas</w:t>
      </w:r>
      <w:r>
        <w:rPr>
          <w:rStyle w:val="FootnoteReference"/>
        </w:rPr>
        <w:footnoteReference w:id="21"/>
      </w:r>
      <w:r>
        <w:t xml:space="preserve">.  </w:t>
      </w:r>
    </w:p>
    <w:p w:rsidR="00537B73" w:rsidRDefault="00537B73" w:rsidP="002A6514">
      <w:pPr>
        <w:autoSpaceDE w:val="0"/>
        <w:autoSpaceDN w:val="0"/>
        <w:adjustRightInd w:val="0"/>
        <w:spacing w:after="0" w:line="240" w:lineRule="auto"/>
        <w:rPr>
          <w:rFonts w:ascii="ArialMT" w:hAnsi="ArialMT" w:cs="ArialMT"/>
          <w:lang w:eastAsia="en-IE"/>
        </w:rPr>
        <w:sectPr w:rsidR="00537B73">
          <w:footerReference w:type="even" r:id="rId10"/>
          <w:footerReference w:type="default" r:id="rId11"/>
          <w:pgSz w:w="11906" w:h="16838"/>
          <w:pgMar w:top="1440" w:right="1800" w:bottom="1440" w:left="1800" w:header="708" w:footer="708" w:gutter="0"/>
          <w:cols w:space="720"/>
        </w:sectPr>
      </w:pPr>
    </w:p>
    <w:p w:rsidR="00512F86" w:rsidRDefault="002A6514" w:rsidP="002A6514">
      <w:pPr>
        <w:autoSpaceDE w:val="0"/>
        <w:autoSpaceDN w:val="0"/>
        <w:adjustRightInd w:val="0"/>
        <w:spacing w:after="0" w:line="240" w:lineRule="auto"/>
        <w:rPr>
          <w:rFonts w:ascii="ArialMT" w:hAnsi="ArialMT" w:cs="ArialMT"/>
          <w:lang w:eastAsia="en-IE"/>
        </w:rPr>
      </w:pPr>
      <w:r>
        <w:rPr>
          <w:rFonts w:ascii="ArialMT" w:hAnsi="ArialMT" w:cs="ArialMT"/>
          <w:lang w:eastAsia="en-IE"/>
        </w:rPr>
        <w:t>A</w:t>
      </w:r>
      <w:r w:rsidR="00A32266">
        <w:rPr>
          <w:rFonts w:ascii="ArialMT" w:hAnsi="ArialMT" w:cs="ArialMT"/>
          <w:lang w:eastAsia="en-IE"/>
        </w:rPr>
        <w:t>n SOA</w:t>
      </w:r>
      <w:r>
        <w:rPr>
          <w:rFonts w:ascii="ArialMT" w:hAnsi="ArialMT" w:cs="ArialMT"/>
          <w:lang w:eastAsia="en-IE"/>
        </w:rPr>
        <w:t xml:space="preserve"> is defined as:</w:t>
      </w:r>
    </w:p>
    <w:p w:rsidR="00512F86" w:rsidRDefault="00537B73" w:rsidP="002A6514">
      <w:pPr>
        <w:autoSpaceDE w:val="0"/>
        <w:autoSpaceDN w:val="0"/>
        <w:adjustRightInd w:val="0"/>
        <w:spacing w:after="0" w:line="240" w:lineRule="auto"/>
        <w:rPr>
          <w:rFonts w:ascii="ArialMT" w:hAnsi="ArialMT" w:cs="ArialMT"/>
          <w:lang w:eastAsia="en-IE"/>
        </w:rPr>
      </w:pPr>
      <w:r>
        <w:tab/>
        <w:t>"T</w:t>
      </w:r>
      <w:r w:rsidR="002A6514" w:rsidRPr="00537B73">
        <w:t xml:space="preserve">he means by which CPPs agree their strategic priorities for their local </w:t>
      </w:r>
      <w:r>
        <w:tab/>
      </w:r>
      <w:r w:rsidR="002A6514" w:rsidRPr="00537B73">
        <w:t xml:space="preserve">area and express those priorities as outcomes to be delivered by the </w:t>
      </w:r>
      <w:r>
        <w:tab/>
      </w:r>
      <w:r w:rsidR="002A6514" w:rsidRPr="00537B73">
        <w:t xml:space="preserve">partners, either individually or jointly, while showing how those </w:t>
      </w:r>
      <w:r>
        <w:tab/>
      </w:r>
      <w:r w:rsidR="002A6514" w:rsidRPr="00537B73">
        <w:t xml:space="preserve">outcomes should contribute to the Scottish Government's relevant </w:t>
      </w:r>
      <w:r>
        <w:tab/>
      </w:r>
      <w:r w:rsidR="002A6514" w:rsidRPr="00537B73">
        <w:t>National Outcomes</w:t>
      </w:r>
      <w:r w:rsidR="002A6514">
        <w:rPr>
          <w:rStyle w:val="FootnoteReference"/>
          <w:rFonts w:cs="ArialMT"/>
        </w:rPr>
        <w:footnoteReference w:id="22"/>
      </w:r>
      <w:r>
        <w:t>"</w:t>
      </w:r>
      <w:r w:rsidR="002A6514" w:rsidRPr="00E351F7">
        <w:rPr>
          <w:rFonts w:ascii="ArialMT" w:hAnsi="ArialMT" w:cs="ArialMT"/>
          <w:lang w:eastAsia="en-IE"/>
        </w:rPr>
        <w:t>.</w:t>
      </w:r>
    </w:p>
    <w:p w:rsidR="00537B73" w:rsidRDefault="00537B73" w:rsidP="002A6514">
      <w:pPr>
        <w:autoSpaceDE w:val="0"/>
        <w:autoSpaceDN w:val="0"/>
        <w:adjustRightInd w:val="0"/>
        <w:spacing w:after="0" w:line="240" w:lineRule="auto"/>
        <w:rPr>
          <w:rFonts w:ascii="ArialMT" w:hAnsi="ArialMT" w:cs="ArialMT"/>
          <w:lang w:eastAsia="en-IE"/>
        </w:rPr>
      </w:pPr>
    </w:p>
    <w:p w:rsidR="0045664D" w:rsidRDefault="00A32266" w:rsidP="004C40A5">
      <w:r>
        <w:rPr>
          <w:lang w:eastAsia="en-IE"/>
        </w:rPr>
        <w:t xml:space="preserve">Local authorities play a facilitation role in the CPP, but all partners have to sign an SOA. </w:t>
      </w:r>
    </w:p>
    <w:p w:rsidR="006B2928" w:rsidRDefault="00B15C22" w:rsidP="006B2928">
      <w:pPr>
        <w:pStyle w:val="Heading2"/>
      </w:pPr>
      <w:bookmarkStart w:id="38" w:name="_Toc269478434"/>
      <w:bookmarkStart w:id="39" w:name="_Toc279136902"/>
      <w:r>
        <w:t>3.2 Governmental Strategy on D</w:t>
      </w:r>
      <w:r w:rsidR="001A05DA">
        <w:t xml:space="preserve">isability in </w:t>
      </w:r>
      <w:smartTag w:uri="urn:schemas-microsoft-com:office:smarttags" w:element="country-region">
        <w:smartTag w:uri="urn:schemas-microsoft-com:office:smarttags" w:element="place">
          <w:r w:rsidR="001A05DA">
            <w:t>Scotland</w:t>
          </w:r>
        </w:smartTag>
      </w:smartTag>
      <w:bookmarkEnd w:id="38"/>
      <w:bookmarkEnd w:id="39"/>
    </w:p>
    <w:p w:rsidR="00505D12" w:rsidRDefault="000E39ED" w:rsidP="00505D12">
      <w:bookmarkStart w:id="40" w:name="_Toc267920919"/>
      <w:smartTag w:uri="urn:schemas-microsoft-com:office:smarttags" w:element="country-region">
        <w:smartTag w:uri="urn:schemas-microsoft-com:office:smarttags" w:element="place">
          <w:r>
            <w:t>Scotland</w:t>
          </w:r>
        </w:smartTag>
      </w:smartTag>
      <w:r>
        <w:t>'s Disability Equality Scheme 2008-2011</w:t>
      </w:r>
      <w:r w:rsidR="000853D8">
        <w:t xml:space="preserve"> s</w:t>
      </w:r>
      <w:r w:rsidR="00D853B6">
        <w:t xml:space="preserve">ets out </w:t>
      </w:r>
      <w:r w:rsidR="000853D8">
        <w:t>the government's legislative and strategic commitment to  mainstreaming i.e. embedding disability equality across all of the government departments</w:t>
      </w:r>
      <w:r w:rsidR="000853D8">
        <w:rPr>
          <w:rStyle w:val="FootnoteReference"/>
        </w:rPr>
        <w:footnoteReference w:id="23"/>
      </w:r>
      <w:r w:rsidR="000853D8">
        <w:t>.</w:t>
      </w:r>
      <w:r w:rsidR="00BA7D05">
        <w:t xml:space="preserve"> </w:t>
      </w:r>
      <w:bookmarkStart w:id="41" w:name="_Toc267920920"/>
    </w:p>
    <w:p w:rsidR="00BA7D05" w:rsidRDefault="00BA7D05" w:rsidP="00BA7D05">
      <w:pPr>
        <w:pStyle w:val="Heading3"/>
      </w:pPr>
      <w:bookmarkStart w:id="42" w:name="_Toc279136903"/>
      <w:r>
        <w:t>Access to services</w:t>
      </w:r>
      <w:bookmarkEnd w:id="41"/>
      <w:bookmarkEnd w:id="42"/>
      <w:r w:rsidRPr="00A2791C">
        <w:rPr>
          <w:rFonts w:cs="Arial,Italic"/>
          <w:iCs/>
          <w:lang w:eastAsia="en-IE"/>
        </w:rPr>
        <w:t xml:space="preserve"> </w:t>
      </w:r>
    </w:p>
    <w:p w:rsidR="00BA7D05" w:rsidRPr="00530584" w:rsidRDefault="00BA7D05" w:rsidP="00BA7D05">
      <w:pPr>
        <w:rPr>
          <w:rFonts w:cs="Arial"/>
          <w:lang w:eastAsia="en-IE"/>
        </w:rPr>
      </w:pPr>
      <w:r w:rsidRPr="00530584">
        <w:rPr>
          <w:rFonts w:cs="Arial"/>
          <w:lang w:eastAsia="en-IE"/>
        </w:rPr>
        <w:t xml:space="preserve">The Scottish government has published </w:t>
      </w:r>
      <w:r w:rsidRPr="00D17EAB">
        <w:rPr>
          <w:rFonts w:cs="Arial"/>
          <w:lang w:eastAsia="en-IE"/>
        </w:rPr>
        <w:t xml:space="preserve">a range of guidance </w:t>
      </w:r>
      <w:r w:rsidRPr="00530584">
        <w:rPr>
          <w:rFonts w:cs="Arial"/>
          <w:lang w:eastAsia="en-IE"/>
        </w:rPr>
        <w:t xml:space="preserve">i.e. </w:t>
      </w:r>
      <w:r w:rsidRPr="00530584">
        <w:rPr>
          <w:rFonts w:cs="Arial,Italic"/>
          <w:b/>
          <w:iCs/>
          <w:lang w:eastAsia="en-IE"/>
        </w:rPr>
        <w:t>Good practice: Equality for disabled people in the</w:t>
      </w:r>
      <w:r w:rsidRPr="00530584">
        <w:rPr>
          <w:rFonts w:cs="Arial"/>
          <w:b/>
          <w:lang w:eastAsia="en-IE"/>
        </w:rPr>
        <w:t xml:space="preserve"> </w:t>
      </w:r>
      <w:r w:rsidRPr="00530584">
        <w:rPr>
          <w:rFonts w:cs="Arial,Italic"/>
          <w:b/>
          <w:iCs/>
          <w:lang w:eastAsia="en-IE"/>
        </w:rPr>
        <w:t>NHSi</w:t>
      </w:r>
      <w:r w:rsidRPr="00530584">
        <w:rPr>
          <w:rFonts w:cs="Arial"/>
          <w:b/>
          <w:lang w:eastAsia="en-IE"/>
        </w:rPr>
        <w:t xml:space="preserve">S: </w:t>
      </w:r>
      <w:r w:rsidRPr="00530584">
        <w:rPr>
          <w:rFonts w:cs="Arial,Italic"/>
          <w:b/>
          <w:iCs/>
          <w:lang w:eastAsia="en-IE"/>
        </w:rPr>
        <w:t>access to services (1999)</w:t>
      </w:r>
      <w:r>
        <w:rPr>
          <w:rFonts w:cs="Arial"/>
        </w:rPr>
        <w:t xml:space="preserve">, the </w:t>
      </w:r>
      <w:r w:rsidRPr="00A2791C">
        <w:rPr>
          <w:rFonts w:ascii="Arial Bold" w:hAnsi="Arial Bold" w:cs="Arial"/>
          <w:b/>
        </w:rPr>
        <w:t>Partnership for Care White Paper (2003)</w:t>
      </w:r>
      <w:r>
        <w:rPr>
          <w:rFonts w:cs="Arial"/>
        </w:rPr>
        <w:t xml:space="preserve"> </w:t>
      </w:r>
      <w:r w:rsidRPr="00D17EAB">
        <w:rPr>
          <w:rFonts w:cs="Arial"/>
        </w:rPr>
        <w:t xml:space="preserve">to support </w:t>
      </w:r>
      <w:r w:rsidRPr="00530584">
        <w:rPr>
          <w:rFonts w:cs="Arial"/>
          <w:lang w:eastAsia="en-IE"/>
        </w:rPr>
        <w:t>healthcare providers</w:t>
      </w:r>
      <w:r>
        <w:rPr>
          <w:rFonts w:cs="Arial"/>
          <w:lang w:eastAsia="en-IE"/>
        </w:rPr>
        <w:t xml:space="preserve"> and local authorities in making</w:t>
      </w:r>
      <w:r w:rsidRPr="00530584">
        <w:rPr>
          <w:rFonts w:cs="Arial"/>
          <w:lang w:eastAsia="en-IE"/>
        </w:rPr>
        <w:t xml:space="preserve"> their services more accessible to people with disabilities.</w:t>
      </w:r>
    </w:p>
    <w:p w:rsidR="00BA7D05" w:rsidRPr="00530584" w:rsidRDefault="00BA7D05" w:rsidP="00BA7D05">
      <w:pPr>
        <w:autoSpaceDE w:val="0"/>
        <w:autoSpaceDN w:val="0"/>
        <w:adjustRightInd w:val="0"/>
        <w:rPr>
          <w:rFonts w:cs="Arial"/>
          <w:lang w:eastAsia="en-IE"/>
        </w:rPr>
      </w:pPr>
      <w:r w:rsidRPr="00530584">
        <w:rPr>
          <w:rFonts w:cs="Arial"/>
          <w:lang w:eastAsia="en-IE"/>
        </w:rPr>
        <w:t xml:space="preserve">The </w:t>
      </w:r>
      <w:r w:rsidRPr="00530584">
        <w:rPr>
          <w:rFonts w:cs="Arial,Italic"/>
          <w:b/>
          <w:iCs/>
          <w:lang w:eastAsia="en-IE"/>
        </w:rPr>
        <w:t>Better Health and Better Care Action Plan (2007)</w:t>
      </w:r>
      <w:r>
        <w:rPr>
          <w:rFonts w:cs="Arial"/>
          <w:lang w:eastAsia="en-IE"/>
        </w:rPr>
        <w:t xml:space="preserve"> reported </w:t>
      </w:r>
      <w:r w:rsidRPr="00530584">
        <w:rPr>
          <w:rFonts w:cs="Arial"/>
          <w:lang w:eastAsia="en-IE"/>
        </w:rPr>
        <w:t>that many health boards had incorporated best</w:t>
      </w:r>
      <w:r>
        <w:rPr>
          <w:rFonts w:cs="Arial"/>
          <w:lang w:eastAsia="en-IE"/>
        </w:rPr>
        <w:t xml:space="preserve"> practice guidelines to ensure </w:t>
      </w:r>
      <w:r w:rsidRPr="00530584">
        <w:rPr>
          <w:rFonts w:cs="Arial"/>
          <w:lang w:eastAsia="en-IE"/>
        </w:rPr>
        <w:t>that their service were more accessible to people with disabilities:</w:t>
      </w:r>
    </w:p>
    <w:p w:rsidR="00BA7D05" w:rsidRPr="00530584" w:rsidRDefault="00BA7D05" w:rsidP="00BA7D05">
      <w:pPr>
        <w:numPr>
          <w:ilvl w:val="0"/>
          <w:numId w:val="30"/>
        </w:numPr>
        <w:spacing w:after="0" w:line="240" w:lineRule="auto"/>
        <w:rPr>
          <w:rFonts w:cs="Arial"/>
          <w:lang w:eastAsia="en-IE"/>
        </w:rPr>
      </w:pPr>
      <w:r w:rsidRPr="00530584">
        <w:rPr>
          <w:rFonts w:cs="Arial"/>
          <w:lang w:eastAsia="en-IE"/>
        </w:rPr>
        <w:t>The appointment of specialist staff, local health promotion strategies and research projects on health issues for peo</w:t>
      </w:r>
      <w:r>
        <w:rPr>
          <w:rFonts w:cs="Arial"/>
          <w:lang w:eastAsia="en-IE"/>
        </w:rPr>
        <w:t>ple with learning disabilities</w:t>
      </w:r>
    </w:p>
    <w:p w:rsidR="00BA7D05" w:rsidRDefault="00BA7D05" w:rsidP="00BA7D05">
      <w:pPr>
        <w:numPr>
          <w:ilvl w:val="0"/>
          <w:numId w:val="30"/>
        </w:numPr>
        <w:spacing w:after="0" w:line="240" w:lineRule="auto"/>
        <w:rPr>
          <w:rFonts w:cs="Arial"/>
          <w:lang w:eastAsia="en-IE"/>
        </w:rPr>
      </w:pPr>
      <w:r w:rsidRPr="00530584">
        <w:rPr>
          <w:rFonts w:cs="Arial"/>
          <w:lang w:eastAsia="en-IE"/>
        </w:rPr>
        <w:t>Staff in health boards and local authorities received training in disability awareness to improve the services pr</w:t>
      </w:r>
      <w:r>
        <w:rPr>
          <w:rFonts w:cs="Arial"/>
          <w:lang w:eastAsia="en-IE"/>
        </w:rPr>
        <w:t>ovided to people with disabiliti</w:t>
      </w:r>
      <w:r w:rsidRPr="00530584">
        <w:rPr>
          <w:rFonts w:cs="Arial"/>
          <w:lang w:eastAsia="en-IE"/>
        </w:rPr>
        <w:t>es</w:t>
      </w:r>
      <w:r w:rsidRPr="00530584">
        <w:rPr>
          <w:rStyle w:val="FootnoteReference"/>
          <w:rFonts w:cs="Arial"/>
          <w:lang w:eastAsia="en-IE"/>
        </w:rPr>
        <w:footnoteReference w:id="24"/>
      </w:r>
    </w:p>
    <w:p w:rsidR="00BA7D05" w:rsidRDefault="00BA7D05" w:rsidP="00BA7D05">
      <w:pPr>
        <w:numPr>
          <w:ilvl w:val="0"/>
          <w:numId w:val="30"/>
        </w:numPr>
        <w:spacing w:after="0" w:line="240" w:lineRule="auto"/>
        <w:rPr>
          <w:rFonts w:cs="Arial"/>
          <w:lang w:eastAsia="en-IE"/>
        </w:rPr>
      </w:pPr>
      <w:r w:rsidRPr="00530584">
        <w:rPr>
          <w:rFonts w:cs="Arial"/>
          <w:lang w:eastAsia="en-IE"/>
        </w:rPr>
        <w:t xml:space="preserve">A small number of e-learning initiatives aimed at reaching large numbers of NHS staff in remote areas such as NHS Borders and </w:t>
      </w:r>
      <w:smartTag w:uri="urn:schemas-microsoft-com:office:smarttags" w:element="place">
        <w:smartTag w:uri="urn:schemas-microsoft-com:office:smarttags" w:element="PlaceName">
          <w:r w:rsidRPr="00530584">
            <w:rPr>
              <w:rFonts w:cs="Arial"/>
              <w:lang w:eastAsia="en-IE"/>
            </w:rPr>
            <w:t>NHS</w:t>
          </w:r>
        </w:smartTag>
        <w:r w:rsidRPr="00530584">
          <w:rPr>
            <w:rFonts w:cs="Arial"/>
            <w:lang w:eastAsia="en-IE"/>
          </w:rPr>
          <w:t xml:space="preserve"> </w:t>
        </w:r>
        <w:smartTag w:uri="urn:schemas-microsoft-com:office:smarttags" w:element="PlaceType">
          <w:r w:rsidRPr="00530584">
            <w:rPr>
              <w:rFonts w:cs="Arial"/>
              <w:lang w:eastAsia="en-IE"/>
            </w:rPr>
            <w:t>Highlands</w:t>
          </w:r>
        </w:smartTag>
      </w:smartTag>
    </w:p>
    <w:p w:rsidR="00BA7D05" w:rsidRPr="00E54E3F" w:rsidRDefault="00BA7D05" w:rsidP="00BA7D05">
      <w:pPr>
        <w:rPr>
          <w:iCs/>
          <w:lang w:eastAsia="en-IE"/>
        </w:rPr>
      </w:pPr>
      <w:r>
        <w:rPr>
          <w:sz w:val="20"/>
          <w:szCs w:val="20"/>
          <w:lang w:eastAsia="en-IE"/>
        </w:rPr>
        <w:t xml:space="preserve">                                                                                                                                                      </w:t>
      </w:r>
      <w:r>
        <w:rPr>
          <w:lang w:eastAsia="en-IE"/>
        </w:rPr>
        <w:t>This report also contained proposals for</w:t>
      </w:r>
      <w:r w:rsidRPr="00530584">
        <w:rPr>
          <w:lang w:eastAsia="en-IE"/>
        </w:rPr>
        <w:t xml:space="preserve"> the health system to</w:t>
      </w:r>
      <w:r>
        <w:rPr>
          <w:lang w:eastAsia="en-IE"/>
        </w:rPr>
        <w:t>:</w:t>
      </w:r>
    </w:p>
    <w:p w:rsidR="00BA7D05" w:rsidRDefault="00BA7D05" w:rsidP="00BA7D05">
      <w:pPr>
        <w:pStyle w:val="ListBullet"/>
        <w:rPr>
          <w:lang w:eastAsia="en-IE"/>
        </w:rPr>
      </w:pPr>
      <w:r>
        <w:rPr>
          <w:lang w:eastAsia="en-IE"/>
        </w:rPr>
        <w:t>E</w:t>
      </w:r>
      <w:r w:rsidRPr="00530584">
        <w:rPr>
          <w:lang w:eastAsia="en-IE"/>
        </w:rPr>
        <w:t>nable people with disabilities to book more convenient and longer appointment times</w:t>
      </w:r>
    </w:p>
    <w:p w:rsidR="00BA7D05" w:rsidRDefault="00BA7D05" w:rsidP="00BA7D05">
      <w:pPr>
        <w:pStyle w:val="ListBullet"/>
        <w:rPr>
          <w:lang w:eastAsia="en-IE"/>
        </w:rPr>
      </w:pPr>
      <w:r>
        <w:rPr>
          <w:lang w:eastAsia="en-IE"/>
        </w:rPr>
        <w:t>Pr</w:t>
      </w:r>
      <w:r w:rsidRPr="00530584">
        <w:rPr>
          <w:lang w:eastAsia="en-IE"/>
        </w:rPr>
        <w:t>ovide written summaries of consultations and interventions in accessible formats in addition to advocacy and communication supports</w:t>
      </w:r>
      <w:r w:rsidRPr="00530584">
        <w:rPr>
          <w:rStyle w:val="FootnoteReference"/>
          <w:rFonts w:cs="Arial"/>
          <w:lang w:eastAsia="en-IE"/>
        </w:rPr>
        <w:footnoteReference w:id="25"/>
      </w:r>
    </w:p>
    <w:p w:rsidR="00BA7D05" w:rsidRDefault="00BA7D05" w:rsidP="00BA7D05">
      <w:pPr>
        <w:spacing w:after="0" w:line="240" w:lineRule="auto"/>
        <w:rPr>
          <w:rFonts w:cs="Arial"/>
          <w:lang w:eastAsia="en-IE"/>
        </w:rPr>
      </w:pPr>
      <w:r w:rsidRPr="00530584">
        <w:rPr>
          <w:rFonts w:cs="Arial"/>
          <w:lang w:eastAsia="en-IE"/>
        </w:rPr>
        <w:t xml:space="preserve">This report also stated that while some progress had </w:t>
      </w:r>
      <w:r>
        <w:rPr>
          <w:rFonts w:cs="Arial"/>
          <w:lang w:eastAsia="en-IE"/>
        </w:rPr>
        <w:t xml:space="preserve">been </w:t>
      </w:r>
      <w:r w:rsidRPr="00530584">
        <w:rPr>
          <w:rFonts w:cs="Arial"/>
          <w:lang w:eastAsia="en-IE"/>
        </w:rPr>
        <w:t>ma</w:t>
      </w:r>
      <w:r>
        <w:rPr>
          <w:rFonts w:cs="Arial"/>
          <w:lang w:eastAsia="en-IE"/>
        </w:rPr>
        <w:t>de, people with disabilitie</w:t>
      </w:r>
      <w:r w:rsidRPr="00530584">
        <w:rPr>
          <w:rFonts w:cs="Arial"/>
          <w:lang w:eastAsia="en-IE"/>
        </w:rPr>
        <w:t xml:space="preserve">s still experienced inequalities in terms of accessing and using </w:t>
      </w:r>
      <w:smartTag w:uri="urn:schemas-microsoft-com:office:smarttags" w:element="country-region">
        <w:smartTag w:uri="urn:schemas-microsoft-com:office:smarttags" w:element="place">
          <w:r w:rsidRPr="00530584">
            <w:rPr>
              <w:rFonts w:cs="Arial"/>
              <w:lang w:eastAsia="en-IE"/>
            </w:rPr>
            <w:t>Scotland</w:t>
          </w:r>
        </w:smartTag>
      </w:smartTag>
      <w:r w:rsidRPr="00530584">
        <w:rPr>
          <w:rFonts w:cs="Arial"/>
          <w:lang w:eastAsia="en-IE"/>
        </w:rPr>
        <w:t xml:space="preserve">’s health care system. </w:t>
      </w:r>
    </w:p>
    <w:p w:rsidR="00BA7D05" w:rsidRDefault="00BA7D05" w:rsidP="00BA7D05">
      <w:pPr>
        <w:spacing w:after="0" w:line="240" w:lineRule="auto"/>
        <w:rPr>
          <w:lang w:eastAsia="en-IE"/>
        </w:rPr>
      </w:pPr>
    </w:p>
    <w:p w:rsidR="00927090" w:rsidRPr="0053233C" w:rsidRDefault="00BA7D05" w:rsidP="0053233C">
      <w:pPr>
        <w:spacing w:after="0" w:line="240" w:lineRule="auto"/>
        <w:rPr>
          <w:rFonts w:cs="Arial"/>
          <w:lang w:eastAsia="en-IE"/>
        </w:rPr>
      </w:pPr>
      <w:r>
        <w:rPr>
          <w:lang w:eastAsia="en-IE"/>
        </w:rPr>
        <w:t xml:space="preserve">Recent policy work such as the Scottish government's </w:t>
      </w:r>
      <w:r w:rsidRPr="00662ED0">
        <w:rPr>
          <w:b/>
          <w:lang w:eastAsia="en-IE"/>
        </w:rPr>
        <w:t>Equally Well Implementation Plan (2008)</w:t>
      </w:r>
      <w:r>
        <w:rPr>
          <w:rStyle w:val="FootnoteReference"/>
          <w:rFonts w:cs="Arial"/>
          <w:lang w:eastAsia="en-IE"/>
        </w:rPr>
        <w:footnoteReference w:id="26"/>
      </w:r>
      <w:r>
        <w:rPr>
          <w:lang w:eastAsia="en-IE"/>
        </w:rPr>
        <w:t xml:space="preserve"> states that providing people with disabilities with access to education and training that will enhance their employment opportunities is one way to counteract </w:t>
      </w:r>
      <w:r w:rsidR="00A42FD4">
        <w:rPr>
          <w:lang w:eastAsia="en-IE"/>
        </w:rPr>
        <w:t xml:space="preserve">what are perceived to be </w:t>
      </w:r>
      <w:r>
        <w:rPr>
          <w:lang w:eastAsia="en-IE"/>
        </w:rPr>
        <w:t>inequities in the Scottish health care system. The Scottish government has created the Employability Learning Network</w:t>
      </w:r>
      <w:r>
        <w:rPr>
          <w:rStyle w:val="FootnoteReference"/>
          <w:rFonts w:cs="Arial"/>
          <w:lang w:eastAsia="en-IE"/>
        </w:rPr>
        <w:footnoteReference w:id="27"/>
      </w:r>
      <w:r>
        <w:rPr>
          <w:lang w:eastAsia="en-IE"/>
        </w:rPr>
        <w:t xml:space="preserve"> aimed at partners in local employability networks, NHS Boards </w:t>
      </w:r>
      <w:r w:rsidRPr="00D17EAB">
        <w:rPr>
          <w:lang w:eastAsia="en-IE"/>
        </w:rPr>
        <w:t>Community Health Partnerships</w:t>
      </w:r>
      <w:r>
        <w:rPr>
          <w:lang w:eastAsia="en-IE"/>
        </w:rPr>
        <w:t xml:space="preserve"> (CHPs), and local authorities to support  education opportunities for people with disabilities.</w:t>
      </w:r>
    </w:p>
    <w:p w:rsidR="006B2928" w:rsidRPr="00C03001" w:rsidRDefault="006B2928" w:rsidP="006B2928">
      <w:pPr>
        <w:pStyle w:val="Heading3"/>
        <w:rPr>
          <w:lang w:val="en-GB"/>
        </w:rPr>
      </w:pPr>
      <w:bookmarkStart w:id="43" w:name="_Toc279136904"/>
      <w:r>
        <w:t>Policy</w:t>
      </w:r>
      <w:r w:rsidR="00BB0B4E">
        <w:t xml:space="preserve"> for People with Learning </w:t>
      </w:r>
      <w:r w:rsidR="00080A61">
        <w:t>Disabilities</w:t>
      </w:r>
      <w:bookmarkEnd w:id="40"/>
      <w:bookmarkEnd w:id="43"/>
    </w:p>
    <w:p w:rsidR="006B2928" w:rsidRPr="00944418" w:rsidRDefault="006B2928" w:rsidP="006B2928">
      <w:pPr>
        <w:rPr>
          <w:rFonts w:cs="Arial"/>
        </w:rPr>
      </w:pPr>
      <w:r>
        <w:rPr>
          <w:rFonts w:cs="Arial"/>
        </w:rPr>
        <w:t xml:space="preserve">The Scottish government has placed significant focus on </w:t>
      </w:r>
      <w:r w:rsidR="00A45841">
        <w:rPr>
          <w:rFonts w:cs="Arial"/>
        </w:rPr>
        <w:t xml:space="preserve">enhancing </w:t>
      </w:r>
      <w:r w:rsidR="00080A61">
        <w:rPr>
          <w:rFonts w:cs="Arial"/>
        </w:rPr>
        <w:t>service</w:t>
      </w:r>
      <w:r w:rsidR="00A45841">
        <w:rPr>
          <w:rFonts w:cs="Arial"/>
        </w:rPr>
        <w:t xml:space="preserve"> provision for people with </w:t>
      </w:r>
      <w:r w:rsidR="007C5A7B">
        <w:rPr>
          <w:rFonts w:cs="Arial"/>
        </w:rPr>
        <w:t>learning</w:t>
      </w:r>
      <w:r>
        <w:rPr>
          <w:rFonts w:cs="Arial"/>
        </w:rPr>
        <w:t xml:space="preserve"> disabilities. </w:t>
      </w:r>
      <w:r w:rsidR="00E932D9">
        <w:rPr>
          <w:rFonts w:cs="Arial"/>
        </w:rPr>
        <w:t>In 2000,the Ministry of Community Care</w:t>
      </w:r>
      <w:r w:rsidR="00D17EAB" w:rsidRPr="00D17EAB">
        <w:rPr>
          <w:rFonts w:cs="Arial"/>
        </w:rPr>
        <w:t xml:space="preserve"> undertook an evaluati</w:t>
      </w:r>
      <w:r w:rsidR="00D17EAB">
        <w:rPr>
          <w:rFonts w:cs="Arial"/>
        </w:rPr>
        <w:t xml:space="preserve">on </w:t>
      </w:r>
      <w:r w:rsidR="0030388C">
        <w:rPr>
          <w:rFonts w:cs="Arial"/>
        </w:rPr>
        <w:t xml:space="preserve">of </w:t>
      </w:r>
      <w:r w:rsidR="00C43D76">
        <w:rPr>
          <w:rFonts w:cs="Arial"/>
        </w:rPr>
        <w:t xml:space="preserve">a broad range of </w:t>
      </w:r>
      <w:r w:rsidR="0030388C">
        <w:rPr>
          <w:rFonts w:cs="Arial"/>
        </w:rPr>
        <w:t>services</w:t>
      </w:r>
      <w:r w:rsidR="00D17EAB" w:rsidRPr="00D17EAB">
        <w:rPr>
          <w:rFonts w:cs="Arial"/>
        </w:rPr>
        <w:t xml:space="preserve"> for p</w:t>
      </w:r>
      <w:r w:rsidR="0030388C">
        <w:rPr>
          <w:rFonts w:cs="Arial"/>
        </w:rPr>
        <w:t xml:space="preserve">eople with </w:t>
      </w:r>
      <w:r w:rsidR="00BB0B4E">
        <w:rPr>
          <w:rFonts w:cs="Arial"/>
        </w:rPr>
        <w:t xml:space="preserve">learning </w:t>
      </w:r>
      <w:r w:rsidR="00D17EAB" w:rsidRPr="00D17EAB">
        <w:rPr>
          <w:rFonts w:cs="Arial"/>
        </w:rPr>
        <w:t>disabilities</w:t>
      </w:r>
      <w:r w:rsidR="00C43D76">
        <w:rPr>
          <w:rFonts w:cs="Arial"/>
        </w:rPr>
        <w:t xml:space="preserve"> that incorporated transportation, education, employment and health</w:t>
      </w:r>
      <w:r w:rsidR="00A92CA3">
        <w:rPr>
          <w:rStyle w:val="FootnoteReference"/>
          <w:rFonts w:cs="Arial"/>
        </w:rPr>
        <w:footnoteReference w:id="28"/>
      </w:r>
      <w:r w:rsidR="00C43D76">
        <w:rPr>
          <w:rFonts w:cs="Arial"/>
        </w:rPr>
        <w:t xml:space="preserve">. The Ministry of Community Care </w:t>
      </w:r>
      <w:r w:rsidR="00D17EAB" w:rsidRPr="00D17EAB">
        <w:rPr>
          <w:rFonts w:cs="Arial"/>
        </w:rPr>
        <w:t xml:space="preserve">published </w:t>
      </w:r>
      <w:r w:rsidR="008F6427">
        <w:rPr>
          <w:rFonts w:cs="Arial"/>
        </w:rPr>
        <w:t>the</w:t>
      </w:r>
      <w:r w:rsidR="00D17EAB" w:rsidRPr="00D17EAB">
        <w:rPr>
          <w:rFonts w:cs="Arial"/>
        </w:rPr>
        <w:t xml:space="preserve"> findings in </w:t>
      </w:r>
      <w:r w:rsidR="00D17EAB" w:rsidRPr="00D278FA">
        <w:rPr>
          <w:rFonts w:cs="Arial"/>
          <w:b/>
        </w:rPr>
        <w:t>The Same as You</w:t>
      </w:r>
      <w:r w:rsidR="00D17EAB" w:rsidRPr="00D17EAB">
        <w:rPr>
          <w:rFonts w:cs="Arial"/>
        </w:rPr>
        <w:t>?</w:t>
      </w:r>
      <w:r w:rsidR="00D17EAB">
        <w:rPr>
          <w:rFonts w:cs="Arial"/>
        </w:rPr>
        <w:t xml:space="preserve"> </w:t>
      </w:r>
      <w:r>
        <w:rPr>
          <w:rFonts w:cs="Arial"/>
        </w:rPr>
        <w:t>From this report 29 recommendatio</w:t>
      </w:r>
      <w:r w:rsidR="00DB3935">
        <w:rPr>
          <w:rFonts w:cs="Arial"/>
        </w:rPr>
        <w:t>ns we</w:t>
      </w:r>
      <w:r w:rsidR="007C5A7B">
        <w:rPr>
          <w:rFonts w:cs="Arial"/>
        </w:rPr>
        <w:t xml:space="preserve">re made to develop </w:t>
      </w:r>
      <w:r w:rsidR="00505D12">
        <w:rPr>
          <w:rFonts w:cs="Arial"/>
        </w:rPr>
        <w:t xml:space="preserve">a </w:t>
      </w:r>
      <w:r w:rsidR="00DB3935">
        <w:rPr>
          <w:rFonts w:cs="Arial"/>
        </w:rPr>
        <w:t>learning</w:t>
      </w:r>
      <w:r>
        <w:rPr>
          <w:rFonts w:cs="Arial"/>
        </w:rPr>
        <w:t xml:space="preserve"> disability services through a programme of change over a ten year period</w:t>
      </w:r>
      <w:r>
        <w:rPr>
          <w:rStyle w:val="FootnoteReference"/>
          <w:rFonts w:cs="Arial"/>
        </w:rPr>
        <w:footnoteReference w:id="29"/>
      </w:r>
      <w:r>
        <w:rPr>
          <w:rFonts w:cs="Arial"/>
        </w:rPr>
        <w:t xml:space="preserve">. </w:t>
      </w:r>
      <w:r w:rsidR="00D17EAB" w:rsidRPr="00D17EAB">
        <w:rPr>
          <w:rFonts w:cs="Arial"/>
        </w:rPr>
        <w:t xml:space="preserve">In addition a review of </w:t>
      </w:r>
      <w:r w:rsidR="00944418">
        <w:rPr>
          <w:rFonts w:cs="Arial"/>
        </w:rPr>
        <w:t xml:space="preserve">the </w:t>
      </w:r>
      <w:r w:rsidR="00D17EAB" w:rsidRPr="00D17EAB">
        <w:rPr>
          <w:rFonts w:cs="Arial"/>
        </w:rPr>
        <w:t>imple</w:t>
      </w:r>
      <w:r w:rsidR="00E932D9">
        <w:rPr>
          <w:rFonts w:cs="Arial"/>
        </w:rPr>
        <w:t>mentation of</w:t>
      </w:r>
      <w:r w:rsidR="004A14A2">
        <w:rPr>
          <w:rFonts w:cs="Arial"/>
        </w:rPr>
        <w:t xml:space="preserve"> </w:t>
      </w:r>
      <w:r w:rsidR="00D17EAB" w:rsidRPr="00D17EAB">
        <w:rPr>
          <w:rFonts w:cs="Arial"/>
        </w:rPr>
        <w:t>th</w:t>
      </w:r>
      <w:r w:rsidR="00D17EAB">
        <w:rPr>
          <w:rFonts w:cs="Arial"/>
        </w:rPr>
        <w:t>e</w:t>
      </w:r>
      <w:r w:rsidR="00D17EAB" w:rsidRPr="00D17EAB">
        <w:rPr>
          <w:rFonts w:cs="Arial"/>
        </w:rPr>
        <w:t xml:space="preserve"> recommendati</w:t>
      </w:r>
      <w:r w:rsidR="00944418">
        <w:rPr>
          <w:rFonts w:cs="Arial"/>
        </w:rPr>
        <w:t>ons</w:t>
      </w:r>
      <w:r w:rsidR="004A14A2">
        <w:rPr>
          <w:rFonts w:cs="Arial"/>
        </w:rPr>
        <w:t xml:space="preserve"> </w:t>
      </w:r>
      <w:r w:rsidR="00944418">
        <w:rPr>
          <w:rFonts w:cs="Arial"/>
        </w:rPr>
        <w:t xml:space="preserve">of </w:t>
      </w:r>
      <w:r w:rsidR="00944418" w:rsidRPr="00944418">
        <w:rPr>
          <w:rFonts w:cs="Arial"/>
          <w:b/>
        </w:rPr>
        <w:t>T</w:t>
      </w:r>
      <w:r w:rsidR="00DB3935" w:rsidRPr="00944418">
        <w:rPr>
          <w:rFonts w:cs="Arial"/>
          <w:b/>
        </w:rPr>
        <w:t>he Same as You (2007)</w:t>
      </w:r>
      <w:r w:rsidR="00DB3935">
        <w:rPr>
          <w:rFonts w:cs="Arial"/>
        </w:rPr>
        <w:t xml:space="preserve"> </w:t>
      </w:r>
      <w:r w:rsidR="00D17EAB" w:rsidRPr="00D17EAB">
        <w:rPr>
          <w:rFonts w:cs="Arial"/>
        </w:rPr>
        <w:t>reported that</w:t>
      </w:r>
      <w:r w:rsidR="00D17EAB">
        <w:rPr>
          <w:rFonts w:cs="Arial"/>
        </w:rPr>
        <w:t>:</w:t>
      </w:r>
      <w:r w:rsidR="00D17EAB" w:rsidRPr="00D17EAB">
        <w:rPr>
          <w:rFonts w:cs="Arial"/>
        </w:rPr>
        <w:t xml:space="preserve"> </w:t>
      </w:r>
    </w:p>
    <w:p w:rsidR="006B2928" w:rsidRDefault="006B2928" w:rsidP="00D17EAB">
      <w:pPr>
        <w:pStyle w:val="ListBullet"/>
        <w:rPr>
          <w:lang w:eastAsia="en-IE"/>
        </w:rPr>
      </w:pPr>
      <w:r>
        <w:rPr>
          <w:lang w:eastAsia="en-IE"/>
        </w:rPr>
        <w:t>The number of people with learning disabilities resident in long stay hospitals</w:t>
      </w:r>
      <w:r w:rsidR="004A4EB9">
        <w:rPr>
          <w:rStyle w:val="FootnoteReference"/>
          <w:lang w:eastAsia="en-IE"/>
        </w:rPr>
        <w:footnoteReference w:id="30"/>
      </w:r>
      <w:r>
        <w:rPr>
          <w:lang w:eastAsia="en-IE"/>
        </w:rPr>
        <w:t xml:space="preserve"> decreased by over 80% fr</w:t>
      </w:r>
      <w:r w:rsidR="00D17EAB">
        <w:rPr>
          <w:lang w:eastAsia="en-IE"/>
        </w:rPr>
        <w:t>om 1,800 in 2000 to 350 in 2007</w:t>
      </w:r>
    </w:p>
    <w:p w:rsidR="006B2928" w:rsidRDefault="000E675A" w:rsidP="006B2928">
      <w:pPr>
        <w:pStyle w:val="ListBullet"/>
        <w:rPr>
          <w:lang w:eastAsia="en-IE"/>
        </w:rPr>
      </w:pPr>
      <w:r>
        <w:rPr>
          <w:lang w:eastAsia="en-IE"/>
        </w:rPr>
        <w:t xml:space="preserve">In 2007, approximately 30% </w:t>
      </w:r>
      <w:r w:rsidR="006B2928">
        <w:rPr>
          <w:lang w:eastAsia="en-IE"/>
        </w:rPr>
        <w:t>of 23,000 people with learning disabilities known to the authorities live</w:t>
      </w:r>
      <w:r w:rsidR="00D17EAB">
        <w:rPr>
          <w:lang w:eastAsia="en-IE"/>
        </w:rPr>
        <w:t>d</w:t>
      </w:r>
      <w:r w:rsidR="000375FD">
        <w:rPr>
          <w:lang w:eastAsia="en-IE"/>
        </w:rPr>
        <w:t xml:space="preserve"> in their own tenancies</w:t>
      </w:r>
    </w:p>
    <w:p w:rsidR="006B2928" w:rsidRDefault="006B2928" w:rsidP="006B2928">
      <w:pPr>
        <w:pStyle w:val="ListBullet"/>
        <w:rPr>
          <w:lang w:eastAsia="en-IE"/>
        </w:rPr>
      </w:pPr>
      <w:r>
        <w:rPr>
          <w:lang w:eastAsia="en-IE"/>
        </w:rPr>
        <w:t>An estimated 32% had a Personal Life Plan</w:t>
      </w:r>
      <w:r>
        <w:rPr>
          <w:rStyle w:val="FootnoteReference"/>
          <w:lang w:eastAsia="en-IE"/>
        </w:rPr>
        <w:footnoteReference w:id="31"/>
      </w:r>
    </w:p>
    <w:p w:rsidR="002104F6" w:rsidRDefault="00505D12" w:rsidP="006B2928">
      <w:pPr>
        <w:rPr>
          <w:lang w:eastAsia="en-IE"/>
        </w:rPr>
      </w:pPr>
      <w:r>
        <w:rPr>
          <w:lang w:eastAsia="en-IE"/>
        </w:rPr>
        <w:t>Table</w:t>
      </w:r>
      <w:r w:rsidR="002104F6">
        <w:rPr>
          <w:lang w:eastAsia="en-IE"/>
        </w:rPr>
        <w:t xml:space="preserve"> 4</w:t>
      </w:r>
      <w:r>
        <w:rPr>
          <w:lang w:eastAsia="en-IE"/>
        </w:rPr>
        <w:t xml:space="preserve"> </w:t>
      </w:r>
      <w:r w:rsidR="006B2928">
        <w:rPr>
          <w:lang w:eastAsia="en-IE"/>
        </w:rPr>
        <w:t xml:space="preserve"> below provides a more detailed breakdown of the age group of adults with learning disabilities in 2008.</w:t>
      </w:r>
    </w:p>
    <w:p w:rsidR="002104F6" w:rsidRPr="0071261C" w:rsidRDefault="002104F6" w:rsidP="002104F6">
      <w:pPr>
        <w:pStyle w:val="TableTitle"/>
        <w:rPr>
          <w:rFonts w:cs="Arial"/>
          <w:bCs/>
          <w:lang w:eastAsia="en-IE"/>
        </w:rPr>
      </w:pPr>
      <w:r>
        <w:rPr>
          <w:rFonts w:cs="Arial"/>
          <w:bCs/>
          <w:lang w:eastAsia="en-IE"/>
        </w:rPr>
        <w:t>Table 4. Adults with learning disabilities known to Local Authorities, 2008</w:t>
      </w:r>
      <w:r>
        <w:rPr>
          <w:rStyle w:val="FootnoteReference"/>
          <w:rFonts w:cs="Arial"/>
          <w:b w:val="0"/>
          <w:bCs/>
          <w:lang w:eastAsia="en-IE"/>
        </w:rPr>
        <w:footnoteReference w:id="32"/>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130"/>
        <w:gridCol w:w="2130"/>
        <w:gridCol w:w="2131"/>
        <w:gridCol w:w="2131"/>
      </w:tblGrid>
      <w:tr w:rsidR="002104F6" w:rsidRPr="0071261C">
        <w:tblPrEx>
          <w:tblCellMar>
            <w:top w:w="0" w:type="dxa"/>
            <w:bottom w:w="0" w:type="dxa"/>
          </w:tblCellMar>
        </w:tblPrEx>
        <w:trPr>
          <w:tblHeader/>
        </w:trPr>
        <w:tc>
          <w:tcPr>
            <w:tcW w:w="2130" w:type="dxa"/>
            <w:tcBorders>
              <w:bottom w:val="single" w:sz="12" w:space="0" w:color="000000"/>
            </w:tcBorders>
            <w:shd w:val="clear" w:color="auto" w:fill="auto"/>
          </w:tcPr>
          <w:p w:rsidR="002104F6" w:rsidRPr="0071261C" w:rsidRDefault="002104F6" w:rsidP="001C6C99">
            <w:pPr>
              <w:pStyle w:val="TableHead"/>
              <w:jc w:val="right"/>
              <w:rPr>
                <w:sz w:val="20"/>
                <w:szCs w:val="20"/>
              </w:rPr>
            </w:pPr>
            <w:r w:rsidRPr="0071261C">
              <w:rPr>
                <w:sz w:val="20"/>
                <w:szCs w:val="20"/>
              </w:rPr>
              <w:t>No. of adults</w:t>
            </w:r>
          </w:p>
        </w:tc>
        <w:tc>
          <w:tcPr>
            <w:tcW w:w="2130" w:type="dxa"/>
            <w:tcBorders>
              <w:bottom w:val="single" w:sz="12" w:space="0" w:color="000000"/>
            </w:tcBorders>
            <w:shd w:val="clear" w:color="auto" w:fill="auto"/>
          </w:tcPr>
          <w:p w:rsidR="002104F6" w:rsidRPr="0071261C" w:rsidRDefault="002104F6" w:rsidP="001C6C99">
            <w:pPr>
              <w:pStyle w:val="TableHead"/>
              <w:jc w:val="right"/>
              <w:rPr>
                <w:sz w:val="20"/>
                <w:szCs w:val="20"/>
              </w:rPr>
            </w:pPr>
            <w:r>
              <w:rPr>
                <w:sz w:val="20"/>
                <w:szCs w:val="20"/>
              </w:rPr>
              <w:t>Total</w:t>
            </w:r>
          </w:p>
        </w:tc>
        <w:tc>
          <w:tcPr>
            <w:tcW w:w="2131" w:type="dxa"/>
            <w:tcBorders>
              <w:bottom w:val="single" w:sz="12" w:space="0" w:color="000000"/>
            </w:tcBorders>
            <w:shd w:val="clear" w:color="auto" w:fill="auto"/>
          </w:tcPr>
          <w:p w:rsidR="002104F6" w:rsidRPr="0071261C" w:rsidRDefault="002104F6" w:rsidP="001C6C99">
            <w:pPr>
              <w:pStyle w:val="TableHead"/>
              <w:jc w:val="right"/>
              <w:rPr>
                <w:sz w:val="20"/>
                <w:szCs w:val="20"/>
              </w:rPr>
            </w:pPr>
            <w:r>
              <w:rPr>
                <w:sz w:val="20"/>
                <w:szCs w:val="20"/>
              </w:rPr>
              <w:t>%of total</w:t>
            </w:r>
          </w:p>
        </w:tc>
        <w:tc>
          <w:tcPr>
            <w:tcW w:w="2131" w:type="dxa"/>
            <w:tcBorders>
              <w:bottom w:val="single" w:sz="12" w:space="0" w:color="000000"/>
            </w:tcBorders>
            <w:shd w:val="clear" w:color="auto" w:fill="auto"/>
          </w:tcPr>
          <w:p w:rsidR="002104F6" w:rsidRPr="0071261C" w:rsidRDefault="002104F6" w:rsidP="001C6C99">
            <w:pPr>
              <w:pStyle w:val="TableHead"/>
              <w:jc w:val="right"/>
              <w:rPr>
                <w:sz w:val="20"/>
                <w:szCs w:val="20"/>
              </w:rPr>
            </w:pPr>
            <w:r>
              <w:rPr>
                <w:sz w:val="20"/>
                <w:szCs w:val="20"/>
              </w:rPr>
              <w:t>Rate per 1,000 population</w:t>
            </w:r>
          </w:p>
        </w:tc>
      </w:tr>
      <w:tr w:rsidR="002104F6" w:rsidRPr="0071261C">
        <w:tblPrEx>
          <w:tblCellMar>
            <w:top w:w="0" w:type="dxa"/>
            <w:bottom w:w="0" w:type="dxa"/>
          </w:tblCellMar>
        </w:tblPrEx>
        <w:tc>
          <w:tcPr>
            <w:tcW w:w="2130" w:type="dxa"/>
            <w:tcBorders>
              <w:top w:val="single" w:sz="12" w:space="0" w:color="000000"/>
            </w:tcBorders>
            <w:shd w:val="clear" w:color="auto" w:fill="auto"/>
          </w:tcPr>
          <w:p w:rsidR="002104F6" w:rsidRPr="0071261C" w:rsidRDefault="002104F6" w:rsidP="001C6C99">
            <w:pPr>
              <w:pStyle w:val="TableRowHead"/>
              <w:rPr>
                <w:sz w:val="20"/>
                <w:szCs w:val="20"/>
              </w:rPr>
            </w:pPr>
            <w:r w:rsidRPr="0071261C">
              <w:rPr>
                <w:sz w:val="20"/>
                <w:szCs w:val="20"/>
              </w:rPr>
              <w:t>16 &amp; 17 Not at sc</w:t>
            </w:r>
            <w:r>
              <w:rPr>
                <w:sz w:val="20"/>
                <w:szCs w:val="20"/>
              </w:rPr>
              <w:t>hool</w:t>
            </w:r>
          </w:p>
        </w:tc>
        <w:tc>
          <w:tcPr>
            <w:tcW w:w="2130" w:type="dxa"/>
            <w:tcBorders>
              <w:top w:val="single" w:sz="12" w:space="0" w:color="000000"/>
            </w:tcBorders>
            <w:shd w:val="clear" w:color="auto" w:fill="auto"/>
          </w:tcPr>
          <w:p w:rsidR="002104F6" w:rsidRPr="0071261C" w:rsidRDefault="002104F6" w:rsidP="001C6C99">
            <w:pPr>
              <w:pStyle w:val="TableCell"/>
              <w:jc w:val="right"/>
              <w:rPr>
                <w:sz w:val="20"/>
                <w:szCs w:val="20"/>
              </w:rPr>
            </w:pPr>
            <w:r>
              <w:rPr>
                <w:sz w:val="20"/>
                <w:szCs w:val="20"/>
              </w:rPr>
              <w:t>700</w:t>
            </w:r>
          </w:p>
        </w:tc>
        <w:tc>
          <w:tcPr>
            <w:tcW w:w="2131" w:type="dxa"/>
            <w:tcBorders>
              <w:top w:val="single" w:sz="12" w:space="0" w:color="000000"/>
            </w:tcBorders>
            <w:shd w:val="clear" w:color="auto" w:fill="auto"/>
          </w:tcPr>
          <w:p w:rsidR="002104F6" w:rsidRPr="0071261C" w:rsidRDefault="002104F6" w:rsidP="001C6C99">
            <w:pPr>
              <w:pStyle w:val="TableCell"/>
              <w:jc w:val="right"/>
              <w:rPr>
                <w:sz w:val="20"/>
                <w:szCs w:val="20"/>
              </w:rPr>
            </w:pPr>
            <w:r>
              <w:rPr>
                <w:sz w:val="20"/>
                <w:szCs w:val="20"/>
              </w:rPr>
              <w:t>2%</w:t>
            </w:r>
          </w:p>
        </w:tc>
        <w:tc>
          <w:tcPr>
            <w:tcW w:w="2131" w:type="dxa"/>
            <w:tcBorders>
              <w:top w:val="single" w:sz="12" w:space="0" w:color="000000"/>
            </w:tcBorders>
            <w:shd w:val="clear" w:color="auto" w:fill="auto"/>
          </w:tcPr>
          <w:p w:rsidR="002104F6" w:rsidRPr="0071261C" w:rsidRDefault="002104F6" w:rsidP="001C6C99">
            <w:pPr>
              <w:pStyle w:val="TableCell"/>
              <w:jc w:val="right"/>
              <w:rPr>
                <w:sz w:val="20"/>
                <w:szCs w:val="20"/>
              </w:rPr>
            </w:pPr>
            <w:r>
              <w:rPr>
                <w:sz w:val="20"/>
                <w:szCs w:val="20"/>
              </w:rPr>
              <w:t>5.3</w:t>
            </w:r>
          </w:p>
        </w:tc>
      </w:tr>
      <w:tr w:rsidR="002104F6" w:rsidRPr="0071261C">
        <w:tblPrEx>
          <w:tblCellMar>
            <w:top w:w="0" w:type="dxa"/>
            <w:bottom w:w="0" w:type="dxa"/>
          </w:tblCellMar>
        </w:tblPrEx>
        <w:tc>
          <w:tcPr>
            <w:tcW w:w="2130" w:type="dxa"/>
            <w:shd w:val="clear" w:color="auto" w:fill="auto"/>
          </w:tcPr>
          <w:p w:rsidR="002104F6" w:rsidRPr="0071261C" w:rsidRDefault="002104F6" w:rsidP="001C6C99">
            <w:pPr>
              <w:pStyle w:val="TableRowHead"/>
              <w:rPr>
                <w:sz w:val="20"/>
                <w:szCs w:val="20"/>
              </w:rPr>
            </w:pPr>
            <w:r>
              <w:rPr>
                <w:sz w:val="20"/>
                <w:szCs w:val="20"/>
              </w:rPr>
              <w:t>18-20</w:t>
            </w:r>
          </w:p>
        </w:tc>
        <w:tc>
          <w:tcPr>
            <w:tcW w:w="2130" w:type="dxa"/>
            <w:shd w:val="clear" w:color="auto" w:fill="auto"/>
          </w:tcPr>
          <w:p w:rsidR="002104F6" w:rsidRPr="0071261C" w:rsidRDefault="002104F6" w:rsidP="001C6C99">
            <w:pPr>
              <w:pStyle w:val="TableCell"/>
              <w:jc w:val="right"/>
              <w:rPr>
                <w:sz w:val="20"/>
                <w:szCs w:val="20"/>
              </w:rPr>
            </w:pPr>
            <w:r>
              <w:rPr>
                <w:sz w:val="20"/>
                <w:szCs w:val="20"/>
              </w:rPr>
              <w:t>2,000</w:t>
            </w:r>
          </w:p>
        </w:tc>
        <w:tc>
          <w:tcPr>
            <w:tcW w:w="2131" w:type="dxa"/>
            <w:shd w:val="clear" w:color="auto" w:fill="auto"/>
          </w:tcPr>
          <w:p w:rsidR="002104F6" w:rsidRPr="0071261C" w:rsidRDefault="002104F6" w:rsidP="001C6C99">
            <w:pPr>
              <w:pStyle w:val="TableCell"/>
              <w:jc w:val="right"/>
              <w:rPr>
                <w:sz w:val="20"/>
                <w:szCs w:val="20"/>
              </w:rPr>
            </w:pPr>
            <w:r>
              <w:rPr>
                <w:sz w:val="20"/>
                <w:szCs w:val="20"/>
              </w:rPr>
              <w:t>8%</w:t>
            </w:r>
          </w:p>
        </w:tc>
        <w:tc>
          <w:tcPr>
            <w:tcW w:w="2131" w:type="dxa"/>
            <w:shd w:val="clear" w:color="auto" w:fill="auto"/>
          </w:tcPr>
          <w:p w:rsidR="002104F6" w:rsidRPr="0071261C" w:rsidRDefault="002104F6" w:rsidP="001C6C99">
            <w:pPr>
              <w:pStyle w:val="TableCell"/>
              <w:jc w:val="right"/>
              <w:rPr>
                <w:sz w:val="20"/>
                <w:szCs w:val="20"/>
              </w:rPr>
            </w:pPr>
            <w:r>
              <w:rPr>
                <w:sz w:val="20"/>
                <w:szCs w:val="20"/>
              </w:rPr>
              <w:t>9.9</w:t>
            </w:r>
          </w:p>
        </w:tc>
      </w:tr>
      <w:tr w:rsidR="002104F6" w:rsidRPr="0071261C">
        <w:tblPrEx>
          <w:tblCellMar>
            <w:top w:w="0" w:type="dxa"/>
            <w:bottom w:w="0" w:type="dxa"/>
          </w:tblCellMar>
        </w:tblPrEx>
        <w:tc>
          <w:tcPr>
            <w:tcW w:w="2130" w:type="dxa"/>
            <w:shd w:val="clear" w:color="auto" w:fill="auto"/>
          </w:tcPr>
          <w:p w:rsidR="002104F6" w:rsidRPr="0071261C" w:rsidRDefault="002104F6" w:rsidP="001C6C99">
            <w:pPr>
              <w:pStyle w:val="TableRowHead"/>
              <w:rPr>
                <w:sz w:val="20"/>
                <w:szCs w:val="20"/>
              </w:rPr>
            </w:pPr>
            <w:r>
              <w:rPr>
                <w:sz w:val="20"/>
                <w:szCs w:val="20"/>
              </w:rPr>
              <w:t>21-34</w:t>
            </w:r>
          </w:p>
        </w:tc>
        <w:tc>
          <w:tcPr>
            <w:tcW w:w="2130" w:type="dxa"/>
            <w:shd w:val="clear" w:color="auto" w:fill="auto"/>
          </w:tcPr>
          <w:p w:rsidR="002104F6" w:rsidRPr="0071261C" w:rsidRDefault="002104F6" w:rsidP="001C6C99">
            <w:pPr>
              <w:pStyle w:val="TableCell"/>
              <w:jc w:val="right"/>
              <w:rPr>
                <w:sz w:val="20"/>
                <w:szCs w:val="20"/>
              </w:rPr>
            </w:pPr>
            <w:r>
              <w:rPr>
                <w:sz w:val="20"/>
                <w:szCs w:val="20"/>
              </w:rPr>
              <w:t>7,100</w:t>
            </w:r>
          </w:p>
        </w:tc>
        <w:tc>
          <w:tcPr>
            <w:tcW w:w="2131" w:type="dxa"/>
            <w:shd w:val="clear" w:color="auto" w:fill="auto"/>
          </w:tcPr>
          <w:p w:rsidR="002104F6" w:rsidRPr="0071261C" w:rsidRDefault="002104F6" w:rsidP="001C6C99">
            <w:pPr>
              <w:pStyle w:val="TableCell"/>
              <w:jc w:val="right"/>
              <w:rPr>
                <w:sz w:val="20"/>
                <w:szCs w:val="20"/>
              </w:rPr>
            </w:pPr>
            <w:r>
              <w:rPr>
                <w:sz w:val="20"/>
                <w:szCs w:val="20"/>
              </w:rPr>
              <w:t>28%</w:t>
            </w:r>
          </w:p>
        </w:tc>
        <w:tc>
          <w:tcPr>
            <w:tcW w:w="2131" w:type="dxa"/>
            <w:shd w:val="clear" w:color="auto" w:fill="auto"/>
          </w:tcPr>
          <w:p w:rsidR="002104F6" w:rsidRPr="0071261C" w:rsidRDefault="002104F6" w:rsidP="001C6C99">
            <w:pPr>
              <w:pStyle w:val="TableCell"/>
              <w:jc w:val="right"/>
              <w:rPr>
                <w:sz w:val="20"/>
                <w:szCs w:val="20"/>
              </w:rPr>
            </w:pPr>
            <w:r>
              <w:rPr>
                <w:sz w:val="20"/>
                <w:szCs w:val="20"/>
              </w:rPr>
              <w:t>7.7</w:t>
            </w:r>
          </w:p>
        </w:tc>
      </w:tr>
      <w:tr w:rsidR="002104F6" w:rsidRPr="0071261C">
        <w:tblPrEx>
          <w:tblCellMar>
            <w:top w:w="0" w:type="dxa"/>
            <w:bottom w:w="0" w:type="dxa"/>
          </w:tblCellMar>
        </w:tblPrEx>
        <w:tc>
          <w:tcPr>
            <w:tcW w:w="2130" w:type="dxa"/>
            <w:shd w:val="clear" w:color="auto" w:fill="auto"/>
          </w:tcPr>
          <w:p w:rsidR="002104F6" w:rsidRPr="0071261C" w:rsidRDefault="002104F6" w:rsidP="001C6C99">
            <w:pPr>
              <w:pStyle w:val="TableRowHead"/>
              <w:rPr>
                <w:sz w:val="20"/>
                <w:szCs w:val="20"/>
              </w:rPr>
            </w:pPr>
            <w:r>
              <w:rPr>
                <w:sz w:val="20"/>
                <w:szCs w:val="20"/>
              </w:rPr>
              <w:t>35-49</w:t>
            </w:r>
          </w:p>
        </w:tc>
        <w:tc>
          <w:tcPr>
            <w:tcW w:w="2130" w:type="dxa"/>
            <w:shd w:val="clear" w:color="auto" w:fill="auto"/>
          </w:tcPr>
          <w:p w:rsidR="002104F6" w:rsidRPr="0071261C" w:rsidRDefault="002104F6" w:rsidP="001C6C99">
            <w:pPr>
              <w:pStyle w:val="TableCell"/>
              <w:jc w:val="right"/>
              <w:rPr>
                <w:sz w:val="20"/>
                <w:szCs w:val="20"/>
              </w:rPr>
            </w:pPr>
            <w:r>
              <w:rPr>
                <w:sz w:val="20"/>
                <w:szCs w:val="20"/>
              </w:rPr>
              <w:t>7,400</w:t>
            </w:r>
          </w:p>
        </w:tc>
        <w:tc>
          <w:tcPr>
            <w:tcW w:w="2131" w:type="dxa"/>
            <w:shd w:val="clear" w:color="auto" w:fill="auto"/>
          </w:tcPr>
          <w:p w:rsidR="002104F6" w:rsidRPr="0071261C" w:rsidRDefault="002104F6" w:rsidP="001C6C99">
            <w:pPr>
              <w:pStyle w:val="TableCell"/>
              <w:jc w:val="right"/>
              <w:rPr>
                <w:sz w:val="20"/>
                <w:szCs w:val="20"/>
              </w:rPr>
            </w:pPr>
            <w:r>
              <w:rPr>
                <w:sz w:val="20"/>
                <w:szCs w:val="20"/>
              </w:rPr>
              <w:t>30%</w:t>
            </w:r>
          </w:p>
        </w:tc>
        <w:tc>
          <w:tcPr>
            <w:tcW w:w="2131" w:type="dxa"/>
            <w:shd w:val="clear" w:color="auto" w:fill="auto"/>
          </w:tcPr>
          <w:p w:rsidR="002104F6" w:rsidRPr="0071261C" w:rsidRDefault="002104F6" w:rsidP="001C6C99">
            <w:pPr>
              <w:pStyle w:val="TableCell"/>
              <w:jc w:val="right"/>
              <w:rPr>
                <w:sz w:val="20"/>
                <w:szCs w:val="20"/>
              </w:rPr>
            </w:pPr>
            <w:r>
              <w:rPr>
                <w:sz w:val="20"/>
                <w:szCs w:val="20"/>
              </w:rPr>
              <w:t>6.4</w:t>
            </w:r>
          </w:p>
        </w:tc>
      </w:tr>
      <w:tr w:rsidR="002104F6" w:rsidRPr="0071261C">
        <w:tblPrEx>
          <w:tblCellMar>
            <w:top w:w="0" w:type="dxa"/>
            <w:bottom w:w="0" w:type="dxa"/>
          </w:tblCellMar>
        </w:tblPrEx>
        <w:tc>
          <w:tcPr>
            <w:tcW w:w="2130" w:type="dxa"/>
            <w:shd w:val="clear" w:color="auto" w:fill="auto"/>
          </w:tcPr>
          <w:p w:rsidR="002104F6" w:rsidRPr="0071261C" w:rsidRDefault="002104F6" w:rsidP="001C6C99">
            <w:pPr>
              <w:pStyle w:val="TableRowHead"/>
              <w:rPr>
                <w:sz w:val="20"/>
                <w:szCs w:val="20"/>
              </w:rPr>
            </w:pPr>
            <w:r>
              <w:rPr>
                <w:sz w:val="20"/>
                <w:szCs w:val="20"/>
              </w:rPr>
              <w:t>50-64</w:t>
            </w:r>
          </w:p>
        </w:tc>
        <w:tc>
          <w:tcPr>
            <w:tcW w:w="2130" w:type="dxa"/>
            <w:shd w:val="clear" w:color="auto" w:fill="auto"/>
          </w:tcPr>
          <w:p w:rsidR="002104F6" w:rsidRPr="0071261C" w:rsidRDefault="002104F6" w:rsidP="001C6C99">
            <w:pPr>
              <w:pStyle w:val="TableCell"/>
              <w:jc w:val="right"/>
              <w:rPr>
                <w:sz w:val="20"/>
                <w:szCs w:val="20"/>
              </w:rPr>
            </w:pPr>
            <w:r>
              <w:rPr>
                <w:sz w:val="20"/>
                <w:szCs w:val="20"/>
              </w:rPr>
              <w:t>5,400</w:t>
            </w:r>
          </w:p>
        </w:tc>
        <w:tc>
          <w:tcPr>
            <w:tcW w:w="2131" w:type="dxa"/>
            <w:shd w:val="clear" w:color="auto" w:fill="auto"/>
          </w:tcPr>
          <w:p w:rsidR="002104F6" w:rsidRPr="0071261C" w:rsidRDefault="002104F6" w:rsidP="001C6C99">
            <w:pPr>
              <w:pStyle w:val="TableCell"/>
              <w:jc w:val="right"/>
              <w:rPr>
                <w:sz w:val="20"/>
                <w:szCs w:val="20"/>
              </w:rPr>
            </w:pPr>
            <w:r>
              <w:rPr>
                <w:sz w:val="20"/>
                <w:szCs w:val="20"/>
              </w:rPr>
              <w:t>22%</w:t>
            </w:r>
          </w:p>
        </w:tc>
        <w:tc>
          <w:tcPr>
            <w:tcW w:w="2131" w:type="dxa"/>
            <w:shd w:val="clear" w:color="auto" w:fill="auto"/>
          </w:tcPr>
          <w:p w:rsidR="002104F6" w:rsidRPr="0071261C" w:rsidRDefault="002104F6" w:rsidP="001C6C99">
            <w:pPr>
              <w:pStyle w:val="TableCell"/>
              <w:jc w:val="right"/>
              <w:rPr>
                <w:sz w:val="20"/>
                <w:szCs w:val="20"/>
              </w:rPr>
            </w:pPr>
            <w:r>
              <w:rPr>
                <w:sz w:val="20"/>
                <w:szCs w:val="20"/>
              </w:rPr>
              <w:t>5.4</w:t>
            </w:r>
          </w:p>
        </w:tc>
      </w:tr>
      <w:tr w:rsidR="002104F6" w:rsidRPr="0071261C">
        <w:tblPrEx>
          <w:tblCellMar>
            <w:top w:w="0" w:type="dxa"/>
            <w:bottom w:w="0" w:type="dxa"/>
          </w:tblCellMar>
        </w:tblPrEx>
        <w:tc>
          <w:tcPr>
            <w:tcW w:w="2130" w:type="dxa"/>
            <w:shd w:val="clear" w:color="auto" w:fill="auto"/>
          </w:tcPr>
          <w:p w:rsidR="002104F6" w:rsidRPr="0071261C" w:rsidRDefault="002104F6" w:rsidP="001C6C99">
            <w:pPr>
              <w:pStyle w:val="TableRowHead"/>
              <w:rPr>
                <w:sz w:val="20"/>
                <w:szCs w:val="20"/>
              </w:rPr>
            </w:pPr>
            <w:r>
              <w:rPr>
                <w:sz w:val="20"/>
                <w:szCs w:val="20"/>
              </w:rPr>
              <w:t>65+</w:t>
            </w:r>
          </w:p>
        </w:tc>
        <w:tc>
          <w:tcPr>
            <w:tcW w:w="2130" w:type="dxa"/>
            <w:shd w:val="clear" w:color="auto" w:fill="auto"/>
          </w:tcPr>
          <w:p w:rsidR="002104F6" w:rsidRPr="0071261C" w:rsidRDefault="002104F6" w:rsidP="001C6C99">
            <w:pPr>
              <w:pStyle w:val="TableCell"/>
              <w:jc w:val="right"/>
              <w:rPr>
                <w:sz w:val="20"/>
                <w:szCs w:val="20"/>
              </w:rPr>
            </w:pPr>
            <w:r>
              <w:rPr>
                <w:sz w:val="20"/>
                <w:szCs w:val="20"/>
              </w:rPr>
              <w:t>2,400</w:t>
            </w:r>
          </w:p>
        </w:tc>
        <w:tc>
          <w:tcPr>
            <w:tcW w:w="2131" w:type="dxa"/>
            <w:shd w:val="clear" w:color="auto" w:fill="auto"/>
          </w:tcPr>
          <w:p w:rsidR="002104F6" w:rsidRPr="0071261C" w:rsidRDefault="002104F6" w:rsidP="001C6C99">
            <w:pPr>
              <w:pStyle w:val="TableCell"/>
              <w:jc w:val="right"/>
              <w:rPr>
                <w:sz w:val="20"/>
                <w:szCs w:val="20"/>
              </w:rPr>
            </w:pPr>
            <w:r>
              <w:rPr>
                <w:sz w:val="20"/>
                <w:szCs w:val="20"/>
              </w:rPr>
              <w:t>10%</w:t>
            </w:r>
          </w:p>
        </w:tc>
        <w:tc>
          <w:tcPr>
            <w:tcW w:w="2131" w:type="dxa"/>
            <w:shd w:val="clear" w:color="auto" w:fill="auto"/>
          </w:tcPr>
          <w:p w:rsidR="002104F6" w:rsidRPr="0071261C" w:rsidRDefault="002104F6" w:rsidP="001C6C99">
            <w:pPr>
              <w:pStyle w:val="TableCell"/>
              <w:jc w:val="right"/>
              <w:rPr>
                <w:sz w:val="20"/>
                <w:szCs w:val="20"/>
              </w:rPr>
            </w:pPr>
            <w:r>
              <w:rPr>
                <w:sz w:val="20"/>
                <w:szCs w:val="20"/>
              </w:rPr>
              <w:t>2.8</w:t>
            </w:r>
          </w:p>
        </w:tc>
      </w:tr>
      <w:tr w:rsidR="002104F6" w:rsidRPr="0071261C">
        <w:tblPrEx>
          <w:tblCellMar>
            <w:top w:w="0" w:type="dxa"/>
            <w:bottom w:w="0" w:type="dxa"/>
          </w:tblCellMar>
        </w:tblPrEx>
        <w:tc>
          <w:tcPr>
            <w:tcW w:w="2130" w:type="dxa"/>
            <w:shd w:val="clear" w:color="auto" w:fill="auto"/>
          </w:tcPr>
          <w:p w:rsidR="002104F6" w:rsidRPr="0071261C" w:rsidRDefault="002104F6" w:rsidP="001C6C99">
            <w:pPr>
              <w:pStyle w:val="TableRowHead"/>
              <w:rPr>
                <w:sz w:val="20"/>
                <w:szCs w:val="20"/>
              </w:rPr>
            </w:pPr>
            <w:r>
              <w:rPr>
                <w:sz w:val="20"/>
                <w:szCs w:val="20"/>
              </w:rPr>
              <w:t>Subtotal</w:t>
            </w:r>
          </w:p>
        </w:tc>
        <w:tc>
          <w:tcPr>
            <w:tcW w:w="2130" w:type="dxa"/>
            <w:shd w:val="clear" w:color="auto" w:fill="auto"/>
          </w:tcPr>
          <w:p w:rsidR="002104F6" w:rsidRPr="0071261C" w:rsidRDefault="002104F6" w:rsidP="001C6C99">
            <w:pPr>
              <w:pStyle w:val="TableCell"/>
              <w:jc w:val="right"/>
              <w:rPr>
                <w:sz w:val="20"/>
                <w:szCs w:val="20"/>
              </w:rPr>
            </w:pPr>
            <w:r>
              <w:rPr>
                <w:sz w:val="20"/>
                <w:szCs w:val="20"/>
              </w:rPr>
              <w:t>25,000</w:t>
            </w:r>
          </w:p>
        </w:tc>
        <w:tc>
          <w:tcPr>
            <w:tcW w:w="2131" w:type="dxa"/>
            <w:shd w:val="clear" w:color="auto" w:fill="auto"/>
          </w:tcPr>
          <w:p w:rsidR="002104F6" w:rsidRPr="0071261C" w:rsidRDefault="002104F6" w:rsidP="001C6C99">
            <w:pPr>
              <w:pStyle w:val="TableCell"/>
              <w:jc w:val="right"/>
              <w:rPr>
                <w:sz w:val="20"/>
                <w:szCs w:val="20"/>
              </w:rPr>
            </w:pPr>
            <w:r>
              <w:rPr>
                <w:sz w:val="20"/>
                <w:szCs w:val="20"/>
              </w:rPr>
              <w:t>100%</w:t>
            </w:r>
          </w:p>
        </w:tc>
        <w:tc>
          <w:tcPr>
            <w:tcW w:w="2131" w:type="dxa"/>
            <w:shd w:val="clear" w:color="auto" w:fill="auto"/>
          </w:tcPr>
          <w:p w:rsidR="002104F6" w:rsidRPr="0071261C" w:rsidRDefault="002104F6" w:rsidP="001C6C99">
            <w:pPr>
              <w:pStyle w:val="TableCell"/>
              <w:jc w:val="right"/>
              <w:rPr>
                <w:sz w:val="20"/>
                <w:szCs w:val="20"/>
              </w:rPr>
            </w:pPr>
          </w:p>
        </w:tc>
      </w:tr>
      <w:tr w:rsidR="002104F6" w:rsidRPr="0071261C">
        <w:tblPrEx>
          <w:tblCellMar>
            <w:top w:w="0" w:type="dxa"/>
            <w:bottom w:w="0" w:type="dxa"/>
          </w:tblCellMar>
        </w:tblPrEx>
        <w:tc>
          <w:tcPr>
            <w:tcW w:w="2130" w:type="dxa"/>
            <w:shd w:val="clear" w:color="auto" w:fill="auto"/>
          </w:tcPr>
          <w:p w:rsidR="002104F6" w:rsidRPr="0071261C" w:rsidRDefault="002104F6" w:rsidP="001C6C99">
            <w:pPr>
              <w:pStyle w:val="TableRowHead"/>
              <w:rPr>
                <w:sz w:val="20"/>
                <w:szCs w:val="20"/>
              </w:rPr>
            </w:pPr>
            <w:r>
              <w:rPr>
                <w:sz w:val="20"/>
                <w:szCs w:val="20"/>
              </w:rPr>
              <w:t>Unknown age</w:t>
            </w:r>
          </w:p>
        </w:tc>
        <w:tc>
          <w:tcPr>
            <w:tcW w:w="2130" w:type="dxa"/>
            <w:shd w:val="clear" w:color="auto" w:fill="auto"/>
          </w:tcPr>
          <w:p w:rsidR="002104F6" w:rsidRPr="0071261C" w:rsidRDefault="002104F6" w:rsidP="001C6C99">
            <w:pPr>
              <w:pStyle w:val="TableCell"/>
              <w:jc w:val="right"/>
              <w:rPr>
                <w:sz w:val="20"/>
                <w:szCs w:val="20"/>
              </w:rPr>
            </w:pPr>
            <w:r>
              <w:rPr>
                <w:sz w:val="20"/>
                <w:szCs w:val="20"/>
              </w:rPr>
              <w:t>300</w:t>
            </w:r>
          </w:p>
        </w:tc>
        <w:tc>
          <w:tcPr>
            <w:tcW w:w="2131" w:type="dxa"/>
            <w:shd w:val="clear" w:color="auto" w:fill="auto"/>
          </w:tcPr>
          <w:p w:rsidR="002104F6" w:rsidRPr="0071261C" w:rsidRDefault="002104F6" w:rsidP="001C6C99">
            <w:pPr>
              <w:pStyle w:val="TableCell"/>
              <w:jc w:val="right"/>
              <w:rPr>
                <w:sz w:val="20"/>
                <w:szCs w:val="20"/>
              </w:rPr>
            </w:pPr>
          </w:p>
        </w:tc>
        <w:tc>
          <w:tcPr>
            <w:tcW w:w="2131" w:type="dxa"/>
            <w:shd w:val="clear" w:color="auto" w:fill="auto"/>
          </w:tcPr>
          <w:p w:rsidR="002104F6" w:rsidRPr="0071261C" w:rsidRDefault="002104F6" w:rsidP="001C6C99">
            <w:pPr>
              <w:pStyle w:val="TableCell"/>
              <w:jc w:val="right"/>
              <w:rPr>
                <w:sz w:val="20"/>
                <w:szCs w:val="20"/>
              </w:rPr>
            </w:pPr>
          </w:p>
        </w:tc>
      </w:tr>
      <w:tr w:rsidR="002104F6" w:rsidRPr="0071261C">
        <w:tblPrEx>
          <w:tblCellMar>
            <w:top w:w="0" w:type="dxa"/>
            <w:bottom w:w="0" w:type="dxa"/>
          </w:tblCellMar>
        </w:tblPrEx>
        <w:tc>
          <w:tcPr>
            <w:tcW w:w="2130" w:type="dxa"/>
            <w:shd w:val="clear" w:color="auto" w:fill="auto"/>
          </w:tcPr>
          <w:p w:rsidR="002104F6" w:rsidRPr="0071261C" w:rsidRDefault="002104F6" w:rsidP="001C6C99">
            <w:pPr>
              <w:pStyle w:val="TableRowHead"/>
              <w:rPr>
                <w:sz w:val="20"/>
                <w:szCs w:val="20"/>
              </w:rPr>
            </w:pPr>
            <w:r>
              <w:rPr>
                <w:sz w:val="20"/>
                <w:szCs w:val="20"/>
              </w:rPr>
              <w:t>Total</w:t>
            </w:r>
          </w:p>
        </w:tc>
        <w:tc>
          <w:tcPr>
            <w:tcW w:w="2130" w:type="dxa"/>
            <w:shd w:val="clear" w:color="auto" w:fill="auto"/>
          </w:tcPr>
          <w:p w:rsidR="002104F6" w:rsidRPr="0071261C" w:rsidRDefault="002104F6" w:rsidP="001C6C99">
            <w:pPr>
              <w:pStyle w:val="TableCell"/>
              <w:jc w:val="right"/>
              <w:rPr>
                <w:sz w:val="20"/>
                <w:szCs w:val="20"/>
              </w:rPr>
            </w:pPr>
            <w:r>
              <w:rPr>
                <w:sz w:val="20"/>
                <w:szCs w:val="20"/>
              </w:rPr>
              <w:t>50,300</w:t>
            </w:r>
          </w:p>
        </w:tc>
        <w:tc>
          <w:tcPr>
            <w:tcW w:w="2131" w:type="dxa"/>
            <w:shd w:val="clear" w:color="auto" w:fill="auto"/>
          </w:tcPr>
          <w:p w:rsidR="002104F6" w:rsidRPr="0071261C" w:rsidRDefault="002104F6" w:rsidP="001C6C99">
            <w:pPr>
              <w:pStyle w:val="TableCell"/>
              <w:jc w:val="right"/>
              <w:rPr>
                <w:sz w:val="20"/>
                <w:szCs w:val="20"/>
              </w:rPr>
            </w:pPr>
          </w:p>
        </w:tc>
        <w:tc>
          <w:tcPr>
            <w:tcW w:w="2131" w:type="dxa"/>
            <w:shd w:val="clear" w:color="auto" w:fill="auto"/>
          </w:tcPr>
          <w:p w:rsidR="002104F6" w:rsidRPr="0071261C" w:rsidRDefault="002104F6" w:rsidP="001C6C99">
            <w:pPr>
              <w:pStyle w:val="TableCell"/>
              <w:jc w:val="right"/>
              <w:rPr>
                <w:sz w:val="20"/>
                <w:szCs w:val="20"/>
              </w:rPr>
            </w:pPr>
            <w:r>
              <w:rPr>
                <w:sz w:val="20"/>
                <w:szCs w:val="20"/>
              </w:rPr>
              <w:t>5.9</w:t>
            </w:r>
          </w:p>
        </w:tc>
      </w:tr>
    </w:tbl>
    <w:p w:rsidR="00505D12" w:rsidRDefault="00505D12" w:rsidP="006B2928"/>
    <w:p w:rsidR="00ED02DE" w:rsidRDefault="00C43D76" w:rsidP="00F55A8C">
      <w:r>
        <w:t xml:space="preserve">The Scottish Government's Disability Equality Scheme 2008-2011 states its commitment to implement the recommendations from </w:t>
      </w:r>
      <w:r w:rsidRPr="00C43D76">
        <w:rPr>
          <w:b/>
        </w:rPr>
        <w:t>The Same as You</w:t>
      </w:r>
      <w:r>
        <w:rPr>
          <w:b/>
        </w:rPr>
        <w:t xml:space="preserve">? </w:t>
      </w:r>
      <w:r w:rsidRPr="00C43D76">
        <w:t>across government departments</w:t>
      </w:r>
      <w:r>
        <w:t xml:space="preserve">. </w:t>
      </w:r>
    </w:p>
    <w:p w:rsidR="00372AC5" w:rsidRDefault="00ED02DE" w:rsidP="00F55A8C">
      <w:r>
        <w:t>In</w:t>
      </w:r>
      <w:r w:rsidR="00ED5B3A">
        <w:t xml:space="preserve"> the Disability Equality </w:t>
      </w:r>
      <w:r w:rsidR="009B5126">
        <w:t>Scheme the Scottish government stated that it was reviewing the issue of independent living for people with disabilities with a view to</w:t>
      </w:r>
      <w:r w:rsidR="00372AC5">
        <w:t xml:space="preserve"> informing its policy on this matter.  Although no official policy has been named independent living has  been a policy issue.</w:t>
      </w:r>
    </w:p>
    <w:p w:rsidR="00D51EB4" w:rsidRPr="00372AC5" w:rsidRDefault="00372AC5" w:rsidP="00F55A8C">
      <w:r>
        <w:t>I</w:t>
      </w:r>
      <w:r>
        <w:rPr>
          <w:lang w:val="en-US"/>
        </w:rPr>
        <w:t xml:space="preserve">n </w:t>
      </w:r>
      <w:r w:rsidR="00345789">
        <w:rPr>
          <w:lang w:val="en-US"/>
        </w:rPr>
        <w:t>2008,  the Minister for Communities and Sport</w:t>
      </w:r>
      <w:r w:rsidR="00345789">
        <w:rPr>
          <w:rStyle w:val="FootnoteReference"/>
        </w:rPr>
        <w:footnoteReference w:id="33"/>
      </w:r>
      <w:r w:rsidR="0042521C">
        <w:rPr>
          <w:lang w:val="en-US"/>
        </w:rPr>
        <w:t xml:space="preserve"> announced a new </w:t>
      </w:r>
      <w:r w:rsidR="008B6DDA">
        <w:rPr>
          <w:lang w:val="en-US"/>
        </w:rPr>
        <w:t>long te</w:t>
      </w:r>
      <w:r w:rsidR="0053233C">
        <w:rPr>
          <w:lang w:val="en-US"/>
        </w:rPr>
        <w:t>r</w:t>
      </w:r>
      <w:r w:rsidR="008B6DDA">
        <w:rPr>
          <w:lang w:val="en-US"/>
        </w:rPr>
        <w:t xml:space="preserve">m policy </w:t>
      </w:r>
      <w:r w:rsidR="00A45841">
        <w:rPr>
          <w:lang w:val="en-US"/>
        </w:rPr>
        <w:t xml:space="preserve">approach </w:t>
      </w:r>
      <w:r w:rsidR="008B6DDA">
        <w:rPr>
          <w:lang w:val="en-US"/>
        </w:rPr>
        <w:t xml:space="preserve">to </w:t>
      </w:r>
      <w:r w:rsidR="00A45841">
        <w:rPr>
          <w:lang w:val="en-US"/>
        </w:rPr>
        <w:t>support people with disabilities to live independently in the community. A working group comprised of g</w:t>
      </w:r>
      <w:r w:rsidR="008B6DDA">
        <w:rPr>
          <w:lang w:val="en-US"/>
        </w:rPr>
        <w:t>overnment</w:t>
      </w:r>
      <w:r w:rsidR="00A45841">
        <w:rPr>
          <w:lang w:val="en-US"/>
        </w:rPr>
        <w:t xml:space="preserve"> officials</w:t>
      </w:r>
      <w:r w:rsidR="008B6DDA">
        <w:rPr>
          <w:lang w:val="en-US"/>
        </w:rPr>
        <w:t xml:space="preserve">, public bodies, and an expert panel </w:t>
      </w:r>
      <w:r w:rsidR="00A45841">
        <w:rPr>
          <w:lang w:val="en-US"/>
        </w:rPr>
        <w:t>from the d</w:t>
      </w:r>
      <w:r w:rsidR="008B6DDA">
        <w:rPr>
          <w:lang w:val="en-US"/>
        </w:rPr>
        <w:t xml:space="preserve">isability sector </w:t>
      </w:r>
      <w:r w:rsidR="00A45841">
        <w:rPr>
          <w:lang w:val="en-US"/>
        </w:rPr>
        <w:t xml:space="preserve">was established to consider mechanisms </w:t>
      </w:r>
      <w:r w:rsidR="008B6DDA">
        <w:rPr>
          <w:lang w:val="en-US"/>
        </w:rPr>
        <w:t xml:space="preserve">to remove barriers to independent living in housing, transport, education and employment. The </w:t>
      </w:r>
      <w:r w:rsidR="00D51EB4">
        <w:rPr>
          <w:lang w:val="en-US"/>
        </w:rPr>
        <w:t xml:space="preserve">Scottish government provided </w:t>
      </w:r>
      <w:r w:rsidR="008B6DDA">
        <w:rPr>
          <w:lang w:val="en-US"/>
        </w:rPr>
        <w:t xml:space="preserve">funding of </w:t>
      </w:r>
      <w:r w:rsidR="00D51EB4">
        <w:rPr>
          <w:lang w:val="en-US"/>
        </w:rPr>
        <w:t>€720,000 (£600,00</w:t>
      </w:r>
      <w:r w:rsidR="008B6DDA">
        <w:rPr>
          <w:lang w:val="en-US"/>
        </w:rPr>
        <w:t>0)</w:t>
      </w:r>
      <w:r w:rsidR="00F77C77">
        <w:rPr>
          <w:lang w:val="en-US"/>
        </w:rPr>
        <w:t xml:space="preserve"> for this policy approach</w:t>
      </w:r>
      <w:r w:rsidR="008B6DDA">
        <w:rPr>
          <w:rStyle w:val="FootnoteReference"/>
        </w:rPr>
        <w:footnoteReference w:id="34"/>
      </w:r>
      <w:r w:rsidR="008B6DDA">
        <w:rPr>
          <w:lang w:val="en-US"/>
        </w:rPr>
        <w:t>.</w:t>
      </w:r>
    </w:p>
    <w:p w:rsidR="00345789" w:rsidRDefault="008B6DDA" w:rsidP="00D51EB4">
      <w:r>
        <w:t xml:space="preserve">The </w:t>
      </w:r>
      <w:r w:rsidR="00345789">
        <w:t xml:space="preserve">Scottish government's national strategy on self directed support (2009), </w:t>
      </w:r>
      <w:r w:rsidR="00F85BDE">
        <w:t xml:space="preserve">explicitly </w:t>
      </w:r>
      <w:r>
        <w:t xml:space="preserve">states that </w:t>
      </w:r>
      <w:r w:rsidR="00345789">
        <w:t>i</w:t>
      </w:r>
      <w:r w:rsidR="00345789" w:rsidRPr="006F227C">
        <w:t xml:space="preserve">ndependent </w:t>
      </w:r>
      <w:r w:rsidR="00345789">
        <w:t>l</w:t>
      </w:r>
      <w:r w:rsidR="00345789" w:rsidRPr="006F227C">
        <w:t xml:space="preserve">iving </w:t>
      </w:r>
      <w:r w:rsidR="00345789">
        <w:t xml:space="preserve">is one of its priorities that will require co-ordinated action across the public sector. Public bodies will be required to </w:t>
      </w:r>
      <w:r w:rsidR="00345789" w:rsidRPr="006F227C">
        <w:t xml:space="preserve">report to their Ministers on </w:t>
      </w:r>
      <w:r w:rsidR="00345789">
        <w:t xml:space="preserve">their </w:t>
      </w:r>
      <w:r w:rsidR="00345789" w:rsidRPr="006F227C">
        <w:t>progress</w:t>
      </w:r>
      <w:r w:rsidR="00345789">
        <w:t xml:space="preserve"> in implementing processes that support people with disabilities to live independently</w:t>
      </w:r>
      <w:r w:rsidR="00345789">
        <w:rPr>
          <w:rStyle w:val="FootnoteReference"/>
        </w:rPr>
        <w:footnoteReference w:id="35"/>
      </w:r>
      <w:r w:rsidR="00345789" w:rsidRPr="006F227C">
        <w:t>.</w:t>
      </w:r>
      <w:r w:rsidR="00345789">
        <w:t xml:space="preserve"> </w:t>
      </w:r>
    </w:p>
    <w:p w:rsidR="00130D1C" w:rsidRDefault="000A17CA" w:rsidP="00D51EB4">
      <w:r>
        <w:t>In January 2010</w:t>
      </w:r>
      <w:r w:rsidR="00F85BDE">
        <w:t xml:space="preserve">, </w:t>
      </w:r>
      <w:r w:rsidR="00130D1C">
        <w:t>a policy on independent living</w:t>
      </w:r>
      <w:r w:rsidR="00372AC5">
        <w:t xml:space="preserve"> called </w:t>
      </w:r>
      <w:r w:rsidR="00372AC5" w:rsidRPr="00372AC5">
        <w:rPr>
          <w:b/>
        </w:rPr>
        <w:t>Independent Living - A Shared Vision</w:t>
      </w:r>
      <w:r w:rsidR="00130D1C">
        <w:t xml:space="preserve">, was launched by </w:t>
      </w:r>
      <w:r w:rsidR="00F85BDE">
        <w:t xml:space="preserve">the Scottish government in partnership with  the Convention of Scottish Local Authorities (COSLA) and the Independent </w:t>
      </w:r>
      <w:r w:rsidR="00130D1C">
        <w:t xml:space="preserve">Living </w:t>
      </w:r>
      <w:r w:rsidR="00F85BDE">
        <w:t>in</w:t>
      </w:r>
      <w:r w:rsidR="00130D1C">
        <w:t xml:space="preserve"> Scotland</w:t>
      </w:r>
      <w:r w:rsidR="00F85BDE">
        <w:t xml:space="preserve"> Steering Group </w:t>
      </w:r>
      <w:r w:rsidR="00130D1C">
        <w:t>(ILiS)</w:t>
      </w:r>
      <w:r w:rsidR="00372AC5">
        <w:rPr>
          <w:rStyle w:val="FootnoteReference"/>
        </w:rPr>
        <w:footnoteReference w:id="36"/>
      </w:r>
      <w:r w:rsidR="00372AC5">
        <w:t>.</w:t>
      </w:r>
      <w:r w:rsidR="00130D1C">
        <w:t xml:space="preserve"> </w:t>
      </w:r>
    </w:p>
    <w:p w:rsidR="006B2928" w:rsidRDefault="006B2928" w:rsidP="006B2928">
      <w:pPr>
        <w:pStyle w:val="Heading1"/>
        <w:rPr>
          <w:lang w:eastAsia="en-IE"/>
        </w:rPr>
      </w:pPr>
      <w:bookmarkStart w:id="44" w:name="_Toc255485458"/>
      <w:bookmarkStart w:id="45" w:name="_Toc267920924"/>
      <w:bookmarkStart w:id="46" w:name="_Toc279136905"/>
      <w:r>
        <w:rPr>
          <w:lang w:eastAsia="en-IE"/>
        </w:rPr>
        <w:t>4</w:t>
      </w:r>
      <w:r w:rsidR="00034973">
        <w:rPr>
          <w:lang w:eastAsia="en-IE"/>
        </w:rPr>
        <w:t>.</w:t>
      </w:r>
      <w:r>
        <w:rPr>
          <w:lang w:eastAsia="en-IE"/>
        </w:rPr>
        <w:t xml:space="preserve"> </w:t>
      </w:r>
      <w:r w:rsidR="00B15C22">
        <w:rPr>
          <w:lang w:eastAsia="en-IE"/>
        </w:rPr>
        <w:t>Housing, Accommodation and Day S</w:t>
      </w:r>
      <w:r w:rsidR="00A45841">
        <w:rPr>
          <w:lang w:eastAsia="en-IE"/>
        </w:rPr>
        <w:t>ervices for people with disabilities</w:t>
      </w:r>
      <w:bookmarkEnd w:id="46"/>
      <w:r w:rsidR="00A45841">
        <w:rPr>
          <w:lang w:eastAsia="en-IE"/>
        </w:rPr>
        <w:t xml:space="preserve"> </w:t>
      </w:r>
      <w:bookmarkEnd w:id="44"/>
      <w:bookmarkEnd w:id="45"/>
    </w:p>
    <w:p w:rsidR="006B2928" w:rsidRDefault="006B2928" w:rsidP="006B2928">
      <w:pPr>
        <w:pStyle w:val="Heading2"/>
        <w:rPr>
          <w:lang w:val="en-US" w:bidi="en-US"/>
        </w:rPr>
      </w:pPr>
      <w:bookmarkStart w:id="47" w:name="_Toc247447248"/>
      <w:bookmarkStart w:id="48" w:name="_Toc255485459"/>
      <w:bookmarkStart w:id="49" w:name="_Toc267920925"/>
      <w:bookmarkStart w:id="50" w:name="_Toc279136906"/>
      <w:r>
        <w:t>4</w:t>
      </w:r>
      <w:r w:rsidRPr="00E60DD6">
        <w:t xml:space="preserve">.1 </w:t>
      </w:r>
      <w:r>
        <w:rPr>
          <w:lang w:val="en-US" w:bidi="en-US"/>
        </w:rPr>
        <w:t>Residential</w:t>
      </w:r>
      <w:bookmarkEnd w:id="47"/>
      <w:bookmarkEnd w:id="48"/>
      <w:bookmarkEnd w:id="49"/>
      <w:r w:rsidR="004D144A">
        <w:rPr>
          <w:lang w:val="en-US" w:bidi="en-US"/>
        </w:rPr>
        <w:t xml:space="preserve"> services</w:t>
      </w:r>
      <w:bookmarkEnd w:id="50"/>
    </w:p>
    <w:p w:rsidR="009F1C95" w:rsidRPr="002104F6" w:rsidRDefault="006B2928" w:rsidP="006B2928">
      <w:pPr>
        <w:rPr>
          <w:lang w:val="en-GB"/>
        </w:rPr>
      </w:pPr>
      <w:r>
        <w:rPr>
          <w:lang w:val="en-US" w:bidi="en-US"/>
        </w:rPr>
        <w:t xml:space="preserve">Residential or care homes in Scotland are </w:t>
      </w:r>
      <w:r w:rsidR="009F1C95">
        <w:rPr>
          <w:lang w:val="en-GB"/>
        </w:rPr>
        <w:t xml:space="preserve">a </w:t>
      </w:r>
      <w:r>
        <w:rPr>
          <w:lang w:val="en-GB"/>
        </w:rPr>
        <w:t>service which provides accommodation together with nursing, personal care or personal support for adults and children who are vulnerable or in need</w:t>
      </w:r>
      <w:r>
        <w:rPr>
          <w:rStyle w:val="FootnoteReference"/>
          <w:lang w:val="en-GB"/>
        </w:rPr>
        <w:footnoteReference w:id="37"/>
      </w:r>
      <w:r>
        <w:rPr>
          <w:lang w:val="en-GB"/>
        </w:rPr>
        <w:t xml:space="preserve">. </w:t>
      </w:r>
      <w:r w:rsidR="009F1C95">
        <w:rPr>
          <w:lang w:val="en-GB"/>
        </w:rPr>
        <w:t xml:space="preserve"> </w:t>
      </w:r>
      <w:r>
        <w:rPr>
          <w:lang w:val="en-GB"/>
        </w:rPr>
        <w:t xml:space="preserve">People with disabilities are included in </w:t>
      </w:r>
      <w:r w:rsidR="000F5416">
        <w:rPr>
          <w:lang w:val="en-GB"/>
        </w:rPr>
        <w:t xml:space="preserve">this definition. NHS hospitals </w:t>
      </w:r>
      <w:bookmarkStart w:id="51" w:name="_Toc247447249"/>
      <w:bookmarkStart w:id="52" w:name="_Toc247448980"/>
      <w:bookmarkStart w:id="53" w:name="_Toc247536427"/>
      <w:bookmarkStart w:id="54" w:name="_Toc249327655"/>
      <w:r w:rsidR="00511D7C">
        <w:rPr>
          <w:lang w:val="en-GB"/>
        </w:rPr>
        <w:t>are not considered to be</w:t>
      </w:r>
      <w:r>
        <w:rPr>
          <w:lang w:val="en-GB"/>
        </w:rPr>
        <w:t xml:space="preserve"> residential homes.</w:t>
      </w:r>
      <w:r w:rsidR="00662ED0">
        <w:rPr>
          <w:lang w:val="en-GB"/>
        </w:rPr>
        <w:t xml:space="preserve"> </w:t>
      </w:r>
      <w:r>
        <w:rPr>
          <w:lang w:val="en-GB"/>
        </w:rPr>
        <w:t>A person with a disability is assessed by</w:t>
      </w:r>
      <w:r w:rsidR="000375FD">
        <w:rPr>
          <w:lang w:val="en-GB"/>
        </w:rPr>
        <w:t xml:space="preserve"> their local authority to determine</w:t>
      </w:r>
      <w:r>
        <w:rPr>
          <w:lang w:val="en-GB"/>
        </w:rPr>
        <w:t xml:space="preserve"> if they need to be in residential care and what their funding options are for paying for this care.</w:t>
      </w:r>
      <w:r w:rsidR="000375FD">
        <w:rPr>
          <w:lang w:val="en-GB"/>
        </w:rPr>
        <w:t xml:space="preserve"> </w:t>
      </w:r>
      <w:r w:rsidR="00A45841">
        <w:rPr>
          <w:lang w:val="en-GB"/>
        </w:rPr>
        <w:t xml:space="preserve">There is a trend to reduce this form of housing option in favour of independent living approaches. </w:t>
      </w:r>
      <w:r>
        <w:t>From 2000-2008, the num</w:t>
      </w:r>
      <w:r w:rsidR="000375FD">
        <w:t xml:space="preserve">ber of care homes in operation </w:t>
      </w:r>
      <w:r>
        <w:t>for people with disabiliti</w:t>
      </w:r>
      <w:r w:rsidR="00AC3D13">
        <w:t xml:space="preserve">es decreased. During the same time period, </w:t>
      </w:r>
      <w:r w:rsidR="000375FD">
        <w:t xml:space="preserve">the </w:t>
      </w:r>
      <w:r>
        <w:t>number of care homes for people with learning disabilitie</w:t>
      </w:r>
      <w:r w:rsidR="00511D7C">
        <w:t xml:space="preserve">s decreased from 386 </w:t>
      </w:r>
      <w:r w:rsidR="00686FCF">
        <w:t>to</w:t>
      </w:r>
      <w:r w:rsidR="00511D7C">
        <w:t xml:space="preserve"> 312 </w:t>
      </w:r>
      <w:r w:rsidR="00AC3D13">
        <w:t>and t</w:t>
      </w:r>
      <w:r>
        <w:t>he number of residents dropped from 3,321 to 2,415. An increasing number of people with disabilities live by themselves in tenancies or</w:t>
      </w:r>
      <w:r w:rsidR="009F1C95">
        <w:t xml:space="preserve"> </w:t>
      </w:r>
      <w:r w:rsidR="002104F6">
        <w:t>as owner occupiers. T</w:t>
      </w:r>
      <w:r>
        <w:t>able</w:t>
      </w:r>
      <w:r w:rsidR="002104F6">
        <w:t xml:space="preserve"> 5</w:t>
      </w:r>
      <w:r>
        <w:t xml:space="preserve"> below details data for service users for 2008</w:t>
      </w:r>
      <w:r>
        <w:rPr>
          <w:rStyle w:val="FootnoteReference"/>
        </w:rPr>
        <w:footnoteReference w:id="38"/>
      </w:r>
      <w:r w:rsidR="009F1C95">
        <w:t>.</w:t>
      </w:r>
    </w:p>
    <w:p w:rsidR="00F77C77" w:rsidRDefault="00F77C77" w:rsidP="00453CC6">
      <w:pPr>
        <w:pStyle w:val="TableTitle"/>
        <w:rPr>
          <w:lang w:val="en-GB"/>
        </w:rPr>
        <w:sectPr w:rsidR="00F77C77" w:rsidSect="006B2928">
          <w:pgSz w:w="11906" w:h="16838"/>
          <w:pgMar w:top="1440" w:right="1800" w:bottom="1440" w:left="1800" w:header="708" w:footer="708" w:gutter="0"/>
          <w:cols w:space="720"/>
        </w:sectPr>
      </w:pPr>
    </w:p>
    <w:p w:rsidR="00453CC6" w:rsidRPr="009729BD" w:rsidRDefault="002104F6" w:rsidP="00453CC6">
      <w:pPr>
        <w:pStyle w:val="TableTitle"/>
        <w:rPr>
          <w:lang w:val="en-GB"/>
        </w:rPr>
      </w:pPr>
      <w:r>
        <w:rPr>
          <w:lang w:val="en-GB"/>
        </w:rPr>
        <w:t>Table 5</w:t>
      </w:r>
      <w:r w:rsidR="00453CC6">
        <w:rPr>
          <w:lang w:val="en-GB"/>
        </w:rPr>
        <w:t>. No. of  people with disabilities using residential homes in 2008</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704"/>
        <w:gridCol w:w="1704"/>
        <w:gridCol w:w="1704"/>
        <w:gridCol w:w="1705"/>
        <w:gridCol w:w="1705"/>
      </w:tblGrid>
      <w:tr w:rsidR="00453CC6" w:rsidRPr="009729BD">
        <w:tblPrEx>
          <w:tblCellMar>
            <w:top w:w="0" w:type="dxa"/>
            <w:bottom w:w="0" w:type="dxa"/>
          </w:tblCellMar>
        </w:tblPrEx>
        <w:trPr>
          <w:tblHeader/>
        </w:trPr>
        <w:tc>
          <w:tcPr>
            <w:tcW w:w="1704" w:type="dxa"/>
            <w:tcBorders>
              <w:bottom w:val="single" w:sz="12" w:space="0" w:color="000000"/>
            </w:tcBorders>
            <w:shd w:val="clear" w:color="auto" w:fill="auto"/>
          </w:tcPr>
          <w:p w:rsidR="00453CC6" w:rsidRPr="009729BD" w:rsidRDefault="00453CC6" w:rsidP="002C430F">
            <w:pPr>
              <w:pStyle w:val="TableHead"/>
              <w:jc w:val="right"/>
              <w:rPr>
                <w:sz w:val="20"/>
                <w:szCs w:val="20"/>
              </w:rPr>
            </w:pPr>
            <w:r w:rsidRPr="009729BD">
              <w:rPr>
                <w:sz w:val="20"/>
                <w:szCs w:val="20"/>
              </w:rPr>
              <w:t>Client gr</w:t>
            </w:r>
            <w:r>
              <w:rPr>
                <w:sz w:val="20"/>
                <w:szCs w:val="20"/>
              </w:rPr>
              <w:t>oup</w:t>
            </w:r>
          </w:p>
        </w:tc>
        <w:tc>
          <w:tcPr>
            <w:tcW w:w="1704" w:type="dxa"/>
            <w:tcBorders>
              <w:bottom w:val="single" w:sz="12" w:space="0" w:color="000000"/>
            </w:tcBorders>
            <w:shd w:val="clear" w:color="auto" w:fill="auto"/>
          </w:tcPr>
          <w:p w:rsidR="00453CC6" w:rsidRPr="009729BD" w:rsidRDefault="00453CC6" w:rsidP="002C430F">
            <w:pPr>
              <w:pStyle w:val="TableHead"/>
              <w:jc w:val="right"/>
              <w:rPr>
                <w:sz w:val="20"/>
                <w:szCs w:val="20"/>
              </w:rPr>
            </w:pPr>
            <w:r>
              <w:rPr>
                <w:sz w:val="20"/>
                <w:szCs w:val="20"/>
              </w:rPr>
              <w:t>LA/NHS</w:t>
            </w:r>
          </w:p>
        </w:tc>
        <w:tc>
          <w:tcPr>
            <w:tcW w:w="1704" w:type="dxa"/>
            <w:tcBorders>
              <w:bottom w:val="single" w:sz="12" w:space="0" w:color="000000"/>
            </w:tcBorders>
            <w:shd w:val="clear" w:color="auto" w:fill="auto"/>
          </w:tcPr>
          <w:p w:rsidR="00453CC6" w:rsidRPr="009729BD" w:rsidRDefault="00453CC6" w:rsidP="002C430F">
            <w:pPr>
              <w:pStyle w:val="TableHead"/>
              <w:jc w:val="right"/>
              <w:rPr>
                <w:sz w:val="20"/>
                <w:szCs w:val="20"/>
              </w:rPr>
            </w:pPr>
            <w:r>
              <w:rPr>
                <w:sz w:val="20"/>
                <w:szCs w:val="20"/>
              </w:rPr>
              <w:t>Private</w:t>
            </w:r>
          </w:p>
        </w:tc>
        <w:tc>
          <w:tcPr>
            <w:tcW w:w="1705" w:type="dxa"/>
            <w:tcBorders>
              <w:bottom w:val="single" w:sz="12" w:space="0" w:color="000000"/>
            </w:tcBorders>
            <w:shd w:val="clear" w:color="auto" w:fill="auto"/>
          </w:tcPr>
          <w:p w:rsidR="00453CC6" w:rsidRPr="009729BD" w:rsidRDefault="00453CC6" w:rsidP="002C430F">
            <w:pPr>
              <w:pStyle w:val="TableHead"/>
              <w:jc w:val="right"/>
              <w:rPr>
                <w:sz w:val="20"/>
                <w:szCs w:val="20"/>
              </w:rPr>
            </w:pPr>
            <w:r>
              <w:rPr>
                <w:sz w:val="20"/>
                <w:szCs w:val="20"/>
              </w:rPr>
              <w:t>Voluntary</w:t>
            </w:r>
          </w:p>
        </w:tc>
        <w:tc>
          <w:tcPr>
            <w:tcW w:w="1705" w:type="dxa"/>
            <w:tcBorders>
              <w:bottom w:val="single" w:sz="12" w:space="0" w:color="000000"/>
            </w:tcBorders>
            <w:shd w:val="clear" w:color="auto" w:fill="auto"/>
          </w:tcPr>
          <w:p w:rsidR="00453CC6" w:rsidRPr="009729BD" w:rsidRDefault="00453CC6" w:rsidP="002C430F">
            <w:pPr>
              <w:pStyle w:val="TableHead"/>
              <w:jc w:val="right"/>
              <w:rPr>
                <w:sz w:val="20"/>
                <w:szCs w:val="20"/>
              </w:rPr>
            </w:pPr>
            <w:r>
              <w:rPr>
                <w:sz w:val="20"/>
                <w:szCs w:val="20"/>
              </w:rPr>
              <w:t>Total</w:t>
            </w:r>
          </w:p>
        </w:tc>
      </w:tr>
      <w:tr w:rsidR="00453CC6" w:rsidRPr="009729BD">
        <w:tblPrEx>
          <w:tblCellMar>
            <w:top w:w="0" w:type="dxa"/>
            <w:bottom w:w="0" w:type="dxa"/>
          </w:tblCellMar>
        </w:tblPrEx>
        <w:tc>
          <w:tcPr>
            <w:tcW w:w="1704" w:type="dxa"/>
            <w:tcBorders>
              <w:top w:val="single" w:sz="12" w:space="0" w:color="000000"/>
            </w:tcBorders>
            <w:shd w:val="clear" w:color="auto" w:fill="auto"/>
          </w:tcPr>
          <w:p w:rsidR="00453CC6" w:rsidRDefault="00453CC6" w:rsidP="002C430F">
            <w:pPr>
              <w:pStyle w:val="TableRowHead"/>
              <w:rPr>
                <w:sz w:val="20"/>
                <w:szCs w:val="20"/>
              </w:rPr>
            </w:pPr>
            <w:r>
              <w:rPr>
                <w:sz w:val="20"/>
                <w:szCs w:val="20"/>
              </w:rPr>
              <w:t>No. of care homes,</w:t>
            </w:r>
          </w:p>
          <w:p w:rsidR="00453CC6" w:rsidRPr="009729BD" w:rsidRDefault="00453CC6" w:rsidP="002C430F">
            <w:pPr>
              <w:pStyle w:val="TableRowHead"/>
              <w:rPr>
                <w:sz w:val="20"/>
                <w:szCs w:val="20"/>
              </w:rPr>
            </w:pPr>
            <w:r>
              <w:rPr>
                <w:sz w:val="20"/>
                <w:szCs w:val="20"/>
              </w:rPr>
              <w:t>learning disabilities</w:t>
            </w:r>
          </w:p>
        </w:tc>
        <w:tc>
          <w:tcPr>
            <w:tcW w:w="1704" w:type="dxa"/>
            <w:tcBorders>
              <w:top w:val="single" w:sz="12" w:space="0" w:color="000000"/>
            </w:tcBorders>
            <w:shd w:val="clear" w:color="auto" w:fill="auto"/>
          </w:tcPr>
          <w:p w:rsidR="00453CC6" w:rsidRPr="009729BD" w:rsidRDefault="00453CC6" w:rsidP="002C430F">
            <w:pPr>
              <w:pStyle w:val="Heading3Char"/>
              <w:jc w:val="right"/>
              <w:rPr>
                <w:sz w:val="20"/>
                <w:szCs w:val="20"/>
              </w:rPr>
            </w:pPr>
            <w:r>
              <w:rPr>
                <w:sz w:val="20"/>
                <w:szCs w:val="20"/>
              </w:rPr>
              <w:t>13%</w:t>
            </w:r>
          </w:p>
        </w:tc>
        <w:tc>
          <w:tcPr>
            <w:tcW w:w="1704" w:type="dxa"/>
            <w:tcBorders>
              <w:top w:val="single" w:sz="12" w:space="0" w:color="000000"/>
            </w:tcBorders>
            <w:shd w:val="clear" w:color="auto" w:fill="auto"/>
          </w:tcPr>
          <w:p w:rsidR="00453CC6" w:rsidRPr="009729BD" w:rsidRDefault="00453CC6" w:rsidP="002C430F">
            <w:pPr>
              <w:pStyle w:val="Heading3Char"/>
              <w:jc w:val="right"/>
              <w:rPr>
                <w:sz w:val="20"/>
                <w:szCs w:val="20"/>
              </w:rPr>
            </w:pPr>
            <w:r>
              <w:rPr>
                <w:sz w:val="20"/>
                <w:szCs w:val="20"/>
              </w:rPr>
              <w:t>22%</w:t>
            </w:r>
          </w:p>
        </w:tc>
        <w:tc>
          <w:tcPr>
            <w:tcW w:w="1705" w:type="dxa"/>
            <w:tcBorders>
              <w:top w:val="single" w:sz="12" w:space="0" w:color="000000"/>
            </w:tcBorders>
            <w:shd w:val="clear" w:color="auto" w:fill="auto"/>
          </w:tcPr>
          <w:p w:rsidR="00453CC6" w:rsidRPr="009729BD" w:rsidRDefault="00453CC6" w:rsidP="002C430F">
            <w:pPr>
              <w:pStyle w:val="Heading3Char"/>
              <w:jc w:val="right"/>
              <w:rPr>
                <w:sz w:val="20"/>
                <w:szCs w:val="20"/>
              </w:rPr>
            </w:pPr>
            <w:r>
              <w:rPr>
                <w:sz w:val="20"/>
                <w:szCs w:val="20"/>
              </w:rPr>
              <w:t>65%</w:t>
            </w:r>
          </w:p>
        </w:tc>
        <w:tc>
          <w:tcPr>
            <w:tcW w:w="1705" w:type="dxa"/>
            <w:tcBorders>
              <w:top w:val="single" w:sz="12" w:space="0" w:color="000000"/>
            </w:tcBorders>
            <w:shd w:val="clear" w:color="auto" w:fill="auto"/>
          </w:tcPr>
          <w:p w:rsidR="00453CC6" w:rsidRPr="009729BD" w:rsidRDefault="0042690E" w:rsidP="002C430F">
            <w:pPr>
              <w:pStyle w:val="Heading3Char"/>
              <w:jc w:val="right"/>
              <w:rPr>
                <w:sz w:val="20"/>
                <w:szCs w:val="20"/>
              </w:rPr>
            </w:pPr>
            <w:r>
              <w:rPr>
                <w:sz w:val="20"/>
                <w:szCs w:val="20"/>
              </w:rPr>
              <w:t>30</w:t>
            </w:r>
            <w:r w:rsidR="00453CC6">
              <w:rPr>
                <w:sz w:val="20"/>
                <w:szCs w:val="20"/>
              </w:rPr>
              <w:t>0</w:t>
            </w:r>
          </w:p>
        </w:tc>
      </w:tr>
      <w:tr w:rsidR="00453CC6" w:rsidRPr="009729BD">
        <w:tblPrEx>
          <w:tblCellMar>
            <w:top w:w="0" w:type="dxa"/>
            <w:bottom w:w="0" w:type="dxa"/>
          </w:tblCellMar>
        </w:tblPrEx>
        <w:tc>
          <w:tcPr>
            <w:tcW w:w="1704" w:type="dxa"/>
            <w:shd w:val="clear" w:color="auto" w:fill="auto"/>
          </w:tcPr>
          <w:p w:rsidR="00453CC6" w:rsidRPr="009729BD" w:rsidRDefault="00453CC6" w:rsidP="002C430F">
            <w:pPr>
              <w:pStyle w:val="TableRowHead"/>
              <w:rPr>
                <w:sz w:val="20"/>
                <w:szCs w:val="20"/>
              </w:rPr>
            </w:pPr>
            <w:r>
              <w:rPr>
                <w:sz w:val="20"/>
                <w:szCs w:val="20"/>
              </w:rPr>
              <w:t>No. of residents with learning disabilities</w:t>
            </w:r>
          </w:p>
        </w:tc>
        <w:tc>
          <w:tcPr>
            <w:tcW w:w="1704" w:type="dxa"/>
            <w:shd w:val="clear" w:color="auto" w:fill="auto"/>
          </w:tcPr>
          <w:p w:rsidR="00453CC6" w:rsidRPr="009729BD" w:rsidRDefault="00453CC6" w:rsidP="002C430F">
            <w:pPr>
              <w:pStyle w:val="Heading3Char"/>
              <w:jc w:val="right"/>
              <w:rPr>
                <w:sz w:val="20"/>
                <w:szCs w:val="20"/>
              </w:rPr>
            </w:pPr>
            <w:r>
              <w:rPr>
                <w:sz w:val="20"/>
                <w:szCs w:val="20"/>
              </w:rPr>
              <w:t>11%</w:t>
            </w:r>
          </w:p>
        </w:tc>
        <w:tc>
          <w:tcPr>
            <w:tcW w:w="1704" w:type="dxa"/>
            <w:shd w:val="clear" w:color="auto" w:fill="auto"/>
          </w:tcPr>
          <w:p w:rsidR="00453CC6" w:rsidRPr="009729BD" w:rsidRDefault="00453CC6" w:rsidP="002C430F">
            <w:pPr>
              <w:pStyle w:val="Heading3Char"/>
              <w:jc w:val="right"/>
              <w:rPr>
                <w:sz w:val="20"/>
                <w:szCs w:val="20"/>
              </w:rPr>
            </w:pPr>
            <w:r>
              <w:rPr>
                <w:sz w:val="20"/>
                <w:szCs w:val="20"/>
              </w:rPr>
              <w:t>37%</w:t>
            </w:r>
          </w:p>
        </w:tc>
        <w:tc>
          <w:tcPr>
            <w:tcW w:w="1705" w:type="dxa"/>
            <w:shd w:val="clear" w:color="auto" w:fill="auto"/>
          </w:tcPr>
          <w:p w:rsidR="00453CC6" w:rsidRPr="009729BD" w:rsidRDefault="00453CC6" w:rsidP="002C430F">
            <w:pPr>
              <w:pStyle w:val="Heading3Char"/>
              <w:jc w:val="right"/>
              <w:rPr>
                <w:sz w:val="20"/>
                <w:szCs w:val="20"/>
              </w:rPr>
            </w:pPr>
            <w:r>
              <w:rPr>
                <w:sz w:val="20"/>
                <w:szCs w:val="20"/>
              </w:rPr>
              <w:t>51.5%</w:t>
            </w:r>
          </w:p>
        </w:tc>
        <w:tc>
          <w:tcPr>
            <w:tcW w:w="1705" w:type="dxa"/>
            <w:shd w:val="clear" w:color="auto" w:fill="auto"/>
          </w:tcPr>
          <w:p w:rsidR="00453CC6" w:rsidRPr="009729BD" w:rsidRDefault="0042690E" w:rsidP="002C430F">
            <w:pPr>
              <w:pStyle w:val="Heading3Char"/>
              <w:jc w:val="right"/>
              <w:rPr>
                <w:sz w:val="20"/>
                <w:szCs w:val="20"/>
              </w:rPr>
            </w:pPr>
            <w:r>
              <w:rPr>
                <w:sz w:val="20"/>
                <w:szCs w:val="20"/>
              </w:rPr>
              <w:t>2,40</w:t>
            </w:r>
            <w:r w:rsidR="00453CC6">
              <w:rPr>
                <w:sz w:val="20"/>
                <w:szCs w:val="20"/>
              </w:rPr>
              <w:t>0</w:t>
            </w:r>
          </w:p>
        </w:tc>
      </w:tr>
      <w:tr w:rsidR="00453CC6" w:rsidRPr="009729BD">
        <w:tblPrEx>
          <w:tblCellMar>
            <w:top w:w="0" w:type="dxa"/>
            <w:bottom w:w="0" w:type="dxa"/>
          </w:tblCellMar>
        </w:tblPrEx>
        <w:tc>
          <w:tcPr>
            <w:tcW w:w="1704" w:type="dxa"/>
            <w:shd w:val="clear" w:color="auto" w:fill="auto"/>
          </w:tcPr>
          <w:p w:rsidR="00453CC6" w:rsidRPr="009729BD" w:rsidRDefault="00453CC6" w:rsidP="002C430F">
            <w:pPr>
              <w:pStyle w:val="TableRowHead"/>
              <w:rPr>
                <w:sz w:val="20"/>
                <w:szCs w:val="20"/>
              </w:rPr>
            </w:pPr>
            <w:r>
              <w:rPr>
                <w:sz w:val="20"/>
                <w:szCs w:val="20"/>
              </w:rPr>
              <w:t>No of care homes, physical disabilities</w:t>
            </w:r>
          </w:p>
        </w:tc>
        <w:tc>
          <w:tcPr>
            <w:tcW w:w="1704" w:type="dxa"/>
            <w:shd w:val="clear" w:color="auto" w:fill="auto"/>
          </w:tcPr>
          <w:p w:rsidR="00453CC6" w:rsidRPr="009729BD" w:rsidRDefault="00453CC6" w:rsidP="002C430F">
            <w:pPr>
              <w:pStyle w:val="Heading3Char"/>
              <w:jc w:val="right"/>
              <w:rPr>
                <w:sz w:val="20"/>
                <w:szCs w:val="20"/>
              </w:rPr>
            </w:pPr>
            <w:r>
              <w:rPr>
                <w:sz w:val="20"/>
                <w:szCs w:val="20"/>
              </w:rPr>
              <w:t>8%</w:t>
            </w:r>
          </w:p>
        </w:tc>
        <w:tc>
          <w:tcPr>
            <w:tcW w:w="1704" w:type="dxa"/>
            <w:shd w:val="clear" w:color="auto" w:fill="auto"/>
          </w:tcPr>
          <w:p w:rsidR="00453CC6" w:rsidRPr="009729BD" w:rsidRDefault="00453CC6" w:rsidP="002C430F">
            <w:pPr>
              <w:pStyle w:val="Heading3Char"/>
              <w:jc w:val="right"/>
              <w:rPr>
                <w:sz w:val="20"/>
                <w:szCs w:val="20"/>
              </w:rPr>
            </w:pPr>
            <w:r>
              <w:rPr>
                <w:sz w:val="20"/>
                <w:szCs w:val="20"/>
              </w:rPr>
              <w:t>2%</w:t>
            </w:r>
          </w:p>
        </w:tc>
        <w:tc>
          <w:tcPr>
            <w:tcW w:w="1705" w:type="dxa"/>
            <w:shd w:val="clear" w:color="auto" w:fill="auto"/>
          </w:tcPr>
          <w:p w:rsidR="00453CC6" w:rsidRPr="009729BD" w:rsidRDefault="00453CC6" w:rsidP="002C430F">
            <w:pPr>
              <w:pStyle w:val="Heading3Char"/>
              <w:jc w:val="right"/>
              <w:rPr>
                <w:sz w:val="20"/>
                <w:szCs w:val="20"/>
              </w:rPr>
            </w:pPr>
            <w:r>
              <w:rPr>
                <w:sz w:val="20"/>
                <w:szCs w:val="20"/>
              </w:rPr>
              <w:t>73%</w:t>
            </w:r>
          </w:p>
        </w:tc>
        <w:tc>
          <w:tcPr>
            <w:tcW w:w="1705" w:type="dxa"/>
            <w:shd w:val="clear" w:color="auto" w:fill="auto"/>
          </w:tcPr>
          <w:p w:rsidR="00453CC6" w:rsidRPr="009729BD" w:rsidRDefault="00453CC6" w:rsidP="002C430F">
            <w:pPr>
              <w:pStyle w:val="Heading3Char"/>
              <w:jc w:val="right"/>
              <w:rPr>
                <w:sz w:val="20"/>
                <w:szCs w:val="20"/>
              </w:rPr>
            </w:pPr>
            <w:r>
              <w:rPr>
                <w:sz w:val="20"/>
                <w:szCs w:val="20"/>
              </w:rPr>
              <w:t>40</w:t>
            </w:r>
          </w:p>
        </w:tc>
      </w:tr>
      <w:tr w:rsidR="00453CC6" w:rsidRPr="009729BD">
        <w:tblPrEx>
          <w:tblCellMar>
            <w:top w:w="0" w:type="dxa"/>
            <w:bottom w:w="0" w:type="dxa"/>
          </w:tblCellMar>
        </w:tblPrEx>
        <w:tc>
          <w:tcPr>
            <w:tcW w:w="1704" w:type="dxa"/>
            <w:shd w:val="clear" w:color="auto" w:fill="auto"/>
          </w:tcPr>
          <w:p w:rsidR="00453CC6" w:rsidRPr="009729BD" w:rsidRDefault="00453CC6" w:rsidP="002C430F">
            <w:pPr>
              <w:pStyle w:val="TableRowHead"/>
              <w:rPr>
                <w:sz w:val="20"/>
                <w:szCs w:val="20"/>
              </w:rPr>
            </w:pPr>
            <w:r>
              <w:rPr>
                <w:sz w:val="20"/>
                <w:szCs w:val="20"/>
              </w:rPr>
              <w:t>No. of residents, physical disabilities</w:t>
            </w:r>
          </w:p>
        </w:tc>
        <w:tc>
          <w:tcPr>
            <w:tcW w:w="1704" w:type="dxa"/>
            <w:shd w:val="clear" w:color="auto" w:fill="auto"/>
          </w:tcPr>
          <w:p w:rsidR="00453CC6" w:rsidRPr="009729BD" w:rsidRDefault="00453CC6" w:rsidP="002C430F">
            <w:pPr>
              <w:pStyle w:val="Heading3Char"/>
              <w:jc w:val="right"/>
              <w:rPr>
                <w:sz w:val="20"/>
                <w:szCs w:val="20"/>
              </w:rPr>
            </w:pPr>
            <w:r>
              <w:rPr>
                <w:sz w:val="20"/>
                <w:szCs w:val="20"/>
              </w:rPr>
              <w:t>4%</w:t>
            </w:r>
          </w:p>
        </w:tc>
        <w:tc>
          <w:tcPr>
            <w:tcW w:w="1704" w:type="dxa"/>
            <w:shd w:val="clear" w:color="auto" w:fill="auto"/>
          </w:tcPr>
          <w:p w:rsidR="00453CC6" w:rsidRPr="009729BD" w:rsidRDefault="00453CC6" w:rsidP="002C430F">
            <w:pPr>
              <w:pStyle w:val="Heading3Char"/>
              <w:jc w:val="right"/>
              <w:rPr>
                <w:sz w:val="20"/>
                <w:szCs w:val="20"/>
              </w:rPr>
            </w:pPr>
            <w:r>
              <w:rPr>
                <w:sz w:val="20"/>
                <w:szCs w:val="20"/>
              </w:rPr>
              <w:t>18%</w:t>
            </w:r>
          </w:p>
        </w:tc>
        <w:tc>
          <w:tcPr>
            <w:tcW w:w="1705" w:type="dxa"/>
            <w:shd w:val="clear" w:color="auto" w:fill="auto"/>
          </w:tcPr>
          <w:p w:rsidR="00453CC6" w:rsidRPr="009729BD" w:rsidRDefault="00453CC6" w:rsidP="002C430F">
            <w:pPr>
              <w:pStyle w:val="Heading3Char"/>
              <w:jc w:val="right"/>
              <w:rPr>
                <w:sz w:val="20"/>
                <w:szCs w:val="20"/>
              </w:rPr>
            </w:pPr>
            <w:r>
              <w:rPr>
                <w:sz w:val="20"/>
                <w:szCs w:val="20"/>
              </w:rPr>
              <w:t>79%</w:t>
            </w:r>
          </w:p>
        </w:tc>
        <w:tc>
          <w:tcPr>
            <w:tcW w:w="1705" w:type="dxa"/>
            <w:shd w:val="clear" w:color="auto" w:fill="auto"/>
          </w:tcPr>
          <w:p w:rsidR="00453CC6" w:rsidRPr="009729BD" w:rsidRDefault="0042690E" w:rsidP="002C430F">
            <w:pPr>
              <w:pStyle w:val="Heading3Char"/>
              <w:jc w:val="right"/>
              <w:rPr>
                <w:sz w:val="20"/>
                <w:szCs w:val="20"/>
              </w:rPr>
            </w:pPr>
            <w:r>
              <w:rPr>
                <w:sz w:val="20"/>
                <w:szCs w:val="20"/>
              </w:rPr>
              <w:t>50</w:t>
            </w:r>
            <w:r w:rsidR="00453CC6">
              <w:rPr>
                <w:sz w:val="20"/>
                <w:szCs w:val="20"/>
              </w:rPr>
              <w:t>0</w:t>
            </w:r>
          </w:p>
        </w:tc>
      </w:tr>
      <w:tr w:rsidR="00453CC6" w:rsidRPr="009729BD">
        <w:tblPrEx>
          <w:tblCellMar>
            <w:top w:w="0" w:type="dxa"/>
            <w:bottom w:w="0" w:type="dxa"/>
          </w:tblCellMar>
        </w:tblPrEx>
        <w:tc>
          <w:tcPr>
            <w:tcW w:w="1704" w:type="dxa"/>
            <w:shd w:val="clear" w:color="auto" w:fill="auto"/>
          </w:tcPr>
          <w:p w:rsidR="00453CC6" w:rsidRPr="009729BD" w:rsidRDefault="00453CC6" w:rsidP="002C430F">
            <w:pPr>
              <w:pStyle w:val="TableRowHead"/>
              <w:rPr>
                <w:sz w:val="20"/>
                <w:szCs w:val="20"/>
              </w:rPr>
            </w:pPr>
            <w:r>
              <w:rPr>
                <w:sz w:val="20"/>
                <w:szCs w:val="20"/>
              </w:rPr>
              <w:t>No. of care homes, mental health difficulties</w:t>
            </w:r>
          </w:p>
        </w:tc>
        <w:tc>
          <w:tcPr>
            <w:tcW w:w="1704" w:type="dxa"/>
            <w:shd w:val="clear" w:color="auto" w:fill="auto"/>
          </w:tcPr>
          <w:p w:rsidR="00453CC6" w:rsidRPr="009729BD" w:rsidRDefault="00453CC6" w:rsidP="002C430F">
            <w:pPr>
              <w:pStyle w:val="Heading3Char"/>
              <w:jc w:val="right"/>
              <w:rPr>
                <w:sz w:val="20"/>
                <w:szCs w:val="20"/>
              </w:rPr>
            </w:pPr>
            <w:r>
              <w:rPr>
                <w:sz w:val="20"/>
                <w:szCs w:val="20"/>
              </w:rPr>
              <w:t>6%</w:t>
            </w:r>
          </w:p>
        </w:tc>
        <w:tc>
          <w:tcPr>
            <w:tcW w:w="1704" w:type="dxa"/>
            <w:shd w:val="clear" w:color="auto" w:fill="auto"/>
          </w:tcPr>
          <w:p w:rsidR="00453CC6" w:rsidRPr="009729BD" w:rsidRDefault="00453CC6" w:rsidP="002C430F">
            <w:pPr>
              <w:pStyle w:val="Heading3Char"/>
              <w:jc w:val="right"/>
              <w:rPr>
                <w:sz w:val="20"/>
                <w:szCs w:val="20"/>
              </w:rPr>
            </w:pPr>
            <w:r>
              <w:rPr>
                <w:sz w:val="20"/>
                <w:szCs w:val="20"/>
              </w:rPr>
              <w:t>19%</w:t>
            </w:r>
          </w:p>
        </w:tc>
        <w:tc>
          <w:tcPr>
            <w:tcW w:w="1705" w:type="dxa"/>
            <w:shd w:val="clear" w:color="auto" w:fill="auto"/>
          </w:tcPr>
          <w:p w:rsidR="00453CC6" w:rsidRPr="009729BD" w:rsidRDefault="00453CC6" w:rsidP="002C430F">
            <w:pPr>
              <w:pStyle w:val="Heading3Char"/>
              <w:jc w:val="right"/>
              <w:rPr>
                <w:sz w:val="20"/>
                <w:szCs w:val="20"/>
              </w:rPr>
            </w:pPr>
            <w:r>
              <w:rPr>
                <w:sz w:val="20"/>
                <w:szCs w:val="20"/>
              </w:rPr>
              <w:t>75%</w:t>
            </w:r>
          </w:p>
        </w:tc>
        <w:tc>
          <w:tcPr>
            <w:tcW w:w="1705" w:type="dxa"/>
            <w:shd w:val="clear" w:color="auto" w:fill="auto"/>
          </w:tcPr>
          <w:p w:rsidR="00453CC6" w:rsidRPr="009729BD" w:rsidRDefault="00453CC6" w:rsidP="002C430F">
            <w:pPr>
              <w:pStyle w:val="Heading3Char"/>
              <w:jc w:val="right"/>
              <w:rPr>
                <w:sz w:val="20"/>
                <w:szCs w:val="20"/>
              </w:rPr>
            </w:pPr>
            <w:r>
              <w:rPr>
                <w:sz w:val="20"/>
                <w:szCs w:val="20"/>
              </w:rPr>
              <w:t>80</w:t>
            </w:r>
          </w:p>
        </w:tc>
      </w:tr>
      <w:tr w:rsidR="00453CC6" w:rsidRPr="009729BD">
        <w:tblPrEx>
          <w:tblCellMar>
            <w:top w:w="0" w:type="dxa"/>
            <w:bottom w:w="0" w:type="dxa"/>
          </w:tblCellMar>
        </w:tblPrEx>
        <w:tc>
          <w:tcPr>
            <w:tcW w:w="1704" w:type="dxa"/>
            <w:shd w:val="clear" w:color="auto" w:fill="auto"/>
          </w:tcPr>
          <w:p w:rsidR="00453CC6" w:rsidRPr="009729BD" w:rsidRDefault="00453CC6" w:rsidP="002C430F">
            <w:pPr>
              <w:pStyle w:val="TableRowHead"/>
              <w:rPr>
                <w:sz w:val="20"/>
                <w:szCs w:val="20"/>
              </w:rPr>
            </w:pPr>
            <w:r>
              <w:rPr>
                <w:sz w:val="20"/>
                <w:szCs w:val="20"/>
              </w:rPr>
              <w:t>No. of residents mental health difficulties</w:t>
            </w:r>
          </w:p>
        </w:tc>
        <w:tc>
          <w:tcPr>
            <w:tcW w:w="1704" w:type="dxa"/>
            <w:shd w:val="clear" w:color="auto" w:fill="auto"/>
          </w:tcPr>
          <w:p w:rsidR="00453CC6" w:rsidRPr="009729BD" w:rsidRDefault="00453CC6" w:rsidP="002C430F">
            <w:pPr>
              <w:pStyle w:val="Heading3Char"/>
              <w:jc w:val="right"/>
              <w:rPr>
                <w:sz w:val="20"/>
                <w:szCs w:val="20"/>
              </w:rPr>
            </w:pPr>
            <w:r>
              <w:rPr>
                <w:sz w:val="20"/>
                <w:szCs w:val="20"/>
              </w:rPr>
              <w:t>4%</w:t>
            </w:r>
          </w:p>
        </w:tc>
        <w:tc>
          <w:tcPr>
            <w:tcW w:w="1704" w:type="dxa"/>
            <w:shd w:val="clear" w:color="auto" w:fill="auto"/>
          </w:tcPr>
          <w:p w:rsidR="00453CC6" w:rsidRPr="009729BD" w:rsidRDefault="00453CC6" w:rsidP="002C430F">
            <w:pPr>
              <w:pStyle w:val="Heading3Char"/>
              <w:jc w:val="right"/>
              <w:rPr>
                <w:sz w:val="20"/>
                <w:szCs w:val="20"/>
              </w:rPr>
            </w:pPr>
            <w:r>
              <w:rPr>
                <w:sz w:val="20"/>
                <w:szCs w:val="20"/>
              </w:rPr>
              <w:t>30%</w:t>
            </w:r>
          </w:p>
        </w:tc>
        <w:tc>
          <w:tcPr>
            <w:tcW w:w="1705" w:type="dxa"/>
            <w:shd w:val="clear" w:color="auto" w:fill="auto"/>
          </w:tcPr>
          <w:p w:rsidR="00453CC6" w:rsidRPr="009729BD" w:rsidRDefault="00453CC6" w:rsidP="002C430F">
            <w:pPr>
              <w:pStyle w:val="Heading3Char"/>
              <w:jc w:val="right"/>
              <w:rPr>
                <w:sz w:val="20"/>
                <w:szCs w:val="20"/>
              </w:rPr>
            </w:pPr>
            <w:r>
              <w:rPr>
                <w:sz w:val="20"/>
                <w:szCs w:val="20"/>
              </w:rPr>
              <w:t>66%</w:t>
            </w:r>
          </w:p>
        </w:tc>
        <w:tc>
          <w:tcPr>
            <w:tcW w:w="1705" w:type="dxa"/>
            <w:shd w:val="clear" w:color="auto" w:fill="auto"/>
          </w:tcPr>
          <w:p w:rsidR="00453CC6" w:rsidRPr="009729BD" w:rsidRDefault="00453CC6" w:rsidP="002C430F">
            <w:pPr>
              <w:pStyle w:val="Heading3Char"/>
              <w:jc w:val="right"/>
              <w:rPr>
                <w:sz w:val="20"/>
                <w:szCs w:val="20"/>
              </w:rPr>
            </w:pPr>
            <w:r>
              <w:rPr>
                <w:sz w:val="20"/>
                <w:szCs w:val="20"/>
              </w:rPr>
              <w:t>900</w:t>
            </w:r>
          </w:p>
        </w:tc>
      </w:tr>
    </w:tbl>
    <w:p w:rsidR="00453CC6" w:rsidRPr="00453CC6" w:rsidRDefault="00453CC6" w:rsidP="006B2928">
      <w:pPr>
        <w:rPr>
          <w:sz w:val="20"/>
          <w:szCs w:val="20"/>
          <w:lang w:val="en-GB"/>
        </w:rPr>
      </w:pPr>
      <w:r w:rsidRPr="00662ED0">
        <w:rPr>
          <w:sz w:val="20"/>
          <w:szCs w:val="20"/>
        </w:rPr>
        <w:t xml:space="preserve">Scottish government (2008) Statistical Bulletin: Health Series: </w:t>
      </w:r>
      <w:smartTag w:uri="urn:schemas-microsoft-com:office:smarttags" w:element="place">
        <w:smartTag w:uri="urn:schemas-microsoft-com:office:smarttags" w:element="City">
          <w:r w:rsidRPr="00662ED0">
            <w:rPr>
              <w:sz w:val="20"/>
              <w:szCs w:val="20"/>
            </w:rPr>
            <w:t>Care Homes</w:t>
          </w:r>
        </w:smartTag>
        <w:r w:rsidRPr="00662ED0">
          <w:rPr>
            <w:sz w:val="20"/>
            <w:szCs w:val="20"/>
          </w:rPr>
          <w:t xml:space="preserve">, </w:t>
        </w:r>
        <w:smartTag w:uri="urn:schemas-microsoft-com:office:smarttags" w:element="country-region">
          <w:r w:rsidRPr="00662ED0">
            <w:rPr>
              <w:sz w:val="20"/>
              <w:szCs w:val="20"/>
            </w:rPr>
            <w:t>Scotland</w:t>
          </w:r>
        </w:smartTag>
      </w:smartTag>
    </w:p>
    <w:p w:rsidR="00453CC6" w:rsidRDefault="004D144A" w:rsidP="00B15C22">
      <w:pPr>
        <w:pStyle w:val="Heading4"/>
        <w:rPr>
          <w:lang w:eastAsia="en-IE"/>
        </w:rPr>
      </w:pPr>
      <w:bookmarkStart w:id="55" w:name="_Toc267920926"/>
      <w:r>
        <w:rPr>
          <w:lang w:eastAsia="en-IE"/>
        </w:rPr>
        <w:t>Long Care S</w:t>
      </w:r>
      <w:r w:rsidR="00453CC6">
        <w:rPr>
          <w:lang w:eastAsia="en-IE"/>
        </w:rPr>
        <w:t>tay Hospitals</w:t>
      </w:r>
      <w:bookmarkEnd w:id="55"/>
    </w:p>
    <w:p w:rsidR="009F1C95" w:rsidRPr="002104F6" w:rsidRDefault="00453CC6" w:rsidP="006B2928">
      <w:bookmarkStart w:id="56" w:name="_Toc257037095"/>
      <w:bookmarkStart w:id="57" w:name="_Toc257038470"/>
      <w:bookmarkStart w:id="58" w:name="_Toc257038547"/>
      <w:bookmarkStart w:id="59" w:name="_Toc257125123"/>
      <w:bookmarkStart w:id="60" w:name="_Toc267920927"/>
      <w:bookmarkStart w:id="61" w:name="_Toc268161786"/>
      <w:bookmarkStart w:id="62" w:name="_Toc268162344"/>
      <w:bookmarkStart w:id="63" w:name="_Toc268162458"/>
      <w:bookmarkStart w:id="64" w:name="_Toc268275024"/>
      <w:r w:rsidRPr="008836BB">
        <w:t>O</w:t>
      </w:r>
      <w:r>
        <w:t xml:space="preserve">ne of the recommendations from </w:t>
      </w:r>
      <w:r w:rsidRPr="00AC3D13">
        <w:t>The Same as You? (2000)</w:t>
      </w:r>
      <w:r>
        <w:t xml:space="preserve"> was</w:t>
      </w:r>
      <w:r w:rsidRPr="008836BB">
        <w:t xml:space="preserve"> to close all long s</w:t>
      </w:r>
      <w:r>
        <w:t xml:space="preserve">tay hospitals for people with learning disabilities, of which 25 existed </w:t>
      </w:r>
      <w:r w:rsidRPr="008836BB">
        <w:t xml:space="preserve">in 2000. The </w:t>
      </w:r>
      <w:r w:rsidRPr="00AC3D13">
        <w:t xml:space="preserve">NHS QIS Learning Disability Services (2006) </w:t>
      </w:r>
      <w:r w:rsidRPr="00686FCF">
        <w:t xml:space="preserve">report </w:t>
      </w:r>
      <w:r w:rsidRPr="008836BB">
        <w:t>sta</w:t>
      </w:r>
      <w:r>
        <w:t xml:space="preserve">tes that out of 19 long stay hospitals, 8 were </w:t>
      </w:r>
      <w:r w:rsidRPr="008836BB">
        <w:t>still in use</w:t>
      </w:r>
      <w:r>
        <w:rPr>
          <w:rStyle w:val="FootnoteReference"/>
          <w:b/>
        </w:rPr>
        <w:footnoteReference w:id="39"/>
      </w:r>
      <w:r>
        <w:t>. T</w:t>
      </w:r>
      <w:r w:rsidRPr="008836BB">
        <w:t>hese hospitals were still in operation</w:t>
      </w:r>
      <w:r>
        <w:t xml:space="preserve"> in 2007, and 350 people </w:t>
      </w:r>
      <w:r w:rsidRPr="008836BB">
        <w:t xml:space="preserve">with learning disabilities </w:t>
      </w:r>
      <w:r>
        <w:t xml:space="preserve">were </w:t>
      </w:r>
      <w:r w:rsidRPr="008836BB">
        <w:t>resident in these services</w:t>
      </w:r>
      <w:r>
        <w:rPr>
          <w:rStyle w:val="FootnoteReference"/>
          <w:b/>
        </w:rPr>
        <w:footnoteReference w:id="40"/>
      </w:r>
      <w:r w:rsidRPr="008836BB">
        <w:t>.</w:t>
      </w:r>
      <w:bookmarkEnd w:id="56"/>
      <w:bookmarkEnd w:id="57"/>
      <w:bookmarkEnd w:id="58"/>
      <w:bookmarkEnd w:id="59"/>
      <w:bookmarkEnd w:id="60"/>
      <w:bookmarkEnd w:id="61"/>
      <w:bookmarkEnd w:id="62"/>
      <w:bookmarkEnd w:id="63"/>
      <w:bookmarkEnd w:id="64"/>
      <w:r w:rsidRPr="008836BB">
        <w:t xml:space="preserve"> </w:t>
      </w:r>
    </w:p>
    <w:p w:rsidR="004D144A" w:rsidRPr="00B15C22" w:rsidRDefault="004D144A" w:rsidP="00B15C22">
      <w:pPr>
        <w:pStyle w:val="Heading2"/>
        <w:rPr>
          <w:lang w:eastAsia="en-IE"/>
        </w:rPr>
      </w:pPr>
      <w:bookmarkStart w:id="65" w:name="_Toc247447257"/>
      <w:bookmarkStart w:id="66" w:name="_Toc246242120"/>
      <w:bookmarkStart w:id="67" w:name="_Toc255485469"/>
      <w:bookmarkStart w:id="68" w:name="_Toc255485491"/>
      <w:bookmarkStart w:id="69" w:name="_Toc267920928"/>
      <w:bookmarkStart w:id="70" w:name="_Toc255485510"/>
      <w:bookmarkStart w:id="71" w:name="_Toc267920944"/>
      <w:bookmarkStart w:id="72" w:name="_Toc279136907"/>
      <w:bookmarkEnd w:id="51"/>
      <w:bookmarkEnd w:id="52"/>
      <w:bookmarkEnd w:id="53"/>
      <w:bookmarkEnd w:id="54"/>
      <w:r w:rsidRPr="00B15C22">
        <w:rPr>
          <w:lang w:eastAsia="en-IE"/>
        </w:rPr>
        <w:t>4.2 M</w:t>
      </w:r>
      <w:bookmarkEnd w:id="70"/>
      <w:bookmarkEnd w:id="71"/>
      <w:r w:rsidRPr="00B15C22">
        <w:rPr>
          <w:lang w:eastAsia="en-IE"/>
        </w:rPr>
        <w:t>edical and allied health services</w:t>
      </w:r>
      <w:bookmarkEnd w:id="72"/>
    </w:p>
    <w:p w:rsidR="004D144A" w:rsidRDefault="00A45841" w:rsidP="004D144A">
      <w:r>
        <w:t xml:space="preserve">A range of specialist services </w:t>
      </w:r>
      <w:r w:rsidR="00F77C77">
        <w:t xml:space="preserve">are </w:t>
      </w:r>
      <w:r>
        <w:t xml:space="preserve">provided for people with disabilities, though there are efforts to promote the provision of health and allied health services through mainstream settings. </w:t>
      </w:r>
      <w:r w:rsidR="004D144A">
        <w:t>In 2005,</w:t>
      </w:r>
      <w:r>
        <w:t xml:space="preserve"> for instance,</w:t>
      </w:r>
      <w:r w:rsidR="004D144A">
        <w:t xml:space="preserve"> a mainstreaming team was established in the Scottish government's Equality Unit to promote and support equality issues, including disability equality, across government departments and in policies and programmes</w:t>
      </w:r>
      <w:r w:rsidR="004D144A">
        <w:rPr>
          <w:rStyle w:val="FootnoteReference"/>
          <w:rFonts w:cs="Arial"/>
        </w:rPr>
        <w:footnoteReference w:id="41"/>
      </w:r>
      <w:r w:rsidR="004D144A">
        <w:t xml:space="preserve">.  The Scottish government is focusing on mainstreaming some formerly specialist services via testing of self directed support systems and supported self assessment, and retaining other specialist services </w:t>
      </w:r>
      <w:r>
        <w:t xml:space="preserve">for those who </w:t>
      </w:r>
      <w:r w:rsidR="00E75B7A">
        <w:t xml:space="preserve">are deemed to </w:t>
      </w:r>
      <w:r>
        <w:t>require them</w:t>
      </w:r>
      <w:r w:rsidR="00E75B7A">
        <w:t>.</w:t>
      </w:r>
    </w:p>
    <w:p w:rsidR="004D144A" w:rsidRDefault="004D144A" w:rsidP="004D144A">
      <w:pPr>
        <w:pStyle w:val="Heading2"/>
        <w:rPr>
          <w:lang w:eastAsia="en-IE"/>
        </w:rPr>
      </w:pPr>
      <w:bookmarkStart w:id="73" w:name="_Toc279136908"/>
      <w:r>
        <w:t>4.3 Housing</w:t>
      </w:r>
      <w:bookmarkEnd w:id="73"/>
      <w:r>
        <w:rPr>
          <w:lang w:eastAsia="en-IE"/>
        </w:rPr>
        <w:t xml:space="preserve"> </w:t>
      </w:r>
    </w:p>
    <w:p w:rsidR="004D144A" w:rsidRDefault="004D144A" w:rsidP="004D144A">
      <w:pPr>
        <w:rPr>
          <w:rFonts w:cs="Arial"/>
        </w:rPr>
      </w:pPr>
      <w:r>
        <w:rPr>
          <w:rFonts w:cs="Arial"/>
        </w:rPr>
        <w:t xml:space="preserve">In </w:t>
      </w:r>
      <w:smartTag w:uri="urn:schemas-microsoft-com:office:smarttags" w:element="country-region">
        <w:smartTag w:uri="urn:schemas-microsoft-com:office:smarttags" w:element="place">
          <w:r>
            <w:rPr>
              <w:rFonts w:cs="Arial"/>
            </w:rPr>
            <w:t>Scotland</w:t>
          </w:r>
        </w:smartTag>
      </w:smartTag>
      <w:r>
        <w:rPr>
          <w:rFonts w:cs="Arial"/>
        </w:rPr>
        <w:t xml:space="preserve"> housing for people with disabilities and older people who require subsidised housing is provided by housing associations and local authorities</w:t>
      </w:r>
      <w:r>
        <w:rPr>
          <w:rStyle w:val="FootnoteReference"/>
          <w:rFonts w:cs="Arial"/>
        </w:rPr>
        <w:footnoteReference w:id="42"/>
      </w:r>
      <w:r>
        <w:rPr>
          <w:rFonts w:cs="Arial"/>
        </w:rPr>
        <w:t>. The Scottish Housing Regulator (under the Department of Health and Wellbeing) was established with the purpose</w:t>
      </w:r>
    </w:p>
    <w:p w:rsidR="004D144A" w:rsidRDefault="004D144A" w:rsidP="004D144A">
      <w:pPr>
        <w:rPr>
          <w:rFonts w:cs="Arial"/>
        </w:rPr>
      </w:pPr>
      <w:r>
        <w:rPr>
          <w:rFonts w:cs="Arial"/>
        </w:rPr>
        <w:tab/>
        <w:t xml:space="preserve">"to protect the interests of current and future tenants, and other </w:t>
      </w:r>
      <w:r>
        <w:rPr>
          <w:rFonts w:cs="Arial"/>
        </w:rPr>
        <w:tab/>
        <w:t xml:space="preserve">consumers of the housing and homelessness services provided by </w:t>
      </w:r>
      <w:r>
        <w:rPr>
          <w:rFonts w:cs="Arial"/>
        </w:rPr>
        <w:tab/>
        <w:t>registered social landlords and local authorities"</w:t>
      </w:r>
      <w:r>
        <w:rPr>
          <w:rStyle w:val="FootnoteReference"/>
          <w:rFonts w:cs="Arial"/>
        </w:rPr>
        <w:footnoteReference w:id="43"/>
      </w:r>
      <w:r>
        <w:rPr>
          <w:rFonts w:cs="Arial"/>
        </w:rPr>
        <w:tab/>
      </w:r>
      <w:r>
        <w:rPr>
          <w:rFonts w:cs="Arial"/>
        </w:rPr>
        <w:tab/>
        <w:t xml:space="preserve"> </w:t>
      </w:r>
    </w:p>
    <w:p w:rsidR="004D144A" w:rsidRDefault="004D144A" w:rsidP="004D144A">
      <w:pPr>
        <w:rPr>
          <w:rFonts w:cs="Arial"/>
        </w:rPr>
      </w:pPr>
      <w:r>
        <w:rPr>
          <w:rFonts w:cs="Arial"/>
        </w:rPr>
        <w:t xml:space="preserve">Local authorities also provide programmes in order to meet specific housing needs for vulnerable groups to help them continue to live in their own homes.   </w:t>
      </w:r>
    </w:p>
    <w:p w:rsidR="004D144A" w:rsidRPr="009E2974" w:rsidRDefault="004D144A" w:rsidP="004D144A">
      <w:pPr>
        <w:rPr>
          <w:rFonts w:cs="Arial"/>
        </w:rPr>
      </w:pPr>
      <w:r>
        <w:rPr>
          <w:rFonts w:cs="Arial"/>
        </w:rPr>
        <w:t>As noted earlier, an estimated 23,000 adults with learning disabilities were known to local authorities across Scotland in September 2007, 30% of whom are either owner occupiers or living in their own tenancies. This figure represents nearly "a third of all adults with learning disabilities and includes 7% of all 16 - 20 year olds with learning disabilities"</w:t>
      </w:r>
      <w:r>
        <w:rPr>
          <w:rStyle w:val="FootnoteReference"/>
          <w:rFonts w:cs="Arial"/>
        </w:rPr>
        <w:footnoteReference w:id="44"/>
      </w:r>
      <w:r>
        <w:rPr>
          <w:rFonts w:cs="Arial"/>
        </w:rPr>
        <w:t xml:space="preserve">. </w:t>
      </w:r>
    </w:p>
    <w:p w:rsidR="004D144A" w:rsidRDefault="004D144A" w:rsidP="004D144A">
      <w:pPr>
        <w:pStyle w:val="Heading2"/>
      </w:pPr>
      <w:bookmarkStart w:id="74" w:name="_Toc267920921"/>
      <w:bookmarkStart w:id="75" w:name="_Toc279136909"/>
      <w:r>
        <w:rPr>
          <w:lang w:eastAsia="en-IE"/>
        </w:rPr>
        <w:t>4.4 Assessment of Need</w:t>
      </w:r>
      <w:bookmarkEnd w:id="74"/>
      <w:bookmarkEnd w:id="75"/>
    </w:p>
    <w:p w:rsidR="004D144A" w:rsidRDefault="004D144A" w:rsidP="004D144A">
      <w:pPr>
        <w:rPr>
          <w:lang w:eastAsia="en-IE"/>
        </w:rPr>
      </w:pPr>
      <w:r>
        <w:rPr>
          <w:lang w:eastAsia="en-IE"/>
        </w:rPr>
        <w:t>The local authorities' social services departments are responsible for conducting assessment of needs for people with disabilities and the delivery of these services</w:t>
      </w:r>
      <w:r>
        <w:rPr>
          <w:rStyle w:val="FootnoteReference"/>
          <w:lang w:eastAsia="en-IE"/>
        </w:rPr>
        <w:footnoteReference w:id="45"/>
      </w:r>
      <w:r>
        <w:rPr>
          <w:lang w:eastAsia="en-IE"/>
        </w:rPr>
        <w:t xml:space="preserve"> and social welfare benefits</w:t>
      </w:r>
      <w:r>
        <w:rPr>
          <w:rStyle w:val="FootnoteReference"/>
          <w:lang w:eastAsia="en-IE"/>
        </w:rPr>
        <w:footnoteReference w:id="46"/>
      </w:r>
      <w:r>
        <w:rPr>
          <w:lang w:eastAsia="en-IE"/>
        </w:rPr>
        <w:t xml:space="preserve">. Like </w:t>
      </w:r>
      <w:smartTag w:uri="urn:schemas-microsoft-com:office:smarttags" w:element="country-region">
        <w:smartTag w:uri="urn:schemas-microsoft-com:office:smarttags" w:element="place">
          <w:r>
            <w:rPr>
              <w:lang w:eastAsia="en-IE"/>
            </w:rPr>
            <w:t>England</w:t>
          </w:r>
        </w:smartTag>
      </w:smartTag>
      <w:r>
        <w:rPr>
          <w:lang w:eastAsia="en-IE"/>
        </w:rPr>
        <w:t xml:space="preserve">, regional variations exist in the provision of services offered in </w:t>
      </w:r>
      <w:smartTag w:uri="urn:schemas-microsoft-com:office:smarttags" w:element="country-region">
        <w:smartTag w:uri="urn:schemas-microsoft-com:office:smarttags" w:element="place">
          <w:r>
            <w:rPr>
              <w:lang w:eastAsia="en-IE"/>
            </w:rPr>
            <w:t>Scotland</w:t>
          </w:r>
        </w:smartTag>
      </w:smartTag>
      <w:r>
        <w:rPr>
          <w:lang w:eastAsia="en-IE"/>
        </w:rPr>
        <w:t xml:space="preserve">. The Learning Disability Alliance stated that in the Scottish system </w:t>
      </w:r>
    </w:p>
    <w:p w:rsidR="004D144A" w:rsidRDefault="004D144A" w:rsidP="004D144A">
      <w:pPr>
        <w:rPr>
          <w:lang w:eastAsia="en-IE"/>
        </w:rPr>
      </w:pPr>
      <w:r>
        <w:rPr>
          <w:lang w:eastAsia="en-IE"/>
        </w:rPr>
        <w:tab/>
        <w:t xml:space="preserve">"Community care services are not universal. While there is a right to an </w:t>
      </w:r>
      <w:r>
        <w:rPr>
          <w:lang w:eastAsia="en-IE"/>
        </w:rPr>
        <w:tab/>
        <w:t xml:space="preserve">assessment of need, local authorities have a degree of discretion over </w:t>
      </w:r>
      <w:r>
        <w:rPr>
          <w:lang w:eastAsia="en-IE"/>
        </w:rPr>
        <w:tab/>
        <w:t xml:space="preserve">how and when they supply services". </w:t>
      </w:r>
      <w:r>
        <w:rPr>
          <w:rStyle w:val="FootnoteReference"/>
          <w:rFonts w:cs="Arial"/>
          <w:color w:val="000000"/>
          <w:lang w:eastAsia="en-IE"/>
        </w:rPr>
        <w:footnoteReference w:id="47"/>
      </w:r>
      <w:r>
        <w:rPr>
          <w:lang w:eastAsia="en-IE"/>
        </w:rPr>
        <w:t xml:space="preserve">.   </w:t>
      </w:r>
    </w:p>
    <w:p w:rsidR="004D144A" w:rsidRDefault="004D144A" w:rsidP="00B15C22">
      <w:pPr>
        <w:pStyle w:val="Heading4"/>
        <w:rPr>
          <w:lang w:eastAsia="en-IE"/>
        </w:rPr>
      </w:pPr>
      <w:bookmarkStart w:id="76" w:name="_Toc267920922"/>
      <w:r>
        <w:rPr>
          <w:lang w:eastAsia="en-IE"/>
        </w:rPr>
        <w:t>Supported self assessment</w:t>
      </w:r>
      <w:bookmarkEnd w:id="76"/>
      <w:r>
        <w:rPr>
          <w:lang w:eastAsia="en-IE"/>
        </w:rPr>
        <w:t xml:space="preserve"> </w:t>
      </w:r>
    </w:p>
    <w:p w:rsidR="004D144A" w:rsidRDefault="004D144A" w:rsidP="004D144A">
      <w:pPr>
        <w:rPr>
          <w:lang w:eastAsia="en-IE"/>
        </w:rPr>
      </w:pPr>
      <w:r>
        <w:rPr>
          <w:lang w:eastAsia="en-IE"/>
        </w:rPr>
        <w:t xml:space="preserve">The government's </w:t>
      </w:r>
      <w:r w:rsidRPr="008866BA">
        <w:rPr>
          <w:rFonts w:ascii="Arial Bold" w:hAnsi="Arial Bold"/>
          <w:b/>
          <w:lang w:eastAsia="en-IE"/>
        </w:rPr>
        <w:t xml:space="preserve">Changing Lives </w:t>
      </w:r>
      <w:r>
        <w:rPr>
          <w:rFonts w:ascii="Arial Bold" w:hAnsi="Arial Bold"/>
          <w:b/>
          <w:lang w:eastAsia="en-IE"/>
        </w:rPr>
        <w:t>R</w:t>
      </w:r>
      <w:r w:rsidRPr="008866BA">
        <w:rPr>
          <w:rFonts w:ascii="Arial Bold" w:hAnsi="Arial Bold"/>
          <w:b/>
          <w:lang w:eastAsia="en-IE"/>
        </w:rPr>
        <w:t>eport</w:t>
      </w:r>
      <w:r>
        <w:rPr>
          <w:rStyle w:val="FootnoteReference"/>
          <w:lang w:eastAsia="en-IE"/>
        </w:rPr>
        <w:footnoteReference w:id="48"/>
      </w:r>
      <w:r>
        <w:rPr>
          <w:lang w:eastAsia="en-IE"/>
        </w:rPr>
        <w:t xml:space="preserve"> and the Independent Living Movement have argued for a more people centred approach to the assessment process for people with disabilities. One recommendation is that people with disabilities should be supported to carry out self assessment</w:t>
      </w:r>
      <w:r>
        <w:rPr>
          <w:rStyle w:val="FootnoteReference"/>
          <w:lang w:eastAsia="en-IE"/>
        </w:rPr>
        <w:footnoteReference w:id="49"/>
      </w:r>
      <w:r>
        <w:rPr>
          <w:lang w:eastAsia="en-IE"/>
        </w:rPr>
        <w:t xml:space="preserve">. </w:t>
      </w:r>
    </w:p>
    <w:p w:rsidR="004D144A" w:rsidRDefault="004D144A" w:rsidP="004D144A">
      <w:pPr>
        <w:rPr>
          <w:lang w:eastAsia="en-IE"/>
        </w:rPr>
      </w:pPr>
      <w:r>
        <w:rPr>
          <w:lang w:eastAsia="en-IE"/>
        </w:rPr>
        <w:t xml:space="preserve">In Control </w:t>
      </w:r>
      <w:smartTag w:uri="urn:schemas-microsoft-com:office:smarttags" w:element="country-region">
        <w:smartTag w:uri="urn:schemas-microsoft-com:office:smarttags" w:element="place">
          <w:r>
            <w:rPr>
              <w:lang w:eastAsia="en-IE"/>
            </w:rPr>
            <w:t>Scotland</w:t>
          </w:r>
        </w:smartTag>
      </w:smartTag>
      <w:r>
        <w:rPr>
          <w:rStyle w:val="FootnoteReference"/>
          <w:lang w:eastAsia="en-IE"/>
        </w:rPr>
        <w:footnoteReference w:id="50"/>
      </w:r>
      <w:r>
        <w:rPr>
          <w:sz w:val="18"/>
          <w:szCs w:val="18"/>
          <w:lang w:eastAsia="en-IE"/>
        </w:rPr>
        <w:t xml:space="preserve"> </w:t>
      </w:r>
      <w:r>
        <w:rPr>
          <w:lang w:eastAsia="en-IE"/>
        </w:rPr>
        <w:t xml:space="preserve">and other organisations, have worked with a number of councils in </w:t>
      </w:r>
      <w:smartTag w:uri="urn:schemas-microsoft-com:office:smarttags" w:element="country-region">
        <w:smartTag w:uri="urn:schemas-microsoft-com:office:smarttags" w:element="place">
          <w:r>
            <w:rPr>
              <w:lang w:eastAsia="en-IE"/>
            </w:rPr>
            <w:t>Scotland</w:t>
          </w:r>
        </w:smartTag>
      </w:smartTag>
      <w:r>
        <w:rPr>
          <w:lang w:eastAsia="en-IE"/>
        </w:rPr>
        <w:t xml:space="preserve"> to pilot a system of supported self assessment and resource allocation. In 2008, the North Lanarkshire Council Social Work services in partnership with In Control </w:t>
      </w:r>
      <w:smartTag w:uri="urn:schemas-microsoft-com:office:smarttags" w:element="country-region">
        <w:smartTag w:uri="urn:schemas-microsoft-com:office:smarttags" w:element="place">
          <w:r>
            <w:rPr>
              <w:lang w:eastAsia="en-IE"/>
            </w:rPr>
            <w:t>Scotland</w:t>
          </w:r>
        </w:smartTag>
      </w:smartTag>
      <w:r>
        <w:rPr>
          <w:lang w:eastAsia="en-IE"/>
        </w:rPr>
        <w:t xml:space="preserve"> piloted a self directed support system. A project team was set up in the North Lanarkshire Council that included an independent consultant.  </w:t>
      </w:r>
    </w:p>
    <w:p w:rsidR="004D144A" w:rsidRDefault="004D144A" w:rsidP="004D144A">
      <w:pPr>
        <w:rPr>
          <w:lang w:eastAsia="en-IE"/>
        </w:rPr>
      </w:pPr>
      <w:r>
        <w:rPr>
          <w:lang w:eastAsia="en-IE"/>
        </w:rPr>
        <w:t>Participants for the scheme were selected on the following basis:</w:t>
      </w:r>
    </w:p>
    <w:p w:rsidR="004D144A" w:rsidRDefault="004D144A" w:rsidP="004D144A">
      <w:pPr>
        <w:pStyle w:val="ListBullet"/>
        <w:rPr>
          <w:lang w:eastAsia="en-IE"/>
        </w:rPr>
      </w:pPr>
      <w:r>
        <w:rPr>
          <w:lang w:eastAsia="en-IE"/>
        </w:rPr>
        <w:t>People who did not have an existing service and who were not having their support needs met</w:t>
      </w:r>
    </w:p>
    <w:p w:rsidR="004D144A" w:rsidRDefault="004D144A" w:rsidP="004D144A">
      <w:pPr>
        <w:pStyle w:val="ListBullet"/>
        <w:rPr>
          <w:lang w:eastAsia="en-IE"/>
        </w:rPr>
      </w:pPr>
      <w:r>
        <w:rPr>
          <w:lang w:eastAsia="en-IE"/>
        </w:rPr>
        <w:t>People who needed to change the way their existing support was being provided</w:t>
      </w:r>
    </w:p>
    <w:p w:rsidR="00902E4F" w:rsidRDefault="004D144A" w:rsidP="00902E4F">
      <w:pPr>
        <w:pStyle w:val="ListBullet"/>
        <w:rPr>
          <w:lang w:eastAsia="en-IE"/>
        </w:rPr>
      </w:pPr>
      <w:r>
        <w:rPr>
          <w:lang w:eastAsia="en-IE"/>
        </w:rPr>
        <w:t xml:space="preserve">People across 6 different localities in </w:t>
      </w:r>
      <w:smartTag w:uri="urn:schemas-microsoft-com:office:smarttags" w:element="place">
        <w:r>
          <w:rPr>
            <w:lang w:eastAsia="en-IE"/>
          </w:rPr>
          <w:t>North Lanarkshire</w:t>
        </w:r>
      </w:smartTag>
      <w:r>
        <w:rPr>
          <w:lang w:eastAsia="en-IE"/>
        </w:rPr>
        <w:t xml:space="preserve"> region</w:t>
      </w:r>
    </w:p>
    <w:p w:rsidR="004D144A" w:rsidRDefault="004D144A" w:rsidP="004D144A">
      <w:pPr>
        <w:rPr>
          <w:lang w:eastAsia="en-IE"/>
        </w:rPr>
      </w:pPr>
      <w:r>
        <w:rPr>
          <w:lang w:eastAsia="en-IE"/>
        </w:rPr>
        <w:t>Social workers in each of the localities identified and contacted participants who fit the project criteria and who had current community care assessments. The project team met with the participants, their families, and their social workers to discuss the project. Participants also completed a self assessment questionnaire to give the project team an idea of the amount of money they or their family would need to develop their support programme. The answers to the questionnaire were entered into the project's Resource Allocation System (RAS).</w:t>
      </w:r>
    </w:p>
    <w:p w:rsidR="004D144A" w:rsidRDefault="004D144A" w:rsidP="004D144A">
      <w:pPr>
        <w:rPr>
          <w:lang w:eastAsia="en-IE"/>
        </w:rPr>
      </w:pPr>
      <w:r>
        <w:rPr>
          <w:lang w:eastAsia="en-IE"/>
        </w:rPr>
        <w:t xml:space="preserve">Participants received training  and support in employing a personal care assistant from the Scottish Personal Assistant Employers Network (SPAEN). Participants also received assistance from the project team and In Control </w:t>
      </w:r>
      <w:smartTag w:uri="urn:schemas-microsoft-com:office:smarttags" w:element="country-region">
        <w:smartTag w:uri="urn:schemas-microsoft-com:office:smarttags" w:element="place">
          <w:r>
            <w:rPr>
              <w:lang w:eastAsia="en-IE"/>
            </w:rPr>
            <w:t>Scotland</w:t>
          </w:r>
        </w:smartTag>
      </w:smartTag>
      <w:r>
        <w:rPr>
          <w:lang w:eastAsia="en-IE"/>
        </w:rPr>
        <w:t xml:space="preserve"> in developing their support programmes. The project's progress was reviewed after the first 3 months.  </w:t>
      </w:r>
    </w:p>
    <w:p w:rsidR="002F4702" w:rsidRDefault="004D144A" w:rsidP="004D144A">
      <w:pPr>
        <w:pStyle w:val="ListBullet"/>
        <w:numPr>
          <w:ilvl w:val="0"/>
          <w:numId w:val="0"/>
        </w:numPr>
        <w:rPr>
          <w:lang w:eastAsia="en-IE"/>
        </w:rPr>
      </w:pPr>
      <w:r>
        <w:rPr>
          <w:lang w:eastAsia="en-IE"/>
        </w:rPr>
        <w:t xml:space="preserve">The project was evaluated externally. One of the key findings was that service users had a positive experience of this system and that self directed support is the way forward for the future </w:t>
      </w:r>
      <w:r>
        <w:rPr>
          <w:rStyle w:val="FootnoteReference"/>
          <w:lang w:eastAsia="en-IE"/>
        </w:rPr>
        <w:footnoteReference w:id="51"/>
      </w:r>
      <w:r>
        <w:rPr>
          <w:lang w:eastAsia="en-IE"/>
        </w:rPr>
        <w:t xml:space="preserve"> </w:t>
      </w:r>
      <w:r>
        <w:rPr>
          <w:rStyle w:val="FootnoteReference"/>
        </w:rPr>
        <w:footnoteReference w:id="52"/>
      </w:r>
      <w:r>
        <w:rPr>
          <w:lang w:eastAsia="en-IE"/>
        </w:rPr>
        <w:t>.</w:t>
      </w:r>
    </w:p>
    <w:p w:rsidR="002F4702" w:rsidRDefault="002F4702" w:rsidP="002F4702">
      <w:pPr>
        <w:pStyle w:val="ListBullet"/>
        <w:numPr>
          <w:ilvl w:val="0"/>
          <w:numId w:val="0"/>
        </w:numPr>
        <w:rPr>
          <w:lang w:eastAsia="en-IE"/>
        </w:rPr>
      </w:pPr>
    </w:p>
    <w:p w:rsidR="004D144A" w:rsidRDefault="004D144A" w:rsidP="004D144A">
      <w:pPr>
        <w:rPr>
          <w:lang w:eastAsia="en-IE"/>
        </w:rPr>
      </w:pPr>
      <w:r>
        <w:rPr>
          <w:lang w:eastAsia="en-IE"/>
        </w:rPr>
        <w:t xml:space="preserve">The Scottish government (2009) has commented that the piloting of self supported assessment is still in its early stages. A key informant </w:t>
      </w:r>
      <w:r w:rsidR="00E75B7A">
        <w:rPr>
          <w:lang w:eastAsia="en-IE"/>
        </w:rPr>
        <w:t xml:space="preserve">for this background paper </w:t>
      </w:r>
      <w:r>
        <w:rPr>
          <w:lang w:eastAsia="en-IE"/>
        </w:rPr>
        <w:t xml:space="preserve">stated that </w:t>
      </w:r>
      <w:r>
        <w:rPr>
          <w:rFonts w:cs="Arial"/>
          <w:color w:val="000000"/>
          <w:lang w:eastAsia="en-IE"/>
        </w:rPr>
        <w:t>t</w:t>
      </w:r>
      <w:r w:rsidRPr="00703E65">
        <w:rPr>
          <w:rFonts w:cs="Arial"/>
          <w:color w:val="000000"/>
          <w:lang w:eastAsia="en-IE"/>
        </w:rPr>
        <w:t xml:space="preserve">he advantage of </w:t>
      </w:r>
      <w:r>
        <w:rPr>
          <w:rFonts w:cs="Arial"/>
          <w:color w:val="000000"/>
          <w:lang w:eastAsia="en-IE"/>
        </w:rPr>
        <w:t xml:space="preserve">supported </w:t>
      </w:r>
      <w:r w:rsidRPr="00703E65">
        <w:rPr>
          <w:rFonts w:cs="Arial"/>
          <w:color w:val="000000"/>
          <w:lang w:eastAsia="en-IE"/>
        </w:rPr>
        <w:t>self-assessment is th</w:t>
      </w:r>
      <w:r>
        <w:rPr>
          <w:rFonts w:cs="Arial"/>
          <w:color w:val="000000"/>
          <w:lang w:eastAsia="en-IE"/>
        </w:rPr>
        <w:t xml:space="preserve">at it allows applicants to </w:t>
      </w:r>
      <w:r w:rsidRPr="00703E65">
        <w:rPr>
          <w:rFonts w:cs="Arial"/>
          <w:color w:val="000000"/>
          <w:lang w:eastAsia="en-IE"/>
        </w:rPr>
        <w:t xml:space="preserve">clearly identify the assistance they need and </w:t>
      </w:r>
      <w:r>
        <w:rPr>
          <w:rFonts w:cs="Arial"/>
          <w:color w:val="000000"/>
          <w:lang w:eastAsia="en-IE"/>
        </w:rPr>
        <w:t xml:space="preserve">that </w:t>
      </w:r>
      <w:r w:rsidRPr="00703E65">
        <w:rPr>
          <w:rFonts w:cs="Arial"/>
          <w:color w:val="000000"/>
          <w:lang w:eastAsia="en-IE"/>
        </w:rPr>
        <w:t>provision may be made for people to receive help with this through peer support.</w:t>
      </w:r>
    </w:p>
    <w:p w:rsidR="00D177C7" w:rsidRDefault="00D177C7" w:rsidP="004D144A">
      <w:pPr>
        <w:pStyle w:val="Heading2"/>
        <w:rPr>
          <w:lang w:eastAsia="en-IE"/>
        </w:rPr>
      </w:pPr>
      <w:bookmarkStart w:id="77" w:name="_Toc279136910"/>
      <w:r>
        <w:rPr>
          <w:lang w:eastAsia="en-IE"/>
        </w:rPr>
        <w:t>4.5 Care support for people with disabil</w:t>
      </w:r>
      <w:r w:rsidR="0045664D">
        <w:rPr>
          <w:lang w:eastAsia="en-IE"/>
        </w:rPr>
        <w:t>i</w:t>
      </w:r>
      <w:r>
        <w:rPr>
          <w:lang w:eastAsia="en-IE"/>
        </w:rPr>
        <w:t>ties</w:t>
      </w:r>
      <w:bookmarkEnd w:id="77"/>
    </w:p>
    <w:p w:rsidR="0045664D" w:rsidRPr="0045664D" w:rsidRDefault="0045664D" w:rsidP="00B15C22">
      <w:pPr>
        <w:pStyle w:val="Heading4"/>
      </w:pPr>
      <w:r>
        <w:t>Home care support services</w:t>
      </w:r>
    </w:p>
    <w:p w:rsidR="00D177C7" w:rsidRDefault="00D177C7" w:rsidP="00D177C7">
      <w:pPr>
        <w:rPr>
          <w:lang w:val="en-US" w:bidi="en-US"/>
        </w:rPr>
      </w:pPr>
      <w:r>
        <w:rPr>
          <w:lang w:val="en-US" w:bidi="en-US"/>
        </w:rPr>
        <w:t>People with disabilities are assessed by their local authorities regarding home care support services</w:t>
      </w:r>
      <w:r w:rsidR="00E75B7A">
        <w:rPr>
          <w:lang w:val="en-US" w:bidi="en-US"/>
        </w:rPr>
        <w:t xml:space="preserve"> (such as home help, and support for personal care)</w:t>
      </w:r>
      <w:r>
        <w:rPr>
          <w:lang w:val="en-US" w:bidi="en-US"/>
        </w:rPr>
        <w:t>.</w:t>
      </w:r>
      <w:r w:rsidRPr="0097317F">
        <w:rPr>
          <w:lang w:val="en-US" w:bidi="en-US"/>
        </w:rPr>
        <w:t xml:space="preserve"> </w:t>
      </w:r>
      <w:r>
        <w:rPr>
          <w:lang w:val="en-US" w:bidi="en-US"/>
        </w:rPr>
        <w:t>Home care services are generally associated with older people. In 2009, out of 68,300 service users, 80% were aged 65 years and over</w:t>
      </w:r>
      <w:r>
        <w:rPr>
          <w:rStyle w:val="FootnoteReference"/>
          <w:lang w:bidi="en-US"/>
        </w:rPr>
        <w:footnoteReference w:id="53"/>
      </w:r>
      <w:r>
        <w:rPr>
          <w:lang w:val="en-US" w:bidi="en-US"/>
        </w:rPr>
        <w:t>. In the past local authorities provided home care services for people with disabilities, but increasingly the</w:t>
      </w:r>
      <w:r w:rsidR="00E75B7A">
        <w:rPr>
          <w:lang w:val="en-US" w:bidi="en-US"/>
        </w:rPr>
        <w:t xml:space="preserve">se services are being procured by local authorities </w:t>
      </w:r>
      <w:r>
        <w:rPr>
          <w:lang w:val="en-US" w:bidi="en-US"/>
        </w:rPr>
        <w:t>from the private and voluntary sector</w:t>
      </w:r>
      <w:r>
        <w:rPr>
          <w:rStyle w:val="FootnoteReference"/>
          <w:lang w:bidi="en-US"/>
        </w:rPr>
        <w:footnoteReference w:id="54"/>
      </w:r>
      <w:r>
        <w:rPr>
          <w:lang w:val="en-US" w:bidi="en-US"/>
        </w:rPr>
        <w:t xml:space="preserve">. Table </w:t>
      </w:r>
      <w:r w:rsidR="002104F6">
        <w:rPr>
          <w:lang w:val="en-US" w:bidi="en-US"/>
        </w:rPr>
        <w:t>6</w:t>
      </w:r>
      <w:r>
        <w:rPr>
          <w:lang w:val="en-US" w:bidi="en-US"/>
        </w:rPr>
        <w:t xml:space="preserve"> </w:t>
      </w:r>
      <w:r w:rsidR="00E75B7A">
        <w:rPr>
          <w:lang w:val="en-US" w:bidi="en-US"/>
        </w:rPr>
        <w:t xml:space="preserve">sets out </w:t>
      </w:r>
      <w:r>
        <w:rPr>
          <w:lang w:val="en-US" w:bidi="en-US"/>
        </w:rPr>
        <w:t>the number of people with disabilities that use this service.</w:t>
      </w:r>
    </w:p>
    <w:p w:rsidR="00F77C77" w:rsidRDefault="00F77C77" w:rsidP="00D177C7">
      <w:pPr>
        <w:pStyle w:val="TableTitle"/>
        <w:rPr>
          <w:lang w:val="en-US" w:bidi="en-US"/>
        </w:rPr>
        <w:sectPr w:rsidR="00F77C77" w:rsidSect="006B2928">
          <w:pgSz w:w="11906" w:h="16838"/>
          <w:pgMar w:top="1440" w:right="1800" w:bottom="1440" w:left="1800" w:header="708" w:footer="708" w:gutter="0"/>
          <w:cols w:space="720"/>
        </w:sectPr>
      </w:pPr>
    </w:p>
    <w:p w:rsidR="00D177C7" w:rsidRDefault="00D177C7" w:rsidP="00D177C7">
      <w:pPr>
        <w:pStyle w:val="TableTitle"/>
        <w:rPr>
          <w:lang w:val="en-US" w:bidi="en-US"/>
        </w:rPr>
      </w:pPr>
      <w:r>
        <w:rPr>
          <w:lang w:val="en-US" w:bidi="en-US"/>
        </w:rPr>
        <w:t>Table</w:t>
      </w:r>
      <w:r w:rsidR="002104F6">
        <w:rPr>
          <w:lang w:val="en-US" w:bidi="en-US"/>
        </w:rPr>
        <w:t xml:space="preserve"> 6.</w:t>
      </w:r>
      <w:r>
        <w:rPr>
          <w:lang w:val="en-US" w:bidi="en-US"/>
        </w:rPr>
        <w:t xml:space="preserve">  People with disabilities using home care services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420"/>
        <w:gridCol w:w="1420"/>
        <w:gridCol w:w="1420"/>
        <w:gridCol w:w="1420"/>
        <w:gridCol w:w="1421"/>
        <w:gridCol w:w="1421"/>
      </w:tblGrid>
      <w:tr w:rsidR="00D177C7" w:rsidRPr="00FC7BE9">
        <w:tblPrEx>
          <w:tblCellMar>
            <w:top w:w="0" w:type="dxa"/>
            <w:bottom w:w="0" w:type="dxa"/>
          </w:tblCellMar>
        </w:tblPrEx>
        <w:trPr>
          <w:tblHeader/>
        </w:trPr>
        <w:tc>
          <w:tcPr>
            <w:tcW w:w="1420" w:type="dxa"/>
            <w:vMerge w:val="restart"/>
            <w:shd w:val="clear" w:color="auto" w:fill="auto"/>
          </w:tcPr>
          <w:p w:rsidR="00D177C7" w:rsidRPr="00FC7BE9" w:rsidRDefault="00D177C7" w:rsidP="007F4905">
            <w:pPr>
              <w:pStyle w:val="TableHead"/>
              <w:jc w:val="right"/>
              <w:rPr>
                <w:sz w:val="20"/>
                <w:szCs w:val="20"/>
              </w:rPr>
            </w:pPr>
            <w:r w:rsidRPr="00FC7BE9">
              <w:rPr>
                <w:sz w:val="20"/>
                <w:szCs w:val="20"/>
              </w:rPr>
              <w:t>Client group</w:t>
            </w:r>
          </w:p>
        </w:tc>
        <w:tc>
          <w:tcPr>
            <w:tcW w:w="5681" w:type="dxa"/>
            <w:gridSpan w:val="4"/>
            <w:tcBorders>
              <w:bottom w:val="single" w:sz="12" w:space="0" w:color="000000"/>
            </w:tcBorders>
            <w:shd w:val="clear" w:color="auto" w:fill="auto"/>
          </w:tcPr>
          <w:p w:rsidR="00D177C7" w:rsidRPr="00FC7BE9" w:rsidRDefault="00D177C7" w:rsidP="007F4905">
            <w:pPr>
              <w:pStyle w:val="TableHead"/>
              <w:jc w:val="right"/>
              <w:rPr>
                <w:sz w:val="20"/>
                <w:szCs w:val="20"/>
              </w:rPr>
            </w:pPr>
            <w:r>
              <w:rPr>
                <w:sz w:val="20"/>
                <w:szCs w:val="20"/>
              </w:rPr>
              <w:t>Age Group</w:t>
            </w:r>
          </w:p>
        </w:tc>
        <w:tc>
          <w:tcPr>
            <w:tcW w:w="1421" w:type="dxa"/>
            <w:vMerge w:val="restart"/>
            <w:shd w:val="clear" w:color="auto" w:fill="auto"/>
          </w:tcPr>
          <w:p w:rsidR="00D177C7" w:rsidRPr="00FC7BE9" w:rsidRDefault="00D177C7" w:rsidP="007F4905">
            <w:pPr>
              <w:pStyle w:val="TableHead"/>
              <w:jc w:val="right"/>
              <w:rPr>
                <w:sz w:val="20"/>
                <w:szCs w:val="20"/>
              </w:rPr>
            </w:pPr>
            <w:r>
              <w:rPr>
                <w:sz w:val="20"/>
                <w:szCs w:val="20"/>
              </w:rPr>
              <w:t>Total clients</w:t>
            </w:r>
          </w:p>
        </w:tc>
      </w:tr>
      <w:tr w:rsidR="00D177C7" w:rsidRPr="00FC7BE9">
        <w:tblPrEx>
          <w:tblCellMar>
            <w:top w:w="0" w:type="dxa"/>
            <w:bottom w:w="0" w:type="dxa"/>
          </w:tblCellMar>
        </w:tblPrEx>
        <w:tc>
          <w:tcPr>
            <w:tcW w:w="1420" w:type="dxa"/>
            <w:vMerge/>
            <w:shd w:val="clear" w:color="auto" w:fill="auto"/>
          </w:tcPr>
          <w:p w:rsidR="00D177C7" w:rsidRPr="00FC7BE9" w:rsidRDefault="00D177C7" w:rsidP="007F4905">
            <w:pPr>
              <w:pStyle w:val="TableRowHead"/>
              <w:rPr>
                <w:sz w:val="20"/>
                <w:szCs w:val="20"/>
              </w:rPr>
            </w:pPr>
          </w:p>
        </w:tc>
        <w:tc>
          <w:tcPr>
            <w:tcW w:w="1420" w:type="dxa"/>
            <w:tcBorders>
              <w:top w:val="single" w:sz="12" w:space="0" w:color="000000"/>
            </w:tcBorders>
            <w:shd w:val="clear" w:color="auto" w:fill="auto"/>
          </w:tcPr>
          <w:p w:rsidR="00D177C7" w:rsidRPr="00FC7BE9" w:rsidRDefault="00D177C7" w:rsidP="007F4905">
            <w:pPr>
              <w:pStyle w:val="TableCell"/>
              <w:jc w:val="right"/>
              <w:rPr>
                <w:sz w:val="20"/>
                <w:szCs w:val="20"/>
              </w:rPr>
            </w:pPr>
            <w:r>
              <w:rPr>
                <w:sz w:val="20"/>
                <w:szCs w:val="20"/>
              </w:rPr>
              <w:t>0-64</w:t>
            </w:r>
          </w:p>
        </w:tc>
        <w:tc>
          <w:tcPr>
            <w:tcW w:w="1420" w:type="dxa"/>
            <w:tcBorders>
              <w:top w:val="single" w:sz="12" w:space="0" w:color="000000"/>
            </w:tcBorders>
            <w:shd w:val="clear" w:color="auto" w:fill="auto"/>
          </w:tcPr>
          <w:p w:rsidR="00D177C7" w:rsidRPr="00FC7BE9" w:rsidRDefault="00D177C7" w:rsidP="007F4905">
            <w:pPr>
              <w:pStyle w:val="TableCell"/>
              <w:jc w:val="right"/>
              <w:rPr>
                <w:sz w:val="20"/>
                <w:szCs w:val="20"/>
              </w:rPr>
            </w:pPr>
            <w:r>
              <w:rPr>
                <w:sz w:val="20"/>
                <w:szCs w:val="20"/>
              </w:rPr>
              <w:t>65-74</w:t>
            </w:r>
          </w:p>
        </w:tc>
        <w:tc>
          <w:tcPr>
            <w:tcW w:w="1420" w:type="dxa"/>
            <w:tcBorders>
              <w:top w:val="single" w:sz="12" w:space="0" w:color="000000"/>
            </w:tcBorders>
            <w:shd w:val="clear" w:color="auto" w:fill="auto"/>
          </w:tcPr>
          <w:p w:rsidR="00D177C7" w:rsidRPr="00FC7BE9" w:rsidRDefault="00D177C7" w:rsidP="007F4905">
            <w:pPr>
              <w:pStyle w:val="TableCell"/>
              <w:jc w:val="right"/>
              <w:rPr>
                <w:sz w:val="20"/>
                <w:szCs w:val="20"/>
              </w:rPr>
            </w:pPr>
            <w:r>
              <w:rPr>
                <w:sz w:val="20"/>
                <w:szCs w:val="20"/>
              </w:rPr>
              <w:t>75-84</w:t>
            </w:r>
          </w:p>
        </w:tc>
        <w:tc>
          <w:tcPr>
            <w:tcW w:w="1421" w:type="dxa"/>
            <w:tcBorders>
              <w:top w:val="single" w:sz="12" w:space="0" w:color="000000"/>
            </w:tcBorders>
            <w:shd w:val="clear" w:color="auto" w:fill="auto"/>
          </w:tcPr>
          <w:p w:rsidR="00D177C7" w:rsidRPr="00FC7BE9" w:rsidRDefault="00D177C7" w:rsidP="007F4905">
            <w:pPr>
              <w:pStyle w:val="TableCell"/>
              <w:jc w:val="right"/>
              <w:rPr>
                <w:sz w:val="20"/>
                <w:szCs w:val="20"/>
              </w:rPr>
            </w:pPr>
            <w:r>
              <w:rPr>
                <w:sz w:val="20"/>
                <w:szCs w:val="20"/>
              </w:rPr>
              <w:t>85+</w:t>
            </w:r>
          </w:p>
        </w:tc>
        <w:tc>
          <w:tcPr>
            <w:tcW w:w="1421" w:type="dxa"/>
            <w:vMerge/>
            <w:shd w:val="clear" w:color="auto" w:fill="auto"/>
          </w:tcPr>
          <w:p w:rsidR="00D177C7" w:rsidRPr="00FC7BE9" w:rsidRDefault="00D177C7" w:rsidP="007F4905">
            <w:pPr>
              <w:pStyle w:val="TableCell"/>
              <w:jc w:val="right"/>
              <w:rPr>
                <w:sz w:val="20"/>
                <w:szCs w:val="20"/>
              </w:rPr>
            </w:pPr>
          </w:p>
        </w:tc>
      </w:tr>
      <w:tr w:rsidR="00D177C7" w:rsidRPr="00FC7BE9">
        <w:tblPrEx>
          <w:tblCellMar>
            <w:top w:w="0" w:type="dxa"/>
            <w:bottom w:w="0" w:type="dxa"/>
          </w:tblCellMar>
        </w:tblPrEx>
        <w:tc>
          <w:tcPr>
            <w:tcW w:w="1420" w:type="dxa"/>
            <w:shd w:val="clear" w:color="auto" w:fill="auto"/>
          </w:tcPr>
          <w:p w:rsidR="00D177C7" w:rsidRPr="00FC7BE9" w:rsidRDefault="00D177C7" w:rsidP="007F4905">
            <w:pPr>
              <w:pStyle w:val="TableRowHead"/>
              <w:rPr>
                <w:sz w:val="20"/>
                <w:szCs w:val="20"/>
              </w:rPr>
            </w:pPr>
            <w:r>
              <w:rPr>
                <w:sz w:val="20"/>
                <w:szCs w:val="20"/>
              </w:rPr>
              <w:t>People with learning disabilities</w:t>
            </w:r>
          </w:p>
        </w:tc>
        <w:tc>
          <w:tcPr>
            <w:tcW w:w="1420" w:type="dxa"/>
            <w:shd w:val="clear" w:color="auto" w:fill="auto"/>
          </w:tcPr>
          <w:p w:rsidR="00D177C7" w:rsidRPr="00FC7BE9" w:rsidRDefault="00D177C7" w:rsidP="007F4905">
            <w:pPr>
              <w:pStyle w:val="TableCell"/>
              <w:jc w:val="right"/>
              <w:rPr>
                <w:sz w:val="20"/>
                <w:szCs w:val="20"/>
              </w:rPr>
            </w:pPr>
            <w:r>
              <w:rPr>
                <w:sz w:val="20"/>
                <w:szCs w:val="20"/>
              </w:rPr>
              <w:t>82%</w:t>
            </w:r>
          </w:p>
        </w:tc>
        <w:tc>
          <w:tcPr>
            <w:tcW w:w="1420" w:type="dxa"/>
            <w:shd w:val="clear" w:color="auto" w:fill="auto"/>
          </w:tcPr>
          <w:p w:rsidR="00D177C7" w:rsidRPr="00FC7BE9" w:rsidRDefault="00D177C7" w:rsidP="007F4905">
            <w:pPr>
              <w:pStyle w:val="TableCell"/>
              <w:jc w:val="right"/>
              <w:rPr>
                <w:sz w:val="20"/>
                <w:szCs w:val="20"/>
              </w:rPr>
            </w:pPr>
            <w:r>
              <w:rPr>
                <w:sz w:val="20"/>
                <w:szCs w:val="20"/>
              </w:rPr>
              <w:t>11%</w:t>
            </w:r>
          </w:p>
        </w:tc>
        <w:tc>
          <w:tcPr>
            <w:tcW w:w="1420" w:type="dxa"/>
            <w:shd w:val="clear" w:color="auto" w:fill="auto"/>
          </w:tcPr>
          <w:p w:rsidR="00D177C7" w:rsidRPr="00FC7BE9" w:rsidRDefault="00D177C7" w:rsidP="007F4905">
            <w:pPr>
              <w:pStyle w:val="TableCell"/>
              <w:jc w:val="right"/>
              <w:rPr>
                <w:sz w:val="20"/>
                <w:szCs w:val="20"/>
              </w:rPr>
            </w:pPr>
            <w:r>
              <w:rPr>
                <w:sz w:val="20"/>
                <w:szCs w:val="20"/>
              </w:rPr>
              <w:t>4%</w:t>
            </w:r>
          </w:p>
        </w:tc>
        <w:tc>
          <w:tcPr>
            <w:tcW w:w="1421" w:type="dxa"/>
            <w:shd w:val="clear" w:color="auto" w:fill="auto"/>
          </w:tcPr>
          <w:p w:rsidR="00D177C7" w:rsidRPr="00FC7BE9" w:rsidRDefault="00D177C7" w:rsidP="007F4905">
            <w:pPr>
              <w:pStyle w:val="TableCell"/>
              <w:jc w:val="right"/>
              <w:rPr>
                <w:sz w:val="20"/>
                <w:szCs w:val="20"/>
              </w:rPr>
            </w:pPr>
            <w:r>
              <w:rPr>
                <w:sz w:val="20"/>
                <w:szCs w:val="20"/>
              </w:rPr>
              <w:t>2%</w:t>
            </w:r>
          </w:p>
        </w:tc>
        <w:tc>
          <w:tcPr>
            <w:tcW w:w="1421" w:type="dxa"/>
            <w:shd w:val="clear" w:color="auto" w:fill="auto"/>
          </w:tcPr>
          <w:p w:rsidR="00D177C7" w:rsidRPr="00FC7BE9" w:rsidRDefault="00D177C7" w:rsidP="007F4905">
            <w:pPr>
              <w:pStyle w:val="TableCell"/>
              <w:jc w:val="right"/>
              <w:rPr>
                <w:sz w:val="20"/>
                <w:szCs w:val="20"/>
              </w:rPr>
            </w:pPr>
            <w:r>
              <w:rPr>
                <w:sz w:val="20"/>
                <w:szCs w:val="20"/>
              </w:rPr>
              <w:t>4,400</w:t>
            </w:r>
          </w:p>
        </w:tc>
      </w:tr>
      <w:tr w:rsidR="00D177C7" w:rsidRPr="00FC7BE9">
        <w:tblPrEx>
          <w:tblCellMar>
            <w:top w:w="0" w:type="dxa"/>
            <w:bottom w:w="0" w:type="dxa"/>
          </w:tblCellMar>
        </w:tblPrEx>
        <w:tc>
          <w:tcPr>
            <w:tcW w:w="1420" w:type="dxa"/>
            <w:shd w:val="clear" w:color="auto" w:fill="auto"/>
          </w:tcPr>
          <w:p w:rsidR="00D177C7" w:rsidRPr="00FC7BE9" w:rsidRDefault="00D177C7" w:rsidP="007F4905">
            <w:pPr>
              <w:pStyle w:val="TableRowHead"/>
              <w:rPr>
                <w:sz w:val="20"/>
                <w:szCs w:val="20"/>
              </w:rPr>
            </w:pPr>
            <w:r>
              <w:rPr>
                <w:sz w:val="20"/>
                <w:szCs w:val="20"/>
              </w:rPr>
              <w:t>People with dementia</w:t>
            </w:r>
          </w:p>
        </w:tc>
        <w:tc>
          <w:tcPr>
            <w:tcW w:w="1420" w:type="dxa"/>
            <w:shd w:val="clear" w:color="auto" w:fill="auto"/>
          </w:tcPr>
          <w:p w:rsidR="00D177C7" w:rsidRPr="00FC7BE9" w:rsidRDefault="00D177C7" w:rsidP="007F4905">
            <w:pPr>
              <w:pStyle w:val="TableCell"/>
              <w:jc w:val="right"/>
              <w:rPr>
                <w:sz w:val="20"/>
                <w:szCs w:val="20"/>
              </w:rPr>
            </w:pPr>
            <w:r>
              <w:rPr>
                <w:sz w:val="20"/>
                <w:szCs w:val="20"/>
              </w:rPr>
              <w:t>3%</w:t>
            </w:r>
          </w:p>
        </w:tc>
        <w:tc>
          <w:tcPr>
            <w:tcW w:w="1420" w:type="dxa"/>
            <w:shd w:val="clear" w:color="auto" w:fill="auto"/>
          </w:tcPr>
          <w:p w:rsidR="00D177C7" w:rsidRPr="00FC7BE9" w:rsidRDefault="00D177C7" w:rsidP="007F4905">
            <w:pPr>
              <w:pStyle w:val="TableCell"/>
              <w:jc w:val="right"/>
              <w:rPr>
                <w:sz w:val="20"/>
                <w:szCs w:val="20"/>
              </w:rPr>
            </w:pPr>
            <w:r>
              <w:rPr>
                <w:sz w:val="20"/>
                <w:szCs w:val="20"/>
              </w:rPr>
              <w:t>12%</w:t>
            </w:r>
          </w:p>
        </w:tc>
        <w:tc>
          <w:tcPr>
            <w:tcW w:w="1420" w:type="dxa"/>
            <w:shd w:val="clear" w:color="auto" w:fill="auto"/>
          </w:tcPr>
          <w:p w:rsidR="00D177C7" w:rsidRPr="00FC7BE9" w:rsidRDefault="00D177C7" w:rsidP="007F4905">
            <w:pPr>
              <w:pStyle w:val="TableCell"/>
              <w:jc w:val="right"/>
              <w:rPr>
                <w:sz w:val="20"/>
                <w:szCs w:val="20"/>
              </w:rPr>
            </w:pPr>
            <w:r>
              <w:rPr>
                <w:sz w:val="20"/>
                <w:szCs w:val="20"/>
              </w:rPr>
              <w:t>47%</w:t>
            </w:r>
          </w:p>
        </w:tc>
        <w:tc>
          <w:tcPr>
            <w:tcW w:w="1421" w:type="dxa"/>
            <w:shd w:val="clear" w:color="auto" w:fill="auto"/>
          </w:tcPr>
          <w:p w:rsidR="00D177C7" w:rsidRPr="00FC7BE9" w:rsidRDefault="00D177C7" w:rsidP="007F4905">
            <w:pPr>
              <w:pStyle w:val="TableCell"/>
              <w:jc w:val="right"/>
              <w:rPr>
                <w:sz w:val="20"/>
                <w:szCs w:val="20"/>
              </w:rPr>
            </w:pPr>
            <w:r>
              <w:rPr>
                <w:sz w:val="20"/>
                <w:szCs w:val="20"/>
              </w:rPr>
              <w:t>38%</w:t>
            </w:r>
          </w:p>
        </w:tc>
        <w:tc>
          <w:tcPr>
            <w:tcW w:w="1421" w:type="dxa"/>
            <w:shd w:val="clear" w:color="auto" w:fill="auto"/>
          </w:tcPr>
          <w:p w:rsidR="00D177C7" w:rsidRPr="00FC7BE9" w:rsidRDefault="00D177C7" w:rsidP="007F4905">
            <w:pPr>
              <w:pStyle w:val="TableCell"/>
              <w:jc w:val="right"/>
              <w:rPr>
                <w:sz w:val="20"/>
                <w:szCs w:val="20"/>
              </w:rPr>
            </w:pPr>
            <w:r>
              <w:rPr>
                <w:sz w:val="20"/>
                <w:szCs w:val="20"/>
              </w:rPr>
              <w:t>3,700</w:t>
            </w:r>
          </w:p>
        </w:tc>
      </w:tr>
      <w:tr w:rsidR="00D177C7" w:rsidRPr="00FC7BE9">
        <w:tblPrEx>
          <w:tblCellMar>
            <w:top w:w="0" w:type="dxa"/>
            <w:bottom w:w="0" w:type="dxa"/>
          </w:tblCellMar>
        </w:tblPrEx>
        <w:tc>
          <w:tcPr>
            <w:tcW w:w="1420" w:type="dxa"/>
            <w:shd w:val="clear" w:color="auto" w:fill="auto"/>
          </w:tcPr>
          <w:p w:rsidR="00D177C7" w:rsidRPr="00FC7BE9" w:rsidRDefault="00D177C7" w:rsidP="007F4905">
            <w:pPr>
              <w:pStyle w:val="TableRowHead"/>
              <w:rPr>
                <w:sz w:val="20"/>
                <w:szCs w:val="20"/>
              </w:rPr>
            </w:pPr>
            <w:r>
              <w:rPr>
                <w:sz w:val="20"/>
                <w:szCs w:val="20"/>
              </w:rPr>
              <w:t>People with mental health difficulties</w:t>
            </w:r>
          </w:p>
        </w:tc>
        <w:tc>
          <w:tcPr>
            <w:tcW w:w="1420" w:type="dxa"/>
            <w:shd w:val="clear" w:color="auto" w:fill="auto"/>
          </w:tcPr>
          <w:p w:rsidR="00D177C7" w:rsidRPr="00FC7BE9" w:rsidRDefault="00D177C7" w:rsidP="007F4905">
            <w:pPr>
              <w:pStyle w:val="TableCell"/>
              <w:jc w:val="right"/>
              <w:rPr>
                <w:sz w:val="20"/>
                <w:szCs w:val="20"/>
              </w:rPr>
            </w:pPr>
            <w:r>
              <w:rPr>
                <w:sz w:val="20"/>
                <w:szCs w:val="20"/>
              </w:rPr>
              <w:t>57%</w:t>
            </w:r>
          </w:p>
        </w:tc>
        <w:tc>
          <w:tcPr>
            <w:tcW w:w="1420" w:type="dxa"/>
            <w:shd w:val="clear" w:color="auto" w:fill="auto"/>
          </w:tcPr>
          <w:p w:rsidR="00D177C7" w:rsidRPr="00FC7BE9" w:rsidRDefault="00D177C7" w:rsidP="007F4905">
            <w:pPr>
              <w:pStyle w:val="TableCell"/>
              <w:jc w:val="right"/>
              <w:rPr>
                <w:sz w:val="20"/>
                <w:szCs w:val="20"/>
              </w:rPr>
            </w:pPr>
            <w:r>
              <w:rPr>
                <w:sz w:val="20"/>
                <w:szCs w:val="20"/>
              </w:rPr>
              <w:t>18%</w:t>
            </w:r>
          </w:p>
        </w:tc>
        <w:tc>
          <w:tcPr>
            <w:tcW w:w="1420" w:type="dxa"/>
            <w:shd w:val="clear" w:color="auto" w:fill="auto"/>
          </w:tcPr>
          <w:p w:rsidR="00D177C7" w:rsidRPr="00FC7BE9" w:rsidRDefault="00D177C7" w:rsidP="007F4905">
            <w:pPr>
              <w:pStyle w:val="TableCell"/>
              <w:jc w:val="right"/>
              <w:rPr>
                <w:sz w:val="20"/>
                <w:szCs w:val="20"/>
              </w:rPr>
            </w:pPr>
            <w:r>
              <w:rPr>
                <w:sz w:val="20"/>
                <w:szCs w:val="20"/>
              </w:rPr>
              <w:t>16%</w:t>
            </w:r>
          </w:p>
        </w:tc>
        <w:tc>
          <w:tcPr>
            <w:tcW w:w="1421" w:type="dxa"/>
            <w:shd w:val="clear" w:color="auto" w:fill="auto"/>
          </w:tcPr>
          <w:p w:rsidR="00D177C7" w:rsidRPr="00FC7BE9" w:rsidRDefault="00D177C7" w:rsidP="007F4905">
            <w:pPr>
              <w:pStyle w:val="TableCell"/>
              <w:jc w:val="right"/>
              <w:rPr>
                <w:sz w:val="20"/>
                <w:szCs w:val="20"/>
              </w:rPr>
            </w:pPr>
            <w:r>
              <w:rPr>
                <w:sz w:val="20"/>
                <w:szCs w:val="20"/>
              </w:rPr>
              <w:t>8%</w:t>
            </w:r>
          </w:p>
        </w:tc>
        <w:tc>
          <w:tcPr>
            <w:tcW w:w="1421" w:type="dxa"/>
            <w:shd w:val="clear" w:color="auto" w:fill="auto"/>
          </w:tcPr>
          <w:p w:rsidR="00D177C7" w:rsidRPr="00FC7BE9" w:rsidRDefault="00D177C7" w:rsidP="007F4905">
            <w:pPr>
              <w:pStyle w:val="TableCell"/>
              <w:jc w:val="right"/>
              <w:rPr>
                <w:sz w:val="20"/>
                <w:szCs w:val="20"/>
              </w:rPr>
            </w:pPr>
            <w:r>
              <w:rPr>
                <w:sz w:val="20"/>
                <w:szCs w:val="20"/>
              </w:rPr>
              <w:t>3,200</w:t>
            </w:r>
          </w:p>
        </w:tc>
      </w:tr>
      <w:tr w:rsidR="00D177C7" w:rsidRPr="00FC7BE9">
        <w:tblPrEx>
          <w:tblCellMar>
            <w:top w:w="0" w:type="dxa"/>
            <w:bottom w:w="0" w:type="dxa"/>
          </w:tblCellMar>
        </w:tblPrEx>
        <w:tc>
          <w:tcPr>
            <w:tcW w:w="1420" w:type="dxa"/>
            <w:shd w:val="clear" w:color="auto" w:fill="auto"/>
          </w:tcPr>
          <w:p w:rsidR="00D177C7" w:rsidRPr="000334CA" w:rsidRDefault="00D177C7" w:rsidP="007F4905">
            <w:pPr>
              <w:pStyle w:val="TableRowHead"/>
              <w:rPr>
                <w:sz w:val="20"/>
                <w:szCs w:val="20"/>
              </w:rPr>
            </w:pPr>
            <w:r>
              <w:rPr>
                <w:sz w:val="20"/>
                <w:szCs w:val="20"/>
              </w:rPr>
              <w:t>People with physical disabilities (including fragility associated with ageing)</w:t>
            </w:r>
          </w:p>
        </w:tc>
        <w:tc>
          <w:tcPr>
            <w:tcW w:w="1420" w:type="dxa"/>
            <w:shd w:val="clear" w:color="auto" w:fill="auto"/>
          </w:tcPr>
          <w:p w:rsidR="00D177C7" w:rsidRPr="000334CA" w:rsidRDefault="00D177C7" w:rsidP="007F4905">
            <w:pPr>
              <w:pStyle w:val="TableCell"/>
              <w:jc w:val="right"/>
              <w:rPr>
                <w:sz w:val="20"/>
                <w:szCs w:val="20"/>
              </w:rPr>
            </w:pPr>
            <w:r>
              <w:rPr>
                <w:sz w:val="20"/>
                <w:szCs w:val="20"/>
              </w:rPr>
              <w:t>10%</w:t>
            </w:r>
          </w:p>
        </w:tc>
        <w:tc>
          <w:tcPr>
            <w:tcW w:w="1420" w:type="dxa"/>
            <w:shd w:val="clear" w:color="auto" w:fill="auto"/>
          </w:tcPr>
          <w:p w:rsidR="00D177C7" w:rsidRPr="000334CA" w:rsidRDefault="00D177C7" w:rsidP="007F4905">
            <w:pPr>
              <w:pStyle w:val="TableCell"/>
              <w:jc w:val="right"/>
              <w:rPr>
                <w:sz w:val="20"/>
                <w:szCs w:val="20"/>
              </w:rPr>
            </w:pPr>
            <w:r>
              <w:rPr>
                <w:sz w:val="20"/>
                <w:szCs w:val="20"/>
              </w:rPr>
              <w:t>15%</w:t>
            </w:r>
          </w:p>
        </w:tc>
        <w:tc>
          <w:tcPr>
            <w:tcW w:w="1420" w:type="dxa"/>
            <w:shd w:val="clear" w:color="auto" w:fill="auto"/>
          </w:tcPr>
          <w:p w:rsidR="00D177C7" w:rsidRPr="000334CA" w:rsidRDefault="00D177C7" w:rsidP="007F4905">
            <w:pPr>
              <w:pStyle w:val="TableCell"/>
              <w:jc w:val="right"/>
              <w:rPr>
                <w:sz w:val="20"/>
                <w:szCs w:val="20"/>
              </w:rPr>
            </w:pPr>
            <w:r>
              <w:rPr>
                <w:sz w:val="20"/>
                <w:szCs w:val="20"/>
              </w:rPr>
              <w:t>37%</w:t>
            </w:r>
          </w:p>
        </w:tc>
        <w:tc>
          <w:tcPr>
            <w:tcW w:w="1421" w:type="dxa"/>
            <w:shd w:val="clear" w:color="auto" w:fill="auto"/>
          </w:tcPr>
          <w:p w:rsidR="00D177C7" w:rsidRPr="000334CA" w:rsidRDefault="00D177C7" w:rsidP="007F4905">
            <w:pPr>
              <w:pStyle w:val="TableCell"/>
              <w:jc w:val="right"/>
              <w:rPr>
                <w:sz w:val="20"/>
                <w:szCs w:val="20"/>
              </w:rPr>
            </w:pPr>
            <w:r>
              <w:rPr>
                <w:sz w:val="20"/>
                <w:szCs w:val="20"/>
              </w:rPr>
              <w:t>37%</w:t>
            </w:r>
          </w:p>
        </w:tc>
        <w:tc>
          <w:tcPr>
            <w:tcW w:w="1421" w:type="dxa"/>
            <w:shd w:val="clear" w:color="auto" w:fill="auto"/>
          </w:tcPr>
          <w:p w:rsidR="00D177C7" w:rsidRPr="000334CA" w:rsidRDefault="00D177C7" w:rsidP="007F4905">
            <w:pPr>
              <w:pStyle w:val="TableCell"/>
              <w:jc w:val="right"/>
              <w:rPr>
                <w:sz w:val="20"/>
                <w:szCs w:val="20"/>
              </w:rPr>
            </w:pPr>
            <w:r>
              <w:rPr>
                <w:sz w:val="20"/>
                <w:szCs w:val="20"/>
              </w:rPr>
              <w:t>52,400</w:t>
            </w:r>
          </w:p>
        </w:tc>
      </w:tr>
    </w:tbl>
    <w:p w:rsidR="00D177C7" w:rsidRDefault="00D177C7" w:rsidP="00D177C7">
      <w:pPr>
        <w:jc w:val="center"/>
        <w:rPr>
          <w:sz w:val="20"/>
          <w:szCs w:val="20"/>
        </w:rPr>
      </w:pPr>
      <w:bookmarkStart w:id="78" w:name="_Toc257037098"/>
      <w:r w:rsidRPr="0097317F">
        <w:rPr>
          <w:sz w:val="20"/>
          <w:szCs w:val="20"/>
        </w:rPr>
        <w:t xml:space="preserve">Scottish government (2009) Home care services </w:t>
      </w:r>
      <w:smartTag w:uri="urn:schemas-microsoft-com:office:smarttags" w:element="country-region">
        <w:smartTag w:uri="urn:schemas-microsoft-com:office:smarttags" w:element="place">
          <w:r w:rsidRPr="0097317F">
            <w:rPr>
              <w:sz w:val="20"/>
              <w:szCs w:val="20"/>
            </w:rPr>
            <w:t>Scotland</w:t>
          </w:r>
        </w:smartTag>
      </w:smartTag>
      <w:bookmarkEnd w:id="78"/>
    </w:p>
    <w:p w:rsidR="00D177C7" w:rsidRDefault="00D177C7" w:rsidP="00D177C7">
      <w:pPr>
        <w:rPr>
          <w:lang w:val="en-US" w:bidi="en-US"/>
        </w:rPr>
      </w:pPr>
      <w:r>
        <w:rPr>
          <w:lang w:val="en-US" w:bidi="en-US"/>
        </w:rPr>
        <w:t>The number of people with learning disabilities receiving home care services in their own tenancies has increased from 1,500 in 2000 to 4,438 in 2009</w:t>
      </w:r>
      <w:r>
        <w:rPr>
          <w:rStyle w:val="FootnoteReference"/>
          <w:rFonts w:cs="Helvetica"/>
          <w:lang w:bidi="en-US"/>
        </w:rPr>
        <w:footnoteReference w:id="55"/>
      </w:r>
      <w:r>
        <w:rPr>
          <w:lang w:val="en-US" w:bidi="en-US"/>
        </w:rPr>
        <w:t>. The number of people with physical disabilities receiving home care services had increased rapidly to just over 52,000. The Scottish Government attributed this increase to the availability of free care for older people</w:t>
      </w:r>
      <w:r>
        <w:rPr>
          <w:rStyle w:val="FootnoteReference"/>
          <w:rFonts w:ascii="Helvetica" w:hAnsi="Helvetica" w:cs="Helvetica"/>
          <w:lang w:bidi="en-US"/>
        </w:rPr>
        <w:footnoteReference w:id="56"/>
      </w:r>
      <w:r>
        <w:rPr>
          <w:lang w:val="en-US" w:bidi="en-US"/>
        </w:rPr>
        <w:t>.</w:t>
      </w:r>
    </w:p>
    <w:p w:rsidR="00D177C7" w:rsidRDefault="00D177C7" w:rsidP="00B15C22">
      <w:pPr>
        <w:pStyle w:val="Heading4"/>
        <w:rPr>
          <w:lang w:eastAsia="en-IE"/>
        </w:rPr>
      </w:pPr>
      <w:bookmarkStart w:id="79" w:name="_Toc254268548"/>
      <w:bookmarkStart w:id="80" w:name="_Toc267920938"/>
      <w:r>
        <w:rPr>
          <w:lang w:eastAsia="en-IE"/>
        </w:rPr>
        <w:t>Local Area Co-ordination of Services (LAC)</w:t>
      </w:r>
      <w:bookmarkEnd w:id="80"/>
      <w:r>
        <w:rPr>
          <w:lang w:eastAsia="en-IE"/>
        </w:rPr>
        <w:t xml:space="preserve"> </w:t>
      </w:r>
      <w:bookmarkEnd w:id="79"/>
    </w:p>
    <w:p w:rsidR="00D177C7" w:rsidRDefault="00D177C7" w:rsidP="00D177C7">
      <w:pPr>
        <w:autoSpaceDE w:val="0"/>
        <w:autoSpaceDN w:val="0"/>
        <w:adjustRightInd w:val="0"/>
        <w:spacing w:after="360" w:line="240" w:lineRule="atLeast"/>
        <w:rPr>
          <w:rFonts w:cs="Arial"/>
          <w:color w:val="000000"/>
          <w:lang w:eastAsia="en-IE"/>
        </w:rPr>
      </w:pPr>
      <w:r w:rsidRPr="001D052E">
        <w:rPr>
          <w:rFonts w:cs="Arial"/>
          <w:b/>
          <w:color w:val="000000"/>
          <w:lang w:eastAsia="en-IE"/>
        </w:rPr>
        <w:t>The Same as You? report</w:t>
      </w:r>
      <w:r>
        <w:rPr>
          <w:rFonts w:cs="Arial"/>
          <w:color w:val="000000"/>
          <w:lang w:eastAsia="en-IE"/>
        </w:rPr>
        <w:t xml:space="preserve"> </w:t>
      </w:r>
      <w:r w:rsidRPr="00937C7A">
        <w:rPr>
          <w:rFonts w:cs="Arial"/>
          <w:b/>
          <w:color w:val="000000"/>
          <w:lang w:eastAsia="en-IE"/>
        </w:rPr>
        <w:t>(2000)</w:t>
      </w:r>
      <w:r>
        <w:rPr>
          <w:rFonts w:cs="Arial"/>
          <w:color w:val="000000"/>
          <w:lang w:eastAsia="en-IE"/>
        </w:rPr>
        <w:t xml:space="preserve"> recommended that local authorities and health boards introduce LAC of services for people with learning disabilities and their families. The objective behind the LAC is to use a person centred approach to support people with learning disabilities and their families to enable them to live as part of their community</w:t>
      </w:r>
      <w:r>
        <w:rPr>
          <w:rStyle w:val="FootnoteReference"/>
          <w:rFonts w:cs="Arial"/>
          <w:color w:val="000000"/>
          <w:lang w:eastAsia="en-IE"/>
        </w:rPr>
        <w:footnoteReference w:id="57"/>
      </w:r>
      <w:r>
        <w:rPr>
          <w:rFonts w:cs="Arial"/>
          <w:color w:val="000000"/>
          <w:lang w:eastAsia="en-IE"/>
        </w:rPr>
        <w:t xml:space="preserve">.  </w:t>
      </w:r>
    </w:p>
    <w:p w:rsidR="00D177C7" w:rsidRDefault="00D177C7" w:rsidP="00D177C7">
      <w:pPr>
        <w:autoSpaceDE w:val="0"/>
        <w:autoSpaceDN w:val="0"/>
        <w:adjustRightInd w:val="0"/>
        <w:spacing w:after="360" w:line="240" w:lineRule="atLeast"/>
        <w:rPr>
          <w:rFonts w:cs="Arial"/>
          <w:color w:val="000000"/>
          <w:lang w:eastAsia="en-IE"/>
        </w:rPr>
      </w:pPr>
      <w:r>
        <w:rPr>
          <w:rFonts w:cs="Arial"/>
          <w:color w:val="000000"/>
          <w:lang w:eastAsia="en-IE"/>
        </w:rPr>
        <w:t>By May 2006,</w:t>
      </w:r>
      <w:r w:rsidRPr="00A6532B">
        <w:rPr>
          <w:rFonts w:cs="Arial"/>
          <w:color w:val="000000"/>
          <w:lang w:eastAsia="en-IE"/>
        </w:rPr>
        <w:t xml:space="preserve"> </w:t>
      </w:r>
      <w:r>
        <w:rPr>
          <w:rFonts w:cs="Arial"/>
          <w:color w:val="000000"/>
          <w:lang w:eastAsia="en-IE"/>
        </w:rPr>
        <w:t xml:space="preserve">25 local authorities in </w:t>
      </w:r>
      <w:smartTag w:uri="urn:schemas-microsoft-com:office:smarttags" w:element="country-region">
        <w:smartTag w:uri="urn:schemas-microsoft-com:office:smarttags" w:element="place">
          <w:r>
            <w:rPr>
              <w:rFonts w:cs="Arial"/>
              <w:color w:val="000000"/>
              <w:lang w:eastAsia="en-IE"/>
            </w:rPr>
            <w:t>Scotland</w:t>
          </w:r>
        </w:smartTag>
      </w:smartTag>
      <w:r>
        <w:rPr>
          <w:rFonts w:cs="Arial"/>
          <w:color w:val="000000"/>
          <w:lang w:eastAsia="en-IE"/>
        </w:rPr>
        <w:t xml:space="preserve"> had implemented the LAC, and 59 local care co-ordinators were appointed to co-ordinate the services in their respective areas. Each local care co-ordinator supported 50 individuals and their families by building networks with agencies, local community groups etc. and acting as an information point for the families. These co-ordinators were generally employed by local authorities. 48% of these local authorities offered life time supports services, from birth to old age</w:t>
      </w:r>
      <w:r>
        <w:rPr>
          <w:rStyle w:val="FootnoteReference"/>
          <w:rFonts w:cs="Arial"/>
          <w:color w:val="000000"/>
          <w:lang w:eastAsia="en-IE"/>
        </w:rPr>
        <w:footnoteReference w:id="58"/>
      </w:r>
      <w:r>
        <w:rPr>
          <w:rFonts w:cs="Arial"/>
          <w:color w:val="000000"/>
          <w:lang w:eastAsia="en-IE"/>
        </w:rPr>
        <w:t>.</w:t>
      </w:r>
    </w:p>
    <w:p w:rsidR="00D177C7" w:rsidRDefault="00D177C7" w:rsidP="00D177C7">
      <w:pPr>
        <w:rPr>
          <w:rFonts w:cs="Arial"/>
          <w:color w:val="000000"/>
          <w:lang w:eastAsia="en-IE"/>
        </w:rPr>
      </w:pPr>
      <w:r>
        <w:rPr>
          <w:rFonts w:cs="Arial"/>
          <w:color w:val="000000"/>
          <w:lang w:eastAsia="en-IE"/>
        </w:rPr>
        <w:t>Local area co-coordinators generally identified individuals with learning disabilities by informal introductions rather than through agency referrals. However some local authorities insisted that service users need to be referred by agencies before they could be allocated a local co-ordinator. The care co-ordinators typically accompanied people to appointments or activities, did follow up work in the office, liaised with other professionals and provided disability awareness training.</w:t>
      </w:r>
    </w:p>
    <w:p w:rsidR="00D177C7" w:rsidRDefault="00D177C7" w:rsidP="00D177C7">
      <w:pPr>
        <w:rPr>
          <w:rFonts w:cs="Arial"/>
          <w:color w:val="000000"/>
          <w:lang w:eastAsia="en-IE"/>
        </w:rPr>
      </w:pPr>
      <w:r>
        <w:rPr>
          <w:rFonts w:cs="Arial"/>
          <w:color w:val="000000"/>
          <w:lang w:eastAsia="en-IE"/>
        </w:rPr>
        <w:t>A case study of 4 local authorities revealed that local care co-ordinators had succeeded in increasing service users' awareness of service options available to them. Local care co-ordinators also assisted them in how to use them.</w:t>
      </w:r>
    </w:p>
    <w:p w:rsidR="00D177C7" w:rsidRDefault="00D177C7" w:rsidP="00D177C7">
      <w:pPr>
        <w:rPr>
          <w:rFonts w:cs="Arial"/>
          <w:color w:val="000000"/>
          <w:lang w:eastAsia="en-IE"/>
        </w:rPr>
      </w:pPr>
      <w:r>
        <w:rPr>
          <w:rFonts w:cs="Arial"/>
          <w:color w:val="000000"/>
          <w:lang w:eastAsia="en-IE"/>
        </w:rPr>
        <w:t>The services provided by the local care co-ordinators also increased disability awareness in the respective communities. In one area members of a self advocacy group were paid to deliver disability equality training to front line staff in different organisations</w:t>
      </w:r>
      <w:r>
        <w:rPr>
          <w:rStyle w:val="FootnoteReference"/>
          <w:rFonts w:cs="Arial"/>
          <w:color w:val="000000"/>
          <w:lang w:eastAsia="en-IE"/>
        </w:rPr>
        <w:footnoteReference w:id="59"/>
      </w:r>
      <w:r>
        <w:rPr>
          <w:rFonts w:cs="Arial"/>
          <w:color w:val="000000"/>
          <w:lang w:eastAsia="en-IE"/>
        </w:rPr>
        <w:t>.</w:t>
      </w:r>
    </w:p>
    <w:p w:rsidR="00D177C7" w:rsidRDefault="00F90DB9" w:rsidP="00D177C7">
      <w:pPr>
        <w:rPr>
          <w:rFonts w:cs="Arial"/>
          <w:color w:val="000000"/>
          <w:lang w:eastAsia="en-IE"/>
        </w:rPr>
      </w:pPr>
      <w:r>
        <w:rPr>
          <w:rFonts w:cs="Arial"/>
          <w:color w:val="000000"/>
          <w:lang w:eastAsia="en-IE"/>
        </w:rPr>
        <w:t xml:space="preserve">According to Stalker et al </w:t>
      </w:r>
      <w:r w:rsidR="00D177C7">
        <w:rPr>
          <w:rFonts w:cs="Arial"/>
          <w:color w:val="000000"/>
          <w:lang w:eastAsia="en-IE"/>
        </w:rPr>
        <w:t xml:space="preserve">(2008) if the LAC is to provide more equitable nationwide support throughout </w:t>
      </w:r>
      <w:smartTag w:uri="urn:schemas-microsoft-com:office:smarttags" w:element="country-region">
        <w:smartTag w:uri="urn:schemas-microsoft-com:office:smarttags" w:element="place">
          <w:r w:rsidR="00D177C7">
            <w:rPr>
              <w:rFonts w:cs="Arial"/>
              <w:color w:val="000000"/>
              <w:lang w:eastAsia="en-IE"/>
            </w:rPr>
            <w:t>Scotland</w:t>
          </w:r>
        </w:smartTag>
      </w:smartTag>
      <w:r w:rsidR="00D177C7">
        <w:rPr>
          <w:rFonts w:cs="Arial"/>
          <w:color w:val="000000"/>
          <w:lang w:eastAsia="en-IE"/>
        </w:rPr>
        <w:t>:</w:t>
      </w:r>
    </w:p>
    <w:p w:rsidR="00D177C7" w:rsidRDefault="00D177C7" w:rsidP="00D177C7">
      <w:pPr>
        <w:pStyle w:val="ListBullet"/>
        <w:rPr>
          <w:lang w:eastAsia="en-IE"/>
        </w:rPr>
      </w:pPr>
      <w:r>
        <w:rPr>
          <w:lang w:eastAsia="en-IE"/>
        </w:rPr>
        <w:t>The number of LAC posts needs to be increased. Ring fenced government money should be considered to fund these new posts</w:t>
      </w:r>
    </w:p>
    <w:p w:rsidR="00D177C7" w:rsidRPr="009453DD" w:rsidRDefault="00D177C7" w:rsidP="00D177C7">
      <w:pPr>
        <w:pStyle w:val="ListBullet"/>
        <w:rPr>
          <w:lang w:val="en"/>
        </w:rPr>
      </w:pPr>
      <w:r>
        <w:rPr>
          <w:lang w:eastAsia="en-IE"/>
        </w:rPr>
        <w:t xml:space="preserve">Updated guidance on the mission and objectives of LACs and practicalities on operating it in </w:t>
      </w:r>
      <w:smartTag w:uri="urn:schemas-microsoft-com:office:smarttags" w:element="country-region">
        <w:smartTag w:uri="urn:schemas-microsoft-com:office:smarttags" w:element="place">
          <w:r>
            <w:rPr>
              <w:lang w:eastAsia="en-IE"/>
            </w:rPr>
            <w:t>Scotland</w:t>
          </w:r>
        </w:smartTag>
      </w:smartTag>
      <w:r>
        <w:rPr>
          <w:lang w:eastAsia="en-IE"/>
        </w:rPr>
        <w:t xml:space="preserve"> needs to be produced and disseminated. The creation of a National Development Worker post to promote the development of LAC nationally would assist this</w:t>
      </w:r>
      <w:r>
        <w:rPr>
          <w:rStyle w:val="FootnoteReference"/>
          <w:rFonts w:cs="Arial"/>
          <w:color w:val="000000"/>
          <w:lang w:eastAsia="en-IE"/>
        </w:rPr>
        <w:footnoteReference w:id="60"/>
      </w:r>
    </w:p>
    <w:p w:rsidR="00D177C7" w:rsidRDefault="00D177C7" w:rsidP="004D144A">
      <w:pPr>
        <w:pStyle w:val="Heading2"/>
        <w:rPr>
          <w:lang w:eastAsia="en-IE"/>
        </w:rPr>
      </w:pPr>
      <w:bookmarkStart w:id="81" w:name="_Toc279136911"/>
      <w:r>
        <w:rPr>
          <w:lang w:eastAsia="en-IE"/>
        </w:rPr>
        <w:t>4.6 Respite and Carer Supports</w:t>
      </w:r>
      <w:bookmarkEnd w:id="81"/>
    </w:p>
    <w:p w:rsidR="00972CF8" w:rsidRDefault="00972CF8" w:rsidP="00972CF8">
      <w:r>
        <w:t xml:space="preserve">A carer in </w:t>
      </w:r>
      <w:smartTag w:uri="urn:schemas-microsoft-com:office:smarttags" w:element="country-region">
        <w:smartTag w:uri="urn:schemas-microsoft-com:office:smarttags" w:element="place">
          <w:r>
            <w:t>Scotland</w:t>
          </w:r>
        </w:smartTag>
      </w:smartTag>
      <w:r>
        <w:t xml:space="preserve"> is defined as:</w:t>
      </w:r>
    </w:p>
    <w:p w:rsidR="00972CF8" w:rsidRDefault="00972CF8" w:rsidP="00972CF8">
      <w:r>
        <w:tab/>
        <w:t xml:space="preserve">" an adult, young person or child  who provides a substantial amount of </w:t>
      </w:r>
      <w:r>
        <w:tab/>
        <w:t>unpaid care  on a regular basis for a  partner, parent or chi</w:t>
      </w:r>
      <w:r w:rsidR="00755BEF">
        <w:t xml:space="preserve">ld, other </w:t>
      </w:r>
      <w:r w:rsidR="00755BEF">
        <w:tab/>
        <w:t xml:space="preserve">relative, friend or </w:t>
      </w:r>
      <w:r>
        <w:t xml:space="preserve">neighbour  who is unable to manage  at home </w:t>
      </w:r>
      <w:r>
        <w:tab/>
        <w:t xml:space="preserve">without  help  because of  physical or mental ill  health, age or </w:t>
      </w:r>
      <w:r>
        <w:tab/>
        <w:t xml:space="preserve">disability. A carer may or may not be living with the person they are </w:t>
      </w:r>
      <w:r>
        <w:tab/>
        <w:t>caring for."</w:t>
      </w:r>
    </w:p>
    <w:p w:rsidR="00911F4C" w:rsidRDefault="00E75B7A" w:rsidP="00D177C7">
      <w:r>
        <w:t xml:space="preserve">Carer supports are available to those who care for people </w:t>
      </w:r>
      <w:r w:rsidR="00CC6E2D">
        <w:t xml:space="preserve">between the ages of </w:t>
      </w:r>
      <w:r w:rsidR="00972CF8">
        <w:t>18-64 years of age and 65 years and older</w:t>
      </w:r>
      <w:r w:rsidR="00F77C77">
        <w:t xml:space="preserve"> with </w:t>
      </w:r>
      <w:r w:rsidR="009E6C30">
        <w:t>physical</w:t>
      </w:r>
      <w:r w:rsidR="00F77C77">
        <w:t xml:space="preserve"> and/or </w:t>
      </w:r>
      <w:r w:rsidR="00EA167B">
        <w:t>learning</w:t>
      </w:r>
      <w:r w:rsidR="009E6C30">
        <w:t xml:space="preserve"> disabilities, mental health diff</w:t>
      </w:r>
      <w:r w:rsidR="00CC6E2D">
        <w:t>i</w:t>
      </w:r>
      <w:r w:rsidR="009E6C30">
        <w:t xml:space="preserve">culties and dementia. Respite care services are also available for children with physical disabilities, </w:t>
      </w:r>
      <w:r w:rsidR="00EA167B">
        <w:t>learning</w:t>
      </w:r>
      <w:r w:rsidR="009E6C30">
        <w:t xml:space="preserve"> disabilities and mental health di</w:t>
      </w:r>
      <w:r w:rsidR="00911F4C">
        <w:t>fficulties. Respite care services may last a few hour</w:t>
      </w:r>
      <w:r w:rsidR="00F90DB9">
        <w:t>s</w:t>
      </w:r>
      <w:r w:rsidR="00911F4C">
        <w:t xml:space="preserve"> or a few weeks</w:t>
      </w:r>
      <w:r w:rsidR="009E6C30">
        <w:rPr>
          <w:rStyle w:val="FootnoteReference"/>
        </w:rPr>
        <w:footnoteReference w:id="61"/>
      </w:r>
      <w:r w:rsidR="009E6C30">
        <w:t>.</w:t>
      </w:r>
      <w:r w:rsidR="002104F6">
        <w:t>Table 7</w:t>
      </w:r>
      <w:r w:rsidR="00911F4C">
        <w:t xml:space="preserve"> shows the number of Overnight Respite Weeks and Daytime Respite Weeks  from 2008-2009 for the different service user groups.</w:t>
      </w:r>
      <w:r w:rsidR="00501C05">
        <w:t xml:space="preserve">  Service users apply to their local authorities for this service.</w:t>
      </w:r>
    </w:p>
    <w:p w:rsidR="00935ED5" w:rsidRDefault="002104F6" w:rsidP="00935ED5">
      <w:pPr>
        <w:pStyle w:val="TableTitle"/>
      </w:pPr>
      <w:r>
        <w:t xml:space="preserve">Table 7. </w:t>
      </w:r>
      <w:r w:rsidR="00CA5A88">
        <w:t xml:space="preserve"> Number of respite weeks for</w:t>
      </w:r>
      <w:r w:rsidR="00935ED5">
        <w:t xml:space="preserve"> 2007/2008 and 2008/2009</w:t>
      </w:r>
      <w:r w:rsidR="00501C05">
        <w:rPr>
          <w:rStyle w:val="FootnoteReference"/>
        </w:rPr>
        <w:footnoteReference w:id="62"/>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217"/>
        <w:gridCol w:w="1217"/>
        <w:gridCol w:w="1217"/>
        <w:gridCol w:w="1217"/>
        <w:gridCol w:w="1218"/>
        <w:gridCol w:w="1218"/>
        <w:gridCol w:w="1218"/>
      </w:tblGrid>
      <w:tr w:rsidR="00935ED5" w:rsidRPr="00935ED5">
        <w:tblPrEx>
          <w:tblCellMar>
            <w:top w:w="0" w:type="dxa"/>
            <w:bottom w:w="0" w:type="dxa"/>
          </w:tblCellMar>
        </w:tblPrEx>
        <w:trPr>
          <w:tblHeader/>
        </w:trPr>
        <w:tc>
          <w:tcPr>
            <w:tcW w:w="1217" w:type="dxa"/>
            <w:tcBorders>
              <w:bottom w:val="single" w:sz="12" w:space="0" w:color="000000"/>
            </w:tcBorders>
            <w:shd w:val="clear" w:color="auto" w:fill="auto"/>
          </w:tcPr>
          <w:p w:rsidR="00935ED5" w:rsidRPr="00935ED5" w:rsidRDefault="00935ED5" w:rsidP="00935ED5">
            <w:pPr>
              <w:pStyle w:val="TableHead"/>
              <w:jc w:val="right"/>
              <w:rPr>
                <w:sz w:val="20"/>
                <w:szCs w:val="20"/>
                <w:lang w:val="en-US"/>
              </w:rPr>
            </w:pPr>
          </w:p>
        </w:tc>
        <w:tc>
          <w:tcPr>
            <w:tcW w:w="2434" w:type="dxa"/>
            <w:gridSpan w:val="2"/>
            <w:tcBorders>
              <w:bottom w:val="single" w:sz="12" w:space="0" w:color="000000"/>
            </w:tcBorders>
            <w:shd w:val="clear" w:color="auto" w:fill="auto"/>
          </w:tcPr>
          <w:p w:rsidR="00935ED5" w:rsidRPr="00935ED5" w:rsidRDefault="00935ED5" w:rsidP="00935ED5">
            <w:pPr>
              <w:pStyle w:val="TableHead"/>
              <w:jc w:val="right"/>
              <w:rPr>
                <w:sz w:val="20"/>
                <w:szCs w:val="20"/>
                <w:lang w:val="en-US"/>
              </w:rPr>
            </w:pPr>
            <w:r>
              <w:rPr>
                <w:sz w:val="20"/>
                <w:szCs w:val="20"/>
                <w:lang w:val="en-US"/>
              </w:rPr>
              <w:t xml:space="preserve"> 0-17 years</w:t>
            </w:r>
          </w:p>
        </w:tc>
        <w:tc>
          <w:tcPr>
            <w:tcW w:w="2435" w:type="dxa"/>
            <w:gridSpan w:val="2"/>
            <w:tcBorders>
              <w:bottom w:val="single" w:sz="12" w:space="0" w:color="000000"/>
            </w:tcBorders>
            <w:shd w:val="clear" w:color="auto" w:fill="auto"/>
          </w:tcPr>
          <w:p w:rsidR="00935ED5" w:rsidRPr="00935ED5" w:rsidRDefault="00935ED5" w:rsidP="00935ED5">
            <w:pPr>
              <w:pStyle w:val="TableHead"/>
              <w:jc w:val="right"/>
              <w:rPr>
                <w:sz w:val="20"/>
                <w:szCs w:val="20"/>
                <w:lang w:val="en-US"/>
              </w:rPr>
            </w:pPr>
            <w:r>
              <w:rPr>
                <w:sz w:val="20"/>
                <w:szCs w:val="20"/>
                <w:lang w:val="en-US"/>
              </w:rPr>
              <w:t>18-64 years</w:t>
            </w:r>
          </w:p>
        </w:tc>
        <w:tc>
          <w:tcPr>
            <w:tcW w:w="2436" w:type="dxa"/>
            <w:gridSpan w:val="2"/>
            <w:tcBorders>
              <w:bottom w:val="single" w:sz="12" w:space="0" w:color="000000"/>
            </w:tcBorders>
            <w:shd w:val="clear" w:color="auto" w:fill="auto"/>
          </w:tcPr>
          <w:p w:rsidR="00935ED5" w:rsidRPr="00935ED5" w:rsidRDefault="00935ED5" w:rsidP="00935ED5">
            <w:pPr>
              <w:pStyle w:val="TableHead"/>
              <w:jc w:val="right"/>
              <w:rPr>
                <w:sz w:val="20"/>
                <w:szCs w:val="20"/>
                <w:lang w:val="en-US"/>
              </w:rPr>
            </w:pPr>
            <w:r>
              <w:rPr>
                <w:sz w:val="20"/>
                <w:szCs w:val="20"/>
                <w:lang w:val="en-US"/>
              </w:rPr>
              <w:t>65 + years</w:t>
            </w:r>
          </w:p>
        </w:tc>
      </w:tr>
      <w:tr w:rsidR="00935ED5" w:rsidRPr="00935ED5">
        <w:tblPrEx>
          <w:tblCellMar>
            <w:top w:w="0" w:type="dxa"/>
            <w:bottom w:w="0" w:type="dxa"/>
          </w:tblCellMar>
        </w:tblPrEx>
        <w:trPr>
          <w:tblHeader/>
        </w:trPr>
        <w:tc>
          <w:tcPr>
            <w:tcW w:w="1217" w:type="dxa"/>
            <w:tcBorders>
              <w:bottom w:val="single" w:sz="12" w:space="0" w:color="000000"/>
            </w:tcBorders>
            <w:shd w:val="clear" w:color="auto" w:fill="auto"/>
          </w:tcPr>
          <w:p w:rsidR="00935ED5" w:rsidRPr="00935ED5" w:rsidRDefault="00935ED5" w:rsidP="00935ED5">
            <w:pPr>
              <w:pStyle w:val="TableHead"/>
              <w:jc w:val="right"/>
              <w:rPr>
                <w:sz w:val="20"/>
                <w:szCs w:val="20"/>
                <w:lang w:val="en-US"/>
              </w:rPr>
            </w:pPr>
          </w:p>
        </w:tc>
        <w:tc>
          <w:tcPr>
            <w:tcW w:w="1217" w:type="dxa"/>
            <w:tcBorders>
              <w:bottom w:val="single" w:sz="12" w:space="0" w:color="000000"/>
            </w:tcBorders>
            <w:shd w:val="clear" w:color="auto" w:fill="auto"/>
          </w:tcPr>
          <w:p w:rsidR="00935ED5" w:rsidRPr="00935ED5" w:rsidRDefault="00935ED5" w:rsidP="00935ED5">
            <w:pPr>
              <w:pStyle w:val="TableHead"/>
              <w:jc w:val="right"/>
              <w:rPr>
                <w:sz w:val="20"/>
                <w:szCs w:val="20"/>
                <w:lang w:val="en-US"/>
              </w:rPr>
            </w:pPr>
            <w:r>
              <w:rPr>
                <w:sz w:val="20"/>
                <w:szCs w:val="20"/>
                <w:lang w:val="en-US"/>
              </w:rPr>
              <w:t>2007/2008</w:t>
            </w:r>
          </w:p>
        </w:tc>
        <w:tc>
          <w:tcPr>
            <w:tcW w:w="1217" w:type="dxa"/>
            <w:tcBorders>
              <w:bottom w:val="single" w:sz="12" w:space="0" w:color="000000"/>
            </w:tcBorders>
            <w:shd w:val="clear" w:color="auto" w:fill="auto"/>
          </w:tcPr>
          <w:p w:rsidR="00935ED5" w:rsidRPr="00935ED5" w:rsidRDefault="00935ED5" w:rsidP="00935ED5">
            <w:pPr>
              <w:pStyle w:val="TableHead"/>
              <w:jc w:val="right"/>
              <w:rPr>
                <w:sz w:val="20"/>
                <w:szCs w:val="20"/>
                <w:lang w:val="en-US"/>
              </w:rPr>
            </w:pPr>
            <w:r>
              <w:rPr>
                <w:sz w:val="20"/>
                <w:szCs w:val="20"/>
                <w:lang w:val="en-US"/>
              </w:rPr>
              <w:t>2008/2009</w:t>
            </w:r>
          </w:p>
        </w:tc>
        <w:tc>
          <w:tcPr>
            <w:tcW w:w="1217" w:type="dxa"/>
            <w:tcBorders>
              <w:bottom w:val="single" w:sz="12" w:space="0" w:color="000000"/>
            </w:tcBorders>
            <w:shd w:val="clear" w:color="auto" w:fill="auto"/>
          </w:tcPr>
          <w:p w:rsidR="00935ED5" w:rsidRPr="00935ED5" w:rsidRDefault="00935ED5" w:rsidP="00935ED5">
            <w:pPr>
              <w:pStyle w:val="TableHead"/>
              <w:jc w:val="right"/>
              <w:rPr>
                <w:sz w:val="20"/>
                <w:szCs w:val="20"/>
                <w:lang w:val="en-US"/>
              </w:rPr>
            </w:pPr>
            <w:r>
              <w:rPr>
                <w:sz w:val="20"/>
                <w:szCs w:val="20"/>
                <w:lang w:val="en-US"/>
              </w:rPr>
              <w:t>2007/2008</w:t>
            </w:r>
          </w:p>
        </w:tc>
        <w:tc>
          <w:tcPr>
            <w:tcW w:w="1218" w:type="dxa"/>
            <w:tcBorders>
              <w:bottom w:val="single" w:sz="12" w:space="0" w:color="000000"/>
            </w:tcBorders>
            <w:shd w:val="clear" w:color="auto" w:fill="auto"/>
          </w:tcPr>
          <w:p w:rsidR="00935ED5" w:rsidRPr="00935ED5" w:rsidRDefault="00935ED5" w:rsidP="00935ED5">
            <w:pPr>
              <w:pStyle w:val="TableHead"/>
              <w:jc w:val="right"/>
              <w:rPr>
                <w:sz w:val="20"/>
                <w:szCs w:val="20"/>
                <w:lang w:val="en-US"/>
              </w:rPr>
            </w:pPr>
            <w:r>
              <w:rPr>
                <w:sz w:val="20"/>
                <w:szCs w:val="20"/>
                <w:lang w:val="en-US"/>
              </w:rPr>
              <w:t>2008/2009</w:t>
            </w:r>
          </w:p>
        </w:tc>
        <w:tc>
          <w:tcPr>
            <w:tcW w:w="1218" w:type="dxa"/>
            <w:tcBorders>
              <w:bottom w:val="single" w:sz="12" w:space="0" w:color="000000"/>
            </w:tcBorders>
            <w:shd w:val="clear" w:color="auto" w:fill="auto"/>
          </w:tcPr>
          <w:p w:rsidR="00935ED5" w:rsidRPr="00935ED5" w:rsidRDefault="00935ED5" w:rsidP="00935ED5">
            <w:pPr>
              <w:pStyle w:val="TableHead"/>
              <w:jc w:val="right"/>
              <w:rPr>
                <w:sz w:val="20"/>
                <w:szCs w:val="20"/>
                <w:lang w:val="en-US"/>
              </w:rPr>
            </w:pPr>
            <w:r>
              <w:rPr>
                <w:sz w:val="20"/>
                <w:szCs w:val="20"/>
                <w:lang w:val="en-US"/>
              </w:rPr>
              <w:t>2007/2008</w:t>
            </w:r>
          </w:p>
        </w:tc>
        <w:tc>
          <w:tcPr>
            <w:tcW w:w="1218" w:type="dxa"/>
            <w:tcBorders>
              <w:bottom w:val="single" w:sz="12" w:space="0" w:color="000000"/>
            </w:tcBorders>
            <w:shd w:val="clear" w:color="auto" w:fill="auto"/>
          </w:tcPr>
          <w:p w:rsidR="00935ED5" w:rsidRPr="00935ED5" w:rsidRDefault="00935ED5" w:rsidP="00935ED5">
            <w:pPr>
              <w:pStyle w:val="TableHead"/>
              <w:jc w:val="right"/>
              <w:rPr>
                <w:sz w:val="20"/>
                <w:szCs w:val="20"/>
                <w:lang w:val="en-US"/>
              </w:rPr>
            </w:pPr>
            <w:r>
              <w:rPr>
                <w:sz w:val="20"/>
                <w:szCs w:val="20"/>
                <w:lang w:val="en-US"/>
              </w:rPr>
              <w:t>2008/2009</w:t>
            </w:r>
          </w:p>
        </w:tc>
      </w:tr>
      <w:tr w:rsidR="00935ED5" w:rsidRPr="00935ED5">
        <w:tblPrEx>
          <w:tblCellMar>
            <w:top w:w="0" w:type="dxa"/>
            <w:bottom w:w="0" w:type="dxa"/>
          </w:tblCellMar>
        </w:tblPrEx>
        <w:tc>
          <w:tcPr>
            <w:tcW w:w="1217" w:type="dxa"/>
            <w:tcBorders>
              <w:top w:val="single" w:sz="12" w:space="0" w:color="000000"/>
            </w:tcBorders>
            <w:shd w:val="clear" w:color="auto" w:fill="auto"/>
          </w:tcPr>
          <w:p w:rsidR="00935ED5" w:rsidRPr="00935ED5" w:rsidRDefault="00935ED5" w:rsidP="00935ED5">
            <w:pPr>
              <w:pStyle w:val="TableRowHead"/>
              <w:rPr>
                <w:sz w:val="20"/>
                <w:szCs w:val="20"/>
                <w:lang w:val="en-US"/>
              </w:rPr>
            </w:pPr>
            <w:r w:rsidRPr="00935ED5">
              <w:rPr>
                <w:sz w:val="20"/>
                <w:szCs w:val="20"/>
                <w:lang w:val="en-US"/>
              </w:rPr>
              <w:t>Overnigh</w:t>
            </w:r>
            <w:r>
              <w:rPr>
                <w:sz w:val="20"/>
                <w:szCs w:val="20"/>
                <w:lang w:val="en-US"/>
              </w:rPr>
              <w:t>t Respite Weeks</w:t>
            </w:r>
          </w:p>
        </w:tc>
        <w:tc>
          <w:tcPr>
            <w:tcW w:w="1217" w:type="dxa"/>
            <w:tcBorders>
              <w:top w:val="single" w:sz="12" w:space="0" w:color="000000"/>
            </w:tcBorders>
            <w:shd w:val="clear" w:color="auto" w:fill="auto"/>
          </w:tcPr>
          <w:p w:rsidR="00935ED5" w:rsidRPr="00935ED5" w:rsidRDefault="00935ED5" w:rsidP="00935ED5">
            <w:pPr>
              <w:pStyle w:val="TableCell"/>
              <w:jc w:val="right"/>
              <w:rPr>
                <w:sz w:val="20"/>
                <w:szCs w:val="20"/>
                <w:lang w:val="en-US"/>
              </w:rPr>
            </w:pPr>
            <w:r>
              <w:rPr>
                <w:sz w:val="20"/>
                <w:szCs w:val="20"/>
                <w:lang w:val="en-US"/>
              </w:rPr>
              <w:t>7,900</w:t>
            </w:r>
          </w:p>
        </w:tc>
        <w:tc>
          <w:tcPr>
            <w:tcW w:w="1217" w:type="dxa"/>
            <w:tcBorders>
              <w:top w:val="single" w:sz="12" w:space="0" w:color="000000"/>
            </w:tcBorders>
            <w:shd w:val="clear" w:color="auto" w:fill="auto"/>
          </w:tcPr>
          <w:p w:rsidR="00935ED5" w:rsidRPr="00935ED5" w:rsidRDefault="00935ED5" w:rsidP="00935ED5">
            <w:pPr>
              <w:pStyle w:val="TableCell"/>
              <w:jc w:val="right"/>
              <w:rPr>
                <w:sz w:val="20"/>
                <w:szCs w:val="20"/>
                <w:lang w:val="en-US"/>
              </w:rPr>
            </w:pPr>
            <w:r>
              <w:rPr>
                <w:sz w:val="20"/>
                <w:szCs w:val="20"/>
                <w:lang w:val="en-US"/>
              </w:rPr>
              <w:t>8,000</w:t>
            </w:r>
          </w:p>
        </w:tc>
        <w:tc>
          <w:tcPr>
            <w:tcW w:w="1217" w:type="dxa"/>
            <w:tcBorders>
              <w:top w:val="single" w:sz="12" w:space="0" w:color="000000"/>
            </w:tcBorders>
            <w:shd w:val="clear" w:color="auto" w:fill="auto"/>
          </w:tcPr>
          <w:p w:rsidR="00935ED5" w:rsidRPr="00935ED5" w:rsidRDefault="00935ED5" w:rsidP="00935ED5">
            <w:pPr>
              <w:pStyle w:val="TableCell"/>
              <w:jc w:val="right"/>
              <w:rPr>
                <w:sz w:val="20"/>
                <w:szCs w:val="20"/>
                <w:lang w:val="en-US"/>
              </w:rPr>
            </w:pPr>
            <w:r>
              <w:rPr>
                <w:sz w:val="20"/>
                <w:szCs w:val="20"/>
                <w:lang w:val="en-US"/>
              </w:rPr>
              <w:t>18,000</w:t>
            </w:r>
          </w:p>
        </w:tc>
        <w:tc>
          <w:tcPr>
            <w:tcW w:w="1218" w:type="dxa"/>
            <w:tcBorders>
              <w:top w:val="single" w:sz="12" w:space="0" w:color="000000"/>
            </w:tcBorders>
            <w:shd w:val="clear" w:color="auto" w:fill="auto"/>
          </w:tcPr>
          <w:p w:rsidR="00935ED5" w:rsidRPr="00935ED5" w:rsidRDefault="00935ED5" w:rsidP="00935ED5">
            <w:pPr>
              <w:pStyle w:val="TableCell"/>
              <w:jc w:val="right"/>
              <w:rPr>
                <w:sz w:val="20"/>
                <w:szCs w:val="20"/>
                <w:lang w:val="en-US"/>
              </w:rPr>
            </w:pPr>
            <w:r>
              <w:rPr>
                <w:sz w:val="20"/>
                <w:szCs w:val="20"/>
                <w:lang w:val="en-US"/>
              </w:rPr>
              <w:t>18,800</w:t>
            </w:r>
          </w:p>
        </w:tc>
        <w:tc>
          <w:tcPr>
            <w:tcW w:w="1218" w:type="dxa"/>
            <w:tcBorders>
              <w:top w:val="single" w:sz="12" w:space="0" w:color="000000"/>
            </w:tcBorders>
            <w:shd w:val="clear" w:color="auto" w:fill="auto"/>
          </w:tcPr>
          <w:p w:rsidR="00935ED5" w:rsidRPr="00935ED5" w:rsidRDefault="00935ED5" w:rsidP="00935ED5">
            <w:pPr>
              <w:pStyle w:val="TableCell"/>
              <w:jc w:val="right"/>
              <w:rPr>
                <w:sz w:val="20"/>
                <w:szCs w:val="20"/>
                <w:lang w:val="en-US"/>
              </w:rPr>
            </w:pPr>
            <w:r>
              <w:rPr>
                <w:sz w:val="20"/>
                <w:szCs w:val="20"/>
                <w:lang w:val="en-US"/>
              </w:rPr>
              <w:t>37,000</w:t>
            </w:r>
          </w:p>
        </w:tc>
        <w:tc>
          <w:tcPr>
            <w:tcW w:w="1218" w:type="dxa"/>
            <w:tcBorders>
              <w:top w:val="single" w:sz="12" w:space="0" w:color="000000"/>
            </w:tcBorders>
            <w:shd w:val="clear" w:color="auto" w:fill="auto"/>
          </w:tcPr>
          <w:p w:rsidR="00935ED5" w:rsidRPr="00935ED5" w:rsidRDefault="00935ED5" w:rsidP="00935ED5">
            <w:pPr>
              <w:pStyle w:val="TableCell"/>
              <w:jc w:val="right"/>
              <w:rPr>
                <w:sz w:val="20"/>
                <w:szCs w:val="20"/>
                <w:lang w:val="en-US"/>
              </w:rPr>
            </w:pPr>
            <w:r>
              <w:rPr>
                <w:sz w:val="20"/>
                <w:szCs w:val="20"/>
                <w:lang w:val="en-US"/>
              </w:rPr>
              <w:t>36,000</w:t>
            </w:r>
          </w:p>
        </w:tc>
      </w:tr>
      <w:tr w:rsidR="00935ED5" w:rsidRPr="00935ED5">
        <w:tblPrEx>
          <w:tblCellMar>
            <w:top w:w="0" w:type="dxa"/>
            <w:bottom w:w="0" w:type="dxa"/>
          </w:tblCellMar>
        </w:tblPrEx>
        <w:tc>
          <w:tcPr>
            <w:tcW w:w="1217" w:type="dxa"/>
            <w:shd w:val="clear" w:color="auto" w:fill="auto"/>
          </w:tcPr>
          <w:p w:rsidR="00935ED5" w:rsidRPr="00935ED5" w:rsidRDefault="00935ED5" w:rsidP="00935ED5">
            <w:pPr>
              <w:pStyle w:val="TableRowHead"/>
              <w:rPr>
                <w:sz w:val="20"/>
                <w:szCs w:val="20"/>
                <w:lang w:val="en-US"/>
              </w:rPr>
            </w:pPr>
            <w:r>
              <w:rPr>
                <w:sz w:val="20"/>
                <w:szCs w:val="20"/>
                <w:lang w:val="en-US"/>
              </w:rPr>
              <w:t xml:space="preserve">Daytime Respite Weeks </w:t>
            </w:r>
          </w:p>
        </w:tc>
        <w:tc>
          <w:tcPr>
            <w:tcW w:w="1217" w:type="dxa"/>
            <w:shd w:val="clear" w:color="auto" w:fill="auto"/>
          </w:tcPr>
          <w:p w:rsidR="00935ED5" w:rsidRPr="00935ED5" w:rsidRDefault="00935ED5" w:rsidP="00935ED5">
            <w:pPr>
              <w:pStyle w:val="TableCell"/>
              <w:jc w:val="right"/>
              <w:rPr>
                <w:sz w:val="20"/>
                <w:szCs w:val="20"/>
                <w:lang w:val="en-US"/>
              </w:rPr>
            </w:pPr>
            <w:r>
              <w:rPr>
                <w:sz w:val="20"/>
                <w:szCs w:val="20"/>
                <w:lang w:val="en-US"/>
              </w:rPr>
              <w:t>16,000</w:t>
            </w:r>
          </w:p>
        </w:tc>
        <w:tc>
          <w:tcPr>
            <w:tcW w:w="1217" w:type="dxa"/>
            <w:shd w:val="clear" w:color="auto" w:fill="auto"/>
          </w:tcPr>
          <w:p w:rsidR="00935ED5" w:rsidRPr="00935ED5" w:rsidRDefault="00935ED5" w:rsidP="00935ED5">
            <w:pPr>
              <w:pStyle w:val="TableCell"/>
              <w:jc w:val="right"/>
              <w:rPr>
                <w:sz w:val="20"/>
                <w:szCs w:val="20"/>
                <w:lang w:val="en-US"/>
              </w:rPr>
            </w:pPr>
            <w:r>
              <w:rPr>
                <w:sz w:val="20"/>
                <w:szCs w:val="20"/>
                <w:lang w:val="en-US"/>
              </w:rPr>
              <w:t>14,800</w:t>
            </w:r>
          </w:p>
        </w:tc>
        <w:tc>
          <w:tcPr>
            <w:tcW w:w="1217" w:type="dxa"/>
            <w:shd w:val="clear" w:color="auto" w:fill="auto"/>
          </w:tcPr>
          <w:p w:rsidR="00935ED5" w:rsidRPr="00935ED5" w:rsidRDefault="00935ED5" w:rsidP="00935ED5">
            <w:pPr>
              <w:pStyle w:val="TableCell"/>
              <w:jc w:val="right"/>
              <w:rPr>
                <w:sz w:val="20"/>
                <w:szCs w:val="20"/>
                <w:lang w:val="en-US"/>
              </w:rPr>
            </w:pPr>
            <w:r>
              <w:rPr>
                <w:sz w:val="20"/>
                <w:szCs w:val="20"/>
                <w:lang w:val="en-US"/>
              </w:rPr>
              <w:t>41,000</w:t>
            </w:r>
          </w:p>
        </w:tc>
        <w:tc>
          <w:tcPr>
            <w:tcW w:w="1218" w:type="dxa"/>
            <w:shd w:val="clear" w:color="auto" w:fill="auto"/>
          </w:tcPr>
          <w:p w:rsidR="00935ED5" w:rsidRPr="00935ED5" w:rsidRDefault="00935ED5" w:rsidP="00935ED5">
            <w:pPr>
              <w:pStyle w:val="TableCell"/>
              <w:jc w:val="right"/>
              <w:rPr>
                <w:sz w:val="20"/>
                <w:szCs w:val="20"/>
                <w:lang w:val="en-US"/>
              </w:rPr>
            </w:pPr>
            <w:r>
              <w:rPr>
                <w:sz w:val="20"/>
                <w:szCs w:val="20"/>
                <w:lang w:val="en-US"/>
              </w:rPr>
              <w:t>39,700</w:t>
            </w:r>
          </w:p>
        </w:tc>
        <w:tc>
          <w:tcPr>
            <w:tcW w:w="1218" w:type="dxa"/>
            <w:shd w:val="clear" w:color="auto" w:fill="auto"/>
          </w:tcPr>
          <w:p w:rsidR="00935ED5" w:rsidRPr="00935ED5" w:rsidRDefault="00935ED5" w:rsidP="00935ED5">
            <w:pPr>
              <w:pStyle w:val="TableCell"/>
              <w:jc w:val="right"/>
              <w:rPr>
                <w:sz w:val="20"/>
                <w:szCs w:val="20"/>
                <w:lang w:val="en-US"/>
              </w:rPr>
            </w:pPr>
            <w:r>
              <w:rPr>
                <w:sz w:val="20"/>
                <w:szCs w:val="20"/>
                <w:lang w:val="en-US"/>
              </w:rPr>
              <w:t>52,900</w:t>
            </w:r>
          </w:p>
        </w:tc>
        <w:tc>
          <w:tcPr>
            <w:tcW w:w="1218" w:type="dxa"/>
            <w:shd w:val="clear" w:color="auto" w:fill="auto"/>
          </w:tcPr>
          <w:p w:rsidR="00935ED5" w:rsidRPr="00935ED5" w:rsidRDefault="00935ED5" w:rsidP="00935ED5">
            <w:pPr>
              <w:pStyle w:val="TableCell"/>
              <w:jc w:val="right"/>
              <w:rPr>
                <w:sz w:val="20"/>
                <w:szCs w:val="20"/>
                <w:lang w:val="en-US"/>
              </w:rPr>
            </w:pPr>
            <w:r>
              <w:rPr>
                <w:sz w:val="20"/>
                <w:szCs w:val="20"/>
                <w:lang w:val="en-US"/>
              </w:rPr>
              <w:t>56,700</w:t>
            </w:r>
          </w:p>
        </w:tc>
      </w:tr>
      <w:tr w:rsidR="00935ED5" w:rsidRPr="00935ED5">
        <w:tblPrEx>
          <w:tblCellMar>
            <w:top w:w="0" w:type="dxa"/>
            <w:bottom w:w="0" w:type="dxa"/>
          </w:tblCellMar>
        </w:tblPrEx>
        <w:tc>
          <w:tcPr>
            <w:tcW w:w="1217" w:type="dxa"/>
            <w:shd w:val="clear" w:color="auto" w:fill="auto"/>
          </w:tcPr>
          <w:p w:rsidR="00935ED5" w:rsidRDefault="00935ED5" w:rsidP="00935ED5">
            <w:pPr>
              <w:pStyle w:val="TableRowHead"/>
              <w:rPr>
                <w:sz w:val="20"/>
                <w:szCs w:val="20"/>
                <w:lang w:val="en-US"/>
              </w:rPr>
            </w:pPr>
            <w:r>
              <w:rPr>
                <w:sz w:val="20"/>
                <w:szCs w:val="20"/>
                <w:lang w:val="en-US"/>
              </w:rPr>
              <w:t>Total</w:t>
            </w:r>
          </w:p>
        </w:tc>
        <w:tc>
          <w:tcPr>
            <w:tcW w:w="1217" w:type="dxa"/>
            <w:shd w:val="clear" w:color="auto" w:fill="auto"/>
          </w:tcPr>
          <w:p w:rsidR="00935ED5" w:rsidRPr="00935ED5" w:rsidRDefault="00935ED5" w:rsidP="00935ED5">
            <w:pPr>
              <w:pStyle w:val="TableCell"/>
              <w:jc w:val="right"/>
              <w:rPr>
                <w:sz w:val="20"/>
                <w:szCs w:val="20"/>
                <w:lang w:val="en-US"/>
              </w:rPr>
            </w:pPr>
            <w:r>
              <w:rPr>
                <w:sz w:val="20"/>
                <w:szCs w:val="20"/>
                <w:lang w:val="en-US"/>
              </w:rPr>
              <w:t>23,900</w:t>
            </w:r>
          </w:p>
        </w:tc>
        <w:tc>
          <w:tcPr>
            <w:tcW w:w="1217" w:type="dxa"/>
            <w:shd w:val="clear" w:color="auto" w:fill="auto"/>
          </w:tcPr>
          <w:p w:rsidR="00935ED5" w:rsidRPr="00935ED5" w:rsidRDefault="00935ED5" w:rsidP="00935ED5">
            <w:pPr>
              <w:pStyle w:val="TableCell"/>
              <w:jc w:val="right"/>
              <w:rPr>
                <w:sz w:val="20"/>
                <w:szCs w:val="20"/>
                <w:lang w:val="en-US"/>
              </w:rPr>
            </w:pPr>
            <w:r>
              <w:rPr>
                <w:sz w:val="20"/>
                <w:szCs w:val="20"/>
                <w:lang w:val="en-US"/>
              </w:rPr>
              <w:t>22,000</w:t>
            </w:r>
          </w:p>
        </w:tc>
        <w:tc>
          <w:tcPr>
            <w:tcW w:w="1217" w:type="dxa"/>
            <w:shd w:val="clear" w:color="auto" w:fill="auto"/>
          </w:tcPr>
          <w:p w:rsidR="00935ED5" w:rsidRPr="00935ED5" w:rsidRDefault="00935ED5" w:rsidP="00935ED5">
            <w:pPr>
              <w:pStyle w:val="TableCell"/>
              <w:jc w:val="right"/>
              <w:rPr>
                <w:sz w:val="20"/>
                <w:szCs w:val="20"/>
                <w:lang w:val="en-US"/>
              </w:rPr>
            </w:pPr>
            <w:r>
              <w:rPr>
                <w:sz w:val="20"/>
                <w:szCs w:val="20"/>
                <w:lang w:val="en-US"/>
              </w:rPr>
              <w:t>59,000</w:t>
            </w:r>
          </w:p>
        </w:tc>
        <w:tc>
          <w:tcPr>
            <w:tcW w:w="1218" w:type="dxa"/>
            <w:shd w:val="clear" w:color="auto" w:fill="auto"/>
          </w:tcPr>
          <w:p w:rsidR="00935ED5" w:rsidRPr="00935ED5" w:rsidRDefault="00935ED5" w:rsidP="00935ED5">
            <w:pPr>
              <w:pStyle w:val="TableCell"/>
              <w:jc w:val="right"/>
              <w:rPr>
                <w:sz w:val="20"/>
                <w:szCs w:val="20"/>
                <w:lang w:val="en-US"/>
              </w:rPr>
            </w:pPr>
            <w:r>
              <w:rPr>
                <w:sz w:val="20"/>
                <w:szCs w:val="20"/>
                <w:lang w:val="en-US"/>
              </w:rPr>
              <w:t>58,500</w:t>
            </w:r>
          </w:p>
        </w:tc>
        <w:tc>
          <w:tcPr>
            <w:tcW w:w="1218" w:type="dxa"/>
            <w:shd w:val="clear" w:color="auto" w:fill="auto"/>
          </w:tcPr>
          <w:p w:rsidR="00935ED5" w:rsidRPr="00935ED5" w:rsidRDefault="00935ED5" w:rsidP="00935ED5">
            <w:pPr>
              <w:pStyle w:val="TableCell"/>
              <w:jc w:val="right"/>
              <w:rPr>
                <w:sz w:val="20"/>
                <w:szCs w:val="20"/>
                <w:lang w:val="en-US"/>
              </w:rPr>
            </w:pPr>
            <w:r>
              <w:rPr>
                <w:sz w:val="20"/>
                <w:szCs w:val="20"/>
                <w:lang w:val="en-US"/>
              </w:rPr>
              <w:t>89,900</w:t>
            </w:r>
          </w:p>
        </w:tc>
        <w:tc>
          <w:tcPr>
            <w:tcW w:w="1218" w:type="dxa"/>
            <w:shd w:val="clear" w:color="auto" w:fill="auto"/>
          </w:tcPr>
          <w:p w:rsidR="00935ED5" w:rsidRPr="00935ED5" w:rsidRDefault="00501C05" w:rsidP="00935ED5">
            <w:pPr>
              <w:pStyle w:val="TableCell"/>
              <w:jc w:val="right"/>
              <w:rPr>
                <w:sz w:val="20"/>
                <w:szCs w:val="20"/>
                <w:lang w:val="en-US"/>
              </w:rPr>
            </w:pPr>
            <w:r>
              <w:rPr>
                <w:sz w:val="20"/>
                <w:szCs w:val="20"/>
                <w:lang w:val="en-US"/>
              </w:rPr>
              <w:t>92, 700</w:t>
            </w:r>
          </w:p>
        </w:tc>
      </w:tr>
    </w:tbl>
    <w:p w:rsidR="00911F4C" w:rsidRDefault="00935ED5" w:rsidP="00501C05">
      <w:pPr>
        <w:pStyle w:val="TableNote"/>
        <w:rPr>
          <w:lang w:val="en-US"/>
        </w:rPr>
      </w:pPr>
      <w:r>
        <w:rPr>
          <w:lang w:val="en-US"/>
        </w:rPr>
        <w:t xml:space="preserve">Source: </w:t>
      </w:r>
      <w:r w:rsidR="00501C05">
        <w:rPr>
          <w:lang w:val="en-US"/>
        </w:rPr>
        <w:t xml:space="preserve">Audit </w:t>
      </w:r>
      <w:smartTag w:uri="urn:schemas-microsoft-com:office:smarttags" w:element="country-region">
        <w:smartTag w:uri="urn:schemas-microsoft-com:office:smarttags" w:element="place">
          <w:r w:rsidR="00501C05">
            <w:rPr>
              <w:lang w:val="en-US"/>
            </w:rPr>
            <w:t>Scotland</w:t>
          </w:r>
        </w:smartTag>
      </w:smartTag>
      <w:r w:rsidR="00501C05">
        <w:rPr>
          <w:lang w:val="en-US"/>
        </w:rPr>
        <w:t xml:space="preserve"> SPI (2009)</w:t>
      </w:r>
    </w:p>
    <w:p w:rsidR="00135A9B" w:rsidRPr="00135A9B" w:rsidRDefault="00135A9B" w:rsidP="00135A9B">
      <w:pPr>
        <w:rPr>
          <w:lang w:val="en-US"/>
        </w:rPr>
      </w:pPr>
      <w:r>
        <w:rPr>
          <w:lang w:val="en-US"/>
        </w:rPr>
        <w:t xml:space="preserve">In June 2010 the Ministry for Health and Wellbeing announced their Caring Together Strategy for adult  </w:t>
      </w:r>
      <w:r w:rsidR="00D02462">
        <w:rPr>
          <w:lang w:val="en-US"/>
        </w:rPr>
        <w:t xml:space="preserve">and young carers. This strategy </w:t>
      </w:r>
      <w:r w:rsidR="00D0614D">
        <w:rPr>
          <w:lang w:val="en-US"/>
        </w:rPr>
        <w:t xml:space="preserve">sets out a range of measures </w:t>
      </w:r>
      <w:r>
        <w:rPr>
          <w:lang w:val="en-US"/>
        </w:rPr>
        <w:t xml:space="preserve">designed to identify and support carers across </w:t>
      </w:r>
      <w:smartTag w:uri="urn:schemas-microsoft-com:office:smarttags" w:element="country-region">
        <w:smartTag w:uri="urn:schemas-microsoft-com:office:smarttags" w:element="place">
          <w:r>
            <w:rPr>
              <w:lang w:val="en-US"/>
            </w:rPr>
            <w:t>Scotland</w:t>
          </w:r>
        </w:smartTag>
      </w:smartTag>
      <w:r>
        <w:rPr>
          <w:lang w:val="en-US"/>
        </w:rPr>
        <w:t>.  A budget of €6m, (£5m.) over 5 years has been allocated to the project</w:t>
      </w:r>
      <w:r>
        <w:rPr>
          <w:rStyle w:val="FootnoteReference"/>
        </w:rPr>
        <w:footnoteReference w:id="63"/>
      </w:r>
      <w:r>
        <w:rPr>
          <w:lang w:val="en-US"/>
        </w:rPr>
        <w:t>.</w:t>
      </w:r>
    </w:p>
    <w:p w:rsidR="00D177C7" w:rsidRPr="00D177C7" w:rsidRDefault="00CC6E2D" w:rsidP="00D177C7">
      <w:pPr>
        <w:pStyle w:val="Heading2"/>
      </w:pPr>
      <w:bookmarkStart w:id="82" w:name="_Toc279136912"/>
      <w:r>
        <w:t xml:space="preserve">4.7 Care supports in education </w:t>
      </w:r>
      <w:r w:rsidR="00D177C7">
        <w:t>for children with disabilities</w:t>
      </w:r>
      <w:bookmarkEnd w:id="82"/>
    </w:p>
    <w:p w:rsidR="00D177C7" w:rsidRDefault="00D177C7" w:rsidP="00D177C7">
      <w:pPr>
        <w:autoSpaceDE w:val="0"/>
        <w:autoSpaceDN w:val="0"/>
        <w:adjustRightInd w:val="0"/>
        <w:spacing w:after="360" w:line="240" w:lineRule="atLeast"/>
        <w:rPr>
          <w:rFonts w:cs="Arial"/>
          <w:color w:val="000000"/>
          <w:lang w:eastAsia="en-IE"/>
        </w:rPr>
      </w:pPr>
      <w:r>
        <w:t xml:space="preserve">The Department of Education and Lifelong Learning is responsible for ensuring that the special education needs of children and young people are met. Local authorities are obliged by law to provide education for children of school going age with and without disabilities in their area. </w:t>
      </w:r>
      <w:r>
        <w:rPr>
          <w:rFonts w:cs="Arial"/>
          <w:color w:val="000000"/>
          <w:lang w:eastAsia="en-IE"/>
        </w:rPr>
        <w:t>27 out of 32 local authorities have special schools or units</w:t>
      </w:r>
      <w:r>
        <w:rPr>
          <w:rStyle w:val="FootnoteReference"/>
        </w:rPr>
        <w:footnoteReference w:id="64"/>
      </w:r>
      <w:r>
        <w:rPr>
          <w:rFonts w:cs="Arial"/>
          <w:color w:val="000000"/>
          <w:lang w:eastAsia="en-IE"/>
        </w:rPr>
        <w:t xml:space="preserve">. </w:t>
      </w:r>
    </w:p>
    <w:p w:rsidR="00D177C7" w:rsidRPr="00AC412B" w:rsidRDefault="00D177C7" w:rsidP="00D177C7">
      <w:pPr>
        <w:autoSpaceDE w:val="0"/>
        <w:autoSpaceDN w:val="0"/>
        <w:adjustRightInd w:val="0"/>
        <w:spacing w:after="360" w:line="240" w:lineRule="atLeast"/>
      </w:pPr>
      <w:r>
        <w:rPr>
          <w:rFonts w:cs="Arial"/>
          <w:color w:val="000000"/>
          <w:lang w:eastAsia="en-IE"/>
        </w:rPr>
        <w:t>Special schools are more likely to provide services for children with learning disabilities and in some cases for children with autistic spectrum disorder, social, emotional and behavioural difficulties, language and speech disorders and physical disabilities</w:t>
      </w:r>
      <w:r>
        <w:rPr>
          <w:rStyle w:val="FootnoteReference"/>
          <w:rFonts w:cs="Arial"/>
          <w:color w:val="000000"/>
          <w:lang w:eastAsia="en-IE"/>
        </w:rPr>
        <w:footnoteReference w:id="65"/>
      </w:r>
      <w:r>
        <w:rPr>
          <w:rFonts w:cs="Arial"/>
          <w:color w:val="000000"/>
          <w:lang w:eastAsia="en-IE"/>
        </w:rPr>
        <w:t>.</w:t>
      </w:r>
    </w:p>
    <w:p w:rsidR="00D177C7" w:rsidRPr="00AC412B" w:rsidRDefault="00D177C7" w:rsidP="00D177C7">
      <w:pPr>
        <w:autoSpaceDE w:val="0"/>
        <w:autoSpaceDN w:val="0"/>
        <w:adjustRightInd w:val="0"/>
        <w:spacing w:after="360" w:line="240" w:lineRule="atLeast"/>
      </w:pPr>
      <w:r>
        <w:t>The Education (Additional Support for Learning) (</w:t>
      </w:r>
      <w:smartTag w:uri="urn:schemas-microsoft-com:office:smarttags" w:element="country-region">
        <w:smartTag w:uri="urn:schemas-microsoft-com:office:smarttags" w:element="place">
          <w:r>
            <w:t>Scotland</w:t>
          </w:r>
        </w:smartTag>
      </w:smartTag>
      <w:r>
        <w:t xml:space="preserve">) Act 2004 states that all children who require additional support in school receive it and that they have an IEP (Individualised Education Programme). </w:t>
      </w:r>
      <w:r>
        <w:rPr>
          <w:rFonts w:cs="Arial"/>
          <w:color w:val="000000"/>
          <w:lang w:eastAsia="en-IE"/>
        </w:rPr>
        <w:t xml:space="preserve">4.8% of primary pupils and 4.3% of secondary school pupils in </w:t>
      </w:r>
      <w:smartTag w:uri="urn:schemas-microsoft-com:office:smarttags" w:element="country-region">
        <w:smartTag w:uri="urn:schemas-microsoft-com:office:smarttags" w:element="place">
          <w:r>
            <w:rPr>
              <w:rFonts w:cs="Arial"/>
              <w:color w:val="000000"/>
              <w:lang w:eastAsia="en-IE"/>
            </w:rPr>
            <w:t>Scotland</w:t>
          </w:r>
        </w:smartTag>
      </w:smartTag>
      <w:r>
        <w:rPr>
          <w:rFonts w:cs="Arial"/>
          <w:color w:val="000000"/>
          <w:lang w:eastAsia="en-IE"/>
        </w:rPr>
        <w:t xml:space="preserve"> are identified as having additional support needs</w:t>
      </w:r>
      <w:r>
        <w:rPr>
          <w:rStyle w:val="FootnoteReference"/>
          <w:rFonts w:cs="Arial"/>
          <w:color w:val="000000"/>
          <w:lang w:eastAsia="en-IE"/>
        </w:rPr>
        <w:footnoteReference w:id="66"/>
      </w:r>
      <w:r>
        <w:rPr>
          <w:rFonts w:cs="Arial"/>
          <w:color w:val="000000"/>
          <w:lang w:eastAsia="en-IE"/>
        </w:rPr>
        <w:t xml:space="preserve">. </w:t>
      </w:r>
    </w:p>
    <w:p w:rsidR="00D177C7" w:rsidRPr="00AC412B" w:rsidRDefault="00D177C7" w:rsidP="00D177C7">
      <w:pPr>
        <w:pStyle w:val="NormalWeb"/>
        <w:rPr>
          <w:rFonts w:ascii="Arial" w:hAnsi="Arial" w:cs="Arial"/>
          <w:lang w:val="en-GB"/>
        </w:rPr>
      </w:pPr>
      <w:r w:rsidRPr="00AC412B">
        <w:rPr>
          <w:rFonts w:ascii="Arial" w:hAnsi="Arial" w:cs="Arial"/>
          <w:color w:val="000000"/>
        </w:rPr>
        <w:t xml:space="preserve">Children and young people i.e. </w:t>
      </w:r>
      <w:r w:rsidRPr="00AC412B">
        <w:rPr>
          <w:rFonts w:ascii="Arial" w:hAnsi="Arial" w:cs="Arial"/>
          <w:iCs/>
          <w:lang w:val="en-GB"/>
        </w:rPr>
        <w:t xml:space="preserve">"with multiple and complex disabilities " receive </w:t>
      </w:r>
      <w:r>
        <w:rPr>
          <w:rFonts w:ascii="Arial" w:hAnsi="Arial" w:cs="Arial"/>
          <w:iCs/>
          <w:lang w:val="en-GB"/>
        </w:rPr>
        <w:t xml:space="preserve">supports from </w:t>
      </w:r>
      <w:r w:rsidRPr="00AC412B">
        <w:rPr>
          <w:rFonts w:ascii="Arial" w:hAnsi="Arial" w:cs="Arial"/>
          <w:lang w:val="en-GB"/>
        </w:rPr>
        <w:t>soci</w:t>
      </w:r>
      <w:r>
        <w:rPr>
          <w:rFonts w:ascii="Arial" w:hAnsi="Arial" w:cs="Arial"/>
          <w:lang w:val="en-GB"/>
        </w:rPr>
        <w:t xml:space="preserve">al care services and education and </w:t>
      </w:r>
      <w:r w:rsidRPr="00AC412B">
        <w:rPr>
          <w:rFonts w:ascii="Arial" w:hAnsi="Arial" w:cs="Arial"/>
          <w:lang w:val="en-GB"/>
        </w:rPr>
        <w:t>voluntary</w:t>
      </w:r>
      <w:r>
        <w:rPr>
          <w:rFonts w:ascii="Arial" w:hAnsi="Arial" w:cs="Arial"/>
          <w:lang w:val="en-GB"/>
        </w:rPr>
        <w:t xml:space="preserve"> and non-statutory sectors. </w:t>
      </w:r>
      <w:r w:rsidRPr="00AC412B">
        <w:rPr>
          <w:rFonts w:ascii="Arial" w:hAnsi="Arial" w:cs="Arial"/>
          <w:lang w:val="en-GB"/>
        </w:rPr>
        <w:t xml:space="preserve">Nurses and Allied Health Professionals </w:t>
      </w:r>
      <w:r>
        <w:rPr>
          <w:rFonts w:ascii="Arial" w:hAnsi="Arial" w:cs="Arial"/>
          <w:lang w:val="en-GB"/>
        </w:rPr>
        <w:t xml:space="preserve">deliver these type of services </w:t>
      </w:r>
      <w:r w:rsidRPr="00AC412B">
        <w:rPr>
          <w:rFonts w:ascii="Arial" w:hAnsi="Arial" w:cs="Arial"/>
          <w:lang w:val="en-GB"/>
        </w:rPr>
        <w:t>in hospital and in the community</w:t>
      </w:r>
      <w:r w:rsidRPr="00AC412B">
        <w:rPr>
          <w:rStyle w:val="FootnoteReference"/>
          <w:rFonts w:ascii="Arial" w:hAnsi="Arial" w:cs="Arial"/>
          <w:lang w:val="en-GB"/>
        </w:rPr>
        <w:footnoteReference w:id="67"/>
      </w:r>
      <w:r w:rsidRPr="00AC412B">
        <w:rPr>
          <w:rFonts w:ascii="Arial" w:hAnsi="Arial" w:cs="Arial"/>
          <w:lang w:val="en-GB"/>
        </w:rPr>
        <w:t>.</w:t>
      </w:r>
    </w:p>
    <w:p w:rsidR="00D177C7" w:rsidRPr="00AC412B" w:rsidRDefault="00D177C7" w:rsidP="00D177C7">
      <w:pPr>
        <w:pStyle w:val="NormalWeb"/>
        <w:rPr>
          <w:rFonts w:ascii="Arial" w:hAnsi="Arial" w:cs="Arial"/>
          <w:lang w:val="en-GB"/>
        </w:rPr>
      </w:pPr>
      <w:r>
        <w:rPr>
          <w:rFonts w:ascii="Arial" w:hAnsi="Arial" w:cs="Arial"/>
          <w:lang w:val="en-GB"/>
        </w:rPr>
        <w:t xml:space="preserve">These children's daily care needs </w:t>
      </w:r>
      <w:r w:rsidR="002F4702">
        <w:rPr>
          <w:rFonts w:ascii="Arial" w:hAnsi="Arial" w:cs="Arial"/>
          <w:lang w:val="en-GB"/>
        </w:rPr>
        <w:t xml:space="preserve">including care assistants and social workers </w:t>
      </w:r>
      <w:r>
        <w:rPr>
          <w:rFonts w:ascii="Arial" w:hAnsi="Arial" w:cs="Arial"/>
          <w:lang w:val="en-GB"/>
        </w:rPr>
        <w:t xml:space="preserve">are </w:t>
      </w:r>
      <w:r w:rsidRPr="00AC412B">
        <w:rPr>
          <w:rFonts w:ascii="Arial" w:hAnsi="Arial" w:cs="Arial"/>
          <w:lang w:val="en-GB"/>
        </w:rPr>
        <w:t xml:space="preserve">provided through social services </w:t>
      </w:r>
      <w:r w:rsidR="002F4702">
        <w:rPr>
          <w:rFonts w:ascii="Arial" w:hAnsi="Arial" w:cs="Arial"/>
          <w:lang w:val="en-GB"/>
        </w:rPr>
        <w:t xml:space="preserve">provided by </w:t>
      </w:r>
      <w:r w:rsidR="00F77C77">
        <w:rPr>
          <w:rFonts w:ascii="Arial" w:hAnsi="Arial" w:cs="Arial"/>
          <w:lang w:val="en-GB"/>
        </w:rPr>
        <w:t>the local authorities</w:t>
      </w:r>
      <w:r>
        <w:rPr>
          <w:rFonts w:ascii="Arial" w:hAnsi="Arial" w:cs="Arial"/>
          <w:lang w:val="en-GB"/>
        </w:rPr>
        <w:t xml:space="preserve">. Their </w:t>
      </w:r>
      <w:r w:rsidRPr="00AC412B">
        <w:rPr>
          <w:rFonts w:ascii="Arial" w:hAnsi="Arial" w:cs="Arial"/>
          <w:lang w:val="en-GB"/>
        </w:rPr>
        <w:t xml:space="preserve">educational needs </w:t>
      </w:r>
      <w:r>
        <w:rPr>
          <w:rFonts w:ascii="Arial" w:hAnsi="Arial" w:cs="Arial"/>
          <w:lang w:val="en-GB"/>
        </w:rPr>
        <w:t xml:space="preserve">are </w:t>
      </w:r>
      <w:r w:rsidRPr="00AC412B">
        <w:rPr>
          <w:rFonts w:ascii="Arial" w:hAnsi="Arial" w:cs="Arial"/>
          <w:lang w:val="en-GB"/>
        </w:rPr>
        <w:t>provided through special needs and school nurses, classroom teachers and teaching assistants</w:t>
      </w:r>
      <w:r w:rsidRPr="00AC412B">
        <w:rPr>
          <w:rStyle w:val="FootnoteReference"/>
          <w:rFonts w:ascii="Arial" w:hAnsi="Arial" w:cs="Arial"/>
          <w:lang w:val="en-GB"/>
        </w:rPr>
        <w:footnoteReference w:id="68"/>
      </w:r>
      <w:r w:rsidRPr="00AC412B">
        <w:rPr>
          <w:rFonts w:ascii="Arial" w:hAnsi="Arial" w:cs="Arial"/>
          <w:lang w:val="en-GB"/>
        </w:rPr>
        <w:t>.</w:t>
      </w:r>
    </w:p>
    <w:p w:rsidR="00D177C7" w:rsidRDefault="00D177C7" w:rsidP="00D177C7">
      <w:pPr>
        <w:autoSpaceDE w:val="0"/>
        <w:autoSpaceDN w:val="0"/>
        <w:adjustRightInd w:val="0"/>
        <w:spacing w:after="360" w:line="240" w:lineRule="atLeast"/>
        <w:rPr>
          <w:rFonts w:cs="Arial"/>
          <w:color w:val="000000"/>
          <w:lang w:eastAsia="en-IE"/>
        </w:rPr>
      </w:pPr>
      <w:r>
        <w:rPr>
          <w:rFonts w:cs="Arial"/>
          <w:color w:val="000000"/>
          <w:lang w:eastAsia="en-IE"/>
        </w:rPr>
        <w:t>Recent policy on services for children with disabilities has focused on developing joined-up, tighter interagency systems between health, education, social wo</w:t>
      </w:r>
      <w:r w:rsidR="00EC1708">
        <w:rPr>
          <w:rFonts w:cs="Arial"/>
          <w:color w:val="000000"/>
          <w:lang w:eastAsia="en-IE"/>
        </w:rPr>
        <w:t xml:space="preserve">rk and the voluntary sector. In </w:t>
      </w:r>
      <w:r>
        <w:rPr>
          <w:rFonts w:cs="Arial"/>
          <w:color w:val="000000"/>
          <w:lang w:eastAsia="en-IE"/>
        </w:rPr>
        <w:t xml:space="preserve">the </w:t>
      </w:r>
      <w:r w:rsidRPr="007A5EDD">
        <w:rPr>
          <w:rFonts w:cs="Arial"/>
          <w:b/>
          <w:color w:val="000000"/>
          <w:lang w:eastAsia="en-IE"/>
        </w:rPr>
        <w:t>Getting it Right for Every Child Initiative</w:t>
      </w:r>
      <w:r>
        <w:rPr>
          <w:rFonts w:cs="Arial"/>
          <w:color w:val="000000"/>
          <w:lang w:eastAsia="en-IE"/>
        </w:rPr>
        <w:t xml:space="preserve"> there is a commitment to developing an Integrated Assessment Framework and a single support plan for children with disabilities and others with additional support needs</w:t>
      </w:r>
      <w:r>
        <w:rPr>
          <w:rStyle w:val="FootnoteReference"/>
          <w:rFonts w:cs="Arial"/>
          <w:color w:val="000000"/>
          <w:lang w:eastAsia="en-IE"/>
        </w:rPr>
        <w:footnoteReference w:id="69"/>
      </w:r>
      <w:r>
        <w:rPr>
          <w:rFonts w:cs="Arial"/>
          <w:color w:val="000000"/>
          <w:lang w:eastAsia="en-IE"/>
        </w:rPr>
        <w:t xml:space="preserve">. The Care Co-ordination Network </w:t>
      </w:r>
      <w:smartTag w:uri="urn:schemas-microsoft-com:office:smarttags" w:element="country-region">
        <w:smartTag w:uri="urn:schemas-microsoft-com:office:smarttags" w:element="place">
          <w:r>
            <w:rPr>
              <w:rFonts w:cs="Arial"/>
              <w:color w:val="000000"/>
              <w:lang w:eastAsia="en-IE"/>
            </w:rPr>
            <w:t>UK</w:t>
          </w:r>
        </w:smartTag>
      </w:smartTag>
      <w:r>
        <w:rPr>
          <w:rFonts w:cs="Arial"/>
          <w:color w:val="000000"/>
          <w:lang w:eastAsia="en-IE"/>
        </w:rPr>
        <w:t xml:space="preserve"> was established to ensure efficient streamlined care co-ordination between the different agencies involved in the </w:t>
      </w:r>
      <w:smartTag w:uri="urn:schemas-microsoft-com:office:smarttags" w:element="country-region">
        <w:smartTag w:uri="urn:schemas-microsoft-com:office:smarttags" w:element="place">
          <w:r>
            <w:rPr>
              <w:rFonts w:cs="Arial"/>
              <w:color w:val="000000"/>
              <w:lang w:eastAsia="en-IE"/>
            </w:rPr>
            <w:t>UK</w:t>
          </w:r>
        </w:smartTag>
      </w:smartTag>
      <w:r>
        <w:rPr>
          <w:rFonts w:cs="Arial"/>
          <w:color w:val="000000"/>
          <w:lang w:eastAsia="en-IE"/>
        </w:rPr>
        <w:t xml:space="preserve"> and </w:t>
      </w:r>
      <w:smartTag w:uri="urn:schemas-microsoft-com:office:smarttags" w:element="country-region">
        <w:smartTag w:uri="urn:schemas-microsoft-com:office:smarttags" w:element="place">
          <w:r>
            <w:rPr>
              <w:rFonts w:cs="Arial"/>
              <w:color w:val="000000"/>
              <w:lang w:eastAsia="en-IE"/>
            </w:rPr>
            <w:t>Scotland</w:t>
          </w:r>
        </w:smartTag>
      </w:smartTag>
      <w:r>
        <w:rPr>
          <w:rStyle w:val="FootnoteReference"/>
          <w:rFonts w:cs="Arial"/>
          <w:color w:val="000000"/>
          <w:lang w:eastAsia="en-IE"/>
        </w:rPr>
        <w:footnoteReference w:id="70"/>
      </w:r>
      <w:r>
        <w:rPr>
          <w:rFonts w:cs="Arial"/>
          <w:color w:val="000000"/>
          <w:lang w:eastAsia="en-IE"/>
        </w:rPr>
        <w:t xml:space="preserve">. </w:t>
      </w:r>
    </w:p>
    <w:p w:rsidR="00D177C7" w:rsidRDefault="00D177C7" w:rsidP="00D177C7">
      <w:pPr>
        <w:autoSpaceDE w:val="0"/>
        <w:autoSpaceDN w:val="0"/>
        <w:adjustRightInd w:val="0"/>
        <w:spacing w:after="360" w:line="240" w:lineRule="atLeast"/>
      </w:pPr>
      <w:r>
        <w:rPr>
          <w:lang w:eastAsia="en-IE"/>
        </w:rPr>
        <w:t>A recent report by the Scottish government stated that many education providers are working towards creating a more inclusive environment with their schools: by providing staff with training in disability equality and assistive technologies; improving physical accessibility of school environments and accessibility of school curriculum; and c</w:t>
      </w:r>
      <w:r w:rsidRPr="009453DD">
        <w:t>onsulting with parents, health</w:t>
      </w:r>
      <w:r>
        <w:t xml:space="preserve"> professionals and other organisations </w:t>
      </w:r>
      <w:bookmarkStart w:id="83" w:name="_Toc247447230"/>
      <w:bookmarkStart w:id="84" w:name="_Toc246242096"/>
      <w:bookmarkStart w:id="85" w:name="_Toc255485496"/>
      <w:r>
        <w:t>for same</w:t>
      </w:r>
      <w:r>
        <w:rPr>
          <w:rStyle w:val="FootnoteReference"/>
        </w:rPr>
        <w:footnoteReference w:id="71"/>
      </w:r>
      <w:r>
        <w:t xml:space="preserve">.  </w:t>
      </w:r>
      <w:bookmarkEnd w:id="83"/>
      <w:bookmarkEnd w:id="84"/>
      <w:bookmarkEnd w:id="85"/>
    </w:p>
    <w:p w:rsidR="006B2928" w:rsidRDefault="009E2974" w:rsidP="004D144A">
      <w:pPr>
        <w:pStyle w:val="Heading2"/>
        <w:rPr>
          <w:lang w:eastAsia="en-IE"/>
        </w:rPr>
      </w:pPr>
      <w:bookmarkStart w:id="86" w:name="_Toc279136913"/>
      <w:r>
        <w:rPr>
          <w:lang w:eastAsia="en-IE"/>
        </w:rPr>
        <w:t>4.</w:t>
      </w:r>
      <w:r w:rsidR="00D0614D">
        <w:rPr>
          <w:lang w:eastAsia="en-IE"/>
        </w:rPr>
        <w:t>8</w:t>
      </w:r>
      <w:r w:rsidR="007F4905">
        <w:rPr>
          <w:lang w:eastAsia="en-IE"/>
        </w:rPr>
        <w:t xml:space="preserve"> </w:t>
      </w:r>
      <w:r w:rsidR="006B2928">
        <w:rPr>
          <w:lang w:eastAsia="en-IE"/>
        </w:rPr>
        <w:t>Day</w:t>
      </w:r>
      <w:r w:rsidR="007F4905">
        <w:rPr>
          <w:lang w:eastAsia="en-IE"/>
        </w:rPr>
        <w:t xml:space="preserve"> &amp; Employment </w:t>
      </w:r>
      <w:r w:rsidR="006B2928">
        <w:rPr>
          <w:lang w:eastAsia="en-IE"/>
        </w:rPr>
        <w:t>Services</w:t>
      </w:r>
      <w:bookmarkEnd w:id="69"/>
      <w:bookmarkEnd w:id="86"/>
    </w:p>
    <w:p w:rsidR="007F4905" w:rsidRPr="007F4905" w:rsidRDefault="007F4905" w:rsidP="00B15C22">
      <w:pPr>
        <w:pStyle w:val="Heading3"/>
      </w:pPr>
      <w:bookmarkStart w:id="87" w:name="_Toc279136914"/>
      <w:r>
        <w:t>Day Care Services</w:t>
      </w:r>
      <w:bookmarkEnd w:id="87"/>
    </w:p>
    <w:p w:rsidR="009F1C95" w:rsidRDefault="006B2928" w:rsidP="00EC7DAD">
      <w:pPr>
        <w:rPr>
          <w:lang w:eastAsia="en-IE"/>
        </w:rPr>
      </w:pPr>
      <w:r w:rsidRPr="0042524C">
        <w:rPr>
          <w:lang w:eastAsia="en-IE"/>
        </w:rPr>
        <w:t xml:space="preserve">The majority of day care services for people with disabilities in </w:t>
      </w:r>
      <w:smartTag w:uri="urn:schemas-microsoft-com:office:smarttags" w:element="country-region">
        <w:smartTag w:uri="urn:schemas-microsoft-com:office:smarttags" w:element="place">
          <w:r w:rsidRPr="0042524C">
            <w:rPr>
              <w:lang w:eastAsia="en-IE"/>
            </w:rPr>
            <w:t>Scotland</w:t>
          </w:r>
        </w:smartTag>
      </w:smartTag>
      <w:r w:rsidRPr="0042524C">
        <w:rPr>
          <w:lang w:eastAsia="en-IE"/>
        </w:rPr>
        <w:t xml:space="preserve"> </w:t>
      </w:r>
      <w:r>
        <w:rPr>
          <w:lang w:eastAsia="en-IE"/>
        </w:rPr>
        <w:t xml:space="preserve">are run by local authorities. </w:t>
      </w:r>
      <w:r w:rsidRPr="0042524C">
        <w:rPr>
          <w:lang w:eastAsia="en-IE"/>
        </w:rPr>
        <w:t>Peop</w:t>
      </w:r>
      <w:r w:rsidR="002C430F">
        <w:rPr>
          <w:lang w:eastAsia="en-IE"/>
        </w:rPr>
        <w:t xml:space="preserve">le with </w:t>
      </w:r>
      <w:r>
        <w:rPr>
          <w:lang w:eastAsia="en-IE"/>
        </w:rPr>
        <w:t xml:space="preserve">learning disabilities use </w:t>
      </w:r>
      <w:r w:rsidR="00511D7C">
        <w:rPr>
          <w:lang w:eastAsia="en-IE"/>
        </w:rPr>
        <w:t>t</w:t>
      </w:r>
      <w:r>
        <w:rPr>
          <w:lang w:eastAsia="en-IE"/>
        </w:rPr>
        <w:t>his service more than any other group</w:t>
      </w:r>
      <w:r w:rsidRPr="0042524C">
        <w:rPr>
          <w:rStyle w:val="FootnoteReference"/>
          <w:rFonts w:cs="Arial"/>
          <w:bCs/>
          <w:iCs/>
          <w:szCs w:val="28"/>
          <w:lang w:eastAsia="en-IE"/>
        </w:rPr>
        <w:footnoteReference w:id="72"/>
      </w:r>
      <w:r w:rsidRPr="0042524C">
        <w:rPr>
          <w:lang w:eastAsia="en-IE"/>
        </w:rPr>
        <w:t xml:space="preserve">. </w:t>
      </w:r>
      <w:r>
        <w:rPr>
          <w:lang w:eastAsia="en-IE"/>
        </w:rPr>
        <w:t>In 2007, out of 23,000 people with ID registered with</w:t>
      </w:r>
      <w:r w:rsidR="00511D7C">
        <w:rPr>
          <w:lang w:eastAsia="en-IE"/>
        </w:rPr>
        <w:t xml:space="preserve"> local authorities, 32% avail of day</w:t>
      </w:r>
      <w:r>
        <w:rPr>
          <w:lang w:eastAsia="en-IE"/>
        </w:rPr>
        <w:t xml:space="preserve"> service</w:t>
      </w:r>
      <w:r w:rsidR="00511D7C">
        <w:rPr>
          <w:lang w:eastAsia="en-IE"/>
        </w:rPr>
        <w:t>s</w:t>
      </w:r>
      <w:r>
        <w:rPr>
          <w:lang w:eastAsia="en-IE"/>
        </w:rPr>
        <w:t xml:space="preserve">. Day care services in </w:t>
      </w:r>
      <w:smartTag w:uri="urn:schemas-microsoft-com:office:smarttags" w:element="country-region">
        <w:smartTag w:uri="urn:schemas-microsoft-com:office:smarttags" w:element="place">
          <w:r>
            <w:rPr>
              <w:lang w:eastAsia="en-IE"/>
            </w:rPr>
            <w:t>Scotland</w:t>
          </w:r>
        </w:smartTag>
      </w:smartTag>
      <w:r>
        <w:rPr>
          <w:lang w:eastAsia="en-IE"/>
        </w:rPr>
        <w:t xml:space="preserve"> provide service users with training in food preparation; shopping; personal care and hygiene; personal and social developmen</w:t>
      </w:r>
      <w:r w:rsidR="00AC3D13">
        <w:rPr>
          <w:lang w:eastAsia="en-IE"/>
        </w:rPr>
        <w:t xml:space="preserve">t; leisure and recreation; </w:t>
      </w:r>
      <w:r>
        <w:rPr>
          <w:lang w:eastAsia="en-IE"/>
        </w:rPr>
        <w:t>educ</w:t>
      </w:r>
      <w:r w:rsidRPr="0042524C">
        <w:rPr>
          <w:lang w:eastAsia="en-IE"/>
        </w:rPr>
        <w:t>ati</w:t>
      </w:r>
      <w:r>
        <w:rPr>
          <w:lang w:eastAsia="en-IE"/>
        </w:rPr>
        <w:t>on and employment. Education and employment</w:t>
      </w:r>
      <w:r w:rsidRPr="0042524C">
        <w:rPr>
          <w:lang w:eastAsia="en-IE"/>
        </w:rPr>
        <w:t xml:space="preserve"> servic</w:t>
      </w:r>
      <w:r>
        <w:rPr>
          <w:lang w:eastAsia="en-IE"/>
        </w:rPr>
        <w:t>es provide service users</w:t>
      </w:r>
      <w:r w:rsidRPr="0042524C">
        <w:rPr>
          <w:lang w:eastAsia="en-IE"/>
        </w:rPr>
        <w:t xml:space="preserve"> with training in l</w:t>
      </w:r>
      <w:r>
        <w:rPr>
          <w:lang w:eastAsia="en-IE"/>
        </w:rPr>
        <w:t>iteracy</w:t>
      </w:r>
      <w:r w:rsidRPr="0042524C">
        <w:rPr>
          <w:lang w:eastAsia="en-IE"/>
        </w:rPr>
        <w:t xml:space="preserve"> sk</w:t>
      </w:r>
      <w:r>
        <w:rPr>
          <w:lang w:eastAsia="en-IE"/>
        </w:rPr>
        <w:t>ills, basic education, work experience</w:t>
      </w:r>
      <w:r w:rsidRPr="0042524C">
        <w:rPr>
          <w:rStyle w:val="FootnoteReference"/>
          <w:rFonts w:cs="Arial"/>
          <w:bCs/>
          <w:iCs/>
          <w:szCs w:val="28"/>
          <w:lang w:eastAsia="en-IE"/>
        </w:rPr>
        <w:footnoteReference w:id="73"/>
      </w:r>
      <w:r w:rsidRPr="0042524C">
        <w:rPr>
          <w:lang w:eastAsia="en-IE"/>
        </w:rPr>
        <w:t xml:space="preserve">. </w:t>
      </w:r>
      <w:r w:rsidR="002104F6">
        <w:rPr>
          <w:lang w:eastAsia="en-IE"/>
        </w:rPr>
        <w:t xml:space="preserve">Table 8 </w:t>
      </w:r>
      <w:r>
        <w:rPr>
          <w:lang w:eastAsia="en-IE"/>
        </w:rPr>
        <w:t xml:space="preserve">below </w:t>
      </w:r>
      <w:r w:rsidR="00AF54CF">
        <w:rPr>
          <w:lang w:eastAsia="en-IE"/>
        </w:rPr>
        <w:t>details</w:t>
      </w:r>
      <w:r>
        <w:rPr>
          <w:lang w:eastAsia="en-IE"/>
        </w:rPr>
        <w:t xml:space="preserve"> the percentage of people with </w:t>
      </w:r>
      <w:r w:rsidR="00AF54CF">
        <w:rPr>
          <w:lang w:eastAsia="en-IE"/>
        </w:rPr>
        <w:t>disabilities</w:t>
      </w:r>
      <w:r>
        <w:rPr>
          <w:lang w:eastAsia="en-IE"/>
        </w:rPr>
        <w:t xml:space="preserve"> who are registered with day care services</w:t>
      </w:r>
      <w:r w:rsidR="00C13CE0">
        <w:rPr>
          <w:lang w:eastAsia="en-IE"/>
        </w:rPr>
        <w:t>.</w:t>
      </w:r>
      <w:bookmarkEnd w:id="68"/>
    </w:p>
    <w:p w:rsidR="009F1C95" w:rsidRPr="00C61AFB" w:rsidRDefault="002104F6" w:rsidP="009F1C95">
      <w:pPr>
        <w:pStyle w:val="TableTitle"/>
      </w:pPr>
      <w:r>
        <w:t>Table 8</w:t>
      </w:r>
      <w:r w:rsidR="009F1C95">
        <w:t>. Percentage of people with disabilities using registered day care centres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704"/>
        <w:gridCol w:w="1704"/>
        <w:gridCol w:w="1704"/>
        <w:gridCol w:w="1705"/>
        <w:gridCol w:w="1705"/>
      </w:tblGrid>
      <w:tr w:rsidR="009F1C95" w:rsidRPr="009729BD">
        <w:tblPrEx>
          <w:tblCellMar>
            <w:top w:w="0" w:type="dxa"/>
            <w:bottom w:w="0" w:type="dxa"/>
          </w:tblCellMar>
        </w:tblPrEx>
        <w:trPr>
          <w:tblHeader/>
        </w:trPr>
        <w:tc>
          <w:tcPr>
            <w:tcW w:w="1704" w:type="dxa"/>
            <w:tcBorders>
              <w:bottom w:val="single" w:sz="12" w:space="0" w:color="000000"/>
            </w:tcBorders>
            <w:shd w:val="clear" w:color="auto" w:fill="auto"/>
          </w:tcPr>
          <w:p w:rsidR="009F1C95" w:rsidRPr="009729BD" w:rsidRDefault="009F1C95" w:rsidP="002C430F">
            <w:pPr>
              <w:pStyle w:val="TableHead"/>
              <w:jc w:val="right"/>
              <w:rPr>
                <w:sz w:val="20"/>
                <w:szCs w:val="20"/>
              </w:rPr>
            </w:pPr>
            <w:bookmarkStart w:id="88" w:name="_Toc247447258"/>
            <w:bookmarkStart w:id="89" w:name="_Toc247448989"/>
            <w:bookmarkStart w:id="90" w:name="_Toc247536436"/>
            <w:bookmarkStart w:id="91" w:name="_Toc249327664"/>
            <w:bookmarkStart w:id="92" w:name="_Toc253387207"/>
            <w:bookmarkStart w:id="93" w:name="_Toc253416552"/>
            <w:bookmarkStart w:id="94" w:name="_Toc254184884"/>
            <w:bookmarkStart w:id="95" w:name="_Toc254185524"/>
            <w:bookmarkStart w:id="96" w:name="_Toc254185646"/>
            <w:bookmarkStart w:id="97" w:name="_Toc254268587"/>
            <w:bookmarkStart w:id="98" w:name="_Toc255461920"/>
            <w:bookmarkStart w:id="99" w:name="_Toc255485492"/>
            <w:r w:rsidRPr="009729BD">
              <w:rPr>
                <w:sz w:val="20"/>
                <w:szCs w:val="20"/>
              </w:rPr>
              <w:t>Client gr</w:t>
            </w:r>
            <w:r>
              <w:rPr>
                <w:sz w:val="20"/>
                <w:szCs w:val="20"/>
              </w:rPr>
              <w:t>oup</w:t>
            </w:r>
          </w:p>
        </w:tc>
        <w:tc>
          <w:tcPr>
            <w:tcW w:w="1704" w:type="dxa"/>
            <w:tcBorders>
              <w:bottom w:val="single" w:sz="12" w:space="0" w:color="000000"/>
            </w:tcBorders>
            <w:shd w:val="clear" w:color="auto" w:fill="auto"/>
          </w:tcPr>
          <w:p w:rsidR="009F1C95" w:rsidRPr="009729BD" w:rsidRDefault="009F1C95" w:rsidP="002C430F">
            <w:pPr>
              <w:pStyle w:val="TableHead"/>
              <w:jc w:val="right"/>
              <w:rPr>
                <w:sz w:val="20"/>
                <w:szCs w:val="20"/>
              </w:rPr>
            </w:pPr>
            <w:r>
              <w:rPr>
                <w:sz w:val="20"/>
                <w:szCs w:val="20"/>
              </w:rPr>
              <w:t>LA/NHS</w:t>
            </w:r>
          </w:p>
        </w:tc>
        <w:tc>
          <w:tcPr>
            <w:tcW w:w="1704" w:type="dxa"/>
            <w:tcBorders>
              <w:bottom w:val="single" w:sz="12" w:space="0" w:color="000000"/>
            </w:tcBorders>
            <w:shd w:val="clear" w:color="auto" w:fill="auto"/>
          </w:tcPr>
          <w:p w:rsidR="009F1C95" w:rsidRPr="009729BD" w:rsidRDefault="009F1C95" w:rsidP="002C430F">
            <w:pPr>
              <w:pStyle w:val="TableHead"/>
              <w:jc w:val="right"/>
              <w:rPr>
                <w:sz w:val="20"/>
                <w:szCs w:val="20"/>
              </w:rPr>
            </w:pPr>
            <w:r>
              <w:rPr>
                <w:sz w:val="20"/>
                <w:szCs w:val="20"/>
              </w:rPr>
              <w:t>Private</w:t>
            </w:r>
          </w:p>
        </w:tc>
        <w:tc>
          <w:tcPr>
            <w:tcW w:w="1705" w:type="dxa"/>
            <w:tcBorders>
              <w:bottom w:val="single" w:sz="12" w:space="0" w:color="000000"/>
            </w:tcBorders>
            <w:shd w:val="clear" w:color="auto" w:fill="auto"/>
          </w:tcPr>
          <w:p w:rsidR="009F1C95" w:rsidRPr="009729BD" w:rsidRDefault="009F1C95" w:rsidP="002C430F">
            <w:pPr>
              <w:pStyle w:val="TableHead"/>
              <w:jc w:val="right"/>
              <w:rPr>
                <w:sz w:val="20"/>
                <w:szCs w:val="20"/>
              </w:rPr>
            </w:pPr>
            <w:r>
              <w:rPr>
                <w:sz w:val="20"/>
                <w:szCs w:val="20"/>
              </w:rPr>
              <w:t>Voluntary</w:t>
            </w:r>
          </w:p>
        </w:tc>
        <w:tc>
          <w:tcPr>
            <w:tcW w:w="1705" w:type="dxa"/>
            <w:tcBorders>
              <w:bottom w:val="single" w:sz="12" w:space="0" w:color="000000"/>
            </w:tcBorders>
            <w:shd w:val="clear" w:color="auto" w:fill="auto"/>
          </w:tcPr>
          <w:p w:rsidR="009F1C95" w:rsidRPr="009729BD" w:rsidRDefault="009F1C95" w:rsidP="002C430F">
            <w:pPr>
              <w:pStyle w:val="TableHead"/>
              <w:jc w:val="right"/>
              <w:rPr>
                <w:sz w:val="20"/>
                <w:szCs w:val="20"/>
              </w:rPr>
            </w:pPr>
            <w:r>
              <w:rPr>
                <w:sz w:val="20"/>
                <w:szCs w:val="20"/>
              </w:rPr>
              <w:t>Total</w:t>
            </w:r>
          </w:p>
        </w:tc>
      </w:tr>
      <w:tr w:rsidR="009F1C95" w:rsidRPr="009729BD">
        <w:tblPrEx>
          <w:tblCellMar>
            <w:top w:w="0" w:type="dxa"/>
            <w:bottom w:w="0" w:type="dxa"/>
          </w:tblCellMar>
        </w:tblPrEx>
        <w:tc>
          <w:tcPr>
            <w:tcW w:w="1704" w:type="dxa"/>
            <w:tcBorders>
              <w:top w:val="single" w:sz="12" w:space="0" w:color="000000"/>
            </w:tcBorders>
            <w:shd w:val="clear" w:color="auto" w:fill="auto"/>
          </w:tcPr>
          <w:p w:rsidR="009F1C95" w:rsidRDefault="009F1C95" w:rsidP="002C430F">
            <w:pPr>
              <w:pStyle w:val="TableRowHead"/>
              <w:rPr>
                <w:sz w:val="20"/>
                <w:szCs w:val="20"/>
              </w:rPr>
            </w:pPr>
            <w:r>
              <w:rPr>
                <w:sz w:val="20"/>
                <w:szCs w:val="20"/>
              </w:rPr>
              <w:t>No. of day care centres,</w:t>
            </w:r>
          </w:p>
          <w:p w:rsidR="009F1C95" w:rsidRPr="009729BD" w:rsidRDefault="009F1C95" w:rsidP="002C430F">
            <w:pPr>
              <w:pStyle w:val="TableRowHead"/>
              <w:rPr>
                <w:sz w:val="20"/>
                <w:szCs w:val="20"/>
              </w:rPr>
            </w:pPr>
            <w:r>
              <w:rPr>
                <w:sz w:val="20"/>
                <w:szCs w:val="20"/>
              </w:rPr>
              <w:t>learning disabilities</w:t>
            </w:r>
          </w:p>
        </w:tc>
        <w:tc>
          <w:tcPr>
            <w:tcW w:w="1704" w:type="dxa"/>
            <w:tcBorders>
              <w:top w:val="single" w:sz="12" w:space="0" w:color="000000"/>
            </w:tcBorders>
            <w:shd w:val="clear" w:color="auto" w:fill="auto"/>
          </w:tcPr>
          <w:p w:rsidR="009F1C95" w:rsidRPr="009729BD" w:rsidRDefault="009F1C95" w:rsidP="002C430F">
            <w:pPr>
              <w:pStyle w:val="TableCell"/>
              <w:jc w:val="right"/>
              <w:rPr>
                <w:sz w:val="20"/>
                <w:szCs w:val="20"/>
              </w:rPr>
            </w:pPr>
            <w:r>
              <w:rPr>
                <w:sz w:val="20"/>
                <w:szCs w:val="20"/>
              </w:rPr>
              <w:t>77%</w:t>
            </w:r>
          </w:p>
        </w:tc>
        <w:tc>
          <w:tcPr>
            <w:tcW w:w="1704" w:type="dxa"/>
            <w:tcBorders>
              <w:top w:val="single" w:sz="12" w:space="0" w:color="000000"/>
            </w:tcBorders>
            <w:shd w:val="clear" w:color="auto" w:fill="auto"/>
          </w:tcPr>
          <w:p w:rsidR="009F1C95" w:rsidRPr="009729BD" w:rsidRDefault="009F1C95" w:rsidP="002C430F">
            <w:pPr>
              <w:pStyle w:val="TableCell"/>
              <w:jc w:val="right"/>
              <w:rPr>
                <w:sz w:val="20"/>
                <w:szCs w:val="20"/>
              </w:rPr>
            </w:pPr>
            <w:r>
              <w:rPr>
                <w:sz w:val="20"/>
                <w:szCs w:val="20"/>
              </w:rPr>
              <w:t>2%</w:t>
            </w:r>
          </w:p>
        </w:tc>
        <w:tc>
          <w:tcPr>
            <w:tcW w:w="1705" w:type="dxa"/>
            <w:tcBorders>
              <w:top w:val="single" w:sz="12" w:space="0" w:color="000000"/>
            </w:tcBorders>
            <w:shd w:val="clear" w:color="auto" w:fill="auto"/>
          </w:tcPr>
          <w:p w:rsidR="009F1C95" w:rsidRPr="009729BD" w:rsidRDefault="009F1C95" w:rsidP="002C430F">
            <w:pPr>
              <w:pStyle w:val="TableCell"/>
              <w:jc w:val="right"/>
              <w:rPr>
                <w:sz w:val="20"/>
                <w:szCs w:val="20"/>
              </w:rPr>
            </w:pPr>
            <w:r>
              <w:rPr>
                <w:sz w:val="20"/>
                <w:szCs w:val="20"/>
              </w:rPr>
              <w:t>20%</w:t>
            </w:r>
          </w:p>
        </w:tc>
        <w:tc>
          <w:tcPr>
            <w:tcW w:w="1705" w:type="dxa"/>
            <w:tcBorders>
              <w:top w:val="single" w:sz="12" w:space="0" w:color="000000"/>
            </w:tcBorders>
            <w:shd w:val="clear" w:color="auto" w:fill="auto"/>
          </w:tcPr>
          <w:p w:rsidR="009F1C95" w:rsidRPr="009729BD" w:rsidRDefault="0042690E" w:rsidP="002C430F">
            <w:pPr>
              <w:pStyle w:val="TableCell"/>
              <w:jc w:val="right"/>
              <w:rPr>
                <w:sz w:val="20"/>
                <w:szCs w:val="20"/>
              </w:rPr>
            </w:pPr>
            <w:r>
              <w:rPr>
                <w:sz w:val="20"/>
                <w:szCs w:val="20"/>
              </w:rPr>
              <w:t>200</w:t>
            </w:r>
          </w:p>
        </w:tc>
      </w:tr>
      <w:tr w:rsidR="009F1C95" w:rsidRPr="009729BD">
        <w:tblPrEx>
          <w:tblCellMar>
            <w:top w:w="0" w:type="dxa"/>
            <w:bottom w:w="0" w:type="dxa"/>
          </w:tblCellMar>
        </w:tblPrEx>
        <w:tc>
          <w:tcPr>
            <w:tcW w:w="1704" w:type="dxa"/>
            <w:shd w:val="clear" w:color="auto" w:fill="auto"/>
          </w:tcPr>
          <w:p w:rsidR="009F1C95" w:rsidRPr="009729BD" w:rsidRDefault="009F1C95" w:rsidP="002C430F">
            <w:pPr>
              <w:pStyle w:val="TableRowHead"/>
              <w:rPr>
                <w:sz w:val="20"/>
                <w:szCs w:val="20"/>
              </w:rPr>
            </w:pPr>
            <w:r>
              <w:rPr>
                <w:sz w:val="20"/>
                <w:szCs w:val="20"/>
              </w:rPr>
              <w:t>No. of users with learning disabilities</w:t>
            </w:r>
          </w:p>
        </w:tc>
        <w:tc>
          <w:tcPr>
            <w:tcW w:w="1704" w:type="dxa"/>
            <w:shd w:val="clear" w:color="auto" w:fill="auto"/>
          </w:tcPr>
          <w:p w:rsidR="009F1C95" w:rsidRPr="009729BD" w:rsidRDefault="009F1C95" w:rsidP="002C430F">
            <w:pPr>
              <w:pStyle w:val="TableCell"/>
              <w:jc w:val="right"/>
              <w:rPr>
                <w:sz w:val="20"/>
                <w:szCs w:val="20"/>
              </w:rPr>
            </w:pPr>
            <w:r>
              <w:rPr>
                <w:sz w:val="20"/>
                <w:szCs w:val="20"/>
              </w:rPr>
              <w:t>86%</w:t>
            </w:r>
          </w:p>
        </w:tc>
        <w:tc>
          <w:tcPr>
            <w:tcW w:w="1704" w:type="dxa"/>
            <w:shd w:val="clear" w:color="auto" w:fill="auto"/>
          </w:tcPr>
          <w:p w:rsidR="009F1C95" w:rsidRPr="009729BD" w:rsidRDefault="009F1C95" w:rsidP="002C430F">
            <w:pPr>
              <w:pStyle w:val="TableCell"/>
              <w:jc w:val="right"/>
              <w:rPr>
                <w:sz w:val="20"/>
                <w:szCs w:val="20"/>
              </w:rPr>
            </w:pPr>
            <w:r>
              <w:rPr>
                <w:sz w:val="20"/>
                <w:szCs w:val="20"/>
              </w:rPr>
              <w:t>1%</w:t>
            </w:r>
          </w:p>
        </w:tc>
        <w:tc>
          <w:tcPr>
            <w:tcW w:w="1705" w:type="dxa"/>
            <w:shd w:val="clear" w:color="auto" w:fill="auto"/>
          </w:tcPr>
          <w:p w:rsidR="009F1C95" w:rsidRPr="009729BD" w:rsidRDefault="009F1C95" w:rsidP="002C430F">
            <w:pPr>
              <w:pStyle w:val="TableCell"/>
              <w:jc w:val="right"/>
              <w:rPr>
                <w:sz w:val="20"/>
                <w:szCs w:val="20"/>
              </w:rPr>
            </w:pPr>
            <w:r>
              <w:rPr>
                <w:sz w:val="20"/>
                <w:szCs w:val="20"/>
              </w:rPr>
              <w:t>12%</w:t>
            </w:r>
          </w:p>
        </w:tc>
        <w:tc>
          <w:tcPr>
            <w:tcW w:w="1705" w:type="dxa"/>
            <w:shd w:val="clear" w:color="auto" w:fill="auto"/>
          </w:tcPr>
          <w:p w:rsidR="009F1C95" w:rsidRPr="009729BD" w:rsidRDefault="0042690E" w:rsidP="002C430F">
            <w:pPr>
              <w:pStyle w:val="TableCell"/>
              <w:jc w:val="right"/>
              <w:rPr>
                <w:sz w:val="20"/>
                <w:szCs w:val="20"/>
              </w:rPr>
            </w:pPr>
            <w:r>
              <w:rPr>
                <w:sz w:val="20"/>
                <w:szCs w:val="20"/>
              </w:rPr>
              <w:t>7,50</w:t>
            </w:r>
            <w:r w:rsidR="009F1C95">
              <w:rPr>
                <w:sz w:val="20"/>
                <w:szCs w:val="20"/>
              </w:rPr>
              <w:t>0</w:t>
            </w:r>
          </w:p>
        </w:tc>
      </w:tr>
      <w:tr w:rsidR="009F1C95" w:rsidRPr="009729BD">
        <w:tblPrEx>
          <w:tblCellMar>
            <w:top w:w="0" w:type="dxa"/>
            <w:bottom w:w="0" w:type="dxa"/>
          </w:tblCellMar>
        </w:tblPrEx>
        <w:tc>
          <w:tcPr>
            <w:tcW w:w="1704" w:type="dxa"/>
            <w:shd w:val="clear" w:color="auto" w:fill="auto"/>
          </w:tcPr>
          <w:p w:rsidR="009F1C95" w:rsidRPr="009729BD" w:rsidRDefault="009F1C95" w:rsidP="002C430F">
            <w:pPr>
              <w:pStyle w:val="TableRowHead"/>
              <w:rPr>
                <w:sz w:val="20"/>
                <w:szCs w:val="20"/>
              </w:rPr>
            </w:pPr>
            <w:r>
              <w:rPr>
                <w:sz w:val="20"/>
                <w:szCs w:val="20"/>
              </w:rPr>
              <w:t>No. of day care centres, physical disabilities</w:t>
            </w:r>
          </w:p>
        </w:tc>
        <w:tc>
          <w:tcPr>
            <w:tcW w:w="1704" w:type="dxa"/>
            <w:shd w:val="clear" w:color="auto" w:fill="auto"/>
          </w:tcPr>
          <w:p w:rsidR="009F1C95" w:rsidRPr="009729BD" w:rsidRDefault="009F1C95" w:rsidP="002C430F">
            <w:pPr>
              <w:pStyle w:val="TableCell"/>
              <w:jc w:val="right"/>
              <w:rPr>
                <w:sz w:val="20"/>
                <w:szCs w:val="20"/>
              </w:rPr>
            </w:pPr>
            <w:r>
              <w:rPr>
                <w:sz w:val="20"/>
                <w:szCs w:val="20"/>
              </w:rPr>
              <w:t>67%</w:t>
            </w:r>
          </w:p>
        </w:tc>
        <w:tc>
          <w:tcPr>
            <w:tcW w:w="1704" w:type="dxa"/>
            <w:shd w:val="clear" w:color="auto" w:fill="auto"/>
          </w:tcPr>
          <w:p w:rsidR="009F1C95" w:rsidRPr="009729BD" w:rsidRDefault="009F1C95" w:rsidP="002C430F">
            <w:pPr>
              <w:pStyle w:val="TableCell"/>
              <w:jc w:val="right"/>
              <w:rPr>
                <w:sz w:val="20"/>
                <w:szCs w:val="20"/>
              </w:rPr>
            </w:pPr>
            <w:r>
              <w:rPr>
                <w:sz w:val="20"/>
                <w:szCs w:val="20"/>
              </w:rPr>
              <w:t>6%</w:t>
            </w:r>
          </w:p>
        </w:tc>
        <w:tc>
          <w:tcPr>
            <w:tcW w:w="1705" w:type="dxa"/>
            <w:shd w:val="clear" w:color="auto" w:fill="auto"/>
          </w:tcPr>
          <w:p w:rsidR="009F1C95" w:rsidRPr="009729BD" w:rsidRDefault="009F1C95" w:rsidP="002C430F">
            <w:pPr>
              <w:pStyle w:val="TableCell"/>
              <w:jc w:val="right"/>
              <w:rPr>
                <w:sz w:val="20"/>
                <w:szCs w:val="20"/>
              </w:rPr>
            </w:pPr>
            <w:r>
              <w:rPr>
                <w:sz w:val="20"/>
                <w:szCs w:val="20"/>
              </w:rPr>
              <w:t>24%</w:t>
            </w:r>
          </w:p>
        </w:tc>
        <w:tc>
          <w:tcPr>
            <w:tcW w:w="1705" w:type="dxa"/>
            <w:shd w:val="clear" w:color="auto" w:fill="auto"/>
          </w:tcPr>
          <w:p w:rsidR="009F1C95" w:rsidRPr="009729BD" w:rsidRDefault="009F1C95" w:rsidP="002C430F">
            <w:pPr>
              <w:pStyle w:val="TableCell"/>
              <w:jc w:val="right"/>
              <w:rPr>
                <w:sz w:val="20"/>
                <w:szCs w:val="20"/>
              </w:rPr>
            </w:pPr>
            <w:r>
              <w:rPr>
                <w:sz w:val="20"/>
                <w:szCs w:val="20"/>
              </w:rPr>
              <w:t>30</w:t>
            </w:r>
          </w:p>
        </w:tc>
      </w:tr>
      <w:tr w:rsidR="009F1C95" w:rsidRPr="009729BD">
        <w:tblPrEx>
          <w:tblCellMar>
            <w:top w:w="0" w:type="dxa"/>
            <w:bottom w:w="0" w:type="dxa"/>
          </w:tblCellMar>
        </w:tblPrEx>
        <w:tc>
          <w:tcPr>
            <w:tcW w:w="1704" w:type="dxa"/>
            <w:shd w:val="clear" w:color="auto" w:fill="auto"/>
          </w:tcPr>
          <w:p w:rsidR="009F1C95" w:rsidRPr="009729BD" w:rsidRDefault="009F1C95" w:rsidP="002C430F">
            <w:pPr>
              <w:pStyle w:val="TableRowHead"/>
              <w:rPr>
                <w:sz w:val="20"/>
                <w:szCs w:val="20"/>
              </w:rPr>
            </w:pPr>
            <w:r>
              <w:rPr>
                <w:sz w:val="20"/>
                <w:szCs w:val="20"/>
              </w:rPr>
              <w:t>No. of users, physical disabilities</w:t>
            </w:r>
          </w:p>
        </w:tc>
        <w:tc>
          <w:tcPr>
            <w:tcW w:w="1704" w:type="dxa"/>
            <w:shd w:val="clear" w:color="auto" w:fill="auto"/>
          </w:tcPr>
          <w:p w:rsidR="009F1C95" w:rsidRPr="009729BD" w:rsidRDefault="009F1C95" w:rsidP="002C430F">
            <w:pPr>
              <w:pStyle w:val="TableCell"/>
              <w:jc w:val="right"/>
              <w:rPr>
                <w:sz w:val="20"/>
                <w:szCs w:val="20"/>
              </w:rPr>
            </w:pPr>
            <w:r>
              <w:rPr>
                <w:sz w:val="20"/>
                <w:szCs w:val="20"/>
              </w:rPr>
              <w:t>72%</w:t>
            </w:r>
          </w:p>
        </w:tc>
        <w:tc>
          <w:tcPr>
            <w:tcW w:w="1704" w:type="dxa"/>
            <w:shd w:val="clear" w:color="auto" w:fill="auto"/>
          </w:tcPr>
          <w:p w:rsidR="009F1C95" w:rsidRPr="009729BD" w:rsidRDefault="009F1C95" w:rsidP="002C430F">
            <w:pPr>
              <w:pStyle w:val="TableCell"/>
              <w:jc w:val="right"/>
              <w:rPr>
                <w:sz w:val="20"/>
                <w:szCs w:val="20"/>
              </w:rPr>
            </w:pPr>
            <w:r>
              <w:rPr>
                <w:sz w:val="20"/>
                <w:szCs w:val="20"/>
              </w:rPr>
              <w:t>4%</w:t>
            </w:r>
          </w:p>
        </w:tc>
        <w:tc>
          <w:tcPr>
            <w:tcW w:w="1705" w:type="dxa"/>
            <w:shd w:val="clear" w:color="auto" w:fill="auto"/>
          </w:tcPr>
          <w:p w:rsidR="009F1C95" w:rsidRPr="009729BD" w:rsidRDefault="009F1C95" w:rsidP="002C430F">
            <w:pPr>
              <w:pStyle w:val="TableCell"/>
              <w:jc w:val="right"/>
              <w:rPr>
                <w:sz w:val="20"/>
                <w:szCs w:val="20"/>
              </w:rPr>
            </w:pPr>
            <w:r>
              <w:rPr>
                <w:sz w:val="20"/>
                <w:szCs w:val="20"/>
              </w:rPr>
              <w:t>24%</w:t>
            </w:r>
          </w:p>
        </w:tc>
        <w:tc>
          <w:tcPr>
            <w:tcW w:w="1705" w:type="dxa"/>
            <w:shd w:val="clear" w:color="auto" w:fill="auto"/>
          </w:tcPr>
          <w:p w:rsidR="009F1C95" w:rsidRPr="009729BD" w:rsidRDefault="0042690E" w:rsidP="002C430F">
            <w:pPr>
              <w:pStyle w:val="TableCell"/>
              <w:jc w:val="right"/>
              <w:rPr>
                <w:sz w:val="20"/>
                <w:szCs w:val="20"/>
              </w:rPr>
            </w:pPr>
            <w:r>
              <w:rPr>
                <w:sz w:val="20"/>
                <w:szCs w:val="20"/>
              </w:rPr>
              <w:t>1,70</w:t>
            </w:r>
            <w:r w:rsidR="009F1C95">
              <w:rPr>
                <w:sz w:val="20"/>
                <w:szCs w:val="20"/>
              </w:rPr>
              <w:t>0</w:t>
            </w:r>
          </w:p>
        </w:tc>
      </w:tr>
    </w:tbl>
    <w:bookmarkEnd w:id="88"/>
    <w:bookmarkEnd w:id="89"/>
    <w:bookmarkEnd w:id="90"/>
    <w:bookmarkEnd w:id="91"/>
    <w:bookmarkEnd w:id="92"/>
    <w:bookmarkEnd w:id="93"/>
    <w:bookmarkEnd w:id="94"/>
    <w:bookmarkEnd w:id="95"/>
    <w:bookmarkEnd w:id="96"/>
    <w:bookmarkEnd w:id="97"/>
    <w:bookmarkEnd w:id="98"/>
    <w:bookmarkEnd w:id="99"/>
    <w:p w:rsidR="007F4905" w:rsidRDefault="009F1C95" w:rsidP="007F4905">
      <w:pPr>
        <w:pStyle w:val="FootnoteText"/>
        <w:jc w:val="center"/>
      </w:pPr>
      <w:r w:rsidRPr="007F4905">
        <w:t>Scottish Government (2007) Statistics Release Day Care Services, Scotland 2007</w:t>
      </w:r>
    </w:p>
    <w:p w:rsidR="007F4905" w:rsidRPr="007F4905" w:rsidRDefault="007F4905" w:rsidP="007F4905">
      <w:pPr>
        <w:pStyle w:val="FootnoteText"/>
        <w:jc w:val="center"/>
      </w:pPr>
    </w:p>
    <w:p w:rsidR="00C730D2" w:rsidRDefault="00C730D2" w:rsidP="007F4905">
      <w:pPr>
        <w:pStyle w:val="TableTitle"/>
        <w:rPr>
          <w:lang w:eastAsia="en-IE"/>
        </w:rPr>
        <w:sectPr w:rsidR="00C730D2" w:rsidSect="006B2928">
          <w:pgSz w:w="11906" w:h="16838"/>
          <w:pgMar w:top="1440" w:right="1800" w:bottom="1440" w:left="1800" w:header="708" w:footer="708" w:gutter="0"/>
          <w:cols w:space="720"/>
        </w:sectPr>
      </w:pPr>
    </w:p>
    <w:p w:rsidR="007F4905" w:rsidRDefault="007F4905" w:rsidP="007F4905">
      <w:pPr>
        <w:pStyle w:val="TableTitle"/>
        <w:rPr>
          <w:lang w:eastAsia="en-IE"/>
        </w:rPr>
      </w:pPr>
      <w:r>
        <w:rPr>
          <w:lang w:eastAsia="en-IE"/>
        </w:rPr>
        <w:t>Table</w:t>
      </w:r>
      <w:r w:rsidR="002104F6">
        <w:rPr>
          <w:lang w:eastAsia="en-IE"/>
        </w:rPr>
        <w:t xml:space="preserve"> 9</w:t>
      </w:r>
      <w:r>
        <w:rPr>
          <w:lang w:eastAsia="en-IE"/>
        </w:rPr>
        <w:t>. Percentage of client receiving this service by service type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420"/>
        <w:gridCol w:w="1420"/>
        <w:gridCol w:w="1420"/>
        <w:gridCol w:w="1420"/>
        <w:gridCol w:w="1421"/>
        <w:gridCol w:w="1421"/>
      </w:tblGrid>
      <w:tr w:rsidR="007F4905" w:rsidRPr="00B304E5">
        <w:tblPrEx>
          <w:tblCellMar>
            <w:top w:w="0" w:type="dxa"/>
            <w:bottom w:w="0" w:type="dxa"/>
          </w:tblCellMar>
        </w:tblPrEx>
        <w:trPr>
          <w:tblHeader/>
        </w:trPr>
        <w:tc>
          <w:tcPr>
            <w:tcW w:w="1420" w:type="dxa"/>
            <w:vMerge w:val="restart"/>
            <w:shd w:val="clear" w:color="auto" w:fill="auto"/>
          </w:tcPr>
          <w:p w:rsidR="007F4905" w:rsidRPr="00B304E5" w:rsidRDefault="007F4905" w:rsidP="007F4905">
            <w:pPr>
              <w:pStyle w:val="TableHead"/>
              <w:jc w:val="right"/>
              <w:rPr>
                <w:sz w:val="20"/>
                <w:szCs w:val="20"/>
              </w:rPr>
            </w:pPr>
            <w:r>
              <w:rPr>
                <w:sz w:val="20"/>
                <w:szCs w:val="20"/>
              </w:rPr>
              <w:t>Individual Client group</w:t>
            </w:r>
          </w:p>
        </w:tc>
        <w:tc>
          <w:tcPr>
            <w:tcW w:w="7102" w:type="dxa"/>
            <w:gridSpan w:val="5"/>
            <w:tcBorders>
              <w:bottom w:val="single" w:sz="12" w:space="0" w:color="000000"/>
            </w:tcBorders>
            <w:shd w:val="clear" w:color="auto" w:fill="auto"/>
          </w:tcPr>
          <w:p w:rsidR="007F4905" w:rsidRPr="00B304E5" w:rsidRDefault="007F4905" w:rsidP="007F4905">
            <w:pPr>
              <w:pStyle w:val="TableHead"/>
              <w:jc w:val="right"/>
              <w:rPr>
                <w:sz w:val="20"/>
                <w:szCs w:val="20"/>
              </w:rPr>
            </w:pPr>
            <w:r>
              <w:rPr>
                <w:sz w:val="20"/>
                <w:szCs w:val="20"/>
              </w:rPr>
              <w:t>% of client  receiving services on a weekly basis</w:t>
            </w:r>
          </w:p>
        </w:tc>
      </w:tr>
      <w:tr w:rsidR="007F4905" w:rsidRPr="00B304E5">
        <w:tblPrEx>
          <w:tblCellMar>
            <w:top w:w="0" w:type="dxa"/>
            <w:bottom w:w="0" w:type="dxa"/>
          </w:tblCellMar>
        </w:tblPrEx>
        <w:tc>
          <w:tcPr>
            <w:tcW w:w="1420" w:type="dxa"/>
            <w:vMerge/>
            <w:shd w:val="clear" w:color="auto" w:fill="auto"/>
          </w:tcPr>
          <w:p w:rsidR="007F4905" w:rsidRPr="00B304E5" w:rsidRDefault="007F4905" w:rsidP="007F4905">
            <w:pPr>
              <w:pStyle w:val="TableRowHead"/>
              <w:rPr>
                <w:sz w:val="20"/>
                <w:szCs w:val="20"/>
              </w:rPr>
            </w:pPr>
          </w:p>
        </w:tc>
        <w:tc>
          <w:tcPr>
            <w:tcW w:w="1420" w:type="dxa"/>
            <w:tcBorders>
              <w:top w:val="single" w:sz="12" w:space="0" w:color="000000"/>
            </w:tcBorders>
            <w:shd w:val="clear" w:color="auto" w:fill="auto"/>
          </w:tcPr>
          <w:p w:rsidR="007F4905" w:rsidRPr="00B304E5" w:rsidRDefault="007F4905" w:rsidP="007F4905">
            <w:pPr>
              <w:pStyle w:val="TableCell"/>
              <w:jc w:val="right"/>
              <w:rPr>
                <w:sz w:val="20"/>
                <w:szCs w:val="20"/>
              </w:rPr>
            </w:pPr>
            <w:r w:rsidRPr="00B304E5">
              <w:rPr>
                <w:sz w:val="20"/>
                <w:szCs w:val="20"/>
              </w:rPr>
              <w:t>Domestic/</w:t>
            </w:r>
          </w:p>
          <w:p w:rsidR="007F4905" w:rsidRPr="00B304E5" w:rsidRDefault="007F4905" w:rsidP="007F4905">
            <w:pPr>
              <w:pStyle w:val="TableCell"/>
              <w:jc w:val="right"/>
              <w:rPr>
                <w:sz w:val="20"/>
                <w:szCs w:val="20"/>
              </w:rPr>
            </w:pPr>
            <w:r w:rsidRPr="00B304E5">
              <w:rPr>
                <w:sz w:val="20"/>
                <w:szCs w:val="20"/>
              </w:rPr>
              <w:t>Practical</w:t>
            </w:r>
          </w:p>
        </w:tc>
        <w:tc>
          <w:tcPr>
            <w:tcW w:w="1420" w:type="dxa"/>
            <w:tcBorders>
              <w:top w:val="single" w:sz="12" w:space="0" w:color="000000"/>
            </w:tcBorders>
            <w:shd w:val="clear" w:color="auto" w:fill="auto"/>
          </w:tcPr>
          <w:p w:rsidR="007F4905" w:rsidRPr="00B304E5" w:rsidRDefault="007F4905" w:rsidP="007F4905">
            <w:pPr>
              <w:pStyle w:val="TableCell"/>
              <w:jc w:val="right"/>
              <w:rPr>
                <w:sz w:val="20"/>
                <w:szCs w:val="20"/>
              </w:rPr>
            </w:pPr>
            <w:r w:rsidRPr="00B304E5">
              <w:rPr>
                <w:sz w:val="20"/>
                <w:szCs w:val="20"/>
              </w:rPr>
              <w:t xml:space="preserve">Social/ Personal </w:t>
            </w:r>
            <w:r>
              <w:rPr>
                <w:sz w:val="20"/>
                <w:szCs w:val="20"/>
              </w:rPr>
              <w:t>D</w:t>
            </w:r>
            <w:r w:rsidRPr="00B304E5">
              <w:rPr>
                <w:sz w:val="20"/>
                <w:szCs w:val="20"/>
              </w:rPr>
              <w:t>evelopment</w:t>
            </w:r>
          </w:p>
        </w:tc>
        <w:tc>
          <w:tcPr>
            <w:tcW w:w="1420" w:type="dxa"/>
            <w:tcBorders>
              <w:top w:val="single" w:sz="12" w:space="0" w:color="000000"/>
            </w:tcBorders>
            <w:shd w:val="clear" w:color="auto" w:fill="auto"/>
          </w:tcPr>
          <w:p w:rsidR="007F4905" w:rsidRPr="00B304E5" w:rsidRDefault="007F4905" w:rsidP="007F4905">
            <w:pPr>
              <w:pStyle w:val="TableCell"/>
              <w:jc w:val="right"/>
              <w:rPr>
                <w:sz w:val="20"/>
                <w:szCs w:val="20"/>
              </w:rPr>
            </w:pPr>
            <w:r w:rsidRPr="00B304E5">
              <w:rPr>
                <w:sz w:val="20"/>
                <w:szCs w:val="20"/>
              </w:rPr>
              <w:t>Education/</w:t>
            </w:r>
          </w:p>
          <w:p w:rsidR="007F4905" w:rsidRPr="00B304E5" w:rsidRDefault="007F4905" w:rsidP="007F4905">
            <w:pPr>
              <w:pStyle w:val="TableCell"/>
              <w:jc w:val="right"/>
              <w:rPr>
                <w:sz w:val="20"/>
                <w:szCs w:val="20"/>
              </w:rPr>
            </w:pPr>
            <w:r w:rsidRPr="00B304E5">
              <w:rPr>
                <w:sz w:val="20"/>
                <w:szCs w:val="20"/>
              </w:rPr>
              <w:t>Employment</w:t>
            </w:r>
          </w:p>
        </w:tc>
        <w:tc>
          <w:tcPr>
            <w:tcW w:w="1421" w:type="dxa"/>
            <w:tcBorders>
              <w:top w:val="single" w:sz="12" w:space="0" w:color="000000"/>
            </w:tcBorders>
            <w:shd w:val="clear" w:color="auto" w:fill="auto"/>
          </w:tcPr>
          <w:p w:rsidR="007F4905" w:rsidRPr="00B304E5" w:rsidRDefault="007F4905" w:rsidP="007F4905">
            <w:pPr>
              <w:pStyle w:val="TableCell"/>
              <w:jc w:val="right"/>
              <w:rPr>
                <w:sz w:val="20"/>
                <w:szCs w:val="20"/>
              </w:rPr>
            </w:pPr>
            <w:r w:rsidRPr="00B304E5">
              <w:rPr>
                <w:sz w:val="20"/>
                <w:szCs w:val="20"/>
              </w:rPr>
              <w:t>Leisure/ Recreation</w:t>
            </w:r>
          </w:p>
        </w:tc>
        <w:tc>
          <w:tcPr>
            <w:tcW w:w="1421" w:type="dxa"/>
            <w:tcBorders>
              <w:top w:val="single" w:sz="12" w:space="0" w:color="000000"/>
            </w:tcBorders>
            <w:shd w:val="clear" w:color="auto" w:fill="auto"/>
          </w:tcPr>
          <w:p w:rsidR="007F4905" w:rsidRPr="00B304E5" w:rsidRDefault="007F4905" w:rsidP="007F4905">
            <w:pPr>
              <w:pStyle w:val="TableCell"/>
              <w:jc w:val="right"/>
              <w:rPr>
                <w:sz w:val="20"/>
                <w:szCs w:val="20"/>
              </w:rPr>
            </w:pPr>
            <w:r w:rsidRPr="00B304E5">
              <w:rPr>
                <w:sz w:val="20"/>
                <w:szCs w:val="20"/>
              </w:rPr>
              <w:t>Personal Care</w:t>
            </w:r>
          </w:p>
        </w:tc>
      </w:tr>
      <w:tr w:rsidR="007F4905" w:rsidRPr="00B304E5">
        <w:tblPrEx>
          <w:tblCellMar>
            <w:top w:w="0" w:type="dxa"/>
            <w:bottom w:w="0" w:type="dxa"/>
          </w:tblCellMar>
        </w:tblPrEx>
        <w:tc>
          <w:tcPr>
            <w:tcW w:w="1420" w:type="dxa"/>
            <w:shd w:val="clear" w:color="auto" w:fill="auto"/>
          </w:tcPr>
          <w:p w:rsidR="007F4905" w:rsidRPr="00B304E5" w:rsidRDefault="007F4905" w:rsidP="007F4905">
            <w:pPr>
              <w:pStyle w:val="TableRowHead"/>
              <w:rPr>
                <w:sz w:val="20"/>
                <w:szCs w:val="20"/>
              </w:rPr>
            </w:pPr>
            <w:r>
              <w:rPr>
                <w:sz w:val="20"/>
                <w:szCs w:val="20"/>
              </w:rPr>
              <w:t>Dementia</w:t>
            </w:r>
          </w:p>
        </w:tc>
        <w:tc>
          <w:tcPr>
            <w:tcW w:w="1420" w:type="dxa"/>
            <w:shd w:val="clear" w:color="auto" w:fill="auto"/>
          </w:tcPr>
          <w:p w:rsidR="007F4905" w:rsidRPr="00B304E5" w:rsidRDefault="007F4905" w:rsidP="007F4905">
            <w:pPr>
              <w:pStyle w:val="TableCell"/>
              <w:jc w:val="right"/>
              <w:rPr>
                <w:sz w:val="20"/>
                <w:szCs w:val="20"/>
              </w:rPr>
            </w:pPr>
            <w:r>
              <w:rPr>
                <w:sz w:val="20"/>
                <w:szCs w:val="20"/>
              </w:rPr>
              <w:t>18%</w:t>
            </w:r>
          </w:p>
        </w:tc>
        <w:tc>
          <w:tcPr>
            <w:tcW w:w="1420" w:type="dxa"/>
            <w:shd w:val="clear" w:color="auto" w:fill="auto"/>
          </w:tcPr>
          <w:p w:rsidR="007F4905" w:rsidRPr="00B304E5" w:rsidRDefault="007F4905" w:rsidP="007F4905">
            <w:pPr>
              <w:pStyle w:val="TableCell"/>
              <w:jc w:val="right"/>
              <w:rPr>
                <w:sz w:val="20"/>
                <w:szCs w:val="20"/>
              </w:rPr>
            </w:pPr>
            <w:r>
              <w:rPr>
                <w:sz w:val="20"/>
                <w:szCs w:val="20"/>
              </w:rPr>
              <w:t>91%</w:t>
            </w:r>
          </w:p>
        </w:tc>
        <w:tc>
          <w:tcPr>
            <w:tcW w:w="1420" w:type="dxa"/>
            <w:shd w:val="clear" w:color="auto" w:fill="auto"/>
          </w:tcPr>
          <w:p w:rsidR="007F4905" w:rsidRPr="00B304E5" w:rsidRDefault="007F4905" w:rsidP="007F4905">
            <w:pPr>
              <w:pStyle w:val="TableCell"/>
              <w:jc w:val="right"/>
              <w:rPr>
                <w:sz w:val="20"/>
                <w:szCs w:val="20"/>
              </w:rPr>
            </w:pPr>
            <w:r>
              <w:rPr>
                <w:sz w:val="20"/>
                <w:szCs w:val="20"/>
              </w:rPr>
              <w:t>12%</w:t>
            </w:r>
          </w:p>
        </w:tc>
        <w:tc>
          <w:tcPr>
            <w:tcW w:w="1421" w:type="dxa"/>
            <w:shd w:val="clear" w:color="auto" w:fill="auto"/>
          </w:tcPr>
          <w:p w:rsidR="007F4905" w:rsidRPr="00B304E5" w:rsidRDefault="007F4905" w:rsidP="007F4905">
            <w:pPr>
              <w:pStyle w:val="TableCell"/>
              <w:jc w:val="right"/>
              <w:rPr>
                <w:sz w:val="20"/>
                <w:szCs w:val="20"/>
              </w:rPr>
            </w:pPr>
            <w:r>
              <w:rPr>
                <w:sz w:val="20"/>
                <w:szCs w:val="20"/>
              </w:rPr>
              <w:t>92%</w:t>
            </w:r>
          </w:p>
        </w:tc>
        <w:tc>
          <w:tcPr>
            <w:tcW w:w="1421" w:type="dxa"/>
            <w:shd w:val="clear" w:color="auto" w:fill="auto"/>
          </w:tcPr>
          <w:p w:rsidR="007F4905" w:rsidRPr="00B304E5" w:rsidRDefault="007F4905" w:rsidP="007F4905">
            <w:pPr>
              <w:pStyle w:val="TableCell"/>
              <w:jc w:val="right"/>
              <w:rPr>
                <w:sz w:val="20"/>
                <w:szCs w:val="20"/>
              </w:rPr>
            </w:pPr>
            <w:r>
              <w:rPr>
                <w:sz w:val="20"/>
                <w:szCs w:val="20"/>
              </w:rPr>
              <w:t>62%</w:t>
            </w:r>
          </w:p>
        </w:tc>
      </w:tr>
      <w:tr w:rsidR="007F4905" w:rsidRPr="00B304E5">
        <w:tblPrEx>
          <w:tblCellMar>
            <w:top w:w="0" w:type="dxa"/>
            <w:bottom w:w="0" w:type="dxa"/>
          </w:tblCellMar>
        </w:tblPrEx>
        <w:tc>
          <w:tcPr>
            <w:tcW w:w="1420" w:type="dxa"/>
            <w:shd w:val="clear" w:color="auto" w:fill="auto"/>
          </w:tcPr>
          <w:p w:rsidR="007F4905" w:rsidRPr="00B304E5" w:rsidRDefault="007F4905" w:rsidP="007F4905">
            <w:pPr>
              <w:pStyle w:val="TableRowHead"/>
              <w:rPr>
                <w:sz w:val="20"/>
                <w:szCs w:val="20"/>
              </w:rPr>
            </w:pPr>
            <w:r>
              <w:rPr>
                <w:sz w:val="20"/>
                <w:szCs w:val="20"/>
              </w:rPr>
              <w:t xml:space="preserve">Learning Disabilities </w:t>
            </w:r>
          </w:p>
        </w:tc>
        <w:tc>
          <w:tcPr>
            <w:tcW w:w="1420" w:type="dxa"/>
            <w:shd w:val="clear" w:color="auto" w:fill="auto"/>
          </w:tcPr>
          <w:p w:rsidR="007F4905" w:rsidRPr="00B304E5" w:rsidRDefault="007F4905" w:rsidP="007F4905">
            <w:pPr>
              <w:pStyle w:val="TableCell"/>
              <w:jc w:val="right"/>
              <w:rPr>
                <w:sz w:val="20"/>
                <w:szCs w:val="20"/>
              </w:rPr>
            </w:pPr>
            <w:r>
              <w:rPr>
                <w:sz w:val="20"/>
                <w:szCs w:val="20"/>
              </w:rPr>
              <w:t>29%</w:t>
            </w:r>
          </w:p>
        </w:tc>
        <w:tc>
          <w:tcPr>
            <w:tcW w:w="1420" w:type="dxa"/>
            <w:shd w:val="clear" w:color="auto" w:fill="auto"/>
          </w:tcPr>
          <w:p w:rsidR="007F4905" w:rsidRPr="00B304E5" w:rsidRDefault="007F4905" w:rsidP="007F4905">
            <w:pPr>
              <w:pStyle w:val="TableCell"/>
              <w:jc w:val="right"/>
              <w:rPr>
                <w:sz w:val="20"/>
                <w:szCs w:val="20"/>
              </w:rPr>
            </w:pPr>
            <w:r>
              <w:rPr>
                <w:sz w:val="20"/>
                <w:szCs w:val="20"/>
              </w:rPr>
              <w:t>90%</w:t>
            </w:r>
          </w:p>
        </w:tc>
        <w:tc>
          <w:tcPr>
            <w:tcW w:w="1420" w:type="dxa"/>
            <w:shd w:val="clear" w:color="auto" w:fill="auto"/>
          </w:tcPr>
          <w:p w:rsidR="007F4905" w:rsidRPr="00B304E5" w:rsidRDefault="007F4905" w:rsidP="007F4905">
            <w:pPr>
              <w:pStyle w:val="TableCell"/>
              <w:jc w:val="right"/>
              <w:rPr>
                <w:sz w:val="20"/>
                <w:szCs w:val="20"/>
              </w:rPr>
            </w:pPr>
            <w:r>
              <w:rPr>
                <w:sz w:val="20"/>
                <w:szCs w:val="20"/>
              </w:rPr>
              <w:t>34%</w:t>
            </w:r>
          </w:p>
        </w:tc>
        <w:tc>
          <w:tcPr>
            <w:tcW w:w="1421" w:type="dxa"/>
            <w:shd w:val="clear" w:color="auto" w:fill="auto"/>
          </w:tcPr>
          <w:p w:rsidR="007F4905" w:rsidRPr="00B304E5" w:rsidRDefault="007F4905" w:rsidP="007F4905">
            <w:pPr>
              <w:pStyle w:val="TableCell"/>
              <w:jc w:val="right"/>
              <w:rPr>
                <w:sz w:val="20"/>
                <w:szCs w:val="20"/>
              </w:rPr>
            </w:pPr>
            <w:r>
              <w:rPr>
                <w:sz w:val="20"/>
                <w:szCs w:val="20"/>
              </w:rPr>
              <w:t>94%</w:t>
            </w:r>
          </w:p>
        </w:tc>
        <w:tc>
          <w:tcPr>
            <w:tcW w:w="1421" w:type="dxa"/>
            <w:shd w:val="clear" w:color="auto" w:fill="auto"/>
          </w:tcPr>
          <w:p w:rsidR="007F4905" w:rsidRPr="00B304E5" w:rsidRDefault="007F4905" w:rsidP="007F4905">
            <w:pPr>
              <w:pStyle w:val="TableCell"/>
              <w:jc w:val="right"/>
              <w:rPr>
                <w:sz w:val="20"/>
                <w:szCs w:val="20"/>
              </w:rPr>
            </w:pPr>
            <w:r>
              <w:rPr>
                <w:sz w:val="20"/>
                <w:szCs w:val="20"/>
              </w:rPr>
              <w:t>52%</w:t>
            </w:r>
          </w:p>
        </w:tc>
      </w:tr>
      <w:tr w:rsidR="007F4905" w:rsidRPr="00B304E5">
        <w:tblPrEx>
          <w:tblCellMar>
            <w:top w:w="0" w:type="dxa"/>
            <w:bottom w:w="0" w:type="dxa"/>
          </w:tblCellMar>
        </w:tblPrEx>
        <w:tc>
          <w:tcPr>
            <w:tcW w:w="1420" w:type="dxa"/>
            <w:shd w:val="clear" w:color="auto" w:fill="auto"/>
          </w:tcPr>
          <w:p w:rsidR="007F4905" w:rsidRPr="00B304E5" w:rsidRDefault="007F4905" w:rsidP="007F4905">
            <w:pPr>
              <w:pStyle w:val="TableRowHead"/>
              <w:rPr>
                <w:sz w:val="20"/>
                <w:szCs w:val="20"/>
              </w:rPr>
            </w:pPr>
            <w:r>
              <w:rPr>
                <w:sz w:val="20"/>
                <w:szCs w:val="20"/>
              </w:rPr>
              <w:t>Physical Disabilities</w:t>
            </w:r>
          </w:p>
        </w:tc>
        <w:tc>
          <w:tcPr>
            <w:tcW w:w="1420" w:type="dxa"/>
            <w:shd w:val="clear" w:color="auto" w:fill="auto"/>
          </w:tcPr>
          <w:p w:rsidR="007F4905" w:rsidRPr="00B304E5" w:rsidRDefault="007F4905" w:rsidP="007F4905">
            <w:pPr>
              <w:pStyle w:val="TableCell"/>
              <w:jc w:val="right"/>
              <w:rPr>
                <w:sz w:val="20"/>
                <w:szCs w:val="20"/>
              </w:rPr>
            </w:pPr>
            <w:r>
              <w:rPr>
                <w:sz w:val="20"/>
                <w:szCs w:val="20"/>
              </w:rPr>
              <w:t>20%</w:t>
            </w:r>
          </w:p>
        </w:tc>
        <w:tc>
          <w:tcPr>
            <w:tcW w:w="1420" w:type="dxa"/>
            <w:shd w:val="clear" w:color="auto" w:fill="auto"/>
          </w:tcPr>
          <w:p w:rsidR="007F4905" w:rsidRPr="00B304E5" w:rsidRDefault="007F4905" w:rsidP="007F4905">
            <w:pPr>
              <w:pStyle w:val="TableCell"/>
              <w:jc w:val="right"/>
              <w:rPr>
                <w:sz w:val="20"/>
                <w:szCs w:val="20"/>
              </w:rPr>
            </w:pPr>
            <w:r>
              <w:rPr>
                <w:sz w:val="20"/>
                <w:szCs w:val="20"/>
              </w:rPr>
              <w:t>91%</w:t>
            </w:r>
          </w:p>
        </w:tc>
        <w:tc>
          <w:tcPr>
            <w:tcW w:w="1420" w:type="dxa"/>
            <w:shd w:val="clear" w:color="auto" w:fill="auto"/>
          </w:tcPr>
          <w:p w:rsidR="007F4905" w:rsidRPr="00B304E5" w:rsidRDefault="007F4905" w:rsidP="007F4905">
            <w:pPr>
              <w:pStyle w:val="TableCell"/>
              <w:jc w:val="right"/>
              <w:rPr>
                <w:sz w:val="20"/>
                <w:szCs w:val="20"/>
              </w:rPr>
            </w:pPr>
            <w:r>
              <w:rPr>
                <w:sz w:val="20"/>
                <w:szCs w:val="20"/>
              </w:rPr>
              <w:t>15%</w:t>
            </w:r>
          </w:p>
        </w:tc>
        <w:tc>
          <w:tcPr>
            <w:tcW w:w="1421" w:type="dxa"/>
            <w:shd w:val="clear" w:color="auto" w:fill="auto"/>
          </w:tcPr>
          <w:p w:rsidR="007F4905" w:rsidRPr="00B304E5" w:rsidRDefault="007F4905" w:rsidP="007F4905">
            <w:pPr>
              <w:pStyle w:val="TableCell"/>
              <w:jc w:val="right"/>
              <w:rPr>
                <w:sz w:val="20"/>
                <w:szCs w:val="20"/>
              </w:rPr>
            </w:pPr>
            <w:r>
              <w:rPr>
                <w:sz w:val="20"/>
                <w:szCs w:val="20"/>
              </w:rPr>
              <w:t>91%</w:t>
            </w:r>
          </w:p>
        </w:tc>
        <w:tc>
          <w:tcPr>
            <w:tcW w:w="1421" w:type="dxa"/>
            <w:shd w:val="clear" w:color="auto" w:fill="auto"/>
          </w:tcPr>
          <w:p w:rsidR="007F4905" w:rsidRPr="00B304E5" w:rsidRDefault="007F4905" w:rsidP="007F4905">
            <w:pPr>
              <w:pStyle w:val="TableCell"/>
              <w:jc w:val="right"/>
              <w:rPr>
                <w:sz w:val="20"/>
                <w:szCs w:val="20"/>
              </w:rPr>
            </w:pPr>
            <w:r>
              <w:rPr>
                <w:sz w:val="20"/>
                <w:szCs w:val="20"/>
              </w:rPr>
              <w:t>55%</w:t>
            </w:r>
          </w:p>
        </w:tc>
      </w:tr>
      <w:tr w:rsidR="007F4905" w:rsidRPr="00B304E5">
        <w:tblPrEx>
          <w:tblCellMar>
            <w:top w:w="0" w:type="dxa"/>
            <w:bottom w:w="0" w:type="dxa"/>
          </w:tblCellMar>
        </w:tblPrEx>
        <w:tc>
          <w:tcPr>
            <w:tcW w:w="1420" w:type="dxa"/>
            <w:shd w:val="clear" w:color="auto" w:fill="auto"/>
          </w:tcPr>
          <w:p w:rsidR="007F4905" w:rsidRPr="00B304E5" w:rsidRDefault="007F4905" w:rsidP="007F4905">
            <w:pPr>
              <w:pStyle w:val="TableRowHead"/>
              <w:rPr>
                <w:sz w:val="20"/>
                <w:szCs w:val="20"/>
              </w:rPr>
            </w:pPr>
            <w:r>
              <w:rPr>
                <w:sz w:val="20"/>
                <w:szCs w:val="20"/>
              </w:rPr>
              <w:t>Mental Health Difficulties</w:t>
            </w:r>
          </w:p>
        </w:tc>
        <w:tc>
          <w:tcPr>
            <w:tcW w:w="1420" w:type="dxa"/>
            <w:shd w:val="clear" w:color="auto" w:fill="auto"/>
          </w:tcPr>
          <w:p w:rsidR="007F4905" w:rsidRPr="00B304E5" w:rsidRDefault="007F4905" w:rsidP="007F4905">
            <w:pPr>
              <w:pStyle w:val="TableCell"/>
              <w:jc w:val="right"/>
              <w:rPr>
                <w:sz w:val="20"/>
                <w:szCs w:val="20"/>
              </w:rPr>
            </w:pPr>
            <w:r>
              <w:rPr>
                <w:sz w:val="20"/>
                <w:szCs w:val="20"/>
              </w:rPr>
              <w:t>19%</w:t>
            </w:r>
          </w:p>
        </w:tc>
        <w:tc>
          <w:tcPr>
            <w:tcW w:w="1420" w:type="dxa"/>
            <w:shd w:val="clear" w:color="auto" w:fill="auto"/>
          </w:tcPr>
          <w:p w:rsidR="007F4905" w:rsidRPr="00B304E5" w:rsidRDefault="007F4905" w:rsidP="007F4905">
            <w:pPr>
              <w:pStyle w:val="TableCell"/>
              <w:jc w:val="right"/>
              <w:rPr>
                <w:sz w:val="20"/>
                <w:szCs w:val="20"/>
              </w:rPr>
            </w:pPr>
            <w:r>
              <w:rPr>
                <w:sz w:val="20"/>
                <w:szCs w:val="20"/>
              </w:rPr>
              <w:t>89%</w:t>
            </w:r>
          </w:p>
        </w:tc>
        <w:tc>
          <w:tcPr>
            <w:tcW w:w="1420" w:type="dxa"/>
            <w:shd w:val="clear" w:color="auto" w:fill="auto"/>
          </w:tcPr>
          <w:p w:rsidR="007F4905" w:rsidRPr="00B304E5" w:rsidRDefault="007F4905" w:rsidP="007F4905">
            <w:pPr>
              <w:pStyle w:val="TableCell"/>
              <w:jc w:val="right"/>
              <w:rPr>
                <w:sz w:val="20"/>
                <w:szCs w:val="20"/>
              </w:rPr>
            </w:pPr>
            <w:r>
              <w:rPr>
                <w:sz w:val="20"/>
                <w:szCs w:val="20"/>
              </w:rPr>
              <w:t>14%</w:t>
            </w:r>
          </w:p>
        </w:tc>
        <w:tc>
          <w:tcPr>
            <w:tcW w:w="1421" w:type="dxa"/>
            <w:shd w:val="clear" w:color="auto" w:fill="auto"/>
          </w:tcPr>
          <w:p w:rsidR="007F4905" w:rsidRPr="00B304E5" w:rsidRDefault="007F4905" w:rsidP="007F4905">
            <w:pPr>
              <w:pStyle w:val="TableCell"/>
              <w:jc w:val="right"/>
              <w:rPr>
                <w:sz w:val="20"/>
                <w:szCs w:val="20"/>
              </w:rPr>
            </w:pPr>
            <w:r>
              <w:rPr>
                <w:sz w:val="20"/>
                <w:szCs w:val="20"/>
              </w:rPr>
              <w:t>76%</w:t>
            </w:r>
          </w:p>
        </w:tc>
        <w:tc>
          <w:tcPr>
            <w:tcW w:w="1421" w:type="dxa"/>
            <w:shd w:val="clear" w:color="auto" w:fill="auto"/>
          </w:tcPr>
          <w:p w:rsidR="007F4905" w:rsidRPr="00B304E5" w:rsidRDefault="007F4905" w:rsidP="007F4905">
            <w:pPr>
              <w:pStyle w:val="TableCell"/>
              <w:jc w:val="right"/>
              <w:rPr>
                <w:sz w:val="20"/>
                <w:szCs w:val="20"/>
              </w:rPr>
            </w:pPr>
            <w:r>
              <w:rPr>
                <w:sz w:val="20"/>
                <w:szCs w:val="20"/>
              </w:rPr>
              <w:t>47%</w:t>
            </w:r>
          </w:p>
        </w:tc>
      </w:tr>
      <w:tr w:rsidR="007F4905" w:rsidRPr="00B304E5">
        <w:tblPrEx>
          <w:tblCellMar>
            <w:top w:w="0" w:type="dxa"/>
            <w:bottom w:w="0" w:type="dxa"/>
          </w:tblCellMar>
        </w:tblPrEx>
        <w:tc>
          <w:tcPr>
            <w:tcW w:w="1420" w:type="dxa"/>
            <w:shd w:val="clear" w:color="auto" w:fill="auto"/>
          </w:tcPr>
          <w:p w:rsidR="007F4905" w:rsidRDefault="007F4905" w:rsidP="007F4905">
            <w:pPr>
              <w:pStyle w:val="TableRowHead"/>
              <w:rPr>
                <w:sz w:val="20"/>
                <w:szCs w:val="20"/>
              </w:rPr>
            </w:pPr>
            <w:r>
              <w:rPr>
                <w:sz w:val="20"/>
                <w:szCs w:val="20"/>
              </w:rPr>
              <w:t>Drug/ Alcohol Problems</w:t>
            </w:r>
          </w:p>
        </w:tc>
        <w:tc>
          <w:tcPr>
            <w:tcW w:w="1420" w:type="dxa"/>
            <w:shd w:val="clear" w:color="auto" w:fill="auto"/>
          </w:tcPr>
          <w:p w:rsidR="007F4905" w:rsidRDefault="007F4905" w:rsidP="007F4905">
            <w:pPr>
              <w:pStyle w:val="TableCell"/>
              <w:jc w:val="right"/>
              <w:rPr>
                <w:sz w:val="20"/>
                <w:szCs w:val="20"/>
              </w:rPr>
            </w:pPr>
            <w:r>
              <w:rPr>
                <w:sz w:val="20"/>
                <w:szCs w:val="20"/>
              </w:rPr>
              <w:t>24%</w:t>
            </w:r>
          </w:p>
        </w:tc>
        <w:tc>
          <w:tcPr>
            <w:tcW w:w="1420" w:type="dxa"/>
            <w:shd w:val="clear" w:color="auto" w:fill="auto"/>
          </w:tcPr>
          <w:p w:rsidR="007F4905" w:rsidRDefault="007F4905" w:rsidP="007F4905">
            <w:pPr>
              <w:pStyle w:val="TableCell"/>
              <w:jc w:val="right"/>
              <w:rPr>
                <w:sz w:val="20"/>
                <w:szCs w:val="20"/>
              </w:rPr>
            </w:pPr>
            <w:r>
              <w:rPr>
                <w:sz w:val="20"/>
                <w:szCs w:val="20"/>
              </w:rPr>
              <w:t>94%</w:t>
            </w:r>
          </w:p>
        </w:tc>
        <w:tc>
          <w:tcPr>
            <w:tcW w:w="1420" w:type="dxa"/>
            <w:shd w:val="clear" w:color="auto" w:fill="auto"/>
          </w:tcPr>
          <w:p w:rsidR="007F4905" w:rsidRDefault="007F4905" w:rsidP="007F4905">
            <w:pPr>
              <w:pStyle w:val="TableCell"/>
              <w:jc w:val="right"/>
              <w:rPr>
                <w:sz w:val="20"/>
                <w:szCs w:val="20"/>
              </w:rPr>
            </w:pPr>
            <w:r>
              <w:rPr>
                <w:sz w:val="20"/>
                <w:szCs w:val="20"/>
              </w:rPr>
              <w:t>19%</w:t>
            </w:r>
          </w:p>
        </w:tc>
        <w:tc>
          <w:tcPr>
            <w:tcW w:w="1421" w:type="dxa"/>
            <w:shd w:val="clear" w:color="auto" w:fill="auto"/>
          </w:tcPr>
          <w:p w:rsidR="007F4905" w:rsidRDefault="007F4905" w:rsidP="007F4905">
            <w:pPr>
              <w:pStyle w:val="TableCell"/>
              <w:jc w:val="right"/>
              <w:rPr>
                <w:sz w:val="20"/>
                <w:szCs w:val="20"/>
              </w:rPr>
            </w:pPr>
            <w:r>
              <w:rPr>
                <w:sz w:val="20"/>
                <w:szCs w:val="20"/>
              </w:rPr>
              <w:t>79%</w:t>
            </w:r>
          </w:p>
        </w:tc>
        <w:tc>
          <w:tcPr>
            <w:tcW w:w="1421" w:type="dxa"/>
            <w:shd w:val="clear" w:color="auto" w:fill="auto"/>
          </w:tcPr>
          <w:p w:rsidR="007F4905" w:rsidRDefault="007F4905" w:rsidP="007F4905">
            <w:pPr>
              <w:pStyle w:val="TableCell"/>
              <w:jc w:val="right"/>
              <w:rPr>
                <w:sz w:val="20"/>
                <w:szCs w:val="20"/>
              </w:rPr>
            </w:pPr>
            <w:r>
              <w:rPr>
                <w:sz w:val="20"/>
                <w:szCs w:val="20"/>
              </w:rPr>
              <w:t>55%</w:t>
            </w:r>
          </w:p>
        </w:tc>
      </w:tr>
      <w:tr w:rsidR="007F4905" w:rsidRPr="00B304E5">
        <w:tblPrEx>
          <w:tblCellMar>
            <w:top w:w="0" w:type="dxa"/>
            <w:bottom w:w="0" w:type="dxa"/>
          </w:tblCellMar>
        </w:tblPrEx>
        <w:tc>
          <w:tcPr>
            <w:tcW w:w="1420" w:type="dxa"/>
            <w:shd w:val="clear" w:color="auto" w:fill="auto"/>
          </w:tcPr>
          <w:p w:rsidR="007F4905" w:rsidRDefault="007F4905" w:rsidP="007F4905">
            <w:pPr>
              <w:pStyle w:val="TableRowHead"/>
              <w:rPr>
                <w:sz w:val="20"/>
                <w:szCs w:val="20"/>
              </w:rPr>
            </w:pPr>
            <w:r>
              <w:rPr>
                <w:sz w:val="20"/>
                <w:szCs w:val="20"/>
              </w:rPr>
              <w:t>Other Client Groups</w:t>
            </w:r>
          </w:p>
        </w:tc>
        <w:tc>
          <w:tcPr>
            <w:tcW w:w="1420" w:type="dxa"/>
            <w:shd w:val="clear" w:color="auto" w:fill="auto"/>
          </w:tcPr>
          <w:p w:rsidR="007F4905" w:rsidRDefault="007F4905" w:rsidP="007F4905">
            <w:pPr>
              <w:pStyle w:val="TableCell"/>
              <w:jc w:val="right"/>
              <w:rPr>
                <w:sz w:val="20"/>
                <w:szCs w:val="20"/>
              </w:rPr>
            </w:pPr>
            <w:r>
              <w:rPr>
                <w:sz w:val="20"/>
                <w:szCs w:val="20"/>
              </w:rPr>
              <w:t>25%</w:t>
            </w:r>
          </w:p>
        </w:tc>
        <w:tc>
          <w:tcPr>
            <w:tcW w:w="1420" w:type="dxa"/>
            <w:shd w:val="clear" w:color="auto" w:fill="auto"/>
          </w:tcPr>
          <w:p w:rsidR="007F4905" w:rsidRDefault="007F4905" w:rsidP="007F4905">
            <w:pPr>
              <w:pStyle w:val="TableCell"/>
              <w:jc w:val="right"/>
              <w:rPr>
                <w:sz w:val="20"/>
                <w:szCs w:val="20"/>
              </w:rPr>
            </w:pPr>
            <w:r>
              <w:rPr>
                <w:sz w:val="20"/>
                <w:szCs w:val="20"/>
              </w:rPr>
              <w:t>96%</w:t>
            </w:r>
          </w:p>
        </w:tc>
        <w:tc>
          <w:tcPr>
            <w:tcW w:w="1420" w:type="dxa"/>
            <w:shd w:val="clear" w:color="auto" w:fill="auto"/>
          </w:tcPr>
          <w:p w:rsidR="007F4905" w:rsidRDefault="007F4905" w:rsidP="007F4905">
            <w:pPr>
              <w:pStyle w:val="TableCell"/>
              <w:jc w:val="right"/>
              <w:rPr>
                <w:sz w:val="20"/>
                <w:szCs w:val="20"/>
              </w:rPr>
            </w:pPr>
            <w:r>
              <w:rPr>
                <w:sz w:val="20"/>
                <w:szCs w:val="20"/>
              </w:rPr>
              <w:t>22%</w:t>
            </w:r>
          </w:p>
        </w:tc>
        <w:tc>
          <w:tcPr>
            <w:tcW w:w="1421" w:type="dxa"/>
            <w:shd w:val="clear" w:color="auto" w:fill="auto"/>
          </w:tcPr>
          <w:p w:rsidR="007F4905" w:rsidRDefault="007F4905" w:rsidP="007F4905">
            <w:pPr>
              <w:pStyle w:val="TableCell"/>
              <w:jc w:val="right"/>
              <w:rPr>
                <w:sz w:val="20"/>
                <w:szCs w:val="20"/>
              </w:rPr>
            </w:pPr>
            <w:r>
              <w:rPr>
                <w:sz w:val="20"/>
                <w:szCs w:val="20"/>
              </w:rPr>
              <w:t>75%</w:t>
            </w:r>
          </w:p>
        </w:tc>
        <w:tc>
          <w:tcPr>
            <w:tcW w:w="1421" w:type="dxa"/>
            <w:shd w:val="clear" w:color="auto" w:fill="auto"/>
          </w:tcPr>
          <w:p w:rsidR="007F4905" w:rsidRDefault="007F4905" w:rsidP="007F4905">
            <w:pPr>
              <w:pStyle w:val="TableCell"/>
              <w:jc w:val="right"/>
              <w:rPr>
                <w:sz w:val="20"/>
                <w:szCs w:val="20"/>
              </w:rPr>
            </w:pPr>
            <w:r>
              <w:rPr>
                <w:sz w:val="20"/>
                <w:szCs w:val="20"/>
              </w:rPr>
              <w:t>35%</w:t>
            </w:r>
          </w:p>
        </w:tc>
      </w:tr>
    </w:tbl>
    <w:p w:rsidR="007F4905" w:rsidRPr="00453CC6" w:rsidRDefault="007F4905" w:rsidP="007F4905">
      <w:pPr>
        <w:jc w:val="center"/>
        <w:rPr>
          <w:rFonts w:cs="Arial"/>
          <w:sz w:val="20"/>
          <w:szCs w:val="20"/>
        </w:rPr>
      </w:pPr>
      <w:r w:rsidRPr="00DD5696">
        <w:rPr>
          <w:rFonts w:cs="Arial"/>
          <w:iCs/>
          <w:sz w:val="20"/>
          <w:szCs w:val="20"/>
          <w:lang w:eastAsia="en-IE"/>
        </w:rPr>
        <w:t>Source: Day Care Services Census Return D1-B</w:t>
      </w:r>
      <w:r>
        <w:rPr>
          <w:rFonts w:cs="Arial"/>
          <w:iCs/>
          <w:sz w:val="20"/>
          <w:szCs w:val="20"/>
          <w:lang w:eastAsia="en-IE"/>
        </w:rPr>
        <w:t xml:space="preserve"> (2007)</w:t>
      </w:r>
    </w:p>
    <w:p w:rsidR="007F4905" w:rsidRDefault="007F4905" w:rsidP="007F4905">
      <w:pPr>
        <w:pStyle w:val="Heading3"/>
      </w:pPr>
      <w:bookmarkStart w:id="100" w:name="_Toc247447268"/>
      <w:bookmarkStart w:id="101" w:name="_Toc255485481"/>
      <w:bookmarkStart w:id="102" w:name="_Toc267920931"/>
      <w:bookmarkStart w:id="103" w:name="_Toc267920940"/>
      <w:bookmarkStart w:id="104" w:name="_Toc279136915"/>
      <w:r>
        <w:t>Employment</w:t>
      </w:r>
      <w:bookmarkEnd w:id="103"/>
      <w:bookmarkEnd w:id="104"/>
      <w:r>
        <w:t xml:space="preserve"> </w:t>
      </w:r>
    </w:p>
    <w:p w:rsidR="007F4905" w:rsidRPr="0053356F" w:rsidRDefault="007F4905" w:rsidP="007F4905">
      <w:pPr>
        <w:pStyle w:val="Heading4"/>
      </w:pPr>
      <w:bookmarkStart w:id="105" w:name="_Toc267920941"/>
      <w:r>
        <w:t>Supported employment</w:t>
      </w:r>
      <w:bookmarkEnd w:id="105"/>
    </w:p>
    <w:p w:rsidR="007F4905" w:rsidRDefault="007F4905" w:rsidP="007F4905">
      <w:r>
        <w:t xml:space="preserve">According to a Scottish Executive Report (2005), the provision of supported employment programmes in </w:t>
      </w:r>
      <w:smartTag w:uri="urn:schemas-microsoft-com:office:smarttags" w:element="country-region">
        <w:smartTag w:uri="urn:schemas-microsoft-com:office:smarttags" w:element="place">
          <w:r>
            <w:t>Scotland</w:t>
          </w:r>
        </w:smartTag>
      </w:smartTag>
      <w:r>
        <w:t xml:space="preserve"> has not automatically resulted in a change from </w:t>
      </w:r>
      <w:r w:rsidRPr="0053356F">
        <w:t>existing</w:t>
      </w:r>
      <w:r>
        <w:t xml:space="preserve"> </w:t>
      </w:r>
      <w:r w:rsidRPr="0053356F">
        <w:t>segregated day servi</w:t>
      </w:r>
      <w:r>
        <w:t>ces and sheltered workshops. It has been added on as a "continuum of services.</w:t>
      </w:r>
      <w:r>
        <w:rPr>
          <w:rStyle w:val="FootnoteReference"/>
        </w:rPr>
        <w:footnoteReference w:id="74"/>
      </w:r>
      <w:r>
        <w:t>"</w:t>
      </w:r>
    </w:p>
    <w:p w:rsidR="007F4905" w:rsidRDefault="007F4905" w:rsidP="007F4905">
      <w:r w:rsidRPr="00A70663">
        <w:t>The</w:t>
      </w:r>
      <w:r>
        <w:rPr>
          <w:b/>
        </w:rPr>
        <w:t xml:space="preserve"> </w:t>
      </w:r>
      <w:r>
        <w:t xml:space="preserve">Scottish government and COSLA undertook a review of supported employment services in 2009 and published its findings in a report entitled </w:t>
      </w:r>
      <w:r w:rsidRPr="00AC2C40">
        <w:rPr>
          <w:b/>
        </w:rPr>
        <w:t>Supported Employment Scoping Exercise</w:t>
      </w:r>
      <w:r>
        <w:t xml:space="preserve"> (2009). The report indicated that the term supported employment had different meanings for different service providers. Local authorities had different supported employment models that included sheltered workshops, in addition to social enterprise projects etc. </w:t>
      </w:r>
    </w:p>
    <w:p w:rsidR="007F4905" w:rsidRDefault="007F4905" w:rsidP="007F4905">
      <w:r>
        <w:t>The report defined supported employment as:</w:t>
      </w:r>
    </w:p>
    <w:p w:rsidR="007F4905" w:rsidRDefault="007F4905" w:rsidP="007F4905">
      <w:r>
        <w:tab/>
        <w:t xml:space="preserve">"a systematic approach that provides flexible support to enable people </w:t>
      </w:r>
      <w:r>
        <w:tab/>
        <w:t xml:space="preserve">with physical disabilities, mental health or learning disabilities to secure </w:t>
      </w:r>
      <w:r>
        <w:tab/>
        <w:t>and maintain paid employment in the open labour market.</w:t>
      </w:r>
      <w:r>
        <w:rPr>
          <w:rStyle w:val="FootnoteReference"/>
        </w:rPr>
        <w:footnoteReference w:id="75"/>
      </w:r>
      <w:r>
        <w:t>"</w:t>
      </w:r>
    </w:p>
    <w:p w:rsidR="007F4905" w:rsidRDefault="007F4905" w:rsidP="007F4905">
      <w:r>
        <w:t>Supported employment services are generally located in the care/community services departments of most local authorities. Some local authorities involve service users in the design of the supported employment services via consultation meetings and working groups</w:t>
      </w:r>
      <w:r>
        <w:rPr>
          <w:rStyle w:val="FootnoteReference"/>
        </w:rPr>
        <w:footnoteReference w:id="76"/>
      </w:r>
      <w:r>
        <w:t>.</w:t>
      </w:r>
    </w:p>
    <w:p w:rsidR="007F4905" w:rsidRDefault="007F4905" w:rsidP="007F4905">
      <w:r>
        <w:t>Funding from these services comes from different so</w:t>
      </w:r>
      <w:r w:rsidR="002104F6">
        <w:t>urces. Table 10</w:t>
      </w:r>
      <w:r>
        <w:t xml:space="preserve"> below details funding for 71 services provided across 17 local authorities who responded to the review. Additional sources of funding for supported employment come from European Structural Funds, European Regional development funds etc.</w:t>
      </w:r>
    </w:p>
    <w:p w:rsidR="007F4905" w:rsidRDefault="007F4905" w:rsidP="007F4905">
      <w:pPr>
        <w:pStyle w:val="TableTitle"/>
      </w:pPr>
      <w:r>
        <w:t>T</w:t>
      </w:r>
      <w:r w:rsidR="002104F6">
        <w:t>able 10</w:t>
      </w:r>
      <w:r>
        <w:t>. Funding for supported employment services</w:t>
      </w:r>
      <w:r>
        <w:rPr>
          <w:rStyle w:val="FootnoteReference"/>
        </w:rPr>
        <w:footnoteReference w:id="77"/>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4261"/>
        <w:gridCol w:w="4261"/>
      </w:tblGrid>
      <w:tr w:rsidR="007F4905" w:rsidRPr="008E08DD">
        <w:tblPrEx>
          <w:tblCellMar>
            <w:top w:w="0" w:type="dxa"/>
            <w:bottom w:w="0" w:type="dxa"/>
          </w:tblCellMar>
        </w:tblPrEx>
        <w:trPr>
          <w:tblHeader/>
        </w:trPr>
        <w:tc>
          <w:tcPr>
            <w:tcW w:w="4261" w:type="dxa"/>
            <w:tcBorders>
              <w:bottom w:val="single" w:sz="12" w:space="0" w:color="000000"/>
            </w:tcBorders>
            <w:shd w:val="clear" w:color="auto" w:fill="auto"/>
          </w:tcPr>
          <w:p w:rsidR="007F4905" w:rsidRPr="008E08DD" w:rsidRDefault="007F4905" w:rsidP="007F4905">
            <w:pPr>
              <w:pStyle w:val="TableHead"/>
              <w:jc w:val="right"/>
              <w:rPr>
                <w:sz w:val="20"/>
                <w:szCs w:val="20"/>
              </w:rPr>
            </w:pPr>
            <w:r w:rsidRPr="008E08DD">
              <w:rPr>
                <w:sz w:val="20"/>
                <w:szCs w:val="20"/>
              </w:rPr>
              <w:t>Funding</w:t>
            </w:r>
          </w:p>
        </w:tc>
        <w:tc>
          <w:tcPr>
            <w:tcW w:w="4261" w:type="dxa"/>
            <w:tcBorders>
              <w:bottom w:val="single" w:sz="12" w:space="0" w:color="000000"/>
            </w:tcBorders>
            <w:shd w:val="clear" w:color="auto" w:fill="auto"/>
          </w:tcPr>
          <w:p w:rsidR="007F4905" w:rsidRPr="008E08DD" w:rsidRDefault="007F4905" w:rsidP="007F4905">
            <w:pPr>
              <w:pStyle w:val="TableHead"/>
              <w:jc w:val="right"/>
              <w:rPr>
                <w:sz w:val="20"/>
                <w:szCs w:val="20"/>
              </w:rPr>
            </w:pPr>
            <w:r w:rsidRPr="008E08DD">
              <w:rPr>
                <w:sz w:val="20"/>
                <w:szCs w:val="20"/>
              </w:rPr>
              <w:t>% of total services</w:t>
            </w:r>
          </w:p>
        </w:tc>
      </w:tr>
      <w:tr w:rsidR="007F4905" w:rsidRPr="007D2CE8">
        <w:tblPrEx>
          <w:tblCellMar>
            <w:top w:w="0" w:type="dxa"/>
            <w:bottom w:w="0" w:type="dxa"/>
          </w:tblCellMar>
        </w:tblPrEx>
        <w:tc>
          <w:tcPr>
            <w:tcW w:w="4261" w:type="dxa"/>
            <w:tcBorders>
              <w:top w:val="single" w:sz="12" w:space="0" w:color="000000"/>
            </w:tcBorders>
            <w:shd w:val="clear" w:color="auto" w:fill="auto"/>
          </w:tcPr>
          <w:p w:rsidR="007F4905" w:rsidRPr="008E08DD" w:rsidRDefault="007F4905" w:rsidP="007F4905">
            <w:pPr>
              <w:pStyle w:val="TableRowHead"/>
              <w:rPr>
                <w:sz w:val="20"/>
                <w:szCs w:val="20"/>
              </w:rPr>
            </w:pPr>
            <w:r w:rsidRPr="008E08DD">
              <w:rPr>
                <w:sz w:val="20"/>
                <w:szCs w:val="20"/>
              </w:rPr>
              <w:t>Fully funded by Local Authority</w:t>
            </w:r>
          </w:p>
        </w:tc>
        <w:tc>
          <w:tcPr>
            <w:tcW w:w="4261" w:type="dxa"/>
            <w:tcBorders>
              <w:top w:val="single" w:sz="12" w:space="0" w:color="000000"/>
            </w:tcBorders>
            <w:shd w:val="clear" w:color="auto" w:fill="auto"/>
          </w:tcPr>
          <w:p w:rsidR="007F4905" w:rsidRPr="008E08DD" w:rsidRDefault="007F4905" w:rsidP="007F4905">
            <w:pPr>
              <w:pStyle w:val="TableCell"/>
              <w:jc w:val="right"/>
              <w:rPr>
                <w:sz w:val="20"/>
                <w:szCs w:val="20"/>
              </w:rPr>
            </w:pPr>
            <w:r w:rsidRPr="008E08DD">
              <w:rPr>
                <w:sz w:val="20"/>
                <w:szCs w:val="20"/>
              </w:rPr>
              <w:t>28%</w:t>
            </w:r>
          </w:p>
        </w:tc>
      </w:tr>
      <w:tr w:rsidR="007F4905" w:rsidRPr="007D2CE8">
        <w:tblPrEx>
          <w:tblCellMar>
            <w:top w:w="0" w:type="dxa"/>
            <w:bottom w:w="0" w:type="dxa"/>
          </w:tblCellMar>
        </w:tblPrEx>
        <w:tc>
          <w:tcPr>
            <w:tcW w:w="4261" w:type="dxa"/>
            <w:shd w:val="clear" w:color="auto" w:fill="auto"/>
          </w:tcPr>
          <w:p w:rsidR="007F4905" w:rsidRPr="008E08DD" w:rsidRDefault="007F4905" w:rsidP="007F4905">
            <w:pPr>
              <w:pStyle w:val="TableRowHead"/>
              <w:rPr>
                <w:sz w:val="20"/>
                <w:szCs w:val="20"/>
              </w:rPr>
            </w:pPr>
            <w:r w:rsidRPr="008E08DD">
              <w:rPr>
                <w:sz w:val="20"/>
                <w:szCs w:val="20"/>
              </w:rPr>
              <w:t>Partially funded by Local Authority</w:t>
            </w:r>
          </w:p>
        </w:tc>
        <w:tc>
          <w:tcPr>
            <w:tcW w:w="4261" w:type="dxa"/>
            <w:shd w:val="clear" w:color="auto" w:fill="auto"/>
          </w:tcPr>
          <w:p w:rsidR="007F4905" w:rsidRPr="008E08DD" w:rsidRDefault="007F4905" w:rsidP="007F4905">
            <w:pPr>
              <w:pStyle w:val="TableCell"/>
              <w:jc w:val="right"/>
              <w:rPr>
                <w:sz w:val="20"/>
                <w:szCs w:val="20"/>
              </w:rPr>
            </w:pPr>
            <w:r w:rsidRPr="008E08DD">
              <w:rPr>
                <w:sz w:val="20"/>
                <w:szCs w:val="20"/>
              </w:rPr>
              <w:t>58%</w:t>
            </w:r>
          </w:p>
        </w:tc>
      </w:tr>
      <w:tr w:rsidR="007F4905" w:rsidRPr="007D2CE8">
        <w:tblPrEx>
          <w:tblCellMar>
            <w:top w:w="0" w:type="dxa"/>
            <w:bottom w:w="0" w:type="dxa"/>
          </w:tblCellMar>
        </w:tblPrEx>
        <w:tc>
          <w:tcPr>
            <w:tcW w:w="4261" w:type="dxa"/>
            <w:shd w:val="clear" w:color="auto" w:fill="auto"/>
          </w:tcPr>
          <w:p w:rsidR="007F4905" w:rsidRPr="008E08DD" w:rsidRDefault="007F4905" w:rsidP="007F4905">
            <w:pPr>
              <w:pStyle w:val="TableRowHead"/>
              <w:rPr>
                <w:sz w:val="20"/>
                <w:szCs w:val="20"/>
              </w:rPr>
            </w:pPr>
            <w:r w:rsidRPr="008E08DD">
              <w:rPr>
                <w:sz w:val="20"/>
                <w:szCs w:val="20"/>
              </w:rPr>
              <w:t>Not funded by Local Authority</w:t>
            </w:r>
          </w:p>
        </w:tc>
        <w:tc>
          <w:tcPr>
            <w:tcW w:w="4261" w:type="dxa"/>
            <w:shd w:val="clear" w:color="auto" w:fill="auto"/>
          </w:tcPr>
          <w:p w:rsidR="007F4905" w:rsidRPr="008E08DD" w:rsidRDefault="007F4905" w:rsidP="007F4905">
            <w:pPr>
              <w:pStyle w:val="TableCell"/>
              <w:jc w:val="right"/>
              <w:rPr>
                <w:sz w:val="20"/>
                <w:szCs w:val="20"/>
              </w:rPr>
            </w:pPr>
            <w:r w:rsidRPr="008E08DD">
              <w:rPr>
                <w:sz w:val="20"/>
                <w:szCs w:val="20"/>
              </w:rPr>
              <w:t>15%</w:t>
            </w:r>
          </w:p>
        </w:tc>
      </w:tr>
    </w:tbl>
    <w:p w:rsidR="007F4905" w:rsidRDefault="007F4905" w:rsidP="007F4905"/>
    <w:p w:rsidR="007F4905" w:rsidRDefault="007F4905" w:rsidP="007F4905">
      <w:r>
        <w:t xml:space="preserve">From April 2007 - March 2008, 577 out of 1451 service users were referred from job centres to sheltered workshops. </w:t>
      </w:r>
    </w:p>
    <w:p w:rsidR="007F4905" w:rsidRDefault="007F4905" w:rsidP="007F4905">
      <w:r>
        <w:t>During the same time period, 2,110 people received support to gain supported employment. 48.5% of the 2,110 were people with learning disabilities, 16% were people with mental health difficulties, 10.5% were people with physical disabilities</w:t>
      </w:r>
      <w:r>
        <w:rPr>
          <w:rStyle w:val="FootnoteReference"/>
        </w:rPr>
        <w:footnoteReference w:id="78"/>
      </w:r>
      <w:r>
        <w:t>.</w:t>
      </w:r>
    </w:p>
    <w:p w:rsidR="007F4905" w:rsidRDefault="007F4905" w:rsidP="007F4905">
      <w:r>
        <w:t xml:space="preserve">Table </w:t>
      </w:r>
      <w:r w:rsidR="002104F6">
        <w:t>11</w:t>
      </w:r>
      <w:r>
        <w:t xml:space="preserve"> details the percentage of people with disabilities who obtained paid work through supported employment services, from April 2007 - March 2008.</w:t>
      </w:r>
    </w:p>
    <w:p w:rsidR="00C85E9F" w:rsidRDefault="00C85E9F" w:rsidP="007F4905">
      <w:pPr>
        <w:pStyle w:val="TableTitle"/>
        <w:sectPr w:rsidR="00C85E9F" w:rsidSect="006B2928">
          <w:pgSz w:w="11906" w:h="16838"/>
          <w:pgMar w:top="1440" w:right="1800" w:bottom="1440" w:left="1800" w:header="708" w:footer="708" w:gutter="0"/>
          <w:cols w:space="720"/>
        </w:sectPr>
      </w:pPr>
    </w:p>
    <w:p w:rsidR="007F4905" w:rsidRDefault="007F4905" w:rsidP="007F4905">
      <w:pPr>
        <w:pStyle w:val="TableTitle"/>
      </w:pPr>
      <w:r>
        <w:t>Table</w:t>
      </w:r>
      <w:r w:rsidR="002104F6">
        <w:t xml:space="preserve"> 11.</w:t>
      </w:r>
      <w:r>
        <w:t xml:space="preserve">  % People on supported employment  programmes in paid work  </w:t>
      </w:r>
    </w:p>
    <w:p w:rsidR="007F4905" w:rsidRPr="005C1A9D" w:rsidRDefault="007F4905" w:rsidP="007F4905">
      <w:pPr>
        <w:pStyle w:val="TableTitle"/>
      </w:pPr>
      <w:r>
        <w:t>Total number = 1, 135 people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704"/>
        <w:gridCol w:w="1704"/>
        <w:gridCol w:w="1704"/>
        <w:gridCol w:w="1705"/>
        <w:gridCol w:w="1705"/>
      </w:tblGrid>
      <w:tr w:rsidR="007F4905" w:rsidRPr="00F508BE">
        <w:tblPrEx>
          <w:tblCellMar>
            <w:top w:w="0" w:type="dxa"/>
            <w:bottom w:w="0" w:type="dxa"/>
          </w:tblCellMar>
        </w:tblPrEx>
        <w:trPr>
          <w:tblHeader/>
        </w:trPr>
        <w:tc>
          <w:tcPr>
            <w:tcW w:w="1704" w:type="dxa"/>
            <w:tcBorders>
              <w:bottom w:val="single" w:sz="12" w:space="0" w:color="000000"/>
            </w:tcBorders>
            <w:shd w:val="clear" w:color="auto" w:fill="auto"/>
          </w:tcPr>
          <w:p w:rsidR="007F4905" w:rsidRPr="00F508BE" w:rsidRDefault="007F4905" w:rsidP="007F4905">
            <w:pPr>
              <w:pStyle w:val="TableHead"/>
              <w:jc w:val="right"/>
              <w:rPr>
                <w:sz w:val="20"/>
                <w:szCs w:val="20"/>
              </w:rPr>
            </w:pPr>
            <w:r w:rsidRPr="00F508BE">
              <w:rPr>
                <w:sz w:val="20"/>
                <w:szCs w:val="20"/>
              </w:rPr>
              <w:t>Paid job</w:t>
            </w:r>
          </w:p>
        </w:tc>
        <w:tc>
          <w:tcPr>
            <w:tcW w:w="1704" w:type="dxa"/>
            <w:tcBorders>
              <w:bottom w:val="single" w:sz="12" w:space="0" w:color="000000"/>
            </w:tcBorders>
            <w:shd w:val="clear" w:color="auto" w:fill="auto"/>
          </w:tcPr>
          <w:p w:rsidR="007F4905" w:rsidRPr="00F508BE" w:rsidRDefault="00EA167B" w:rsidP="007F4905">
            <w:pPr>
              <w:pStyle w:val="TableHead"/>
              <w:jc w:val="right"/>
              <w:rPr>
                <w:sz w:val="20"/>
                <w:szCs w:val="20"/>
              </w:rPr>
            </w:pPr>
            <w:r>
              <w:rPr>
                <w:sz w:val="20"/>
                <w:szCs w:val="20"/>
              </w:rPr>
              <w:t>L</w:t>
            </w:r>
            <w:r w:rsidR="007F4905">
              <w:rPr>
                <w:sz w:val="20"/>
                <w:szCs w:val="20"/>
              </w:rPr>
              <w:t>earning disabilities</w:t>
            </w:r>
          </w:p>
        </w:tc>
        <w:tc>
          <w:tcPr>
            <w:tcW w:w="1704" w:type="dxa"/>
            <w:tcBorders>
              <w:bottom w:val="single" w:sz="12" w:space="0" w:color="000000"/>
            </w:tcBorders>
            <w:shd w:val="clear" w:color="auto" w:fill="auto"/>
          </w:tcPr>
          <w:p w:rsidR="007F4905" w:rsidRPr="00F508BE" w:rsidRDefault="007F4905" w:rsidP="007F4905">
            <w:pPr>
              <w:pStyle w:val="TableHead"/>
              <w:jc w:val="right"/>
              <w:rPr>
                <w:sz w:val="20"/>
                <w:szCs w:val="20"/>
              </w:rPr>
            </w:pPr>
            <w:r>
              <w:rPr>
                <w:sz w:val="20"/>
                <w:szCs w:val="20"/>
              </w:rPr>
              <w:t>Mental Health difficulties</w:t>
            </w:r>
          </w:p>
        </w:tc>
        <w:tc>
          <w:tcPr>
            <w:tcW w:w="1705" w:type="dxa"/>
            <w:tcBorders>
              <w:bottom w:val="single" w:sz="12" w:space="0" w:color="000000"/>
            </w:tcBorders>
            <w:shd w:val="clear" w:color="auto" w:fill="auto"/>
          </w:tcPr>
          <w:p w:rsidR="007F4905" w:rsidRPr="00F508BE" w:rsidRDefault="007F4905" w:rsidP="007F4905">
            <w:pPr>
              <w:pStyle w:val="TableHead"/>
              <w:jc w:val="right"/>
              <w:rPr>
                <w:sz w:val="20"/>
                <w:szCs w:val="20"/>
              </w:rPr>
            </w:pPr>
            <w:r>
              <w:rPr>
                <w:sz w:val="20"/>
                <w:szCs w:val="20"/>
              </w:rPr>
              <w:t>Physical Disability</w:t>
            </w:r>
          </w:p>
        </w:tc>
        <w:tc>
          <w:tcPr>
            <w:tcW w:w="1705" w:type="dxa"/>
            <w:tcBorders>
              <w:bottom w:val="single" w:sz="12" w:space="0" w:color="000000"/>
            </w:tcBorders>
            <w:shd w:val="clear" w:color="auto" w:fill="auto"/>
          </w:tcPr>
          <w:p w:rsidR="007F4905" w:rsidRPr="00F508BE" w:rsidRDefault="007F4905" w:rsidP="007F4905">
            <w:pPr>
              <w:pStyle w:val="TableHead"/>
              <w:jc w:val="right"/>
              <w:rPr>
                <w:sz w:val="20"/>
                <w:szCs w:val="20"/>
              </w:rPr>
            </w:pPr>
            <w:r>
              <w:rPr>
                <w:sz w:val="20"/>
                <w:szCs w:val="20"/>
              </w:rPr>
              <w:t>Other</w:t>
            </w:r>
          </w:p>
        </w:tc>
      </w:tr>
      <w:tr w:rsidR="007F4905" w:rsidRPr="00F508BE">
        <w:tblPrEx>
          <w:tblCellMar>
            <w:top w:w="0" w:type="dxa"/>
            <w:bottom w:w="0" w:type="dxa"/>
          </w:tblCellMar>
        </w:tblPrEx>
        <w:tc>
          <w:tcPr>
            <w:tcW w:w="1704" w:type="dxa"/>
            <w:tcBorders>
              <w:top w:val="single" w:sz="12" w:space="0" w:color="000000"/>
            </w:tcBorders>
            <w:shd w:val="clear" w:color="auto" w:fill="auto"/>
          </w:tcPr>
          <w:p w:rsidR="007F4905" w:rsidRPr="00F508BE" w:rsidRDefault="007F4905" w:rsidP="007F4905">
            <w:pPr>
              <w:pStyle w:val="TableRowHead"/>
              <w:rPr>
                <w:sz w:val="20"/>
                <w:szCs w:val="20"/>
              </w:rPr>
            </w:pPr>
            <w:r w:rsidRPr="00F508BE">
              <w:rPr>
                <w:sz w:val="20"/>
                <w:szCs w:val="20"/>
              </w:rPr>
              <w:t>Less than 8 hours per week</w:t>
            </w:r>
          </w:p>
        </w:tc>
        <w:tc>
          <w:tcPr>
            <w:tcW w:w="1704" w:type="dxa"/>
            <w:tcBorders>
              <w:top w:val="single" w:sz="12" w:space="0" w:color="000000"/>
            </w:tcBorders>
            <w:shd w:val="clear" w:color="auto" w:fill="auto"/>
          </w:tcPr>
          <w:p w:rsidR="007F4905" w:rsidRPr="00F508BE" w:rsidRDefault="007F4905" w:rsidP="007F4905">
            <w:pPr>
              <w:pStyle w:val="TableCell"/>
              <w:jc w:val="right"/>
              <w:rPr>
                <w:sz w:val="20"/>
                <w:szCs w:val="20"/>
              </w:rPr>
            </w:pPr>
            <w:r>
              <w:rPr>
                <w:sz w:val="20"/>
                <w:szCs w:val="20"/>
              </w:rPr>
              <w:t>2.5%</w:t>
            </w:r>
          </w:p>
        </w:tc>
        <w:tc>
          <w:tcPr>
            <w:tcW w:w="1704" w:type="dxa"/>
            <w:tcBorders>
              <w:top w:val="single" w:sz="12" w:space="0" w:color="000000"/>
            </w:tcBorders>
            <w:shd w:val="clear" w:color="auto" w:fill="auto"/>
          </w:tcPr>
          <w:p w:rsidR="007F4905" w:rsidRPr="00F508BE" w:rsidRDefault="007F4905" w:rsidP="007F4905">
            <w:pPr>
              <w:pStyle w:val="TableCell"/>
              <w:jc w:val="right"/>
              <w:rPr>
                <w:sz w:val="20"/>
                <w:szCs w:val="20"/>
              </w:rPr>
            </w:pPr>
            <w:r>
              <w:rPr>
                <w:sz w:val="20"/>
                <w:szCs w:val="20"/>
              </w:rPr>
              <w:t>0.53%</w:t>
            </w:r>
          </w:p>
        </w:tc>
        <w:tc>
          <w:tcPr>
            <w:tcW w:w="1705" w:type="dxa"/>
            <w:tcBorders>
              <w:top w:val="single" w:sz="12" w:space="0" w:color="000000"/>
            </w:tcBorders>
            <w:shd w:val="clear" w:color="auto" w:fill="auto"/>
          </w:tcPr>
          <w:p w:rsidR="007F4905" w:rsidRPr="00F508BE" w:rsidRDefault="007F4905" w:rsidP="007F4905">
            <w:pPr>
              <w:pStyle w:val="TableCell"/>
              <w:jc w:val="right"/>
              <w:rPr>
                <w:sz w:val="20"/>
                <w:szCs w:val="20"/>
              </w:rPr>
            </w:pPr>
            <w:r>
              <w:rPr>
                <w:sz w:val="20"/>
                <w:szCs w:val="20"/>
              </w:rPr>
              <w:t>0.18%</w:t>
            </w:r>
          </w:p>
        </w:tc>
        <w:tc>
          <w:tcPr>
            <w:tcW w:w="1705" w:type="dxa"/>
            <w:tcBorders>
              <w:top w:val="single" w:sz="12" w:space="0" w:color="000000"/>
            </w:tcBorders>
            <w:shd w:val="clear" w:color="auto" w:fill="auto"/>
          </w:tcPr>
          <w:p w:rsidR="007F4905" w:rsidRPr="00F508BE" w:rsidRDefault="007F4905" w:rsidP="007F4905">
            <w:pPr>
              <w:pStyle w:val="TableCell"/>
              <w:jc w:val="right"/>
              <w:rPr>
                <w:sz w:val="20"/>
                <w:szCs w:val="20"/>
              </w:rPr>
            </w:pPr>
            <w:r>
              <w:rPr>
                <w:sz w:val="20"/>
                <w:szCs w:val="20"/>
              </w:rPr>
              <w:t>0.1%</w:t>
            </w:r>
          </w:p>
        </w:tc>
      </w:tr>
      <w:tr w:rsidR="007F4905" w:rsidRPr="00F508BE">
        <w:tblPrEx>
          <w:tblCellMar>
            <w:top w:w="0" w:type="dxa"/>
            <w:bottom w:w="0" w:type="dxa"/>
          </w:tblCellMar>
        </w:tblPrEx>
        <w:tc>
          <w:tcPr>
            <w:tcW w:w="1704" w:type="dxa"/>
            <w:shd w:val="clear" w:color="auto" w:fill="auto"/>
          </w:tcPr>
          <w:p w:rsidR="007F4905" w:rsidRPr="00F508BE" w:rsidRDefault="007F4905" w:rsidP="007F4905">
            <w:pPr>
              <w:pStyle w:val="TableRowHead"/>
              <w:rPr>
                <w:sz w:val="20"/>
                <w:szCs w:val="20"/>
              </w:rPr>
            </w:pPr>
            <w:r>
              <w:rPr>
                <w:sz w:val="20"/>
                <w:szCs w:val="20"/>
              </w:rPr>
              <w:t>9-16 hours per week</w:t>
            </w:r>
          </w:p>
        </w:tc>
        <w:tc>
          <w:tcPr>
            <w:tcW w:w="1704" w:type="dxa"/>
            <w:shd w:val="clear" w:color="auto" w:fill="auto"/>
          </w:tcPr>
          <w:p w:rsidR="007F4905" w:rsidRPr="00F508BE" w:rsidRDefault="007F4905" w:rsidP="007F4905">
            <w:pPr>
              <w:pStyle w:val="TableCell"/>
              <w:jc w:val="right"/>
              <w:rPr>
                <w:sz w:val="20"/>
                <w:szCs w:val="20"/>
              </w:rPr>
            </w:pPr>
            <w:r>
              <w:rPr>
                <w:sz w:val="20"/>
                <w:szCs w:val="20"/>
              </w:rPr>
              <w:t>4.4%</w:t>
            </w:r>
          </w:p>
        </w:tc>
        <w:tc>
          <w:tcPr>
            <w:tcW w:w="1704" w:type="dxa"/>
            <w:shd w:val="clear" w:color="auto" w:fill="auto"/>
          </w:tcPr>
          <w:p w:rsidR="007F4905" w:rsidRPr="00F508BE" w:rsidRDefault="007F4905" w:rsidP="007F4905">
            <w:pPr>
              <w:pStyle w:val="TableCell"/>
              <w:jc w:val="right"/>
              <w:rPr>
                <w:sz w:val="20"/>
                <w:szCs w:val="20"/>
              </w:rPr>
            </w:pPr>
            <w:r>
              <w:rPr>
                <w:sz w:val="20"/>
                <w:szCs w:val="20"/>
              </w:rPr>
              <w:t>1.3%</w:t>
            </w:r>
          </w:p>
        </w:tc>
        <w:tc>
          <w:tcPr>
            <w:tcW w:w="1705" w:type="dxa"/>
            <w:shd w:val="clear" w:color="auto" w:fill="auto"/>
          </w:tcPr>
          <w:p w:rsidR="007F4905" w:rsidRPr="00F508BE" w:rsidRDefault="007F4905" w:rsidP="007F4905">
            <w:pPr>
              <w:pStyle w:val="TableCell"/>
              <w:jc w:val="right"/>
              <w:rPr>
                <w:sz w:val="20"/>
                <w:szCs w:val="20"/>
              </w:rPr>
            </w:pPr>
            <w:r>
              <w:rPr>
                <w:sz w:val="20"/>
                <w:szCs w:val="20"/>
              </w:rPr>
              <w:t>0.6%</w:t>
            </w:r>
          </w:p>
        </w:tc>
        <w:tc>
          <w:tcPr>
            <w:tcW w:w="1705" w:type="dxa"/>
            <w:shd w:val="clear" w:color="auto" w:fill="auto"/>
          </w:tcPr>
          <w:p w:rsidR="007F4905" w:rsidRPr="00F508BE" w:rsidRDefault="007F4905" w:rsidP="007F4905">
            <w:pPr>
              <w:pStyle w:val="TableCell"/>
              <w:jc w:val="right"/>
              <w:rPr>
                <w:sz w:val="20"/>
                <w:szCs w:val="20"/>
              </w:rPr>
            </w:pPr>
            <w:r>
              <w:rPr>
                <w:sz w:val="20"/>
                <w:szCs w:val="20"/>
              </w:rPr>
              <w:t>0%</w:t>
            </w:r>
          </w:p>
        </w:tc>
      </w:tr>
      <w:tr w:rsidR="007F4905" w:rsidRPr="00F508BE">
        <w:tblPrEx>
          <w:tblCellMar>
            <w:top w:w="0" w:type="dxa"/>
            <w:bottom w:w="0" w:type="dxa"/>
          </w:tblCellMar>
        </w:tblPrEx>
        <w:tc>
          <w:tcPr>
            <w:tcW w:w="1704" w:type="dxa"/>
            <w:shd w:val="clear" w:color="auto" w:fill="auto"/>
          </w:tcPr>
          <w:p w:rsidR="007F4905" w:rsidRPr="00F508BE" w:rsidRDefault="007F4905" w:rsidP="007F4905">
            <w:pPr>
              <w:pStyle w:val="TableRowHead"/>
              <w:rPr>
                <w:sz w:val="20"/>
                <w:szCs w:val="20"/>
              </w:rPr>
            </w:pPr>
            <w:r>
              <w:rPr>
                <w:sz w:val="20"/>
                <w:szCs w:val="20"/>
              </w:rPr>
              <w:t>17-24 hours per week</w:t>
            </w:r>
          </w:p>
        </w:tc>
        <w:tc>
          <w:tcPr>
            <w:tcW w:w="1704" w:type="dxa"/>
            <w:shd w:val="clear" w:color="auto" w:fill="auto"/>
          </w:tcPr>
          <w:p w:rsidR="007F4905" w:rsidRPr="00F508BE" w:rsidRDefault="007F4905" w:rsidP="007F4905">
            <w:pPr>
              <w:pStyle w:val="TableCell"/>
              <w:jc w:val="right"/>
              <w:rPr>
                <w:sz w:val="20"/>
                <w:szCs w:val="20"/>
              </w:rPr>
            </w:pPr>
            <w:r>
              <w:rPr>
                <w:sz w:val="20"/>
                <w:szCs w:val="20"/>
              </w:rPr>
              <w:t>14.2%</w:t>
            </w:r>
          </w:p>
        </w:tc>
        <w:tc>
          <w:tcPr>
            <w:tcW w:w="1704" w:type="dxa"/>
            <w:shd w:val="clear" w:color="auto" w:fill="auto"/>
          </w:tcPr>
          <w:p w:rsidR="007F4905" w:rsidRPr="00F508BE" w:rsidRDefault="007F4905" w:rsidP="007F4905">
            <w:pPr>
              <w:pStyle w:val="TableCell"/>
              <w:jc w:val="right"/>
              <w:rPr>
                <w:sz w:val="20"/>
                <w:szCs w:val="20"/>
              </w:rPr>
            </w:pPr>
            <w:r>
              <w:rPr>
                <w:sz w:val="20"/>
                <w:szCs w:val="20"/>
              </w:rPr>
              <w:t>6.5%</w:t>
            </w:r>
          </w:p>
        </w:tc>
        <w:tc>
          <w:tcPr>
            <w:tcW w:w="1705" w:type="dxa"/>
            <w:shd w:val="clear" w:color="auto" w:fill="auto"/>
          </w:tcPr>
          <w:p w:rsidR="007F4905" w:rsidRPr="00F508BE" w:rsidRDefault="007F4905" w:rsidP="007F4905">
            <w:pPr>
              <w:pStyle w:val="TableCell"/>
              <w:jc w:val="right"/>
              <w:rPr>
                <w:sz w:val="20"/>
                <w:szCs w:val="20"/>
              </w:rPr>
            </w:pPr>
            <w:r>
              <w:rPr>
                <w:sz w:val="20"/>
                <w:szCs w:val="20"/>
              </w:rPr>
              <w:t>0.1%</w:t>
            </w:r>
          </w:p>
        </w:tc>
        <w:tc>
          <w:tcPr>
            <w:tcW w:w="1705" w:type="dxa"/>
            <w:shd w:val="clear" w:color="auto" w:fill="auto"/>
          </w:tcPr>
          <w:p w:rsidR="007F4905" w:rsidRPr="00F508BE" w:rsidRDefault="007F4905" w:rsidP="007F4905">
            <w:pPr>
              <w:pStyle w:val="TableCell"/>
              <w:jc w:val="right"/>
              <w:rPr>
                <w:sz w:val="20"/>
                <w:szCs w:val="20"/>
              </w:rPr>
            </w:pPr>
            <w:r>
              <w:rPr>
                <w:sz w:val="20"/>
                <w:szCs w:val="20"/>
              </w:rPr>
              <w:t>2.2%</w:t>
            </w:r>
          </w:p>
        </w:tc>
      </w:tr>
      <w:tr w:rsidR="007F4905" w:rsidRPr="00F508BE">
        <w:tblPrEx>
          <w:tblCellMar>
            <w:top w:w="0" w:type="dxa"/>
            <w:bottom w:w="0" w:type="dxa"/>
          </w:tblCellMar>
        </w:tblPrEx>
        <w:tc>
          <w:tcPr>
            <w:tcW w:w="1704" w:type="dxa"/>
            <w:shd w:val="clear" w:color="auto" w:fill="auto"/>
          </w:tcPr>
          <w:p w:rsidR="007F4905" w:rsidRPr="00F508BE" w:rsidRDefault="007F4905" w:rsidP="007F4905">
            <w:pPr>
              <w:pStyle w:val="TableRowHead"/>
              <w:rPr>
                <w:sz w:val="20"/>
                <w:szCs w:val="20"/>
              </w:rPr>
            </w:pPr>
            <w:r>
              <w:rPr>
                <w:sz w:val="20"/>
                <w:szCs w:val="20"/>
              </w:rPr>
              <w:t>More than 24 hours per week</w:t>
            </w:r>
          </w:p>
        </w:tc>
        <w:tc>
          <w:tcPr>
            <w:tcW w:w="1704" w:type="dxa"/>
            <w:shd w:val="clear" w:color="auto" w:fill="auto"/>
          </w:tcPr>
          <w:p w:rsidR="007F4905" w:rsidRPr="00F508BE" w:rsidRDefault="007F4905" w:rsidP="007F4905">
            <w:pPr>
              <w:pStyle w:val="TableCell"/>
              <w:jc w:val="right"/>
              <w:rPr>
                <w:sz w:val="20"/>
                <w:szCs w:val="20"/>
              </w:rPr>
            </w:pPr>
            <w:r>
              <w:rPr>
                <w:sz w:val="20"/>
                <w:szCs w:val="20"/>
              </w:rPr>
              <w:t>7%</w:t>
            </w:r>
          </w:p>
        </w:tc>
        <w:tc>
          <w:tcPr>
            <w:tcW w:w="1704" w:type="dxa"/>
            <w:shd w:val="clear" w:color="auto" w:fill="auto"/>
          </w:tcPr>
          <w:p w:rsidR="007F4905" w:rsidRPr="00F508BE" w:rsidRDefault="007F4905" w:rsidP="007F4905">
            <w:pPr>
              <w:pStyle w:val="TableCell"/>
              <w:jc w:val="right"/>
              <w:rPr>
                <w:sz w:val="20"/>
                <w:szCs w:val="20"/>
              </w:rPr>
            </w:pPr>
            <w:r>
              <w:rPr>
                <w:sz w:val="20"/>
                <w:szCs w:val="20"/>
              </w:rPr>
              <w:t>1.8%</w:t>
            </w:r>
          </w:p>
        </w:tc>
        <w:tc>
          <w:tcPr>
            <w:tcW w:w="1705" w:type="dxa"/>
            <w:shd w:val="clear" w:color="auto" w:fill="auto"/>
          </w:tcPr>
          <w:p w:rsidR="007F4905" w:rsidRPr="00F508BE" w:rsidRDefault="007F4905" w:rsidP="007F4905">
            <w:pPr>
              <w:pStyle w:val="TableCell"/>
              <w:jc w:val="right"/>
              <w:rPr>
                <w:sz w:val="20"/>
                <w:szCs w:val="20"/>
              </w:rPr>
            </w:pPr>
            <w:r>
              <w:rPr>
                <w:sz w:val="20"/>
                <w:szCs w:val="20"/>
              </w:rPr>
              <w:t>3.4%</w:t>
            </w:r>
          </w:p>
        </w:tc>
        <w:tc>
          <w:tcPr>
            <w:tcW w:w="1705" w:type="dxa"/>
            <w:shd w:val="clear" w:color="auto" w:fill="auto"/>
          </w:tcPr>
          <w:p w:rsidR="007F4905" w:rsidRPr="00F508BE" w:rsidRDefault="007F4905" w:rsidP="007F4905">
            <w:pPr>
              <w:pStyle w:val="TableCell"/>
              <w:jc w:val="right"/>
              <w:rPr>
                <w:sz w:val="20"/>
                <w:szCs w:val="20"/>
              </w:rPr>
            </w:pPr>
            <w:r>
              <w:rPr>
                <w:sz w:val="20"/>
                <w:szCs w:val="20"/>
              </w:rPr>
              <w:t>55.2%</w:t>
            </w:r>
          </w:p>
        </w:tc>
      </w:tr>
      <w:tr w:rsidR="007F4905" w:rsidRPr="00F508BE">
        <w:tblPrEx>
          <w:tblCellMar>
            <w:top w:w="0" w:type="dxa"/>
            <w:bottom w:w="0" w:type="dxa"/>
          </w:tblCellMar>
        </w:tblPrEx>
        <w:tc>
          <w:tcPr>
            <w:tcW w:w="1704" w:type="dxa"/>
            <w:shd w:val="clear" w:color="auto" w:fill="auto"/>
          </w:tcPr>
          <w:p w:rsidR="007F4905" w:rsidRPr="00F508BE" w:rsidRDefault="007F4905" w:rsidP="007F4905">
            <w:pPr>
              <w:pStyle w:val="TableRowHead"/>
              <w:rPr>
                <w:sz w:val="20"/>
                <w:szCs w:val="20"/>
              </w:rPr>
            </w:pPr>
            <w:r>
              <w:rPr>
                <w:sz w:val="20"/>
                <w:szCs w:val="20"/>
              </w:rPr>
              <w:t>Total</w:t>
            </w:r>
          </w:p>
        </w:tc>
        <w:tc>
          <w:tcPr>
            <w:tcW w:w="1704" w:type="dxa"/>
            <w:shd w:val="clear" w:color="auto" w:fill="auto"/>
          </w:tcPr>
          <w:p w:rsidR="007F4905" w:rsidRPr="00F508BE" w:rsidRDefault="007F4905" w:rsidP="007F4905">
            <w:pPr>
              <w:pStyle w:val="TableCell"/>
              <w:jc w:val="right"/>
              <w:rPr>
                <w:sz w:val="20"/>
                <w:szCs w:val="20"/>
              </w:rPr>
            </w:pPr>
            <w:r>
              <w:rPr>
                <w:sz w:val="20"/>
                <w:szCs w:val="20"/>
              </w:rPr>
              <w:t>28%</w:t>
            </w:r>
          </w:p>
        </w:tc>
        <w:tc>
          <w:tcPr>
            <w:tcW w:w="1704" w:type="dxa"/>
            <w:shd w:val="clear" w:color="auto" w:fill="auto"/>
          </w:tcPr>
          <w:p w:rsidR="007F4905" w:rsidRPr="00F508BE" w:rsidRDefault="007F4905" w:rsidP="007F4905">
            <w:pPr>
              <w:pStyle w:val="TableCell"/>
              <w:jc w:val="right"/>
              <w:rPr>
                <w:sz w:val="20"/>
                <w:szCs w:val="20"/>
              </w:rPr>
            </w:pPr>
            <w:r>
              <w:rPr>
                <w:sz w:val="20"/>
                <w:szCs w:val="20"/>
              </w:rPr>
              <w:t>10.1%</w:t>
            </w:r>
          </w:p>
        </w:tc>
        <w:tc>
          <w:tcPr>
            <w:tcW w:w="1705" w:type="dxa"/>
            <w:shd w:val="clear" w:color="auto" w:fill="auto"/>
          </w:tcPr>
          <w:p w:rsidR="007F4905" w:rsidRPr="00F508BE" w:rsidRDefault="007F4905" w:rsidP="007F4905">
            <w:pPr>
              <w:pStyle w:val="TableCell"/>
              <w:jc w:val="right"/>
              <w:rPr>
                <w:sz w:val="20"/>
                <w:szCs w:val="20"/>
              </w:rPr>
            </w:pPr>
            <w:r>
              <w:rPr>
                <w:sz w:val="20"/>
                <w:szCs w:val="20"/>
              </w:rPr>
              <w:t>4.4%</w:t>
            </w:r>
          </w:p>
        </w:tc>
        <w:tc>
          <w:tcPr>
            <w:tcW w:w="1705" w:type="dxa"/>
            <w:shd w:val="clear" w:color="auto" w:fill="auto"/>
          </w:tcPr>
          <w:p w:rsidR="007F4905" w:rsidRPr="00F508BE" w:rsidRDefault="007F4905" w:rsidP="007F4905">
            <w:pPr>
              <w:pStyle w:val="TableCell"/>
              <w:jc w:val="right"/>
              <w:rPr>
                <w:sz w:val="20"/>
                <w:szCs w:val="20"/>
              </w:rPr>
            </w:pPr>
            <w:r>
              <w:rPr>
                <w:sz w:val="20"/>
                <w:szCs w:val="20"/>
              </w:rPr>
              <w:t>57.5%</w:t>
            </w:r>
          </w:p>
        </w:tc>
      </w:tr>
    </w:tbl>
    <w:p w:rsidR="007F4905" w:rsidRPr="007F4905" w:rsidRDefault="007F4905" w:rsidP="007F4905">
      <w:pPr>
        <w:pStyle w:val="TableNote"/>
      </w:pPr>
      <w:r>
        <w:t>Source: Scottish Government &amp; COSLA (2009) Supported Employment Framework Scoping Report</w:t>
      </w:r>
    </w:p>
    <w:p w:rsidR="007F4905" w:rsidRPr="007F4905" w:rsidRDefault="007F4905" w:rsidP="007F4905">
      <w:r>
        <w:t>The private sector is the main employer for people with disabilities in supported employment</w:t>
      </w:r>
      <w:r>
        <w:rPr>
          <w:rStyle w:val="FootnoteReference"/>
        </w:rPr>
        <w:footnoteReference w:id="79"/>
      </w:r>
      <w:r>
        <w:t>.</w:t>
      </w:r>
    </w:p>
    <w:p w:rsidR="007F4905" w:rsidRDefault="007F4905" w:rsidP="007F4905">
      <w:r>
        <w:t>The report on supported employment produced by the Scottish government  and COSLA (2009) states that there is a need for :</w:t>
      </w:r>
    </w:p>
    <w:p w:rsidR="007F4905" w:rsidRDefault="007F4905" w:rsidP="007F4905">
      <w:pPr>
        <w:pStyle w:val="ListBullet"/>
      </w:pPr>
      <w:r>
        <w:t>A Supported Employment Framework and guidance for local authorities  regarding supported employment</w:t>
      </w:r>
    </w:p>
    <w:p w:rsidR="007F4905" w:rsidRDefault="007F4905" w:rsidP="007F4905">
      <w:pPr>
        <w:pStyle w:val="ListBullet"/>
      </w:pPr>
      <w:r>
        <w:t>A consistent approach to delivering supported employment programmes across all local authorities</w:t>
      </w:r>
    </w:p>
    <w:p w:rsidR="007F4905" w:rsidRDefault="007F4905" w:rsidP="007F4905">
      <w:pPr>
        <w:pStyle w:val="ListBullet"/>
      </w:pPr>
      <w:r>
        <w:t xml:space="preserve">Connection with the local authorities' Single Outcome Agreements </w:t>
      </w:r>
    </w:p>
    <w:p w:rsidR="007F4905" w:rsidRDefault="007F4905" w:rsidP="007F4905">
      <w:pPr>
        <w:pStyle w:val="ListBullet"/>
      </w:pPr>
      <w:r>
        <w:t>High level engagement and support at a local and national level</w:t>
      </w:r>
    </w:p>
    <w:p w:rsidR="007F4905" w:rsidRDefault="007F4905" w:rsidP="007F4905">
      <w:pPr>
        <w:pStyle w:val="Heading3"/>
      </w:pPr>
      <w:bookmarkStart w:id="106" w:name="_Toc267920942"/>
      <w:bookmarkStart w:id="107" w:name="_Toc279136916"/>
      <w:r>
        <w:t>New work initiative</w:t>
      </w:r>
      <w:bookmarkEnd w:id="106"/>
      <w:bookmarkEnd w:id="107"/>
    </w:p>
    <w:p w:rsidR="007F4905" w:rsidRDefault="007F4905" w:rsidP="007F4905">
      <w:r>
        <w:t xml:space="preserve">A key informant </w:t>
      </w:r>
      <w:r w:rsidR="00F06AE8">
        <w:t xml:space="preserve">for this background paper </w:t>
      </w:r>
      <w:r>
        <w:t xml:space="preserve">stated that the Scottish government is in the process of implementing the </w:t>
      </w:r>
      <w:r w:rsidRPr="00852617">
        <w:rPr>
          <w:b/>
        </w:rPr>
        <w:t>Valuing Employment Now Initiative</w:t>
      </w:r>
      <w:r w:rsidR="00230B20">
        <w:t xml:space="preserve"> which </w:t>
      </w:r>
      <w:r w:rsidR="0004594A">
        <w:t xml:space="preserve">was </w:t>
      </w:r>
      <w:r w:rsidR="00230B20">
        <w:t>announced</w:t>
      </w:r>
      <w:r>
        <w:t xml:space="preserve"> in the </w:t>
      </w:r>
      <w:smartTag w:uri="urn:schemas-microsoft-com:office:smarttags" w:element="country-region">
        <w:smartTag w:uri="urn:schemas-microsoft-com:office:smarttags" w:element="place">
          <w:r>
            <w:t>UK</w:t>
          </w:r>
        </w:smartTag>
      </w:smartTag>
      <w:r w:rsidR="0004594A">
        <w:t xml:space="preserve"> in 2009</w:t>
      </w:r>
      <w:r>
        <w:t xml:space="preserve">. </w:t>
      </w:r>
      <w:r w:rsidR="00230B20">
        <w:t xml:space="preserve">The </w:t>
      </w:r>
      <w:smartTag w:uri="urn:schemas-microsoft-com:office:smarttags" w:element="country-region">
        <w:smartTag w:uri="urn:schemas-microsoft-com:office:smarttags" w:element="place">
          <w:r w:rsidR="00230B20">
            <w:t>UK</w:t>
          </w:r>
        </w:smartTag>
      </w:smartTag>
      <w:r w:rsidR="00230B20">
        <w:t xml:space="preserve"> government is committed to achieving</w:t>
      </w:r>
      <w:r w:rsidR="00BC6DBA">
        <w:t xml:space="preserve"> equality and social inclusion </w:t>
      </w:r>
      <w:r w:rsidR="00230B20">
        <w:t>for all people with disabilities by 2025</w:t>
      </w:r>
      <w:r w:rsidR="00230B20">
        <w:rPr>
          <w:rStyle w:val="FootnoteReference"/>
        </w:rPr>
        <w:footnoteReference w:id="80"/>
      </w:r>
      <w:r w:rsidR="00230B20">
        <w:t>.</w:t>
      </w:r>
      <w:r w:rsidR="00BC6DBA">
        <w:t xml:space="preserve"> The </w:t>
      </w:r>
      <w:r w:rsidR="005D74B7" w:rsidRPr="00852617">
        <w:rPr>
          <w:b/>
        </w:rPr>
        <w:t>Valuing Employment Now Initiative</w:t>
      </w:r>
      <w:r w:rsidR="005D74B7">
        <w:t xml:space="preserve"> is one of the </w:t>
      </w:r>
      <w:smartTag w:uri="urn:schemas-microsoft-com:office:smarttags" w:element="country-region">
        <w:smartTag w:uri="urn:schemas-microsoft-com:office:smarttags" w:element="place">
          <w:r w:rsidR="005D74B7">
            <w:t>UK</w:t>
          </w:r>
        </w:smartTag>
      </w:smartTag>
      <w:r w:rsidR="005D74B7">
        <w:t xml:space="preserve"> government's strategy towards achieving this overall goal. The </w:t>
      </w:r>
      <w:r w:rsidR="00BC6DBA">
        <w:t xml:space="preserve">objective of the </w:t>
      </w:r>
      <w:r w:rsidR="005D74B7">
        <w:t xml:space="preserve">initiative is </w:t>
      </w:r>
      <w:r>
        <w:t>to provide people with moderate to severe learning disabilities with paid employment that exceeds 16 hours or more per week</w:t>
      </w:r>
      <w:r w:rsidR="005D74B7">
        <w:t xml:space="preserve"> by:</w:t>
      </w:r>
    </w:p>
    <w:p w:rsidR="0004594A" w:rsidRPr="0004594A" w:rsidRDefault="0004594A" w:rsidP="0004594A">
      <w:pPr>
        <w:pStyle w:val="ListBullet"/>
        <w:rPr>
          <w:lang w:eastAsia="en-IE"/>
        </w:rPr>
      </w:pPr>
      <w:r>
        <w:rPr>
          <w:lang w:eastAsia="en-IE"/>
        </w:rPr>
        <w:t xml:space="preserve">Changing society's ideas and expectations about the capacity and potential of children and adults with disabilities through government campaigns and </w:t>
      </w:r>
      <w:r w:rsidRPr="00BC6DBA">
        <w:rPr>
          <w:lang w:eastAsia="en-IE"/>
        </w:rPr>
        <w:t>buil</w:t>
      </w:r>
      <w:r>
        <w:rPr>
          <w:lang w:eastAsia="en-IE"/>
        </w:rPr>
        <w:t>ding on existing good practice</w:t>
      </w:r>
      <w:r>
        <w:rPr>
          <w:rFonts w:cs="Arial"/>
          <w:lang w:val="en-US"/>
        </w:rPr>
        <w:t xml:space="preserve">  </w:t>
      </w:r>
    </w:p>
    <w:p w:rsidR="00EC4D07" w:rsidRPr="00EC4D07" w:rsidRDefault="00E46A5E" w:rsidP="00EC4D07">
      <w:pPr>
        <w:pStyle w:val="ListBullet"/>
        <w:rPr>
          <w:lang w:val="en-US"/>
        </w:rPr>
      </w:pPr>
      <w:r>
        <w:rPr>
          <w:rFonts w:cs="Arial"/>
          <w:lang w:val="en-US"/>
        </w:rPr>
        <w:t xml:space="preserve">Promoting the fact that people with learning disabilities </w:t>
      </w:r>
      <w:r w:rsidRPr="00BC6DBA">
        <w:rPr>
          <w:lang w:eastAsia="en-IE"/>
        </w:rPr>
        <w:t>can work and have careers</w:t>
      </w:r>
      <w:r>
        <w:rPr>
          <w:lang w:eastAsia="en-IE"/>
        </w:rPr>
        <w:t xml:space="preserve">. </w:t>
      </w:r>
    </w:p>
    <w:p w:rsidR="00EC4D07" w:rsidRDefault="00EC4D07" w:rsidP="00EC4D07">
      <w:pPr>
        <w:pStyle w:val="ListBullet"/>
        <w:rPr>
          <w:lang w:val="en-US"/>
        </w:rPr>
      </w:pPr>
      <w:r w:rsidRPr="00E46A5E">
        <w:rPr>
          <w:lang w:val="en-US"/>
        </w:rPr>
        <w:t xml:space="preserve">Encouraging employers to see the business case </w:t>
      </w:r>
      <w:r>
        <w:rPr>
          <w:lang w:val="en-US"/>
        </w:rPr>
        <w:t xml:space="preserve"> for employing people with disabilities.</w:t>
      </w:r>
    </w:p>
    <w:p w:rsidR="00F2465C" w:rsidRDefault="00F2465C" w:rsidP="0004594A">
      <w:pPr>
        <w:pStyle w:val="ListBullet"/>
        <w:rPr>
          <w:lang w:eastAsia="en-IE"/>
        </w:rPr>
      </w:pPr>
      <w:r>
        <w:rPr>
          <w:lang w:eastAsia="en-IE"/>
        </w:rPr>
        <w:t xml:space="preserve">Promoting the concept of self -employment as a viable option for people with learning disabilities </w:t>
      </w:r>
    </w:p>
    <w:p w:rsidR="009743B3" w:rsidRDefault="009743B3" w:rsidP="0004594A">
      <w:pPr>
        <w:pStyle w:val="ListBullet"/>
        <w:rPr>
          <w:rFonts w:cs="Arial"/>
          <w:lang w:val="en-US"/>
        </w:rPr>
      </w:pPr>
      <w:r>
        <w:rPr>
          <w:rFonts w:cs="Arial"/>
          <w:lang w:val="en-US"/>
        </w:rPr>
        <w:t>Be</w:t>
      </w:r>
      <w:r w:rsidR="0004594A">
        <w:rPr>
          <w:rFonts w:cs="Arial"/>
          <w:lang w:val="en-US"/>
        </w:rPr>
        <w:t xml:space="preserve">tter </w:t>
      </w:r>
      <w:r>
        <w:rPr>
          <w:rFonts w:cs="Arial"/>
          <w:lang w:val="en-US"/>
        </w:rPr>
        <w:t xml:space="preserve">preparation </w:t>
      </w:r>
      <w:r w:rsidR="0004594A">
        <w:rPr>
          <w:rFonts w:cs="Arial"/>
          <w:lang w:val="en-US"/>
        </w:rPr>
        <w:t xml:space="preserve">or work </w:t>
      </w:r>
      <w:r>
        <w:rPr>
          <w:rFonts w:cs="Arial"/>
          <w:lang w:val="en-US"/>
        </w:rPr>
        <w:t>at school</w:t>
      </w:r>
      <w:r w:rsidR="00EC4D07">
        <w:rPr>
          <w:rFonts w:cs="Arial"/>
          <w:lang w:val="en-US"/>
        </w:rPr>
        <w:t>, college and adult learning for p</w:t>
      </w:r>
      <w:r>
        <w:rPr>
          <w:rFonts w:cs="Arial"/>
          <w:lang w:val="en-US"/>
        </w:rPr>
        <w:t>eople with learning</w:t>
      </w:r>
      <w:r w:rsidR="00EC4D07">
        <w:rPr>
          <w:rFonts w:cs="Arial"/>
          <w:lang w:val="en-US"/>
        </w:rPr>
        <w:t xml:space="preserve">. Access to better </w:t>
      </w:r>
      <w:r w:rsidR="00F2465C">
        <w:rPr>
          <w:rFonts w:cs="Arial"/>
          <w:lang w:val="en-US"/>
        </w:rPr>
        <w:t>work experience opportunities</w:t>
      </w:r>
    </w:p>
    <w:p w:rsidR="009743B3" w:rsidRDefault="009743B3" w:rsidP="0004594A">
      <w:pPr>
        <w:pStyle w:val="ListBullet"/>
        <w:rPr>
          <w:lang w:eastAsia="en-IE"/>
        </w:rPr>
      </w:pPr>
      <w:r>
        <w:rPr>
          <w:rFonts w:cs="Arial"/>
          <w:lang w:val="en-US"/>
        </w:rPr>
        <w:t xml:space="preserve">Joined up support systems between </w:t>
      </w:r>
      <w:r w:rsidRPr="00BC6DBA">
        <w:rPr>
          <w:lang w:eastAsia="en-IE"/>
        </w:rPr>
        <w:t>statutory, volun</w:t>
      </w:r>
      <w:r>
        <w:rPr>
          <w:lang w:eastAsia="en-IE"/>
        </w:rPr>
        <w:t xml:space="preserve">tary and private agencies, with integrated funding </w:t>
      </w:r>
      <w:r w:rsidRPr="00BC6DBA">
        <w:rPr>
          <w:lang w:eastAsia="en-IE"/>
        </w:rPr>
        <w:t>streams</w:t>
      </w:r>
      <w:r>
        <w:rPr>
          <w:lang w:eastAsia="en-IE"/>
        </w:rPr>
        <w:t xml:space="preserve"> to be implemented </w:t>
      </w:r>
      <w:r w:rsidRPr="00BC6DBA">
        <w:rPr>
          <w:lang w:eastAsia="en-IE"/>
        </w:rPr>
        <w:t xml:space="preserve"> </w:t>
      </w:r>
      <w:r>
        <w:rPr>
          <w:lang w:eastAsia="en-IE"/>
        </w:rPr>
        <w:t xml:space="preserve">that use a person centred approach to map </w:t>
      </w:r>
      <w:r w:rsidRPr="00BC6DBA">
        <w:rPr>
          <w:lang w:eastAsia="en-IE"/>
        </w:rPr>
        <w:t>out a clear employment pathway for peo</w:t>
      </w:r>
      <w:r>
        <w:rPr>
          <w:lang w:eastAsia="en-IE"/>
        </w:rPr>
        <w:t>ple with learning disabilities</w:t>
      </w:r>
    </w:p>
    <w:p w:rsidR="00EC4D07" w:rsidRDefault="00F2465C" w:rsidP="00EC4D07">
      <w:pPr>
        <w:pStyle w:val="ListBullet"/>
        <w:rPr>
          <w:lang w:eastAsia="en-IE"/>
        </w:rPr>
      </w:pPr>
      <w:r>
        <w:rPr>
          <w:lang w:eastAsia="en-IE"/>
        </w:rPr>
        <w:t>Increase the number of job coaches providing high quality services to pe</w:t>
      </w:r>
      <w:r w:rsidR="00EC4D07">
        <w:rPr>
          <w:lang w:eastAsia="en-IE"/>
        </w:rPr>
        <w:t xml:space="preserve">ople with learning disabilities </w:t>
      </w:r>
    </w:p>
    <w:p w:rsidR="00F2465C" w:rsidRDefault="00F2465C" w:rsidP="0004594A">
      <w:pPr>
        <w:pStyle w:val="ListBullet"/>
        <w:rPr>
          <w:lang w:eastAsia="en-IE"/>
        </w:rPr>
      </w:pPr>
      <w:r>
        <w:rPr>
          <w:lang w:eastAsia="en-IE"/>
        </w:rPr>
        <w:t xml:space="preserve">Promoting accessible information on disability benefits for people with learning disabilities, their families and social care staff </w:t>
      </w:r>
      <w:r w:rsidR="00EC4D07">
        <w:rPr>
          <w:lang w:eastAsia="en-IE"/>
        </w:rPr>
        <w:t>so that their benefits do not become a disincentive to work</w:t>
      </w:r>
    </w:p>
    <w:p w:rsidR="0004594A" w:rsidRDefault="0004594A" w:rsidP="0004594A">
      <w:pPr>
        <w:pStyle w:val="ListBullet"/>
        <w:rPr>
          <w:lang w:val="en-US"/>
        </w:rPr>
      </w:pPr>
      <w:r>
        <w:rPr>
          <w:lang w:val="en-US"/>
        </w:rPr>
        <w:t>Working with local authorities to remove barr</w:t>
      </w:r>
      <w:r w:rsidR="00EC4D07">
        <w:rPr>
          <w:lang w:val="en-US"/>
        </w:rPr>
        <w:t xml:space="preserve">iers in public services e.g. transport and </w:t>
      </w:r>
      <w:r>
        <w:rPr>
          <w:lang w:val="en-US"/>
        </w:rPr>
        <w:t>the built environment to enable p</w:t>
      </w:r>
      <w:r w:rsidR="00EC4D07">
        <w:rPr>
          <w:lang w:val="en-US"/>
        </w:rPr>
        <w:t xml:space="preserve">eople with </w:t>
      </w:r>
      <w:r>
        <w:rPr>
          <w:lang w:val="en-US"/>
        </w:rPr>
        <w:t xml:space="preserve">learning disabilities  to access work. </w:t>
      </w:r>
    </w:p>
    <w:p w:rsidR="00BC6DBA" w:rsidRPr="00BC6DBA" w:rsidRDefault="0004594A" w:rsidP="0004594A">
      <w:pPr>
        <w:pStyle w:val="ListBullet"/>
        <w:rPr>
          <w:lang w:eastAsia="en-IE"/>
        </w:rPr>
      </w:pPr>
      <w:r>
        <w:rPr>
          <w:lang w:eastAsia="en-IE"/>
        </w:rPr>
        <w:t xml:space="preserve">Improving data collection and records about the employment </w:t>
      </w:r>
      <w:r w:rsidRPr="00BC6DBA">
        <w:rPr>
          <w:lang w:eastAsia="en-IE"/>
        </w:rPr>
        <w:t>situation of people with moderate and severe learning disabilities</w:t>
      </w:r>
      <w:r>
        <w:rPr>
          <w:rStyle w:val="FootnoteReference"/>
        </w:rPr>
        <w:footnoteReference w:id="81"/>
      </w:r>
    </w:p>
    <w:p w:rsidR="007F4905" w:rsidRPr="007F4905" w:rsidRDefault="00B15C22" w:rsidP="007F4905">
      <w:pPr>
        <w:pStyle w:val="Heading2"/>
        <w:rPr>
          <w:rFonts w:ascii="Arial" w:hAnsi="Arial"/>
          <w:lang w:eastAsia="en-IE"/>
        </w:rPr>
      </w:pPr>
      <w:bookmarkStart w:id="108" w:name="_Toc279136917"/>
      <w:r>
        <w:rPr>
          <w:rFonts w:ascii="Arial" w:hAnsi="Arial"/>
          <w:lang w:val="en-US"/>
        </w:rPr>
        <w:t>4.9</w:t>
      </w:r>
      <w:r w:rsidR="007F4905" w:rsidRPr="007F4905">
        <w:rPr>
          <w:rFonts w:ascii="Arial" w:hAnsi="Arial"/>
          <w:lang w:val="en-US"/>
        </w:rPr>
        <w:t xml:space="preserve"> </w:t>
      </w:r>
      <w:bookmarkStart w:id="109" w:name="_Toc247447262"/>
      <w:bookmarkStart w:id="110" w:name="_Toc246242122"/>
      <w:bookmarkStart w:id="111" w:name="_Toc247447231"/>
      <w:bookmarkStart w:id="112" w:name="_Toc246242097"/>
      <w:bookmarkStart w:id="113" w:name="_Toc267920934"/>
      <w:r w:rsidR="007F4905" w:rsidRPr="007F4905">
        <w:rPr>
          <w:rFonts w:ascii="Arial" w:hAnsi="Arial"/>
          <w:lang w:eastAsia="en-IE"/>
        </w:rPr>
        <w:t>Direct Payments</w:t>
      </w:r>
      <w:bookmarkEnd w:id="108"/>
      <w:bookmarkEnd w:id="113"/>
      <w:r w:rsidR="007F4905" w:rsidRPr="007F4905">
        <w:rPr>
          <w:rFonts w:ascii="Arial" w:hAnsi="Arial"/>
          <w:lang w:eastAsia="en-IE"/>
        </w:rPr>
        <w:t xml:space="preserve"> </w:t>
      </w:r>
    </w:p>
    <w:p w:rsidR="007F4905" w:rsidRDefault="007F4905" w:rsidP="007F4905">
      <w:pPr>
        <w:rPr>
          <w:lang w:eastAsia="en-IE"/>
        </w:rPr>
      </w:pPr>
      <w:r>
        <w:rPr>
          <w:lang w:eastAsia="en-IE"/>
        </w:rPr>
        <w:t>In 1996, the Community Care (Direct Payments) Act was introduced.</w:t>
      </w:r>
      <w:bookmarkStart w:id="114" w:name="_Toc246242098"/>
      <w:bookmarkStart w:id="115" w:name="_Toc247447234"/>
      <w:r w:rsidRPr="007B1E56">
        <w:rPr>
          <w:lang w:eastAsia="en-IE"/>
        </w:rPr>
        <w:t xml:space="preserve"> </w:t>
      </w:r>
      <w:r>
        <w:rPr>
          <w:lang w:eastAsia="en-IE"/>
        </w:rPr>
        <w:t>From June 2003, local authorities have a duty to offer direct payments of disability benefits in place of providing services to all eligible people with disabilities aged 16 and over and to parents/guardians of children with disabilities aged 15 and under</w:t>
      </w:r>
      <w:r>
        <w:rPr>
          <w:rStyle w:val="FootnoteReference"/>
          <w:lang w:eastAsia="en-IE"/>
        </w:rPr>
        <w:footnoteReference w:id="82"/>
      </w:r>
      <w:r>
        <w:rPr>
          <w:lang w:eastAsia="en-IE"/>
        </w:rPr>
        <w:t xml:space="preserve">. Direct payments in </w:t>
      </w:r>
      <w:smartTag w:uri="urn:schemas-microsoft-com:office:smarttags" w:element="country-region">
        <w:smartTag w:uri="urn:schemas-microsoft-com:office:smarttags" w:element="place">
          <w:r>
            <w:rPr>
              <w:lang w:eastAsia="en-IE"/>
            </w:rPr>
            <w:t>Scotland</w:t>
          </w:r>
        </w:smartTag>
      </w:smartTag>
      <w:r>
        <w:rPr>
          <w:lang w:eastAsia="en-IE"/>
        </w:rPr>
        <w:t xml:space="preserve"> are for self directed community care whereby people in receipt of disability benefits are responsible for managing and paying for the care services they are assessed as needing</w:t>
      </w:r>
      <w:r>
        <w:rPr>
          <w:rStyle w:val="FootnoteReference"/>
          <w:rFonts w:cs="Arial"/>
          <w:lang w:eastAsia="en-IE"/>
        </w:rPr>
        <w:footnoteReference w:id="83"/>
      </w:r>
      <w:bookmarkEnd w:id="114"/>
      <w:bookmarkEnd w:id="115"/>
      <w:r>
        <w:rPr>
          <w:lang w:eastAsia="en-IE"/>
        </w:rPr>
        <w:t xml:space="preserve">. </w:t>
      </w:r>
    </w:p>
    <w:p w:rsidR="007F4905" w:rsidRDefault="007F4905" w:rsidP="007F4905">
      <w:pPr>
        <w:pStyle w:val="ListNumber"/>
        <w:numPr>
          <w:ilvl w:val="0"/>
          <w:numId w:val="0"/>
        </w:numPr>
      </w:pPr>
      <w:r>
        <w:t>Under the Health and Social Services and Social Security Adjudications Act 1983, direct payments can be subject to means testing. If a person has more than €25,600 (£23,000) in savings, they may be asked to pay for their services. Local authorities also have some discretion with regard to these charges</w:t>
      </w:r>
      <w:r>
        <w:rPr>
          <w:rStyle w:val="FootnoteReference"/>
          <w:rFonts w:cs="Arial"/>
          <w:szCs w:val="22"/>
        </w:rPr>
        <w:footnoteReference w:id="84"/>
      </w:r>
      <w:r>
        <w:t>.</w:t>
      </w:r>
    </w:p>
    <w:p w:rsidR="007F4905" w:rsidRDefault="007F4905" w:rsidP="007F4905">
      <w:pPr>
        <w:rPr>
          <w:lang w:eastAsia="en-IE"/>
        </w:rPr>
      </w:pPr>
      <w:r>
        <w:rPr>
          <w:lang w:eastAsia="en-IE"/>
        </w:rPr>
        <w:t xml:space="preserve">Since direct payments have been introduced, there has been a "differential use" of them by local authorities in </w:t>
      </w:r>
      <w:smartTag w:uri="urn:schemas-microsoft-com:office:smarttags" w:element="country-region">
        <w:smartTag w:uri="urn:schemas-microsoft-com:office:smarttags" w:element="place">
          <w:r>
            <w:rPr>
              <w:lang w:eastAsia="en-IE"/>
            </w:rPr>
            <w:t>Scotland</w:t>
          </w:r>
        </w:smartTag>
      </w:smartTag>
      <w:r>
        <w:rPr>
          <w:lang w:eastAsia="en-IE"/>
        </w:rPr>
        <w:t xml:space="preserve"> and initially there was a very low uptake</w:t>
      </w:r>
      <w:r>
        <w:rPr>
          <w:rStyle w:val="FootnoteReference"/>
          <w:rFonts w:cs="Arial"/>
          <w:lang w:eastAsia="en-IE"/>
        </w:rPr>
        <w:footnoteReference w:id="85"/>
      </w:r>
      <w:bookmarkEnd w:id="111"/>
      <w:r>
        <w:rPr>
          <w:lang w:eastAsia="en-IE"/>
        </w:rPr>
        <w:t>.</w:t>
      </w:r>
    </w:p>
    <w:p w:rsidR="007F4905" w:rsidRPr="008C7369" w:rsidRDefault="007F4905" w:rsidP="007F4905">
      <w:pPr>
        <w:autoSpaceDE w:val="0"/>
        <w:autoSpaceDN w:val="0"/>
        <w:adjustRightInd w:val="0"/>
        <w:spacing w:after="0" w:line="240" w:lineRule="auto"/>
        <w:rPr>
          <w:rFonts w:cs="Arial"/>
          <w:lang w:eastAsia="en-IE"/>
        </w:rPr>
      </w:pPr>
      <w:bookmarkStart w:id="116" w:name="_Toc247447236"/>
      <w:bookmarkStart w:id="117" w:name="_Toc246242099"/>
      <w:bookmarkStart w:id="118" w:name="_Toc247448968"/>
      <w:bookmarkEnd w:id="112"/>
      <w:r>
        <w:rPr>
          <w:lang w:eastAsia="en-IE"/>
        </w:rPr>
        <w:t xml:space="preserve">There has been an increase in the number of people in </w:t>
      </w:r>
      <w:smartTag w:uri="urn:schemas-microsoft-com:office:smarttags" w:element="country-region">
        <w:smartTag w:uri="urn:schemas-microsoft-com:office:smarttags" w:element="place">
          <w:r>
            <w:rPr>
              <w:lang w:eastAsia="en-IE"/>
            </w:rPr>
            <w:t>Scotland</w:t>
          </w:r>
        </w:smartTag>
      </w:smartTag>
      <w:r>
        <w:rPr>
          <w:lang w:eastAsia="en-IE"/>
        </w:rPr>
        <w:t xml:space="preserve"> </w:t>
      </w:r>
      <w:r w:rsidR="00F06AE8">
        <w:rPr>
          <w:lang w:eastAsia="en-IE"/>
        </w:rPr>
        <w:t xml:space="preserve">availing of </w:t>
      </w:r>
      <w:r>
        <w:rPr>
          <w:lang w:eastAsia="en-IE"/>
        </w:rPr>
        <w:t>direct payments, from 207 in 2001</w:t>
      </w:r>
      <w:r>
        <w:rPr>
          <w:rStyle w:val="FootnoteReference"/>
          <w:rFonts w:cs="Arial"/>
          <w:lang w:eastAsia="en-IE"/>
        </w:rPr>
        <w:footnoteReference w:id="86"/>
      </w:r>
      <w:r>
        <w:rPr>
          <w:lang w:eastAsia="en-IE"/>
        </w:rPr>
        <w:t xml:space="preserve"> to </w:t>
      </w:r>
      <w:r>
        <w:rPr>
          <w:rFonts w:cs="Helvetica"/>
          <w:lang w:val="en-US" w:bidi="en-US"/>
        </w:rPr>
        <w:t>3,017 i</w:t>
      </w:r>
      <w:r>
        <w:rPr>
          <w:lang w:eastAsia="en-IE"/>
        </w:rPr>
        <w:t>n 2009</w:t>
      </w:r>
      <w:r>
        <w:rPr>
          <w:rStyle w:val="FootnoteReference"/>
          <w:rFonts w:cs="Arial"/>
          <w:lang w:eastAsia="en-IE"/>
        </w:rPr>
        <w:footnoteReference w:id="87"/>
      </w:r>
      <w:bookmarkEnd w:id="116"/>
      <w:bookmarkEnd w:id="117"/>
      <w:bookmarkEnd w:id="118"/>
      <w:r w:rsidRPr="008C7369">
        <w:rPr>
          <w:rFonts w:cs="Arial"/>
          <w:lang w:eastAsia="en-IE"/>
        </w:rPr>
        <w:t xml:space="preserve"> an increase</w:t>
      </w:r>
      <w:r>
        <w:rPr>
          <w:rFonts w:cs="Arial"/>
          <w:lang w:eastAsia="en-IE"/>
        </w:rPr>
        <w:t xml:space="preserve"> of 16%</w:t>
      </w:r>
    </w:p>
    <w:p w:rsidR="007F4905" w:rsidRDefault="007F4905" w:rsidP="007F4905">
      <w:pPr>
        <w:autoSpaceDE w:val="0"/>
        <w:autoSpaceDN w:val="0"/>
        <w:adjustRightInd w:val="0"/>
        <w:spacing w:after="0" w:line="240" w:lineRule="auto"/>
        <w:rPr>
          <w:rFonts w:cs="Arial"/>
          <w:lang w:eastAsia="en-IE"/>
        </w:rPr>
      </w:pPr>
      <w:r w:rsidRPr="008C7369">
        <w:rPr>
          <w:rFonts w:cs="Arial"/>
          <w:lang w:eastAsia="en-IE"/>
        </w:rPr>
        <w:t>from the 2007/08.</w:t>
      </w:r>
      <w:r>
        <w:rPr>
          <w:rFonts w:cs="Arial"/>
          <w:lang w:eastAsia="en-IE"/>
        </w:rPr>
        <w:t xml:space="preserve"> </w:t>
      </w:r>
      <w:r w:rsidRPr="008C7369">
        <w:rPr>
          <w:rFonts w:cs="Arial"/>
          <w:lang w:eastAsia="en-IE"/>
        </w:rPr>
        <w:t>47% of these 3,017 peopl</w:t>
      </w:r>
      <w:r>
        <w:rPr>
          <w:rFonts w:cs="Arial"/>
          <w:lang w:eastAsia="en-IE"/>
        </w:rPr>
        <w:t>e who received direct payments</w:t>
      </w:r>
      <w:r w:rsidRPr="008C7369">
        <w:rPr>
          <w:rFonts w:cs="Arial"/>
          <w:lang w:eastAsia="en-IE"/>
        </w:rPr>
        <w:t xml:space="preserve"> </w:t>
      </w:r>
      <w:r>
        <w:rPr>
          <w:rFonts w:cs="Arial"/>
          <w:lang w:eastAsia="en-IE"/>
        </w:rPr>
        <w:t xml:space="preserve">had a </w:t>
      </w:r>
      <w:r w:rsidRPr="008C7369">
        <w:rPr>
          <w:rFonts w:cs="Arial"/>
          <w:lang w:eastAsia="en-IE"/>
        </w:rPr>
        <w:t>physical disability</w:t>
      </w:r>
      <w:r>
        <w:rPr>
          <w:rFonts w:cs="Arial"/>
          <w:lang w:eastAsia="en-IE"/>
        </w:rPr>
        <w:t>,  26% were people with learning disabilities.</w:t>
      </w:r>
    </w:p>
    <w:p w:rsidR="007F4905" w:rsidRDefault="007F4905" w:rsidP="007F4905">
      <w:pPr>
        <w:rPr>
          <w:lang w:eastAsia="en-IE"/>
        </w:rPr>
      </w:pPr>
      <w:r w:rsidRPr="008C7369">
        <w:rPr>
          <w:lang w:eastAsia="en-IE"/>
        </w:rPr>
        <w:t>The total value of direct payments has s</w:t>
      </w:r>
      <w:r>
        <w:rPr>
          <w:lang w:eastAsia="en-IE"/>
        </w:rPr>
        <w:t>teadily increased from 2001, to €36m.euros</w:t>
      </w:r>
      <w:r w:rsidRPr="008C7369">
        <w:rPr>
          <w:lang w:eastAsia="en-IE"/>
        </w:rPr>
        <w:t xml:space="preserve"> </w:t>
      </w:r>
      <w:r>
        <w:rPr>
          <w:lang w:eastAsia="en-IE"/>
        </w:rPr>
        <w:t>(</w:t>
      </w:r>
      <w:r w:rsidRPr="008C7369">
        <w:rPr>
          <w:lang w:eastAsia="en-IE"/>
        </w:rPr>
        <w:t>£</w:t>
      </w:r>
      <w:r>
        <w:rPr>
          <w:lang w:eastAsia="en-IE"/>
        </w:rPr>
        <w:t xml:space="preserve">33 million) in </w:t>
      </w:r>
      <w:r w:rsidRPr="008C7369">
        <w:rPr>
          <w:lang w:eastAsia="en-IE"/>
        </w:rPr>
        <w:t>2009</w:t>
      </w:r>
      <w:r>
        <w:rPr>
          <w:lang w:eastAsia="en-IE"/>
        </w:rPr>
        <w:t>. The estimated average value of a direct payment in 2009 was €10,700 (£9,600)</w:t>
      </w:r>
      <w:r>
        <w:rPr>
          <w:rStyle w:val="FootnoteReference"/>
          <w:lang w:eastAsia="en-IE"/>
        </w:rPr>
        <w:footnoteReference w:id="88"/>
      </w:r>
      <w:r>
        <w:rPr>
          <w:lang w:eastAsia="en-IE"/>
        </w:rPr>
        <w:t xml:space="preserve">. </w:t>
      </w:r>
    </w:p>
    <w:p w:rsidR="007F4905" w:rsidRDefault="007F4905" w:rsidP="007F4905">
      <w:pPr>
        <w:pStyle w:val="Heading4"/>
        <w:rPr>
          <w:lang w:eastAsia="en-IE"/>
        </w:rPr>
      </w:pPr>
      <w:bookmarkStart w:id="119" w:name="_Toc247447246"/>
      <w:bookmarkStart w:id="120" w:name="_Toc255485507"/>
      <w:bookmarkStart w:id="121" w:name="_Toc267920935"/>
      <w:r>
        <w:rPr>
          <w:lang w:eastAsia="en-IE"/>
        </w:rPr>
        <w:t>Issues with direct payments</w:t>
      </w:r>
      <w:bookmarkEnd w:id="121"/>
    </w:p>
    <w:p w:rsidR="007F4905" w:rsidRDefault="007F4905" w:rsidP="007F4905">
      <w:pPr>
        <w:rPr>
          <w:lang w:eastAsia="en-IE"/>
        </w:rPr>
      </w:pPr>
      <w:r>
        <w:rPr>
          <w:lang w:eastAsia="en-IE"/>
        </w:rPr>
        <w:t xml:space="preserve">There have been a number of  ongoing issues regarding the implementation of direct payments in </w:t>
      </w:r>
      <w:smartTag w:uri="urn:schemas-microsoft-com:office:smarttags" w:element="country-region">
        <w:smartTag w:uri="urn:schemas-microsoft-com:office:smarttags" w:element="place">
          <w:r>
            <w:rPr>
              <w:lang w:eastAsia="en-IE"/>
            </w:rPr>
            <w:t>Scotland</w:t>
          </w:r>
        </w:smartTag>
      </w:smartTag>
      <w:r>
        <w:rPr>
          <w:lang w:eastAsia="en-IE"/>
        </w:rPr>
        <w:t>.</w:t>
      </w:r>
    </w:p>
    <w:p w:rsidR="007F4905" w:rsidRPr="00161CE0" w:rsidRDefault="007F4905" w:rsidP="007F4905">
      <w:pPr>
        <w:pStyle w:val="ListBullet"/>
      </w:pPr>
      <w:r w:rsidRPr="00161CE0">
        <w:rPr>
          <w:lang w:eastAsia="en-IE"/>
        </w:rPr>
        <w:t>According to the Scottish government (2009) there are currently waiting lists for people on direct payments because of lack of resources (there is no data on the actual number of people on these waiting lists). The Scottish government has commented on the fact that the demand for the delivery of social work services via delivery payments has exceeded  available budgets</w:t>
      </w:r>
      <w:r w:rsidRPr="00161CE0">
        <w:rPr>
          <w:rStyle w:val="FootnoteReference"/>
          <w:lang w:eastAsia="en-IE"/>
        </w:rPr>
        <w:footnoteReference w:id="89"/>
      </w:r>
      <w:r w:rsidRPr="00161CE0">
        <w:rPr>
          <w:lang w:eastAsia="en-IE"/>
        </w:rPr>
        <w:t>.</w:t>
      </w:r>
      <w:r w:rsidRPr="00161CE0">
        <w:t xml:space="preserve"> </w:t>
      </w:r>
    </w:p>
    <w:p w:rsidR="007F4905" w:rsidRDefault="007F4905" w:rsidP="007F4905">
      <w:pPr>
        <w:pStyle w:val="ListBullet"/>
      </w:pPr>
      <w:r>
        <w:t>There is no</w:t>
      </w:r>
      <w:r w:rsidRPr="00161CE0">
        <w:t xml:space="preserve"> best practice model for </w:t>
      </w:r>
      <w:r>
        <w:t>local authorities to set up</w:t>
      </w:r>
      <w:r w:rsidRPr="00161CE0">
        <w:t xml:space="preserve"> financial and administrative systems to ope</w:t>
      </w:r>
      <w:r>
        <w:t>rate direct payments. Local authorities have indicated their concerns about financial accountability and transparency</w:t>
      </w:r>
      <w:r>
        <w:rPr>
          <w:rStyle w:val="FootnoteReference"/>
        </w:rPr>
        <w:footnoteReference w:id="90"/>
      </w:r>
    </w:p>
    <w:p w:rsidR="007F4905" w:rsidRPr="00F515CC" w:rsidRDefault="007F4905" w:rsidP="007F4905">
      <w:pPr>
        <w:pStyle w:val="ListBullet"/>
      </w:pPr>
      <w:r>
        <w:t>Issues have also been raised by local authorities as to the level of control service users have over how direct payments are used</w:t>
      </w:r>
      <w:r>
        <w:rPr>
          <w:rStyle w:val="FootnoteReference"/>
        </w:rPr>
        <w:footnoteReference w:id="91"/>
      </w:r>
    </w:p>
    <w:p w:rsidR="007F4905" w:rsidRDefault="007F4905" w:rsidP="007F4905">
      <w:pPr>
        <w:pStyle w:val="Heading4"/>
        <w:rPr>
          <w:lang w:eastAsia="en-IE"/>
        </w:rPr>
      </w:pPr>
      <w:bookmarkStart w:id="122" w:name="_Toc267920936"/>
      <w:r>
        <w:rPr>
          <w:lang w:eastAsia="en-IE"/>
        </w:rPr>
        <w:t>Self-Directed Support (SDS)</w:t>
      </w:r>
      <w:bookmarkEnd w:id="122"/>
    </w:p>
    <w:p w:rsidR="007F4905" w:rsidRDefault="007F4905" w:rsidP="007F4905">
      <w:pPr>
        <w:rPr>
          <w:lang w:eastAsia="en-IE"/>
        </w:rPr>
      </w:pPr>
      <w:r>
        <w:rPr>
          <w:lang w:eastAsia="en-IE"/>
        </w:rPr>
        <w:t xml:space="preserve">There is no legislation regarding self directed supports in </w:t>
      </w:r>
      <w:smartTag w:uri="urn:schemas-microsoft-com:office:smarttags" w:element="country-region">
        <w:smartTag w:uri="urn:schemas-microsoft-com:office:smarttags" w:element="place">
          <w:r>
            <w:rPr>
              <w:lang w:eastAsia="en-IE"/>
            </w:rPr>
            <w:t>Scotland</w:t>
          </w:r>
        </w:smartTag>
      </w:smartTag>
      <w:r>
        <w:rPr>
          <w:lang w:eastAsia="en-IE"/>
        </w:rPr>
        <w:t>, but the Scottish government is currently developing a national strategy for self-directed support and advertised for submissions from the public to inform the final strategy</w:t>
      </w:r>
      <w:r>
        <w:rPr>
          <w:rStyle w:val="FootnoteReference"/>
          <w:lang w:eastAsia="en-IE"/>
        </w:rPr>
        <w:footnoteReference w:id="92"/>
      </w:r>
      <w:r>
        <w:rPr>
          <w:lang w:eastAsia="en-IE"/>
        </w:rPr>
        <w:t xml:space="preserve">. The Scottish government has invested in test sites and projects on the viability of self directed support for people with disabilities, as part of its movement towards personalising heath and social care services in </w:t>
      </w:r>
      <w:smartTag w:uri="urn:schemas-microsoft-com:office:smarttags" w:element="country-region">
        <w:smartTag w:uri="urn:schemas-microsoft-com:office:smarttags" w:element="place">
          <w:r>
            <w:rPr>
              <w:lang w:eastAsia="en-IE"/>
            </w:rPr>
            <w:t>Scotland</w:t>
          </w:r>
        </w:smartTag>
      </w:smartTag>
      <w:r>
        <w:rPr>
          <w:lang w:eastAsia="en-IE"/>
        </w:rPr>
        <w:t>.</w:t>
      </w:r>
    </w:p>
    <w:p w:rsidR="007F4905" w:rsidRDefault="007F4905" w:rsidP="007F4905">
      <w:pPr>
        <w:rPr>
          <w:lang w:eastAsia="en-IE"/>
        </w:rPr>
      </w:pPr>
      <w:r>
        <w:rPr>
          <w:lang w:eastAsia="en-IE"/>
        </w:rPr>
        <w:t xml:space="preserve">The Scottish government defines self directed support as: </w:t>
      </w:r>
    </w:p>
    <w:p w:rsidR="007F4905" w:rsidRDefault="007F4905" w:rsidP="007F4905">
      <w:pPr>
        <w:rPr>
          <w:lang w:eastAsia="en-IE"/>
        </w:rPr>
      </w:pPr>
      <w:r>
        <w:rPr>
          <w:lang w:eastAsia="en-IE"/>
        </w:rPr>
        <w:tab/>
        <w:t xml:space="preserve">"individuals and families can have informed choice about the way </w:t>
      </w:r>
      <w:r>
        <w:rPr>
          <w:lang w:eastAsia="en-IE"/>
        </w:rPr>
        <w:tab/>
        <w:t xml:space="preserve">support is provided to them. Self-directed support includes a range of </w:t>
      </w:r>
      <w:r>
        <w:rPr>
          <w:lang w:eastAsia="en-IE"/>
        </w:rPr>
        <w:tab/>
        <w:t xml:space="preserve">options for exercising those choices. Through a co-production </w:t>
      </w:r>
      <w:r>
        <w:rPr>
          <w:lang w:eastAsia="en-IE"/>
        </w:rPr>
        <w:tab/>
        <w:t xml:space="preserve">approach to agreeing individual outcomes, options are considered for </w:t>
      </w:r>
      <w:r>
        <w:rPr>
          <w:lang w:eastAsia="en-IE"/>
        </w:rPr>
        <w:tab/>
        <w:t xml:space="preserve">ways in which available resources can be used so people can have </w:t>
      </w:r>
      <w:r>
        <w:rPr>
          <w:lang w:eastAsia="en-IE"/>
        </w:rPr>
        <w:tab/>
        <w:t xml:space="preserve">greater levels of control over how their support needs are met, and by </w:t>
      </w:r>
      <w:r>
        <w:rPr>
          <w:lang w:eastAsia="en-IE"/>
        </w:rPr>
        <w:tab/>
        <w:t>whom</w:t>
      </w:r>
      <w:r>
        <w:rPr>
          <w:rStyle w:val="FootnoteReference"/>
          <w:lang w:eastAsia="en-IE"/>
        </w:rPr>
        <w:footnoteReference w:id="93"/>
      </w:r>
      <w:r>
        <w:rPr>
          <w:lang w:eastAsia="en-IE"/>
        </w:rPr>
        <w:t>."</w:t>
      </w:r>
    </w:p>
    <w:p w:rsidR="007F4905" w:rsidRDefault="007F4905" w:rsidP="007F4905">
      <w:pPr>
        <w:rPr>
          <w:lang w:eastAsia="en-IE"/>
        </w:rPr>
      </w:pPr>
      <w:r>
        <w:rPr>
          <w:lang w:eastAsia="en-IE"/>
        </w:rPr>
        <w:t>In their strategy the Scottish Government states that:</w:t>
      </w:r>
    </w:p>
    <w:p w:rsidR="007F4905" w:rsidRDefault="007F4905" w:rsidP="007F4905">
      <w:pPr>
        <w:rPr>
          <w:lang w:eastAsia="en-IE"/>
        </w:rPr>
      </w:pPr>
      <w:r>
        <w:rPr>
          <w:lang w:eastAsia="en-IE"/>
        </w:rPr>
        <w:tab/>
        <w:t xml:space="preserve">"self directed support should become the mainstream mechanism for </w:t>
      </w:r>
      <w:r>
        <w:rPr>
          <w:lang w:eastAsia="en-IE"/>
        </w:rPr>
        <w:tab/>
        <w:t>the delivery of social care support</w:t>
      </w:r>
      <w:r>
        <w:rPr>
          <w:rStyle w:val="FootnoteReference"/>
          <w:lang w:eastAsia="en-IE"/>
        </w:rPr>
        <w:footnoteReference w:id="94"/>
      </w:r>
      <w:r>
        <w:rPr>
          <w:lang w:eastAsia="en-IE"/>
        </w:rPr>
        <w:t>"</w:t>
      </w:r>
    </w:p>
    <w:p w:rsidR="007F4905" w:rsidRDefault="007F4905" w:rsidP="007F4905">
      <w:pPr>
        <w:rPr>
          <w:lang w:eastAsia="en-IE"/>
        </w:rPr>
      </w:pPr>
      <w:r>
        <w:rPr>
          <w:lang w:eastAsia="en-IE"/>
        </w:rPr>
        <w:t>Direct payments and self directed supports differ in the following ways:</w:t>
      </w:r>
    </w:p>
    <w:p w:rsidR="007F4905" w:rsidRDefault="007F4905" w:rsidP="007F4905">
      <w:pPr>
        <w:rPr>
          <w:lang w:eastAsia="en-IE"/>
        </w:rPr>
      </w:pPr>
      <w:r>
        <w:rPr>
          <w:lang w:eastAsia="en-IE"/>
        </w:rPr>
        <w:t xml:space="preserve">The term direct payments describes the official system by which disability benefits are paid directly to people with disabilities and or their families. </w:t>
      </w:r>
    </w:p>
    <w:p w:rsidR="004A4A84" w:rsidRDefault="007F4905" w:rsidP="007F4905">
      <w:pPr>
        <w:rPr>
          <w:lang w:eastAsia="en-IE"/>
        </w:rPr>
      </w:pPr>
      <w:r>
        <w:rPr>
          <w:lang w:eastAsia="en-IE"/>
        </w:rPr>
        <w:t xml:space="preserve">Self directed supports are the support mechanisms (including </w:t>
      </w:r>
      <w:r w:rsidR="00F06AE8">
        <w:rPr>
          <w:lang w:eastAsia="en-IE"/>
        </w:rPr>
        <w:t>needs assessment )</w:t>
      </w:r>
      <w:r>
        <w:rPr>
          <w:lang w:eastAsia="en-IE"/>
        </w:rPr>
        <w:t xml:space="preserve"> th</w:t>
      </w:r>
      <w:r w:rsidR="004A4A84">
        <w:rPr>
          <w:lang w:eastAsia="en-IE"/>
        </w:rPr>
        <w:t xml:space="preserve">at people with disabilities will be able to </w:t>
      </w:r>
      <w:r w:rsidR="00C4028F">
        <w:rPr>
          <w:lang w:eastAsia="en-IE"/>
        </w:rPr>
        <w:t>avail of to ensure that they will be</w:t>
      </w:r>
      <w:r w:rsidR="004A4A84">
        <w:rPr>
          <w:lang w:eastAsia="en-IE"/>
        </w:rPr>
        <w:t xml:space="preserve"> </w:t>
      </w:r>
      <w:r w:rsidR="00F90DB9">
        <w:rPr>
          <w:lang w:eastAsia="en-IE"/>
        </w:rPr>
        <w:t>completely responsible</w:t>
      </w:r>
      <w:r w:rsidR="004A4A84">
        <w:rPr>
          <w:lang w:eastAsia="en-IE"/>
        </w:rPr>
        <w:t xml:space="preserve"> (self directed) about how they use their </w:t>
      </w:r>
      <w:r>
        <w:rPr>
          <w:lang w:eastAsia="en-IE"/>
        </w:rPr>
        <w:t>direct payments and individual budgets.</w:t>
      </w:r>
      <w:r w:rsidRPr="00D6650B">
        <w:rPr>
          <w:lang w:eastAsia="en-IE"/>
        </w:rPr>
        <w:t xml:space="preserve"> </w:t>
      </w:r>
    </w:p>
    <w:p w:rsidR="00F90DB9" w:rsidRDefault="007F4905" w:rsidP="007F4905">
      <w:pPr>
        <w:rPr>
          <w:lang w:eastAsia="en-IE"/>
        </w:rPr>
      </w:pPr>
      <w:r>
        <w:rPr>
          <w:lang w:eastAsia="en-IE"/>
        </w:rPr>
        <w:t>At pre</w:t>
      </w:r>
      <w:r w:rsidR="00F90DB9">
        <w:rPr>
          <w:lang w:eastAsia="en-IE"/>
        </w:rPr>
        <w:t xml:space="preserve">sent in </w:t>
      </w:r>
      <w:smartTag w:uri="urn:schemas-microsoft-com:office:smarttags" w:element="country-region">
        <w:smartTag w:uri="urn:schemas-microsoft-com:office:smarttags" w:element="place">
          <w:r w:rsidR="00F90DB9">
            <w:rPr>
              <w:lang w:eastAsia="en-IE"/>
            </w:rPr>
            <w:t>Scotland</w:t>
          </w:r>
        </w:smartTag>
      </w:smartTag>
      <w:r w:rsidR="00F90DB9">
        <w:rPr>
          <w:lang w:eastAsia="en-IE"/>
        </w:rPr>
        <w:t xml:space="preserve">, people use </w:t>
      </w:r>
      <w:r>
        <w:rPr>
          <w:lang w:eastAsia="en-IE"/>
        </w:rPr>
        <w:t xml:space="preserve">direct payments </w:t>
      </w:r>
      <w:r w:rsidR="00F90DB9">
        <w:rPr>
          <w:lang w:eastAsia="en-IE"/>
        </w:rPr>
        <w:t xml:space="preserve">to purchase services </w:t>
      </w:r>
      <w:r>
        <w:rPr>
          <w:lang w:eastAsia="en-IE"/>
        </w:rPr>
        <w:t xml:space="preserve">through social care. </w:t>
      </w:r>
    </w:p>
    <w:p w:rsidR="007F4905" w:rsidRDefault="007F4905" w:rsidP="007F4905">
      <w:pPr>
        <w:rPr>
          <w:lang w:eastAsia="en-IE"/>
        </w:rPr>
      </w:pPr>
      <w:r>
        <w:rPr>
          <w:lang w:eastAsia="en-IE"/>
        </w:rPr>
        <w:t>The long term aims of the s</w:t>
      </w:r>
      <w:r w:rsidR="00C4028F">
        <w:rPr>
          <w:lang w:eastAsia="en-IE"/>
        </w:rPr>
        <w:t>elf directed support strategy are</w:t>
      </w:r>
      <w:r>
        <w:rPr>
          <w:lang w:eastAsia="en-IE"/>
        </w:rPr>
        <w:t xml:space="preserve"> to enable </w:t>
      </w:r>
      <w:r w:rsidR="00F90DB9">
        <w:rPr>
          <w:lang w:eastAsia="en-IE"/>
        </w:rPr>
        <w:t xml:space="preserve">people with disabilities </w:t>
      </w:r>
      <w:r>
        <w:rPr>
          <w:lang w:eastAsia="en-IE"/>
        </w:rPr>
        <w:t xml:space="preserve">to purchase many services such as education, housing, transport, </w:t>
      </w:r>
      <w:r w:rsidR="00F06AE8">
        <w:rPr>
          <w:lang w:eastAsia="en-IE"/>
        </w:rPr>
        <w:t>employment support</w:t>
      </w:r>
      <w:r w:rsidR="00C85E9F">
        <w:rPr>
          <w:lang w:eastAsia="en-IE"/>
        </w:rPr>
        <w:t>s</w:t>
      </w:r>
      <w:r w:rsidR="00F06AE8">
        <w:rPr>
          <w:lang w:eastAsia="en-IE"/>
        </w:rPr>
        <w:t xml:space="preserve">, </w:t>
      </w:r>
      <w:r>
        <w:rPr>
          <w:lang w:eastAsia="en-IE"/>
        </w:rPr>
        <w:t>etc. via a joined up centralised funding stream. The Scottish government in partnership with NHS Scotland and COSLA plans to test an Integrated Resource Framework (IRF) for health and social care with four partnerships  (4 health boards and 12 local authorities partners) established as test sites. The objective of the IRF is to enable resources move across different funding systems to meet the needs of service users</w:t>
      </w:r>
      <w:r>
        <w:rPr>
          <w:rStyle w:val="FootnoteReference"/>
          <w:lang w:eastAsia="en-IE"/>
        </w:rPr>
        <w:footnoteReference w:id="95"/>
      </w:r>
      <w:r>
        <w:rPr>
          <w:lang w:eastAsia="en-IE"/>
        </w:rPr>
        <w:t>.</w:t>
      </w:r>
    </w:p>
    <w:p w:rsidR="007F4905" w:rsidRDefault="007F4905" w:rsidP="007F4905">
      <w:pPr>
        <w:rPr>
          <w:lang w:eastAsia="en-IE"/>
        </w:rPr>
      </w:pPr>
      <w:r>
        <w:rPr>
          <w:lang w:eastAsia="en-IE"/>
        </w:rPr>
        <w:t xml:space="preserve">The self directed supports strategy in </w:t>
      </w:r>
      <w:smartTag w:uri="urn:schemas-microsoft-com:office:smarttags" w:element="country-region">
        <w:smartTag w:uri="urn:schemas-microsoft-com:office:smarttags" w:element="place">
          <w:r>
            <w:rPr>
              <w:lang w:eastAsia="en-IE"/>
            </w:rPr>
            <w:t>Scotland</w:t>
          </w:r>
        </w:smartTag>
      </w:smartTag>
      <w:r>
        <w:rPr>
          <w:lang w:eastAsia="en-IE"/>
        </w:rPr>
        <w:t xml:space="preserve"> is still at a very early stage, however the Scottish government envisions that this system of supports will help them achieve efficiency savings by:</w:t>
      </w:r>
    </w:p>
    <w:p w:rsidR="007F4905" w:rsidRDefault="007F4905" w:rsidP="007F4905">
      <w:pPr>
        <w:pStyle w:val="ListBullet"/>
        <w:rPr>
          <w:lang w:eastAsia="en-IE"/>
        </w:rPr>
      </w:pPr>
      <w:r>
        <w:rPr>
          <w:lang w:eastAsia="en-IE"/>
        </w:rPr>
        <w:t>Centralising and streamlining different funding streams for different services</w:t>
      </w:r>
    </w:p>
    <w:p w:rsidR="007F4905" w:rsidRDefault="007F4905" w:rsidP="007F4905">
      <w:pPr>
        <w:pStyle w:val="ListBullet"/>
        <w:rPr>
          <w:lang w:eastAsia="en-IE"/>
        </w:rPr>
      </w:pPr>
      <w:r>
        <w:rPr>
          <w:lang w:eastAsia="en-IE"/>
        </w:rPr>
        <w:t>Providing service users with a single entry point to access funding for a range of services</w:t>
      </w:r>
      <w:r>
        <w:rPr>
          <w:rStyle w:val="FootnoteReference"/>
          <w:lang w:eastAsia="en-IE"/>
        </w:rPr>
        <w:footnoteReference w:id="96"/>
      </w:r>
      <w:r>
        <w:rPr>
          <w:lang w:eastAsia="en-IE"/>
        </w:rPr>
        <w:t xml:space="preserve"> </w:t>
      </w:r>
    </w:p>
    <w:p w:rsidR="007F4905" w:rsidRDefault="007F4905" w:rsidP="007F4905">
      <w:pPr>
        <w:pStyle w:val="Heading4"/>
        <w:rPr>
          <w:lang w:eastAsia="en-IE"/>
        </w:rPr>
      </w:pPr>
      <w:bookmarkStart w:id="123" w:name="_Toc267920937"/>
      <w:r>
        <w:rPr>
          <w:lang w:eastAsia="en-IE"/>
        </w:rPr>
        <w:t>Individualised Budgets</w:t>
      </w:r>
      <w:bookmarkEnd w:id="119"/>
      <w:bookmarkEnd w:id="120"/>
      <w:bookmarkEnd w:id="123"/>
    </w:p>
    <w:p w:rsidR="007F4905" w:rsidRDefault="007F4905" w:rsidP="007F4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eastAsia="en-IE"/>
        </w:rPr>
      </w:pPr>
      <w:r>
        <w:rPr>
          <w:rFonts w:cs="Arial"/>
          <w:lang w:eastAsia="en-IE"/>
        </w:rPr>
        <w:t>The UK Government has been promoting the use of individualised budgets</w:t>
      </w:r>
      <w:r>
        <w:rPr>
          <w:rStyle w:val="FootnoteReference"/>
          <w:rFonts w:cs="Arial"/>
          <w:lang w:eastAsia="en-IE"/>
        </w:rPr>
        <w:footnoteReference w:id="97"/>
      </w:r>
      <w:r>
        <w:rPr>
          <w:rFonts w:cs="Arial"/>
          <w:lang w:eastAsia="en-IE"/>
        </w:rPr>
        <w:t>. These budgets require the aggregation of funds that local authorities have established for direct payments, the Independent Living Fund, Attendance Allowance, Access to Work and the Disability Living Allowance</w:t>
      </w:r>
      <w:r>
        <w:rPr>
          <w:rStyle w:val="FootnoteReference"/>
          <w:rFonts w:cs="Arial"/>
          <w:lang w:eastAsia="en-IE"/>
        </w:rPr>
        <w:footnoteReference w:id="98"/>
      </w:r>
      <w:r>
        <w:rPr>
          <w:rFonts w:cs="Arial"/>
          <w:lang w:eastAsia="en-IE"/>
        </w:rPr>
        <w:t>.</w:t>
      </w:r>
    </w:p>
    <w:p w:rsidR="007F4905" w:rsidRDefault="007F4905" w:rsidP="007F4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eastAsia="en-IE"/>
        </w:rPr>
      </w:pPr>
      <w:r>
        <w:rPr>
          <w:rFonts w:cs="Arial"/>
          <w:lang w:eastAsia="en-IE"/>
        </w:rPr>
        <w:t>According to Riddell et al; (2006) streamlining these budgets into one central funding system, would provide savings in terms of administrative expenditure, since each benefit has a separate funding stream. These budgets would also give service users greater control over how they use their benefits</w:t>
      </w:r>
      <w:r>
        <w:rPr>
          <w:rStyle w:val="FootnoteReference"/>
          <w:rFonts w:cs="Arial"/>
          <w:lang w:eastAsia="en-IE"/>
        </w:rPr>
        <w:footnoteReference w:id="99"/>
      </w:r>
      <w:r>
        <w:rPr>
          <w:rFonts w:cs="Arial"/>
          <w:lang w:eastAsia="en-IE"/>
        </w:rPr>
        <w:t xml:space="preserve">. </w:t>
      </w:r>
    </w:p>
    <w:p w:rsidR="007F4905" w:rsidRPr="00623FE7" w:rsidRDefault="007F4905" w:rsidP="00623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eastAsia="en-IE"/>
        </w:rPr>
      </w:pPr>
      <w:r>
        <w:rPr>
          <w:rFonts w:cs="Arial"/>
          <w:lang w:eastAsia="en-IE"/>
        </w:rPr>
        <w:t xml:space="preserve">At the moment while </w:t>
      </w:r>
      <w:smartTag w:uri="urn:schemas-microsoft-com:office:smarttags" w:element="country-region">
        <w:smartTag w:uri="urn:schemas-microsoft-com:office:smarttags" w:element="place">
          <w:r>
            <w:rPr>
              <w:rFonts w:cs="Arial"/>
              <w:lang w:eastAsia="en-IE"/>
            </w:rPr>
            <w:t>Scotland</w:t>
          </w:r>
        </w:smartTag>
      </w:smartTag>
      <w:r>
        <w:rPr>
          <w:rFonts w:cs="Arial"/>
          <w:lang w:eastAsia="en-IE"/>
        </w:rPr>
        <w:t xml:space="preserve"> is committed to the delivery of personalised services, the extent to which individualised budgets are incorporated into this system is unclear</w:t>
      </w:r>
      <w:r>
        <w:rPr>
          <w:rStyle w:val="FootnoteReference"/>
          <w:rFonts w:cs="Arial"/>
          <w:lang w:eastAsia="en-IE"/>
        </w:rPr>
        <w:footnoteReference w:id="100"/>
      </w:r>
      <w:r>
        <w:rPr>
          <w:rFonts w:cs="Arial"/>
          <w:lang w:eastAsia="en-IE"/>
        </w:rPr>
        <w:t>.</w:t>
      </w:r>
      <w:bookmarkEnd w:id="109"/>
      <w:bookmarkEnd w:id="110"/>
    </w:p>
    <w:p w:rsidR="007F4905" w:rsidRDefault="00B15C22" w:rsidP="007F4905">
      <w:pPr>
        <w:pStyle w:val="Heading2"/>
        <w:rPr>
          <w:lang w:eastAsia="en-IE"/>
        </w:rPr>
      </w:pPr>
      <w:bookmarkStart w:id="124" w:name="_Toc279136918"/>
      <w:r>
        <w:rPr>
          <w:lang w:eastAsia="en-IE"/>
        </w:rPr>
        <w:t>4.10</w:t>
      </w:r>
      <w:r w:rsidR="007F4905">
        <w:rPr>
          <w:lang w:eastAsia="en-IE"/>
        </w:rPr>
        <w:t xml:space="preserve"> Supports to Independent Living</w:t>
      </w:r>
      <w:bookmarkEnd w:id="124"/>
    </w:p>
    <w:p w:rsidR="0053233C" w:rsidRPr="00AA3DD3" w:rsidRDefault="00FF249C" w:rsidP="0053233C">
      <w:pPr>
        <w:rPr>
          <w:rFonts w:cs="Arial"/>
          <w:lang w:eastAsia="en-IE"/>
        </w:rPr>
      </w:pPr>
      <w:bookmarkStart w:id="125" w:name="_Toc247447270"/>
      <w:bookmarkStart w:id="126" w:name="_Toc246242125"/>
      <w:bookmarkStart w:id="127" w:name="_Toc255485473"/>
      <w:bookmarkStart w:id="128" w:name="_Toc267920932"/>
      <w:r>
        <w:t>Supports for independent living have been incorporated into the Scottish government's disability equality policy since 2000</w:t>
      </w:r>
      <w:r>
        <w:rPr>
          <w:rStyle w:val="FootnoteReference"/>
        </w:rPr>
        <w:footnoteReference w:id="101"/>
      </w:r>
      <w:r>
        <w:t xml:space="preserve">. </w:t>
      </w:r>
      <w:r w:rsidR="0053233C" w:rsidRPr="00656C7F">
        <w:t>In 2009,</w:t>
      </w:r>
      <w:r w:rsidR="0053233C">
        <w:t xml:space="preserve"> the</w:t>
      </w:r>
      <w:r w:rsidR="0053233C" w:rsidRPr="0069542B">
        <w:t xml:space="preserve"> </w:t>
      </w:r>
      <w:r w:rsidR="0053233C" w:rsidRPr="00656C7F">
        <w:t>Scottish government</w:t>
      </w:r>
      <w:r w:rsidR="0053233C">
        <w:t xml:space="preserve"> established the</w:t>
      </w:r>
      <w:r w:rsidR="0053233C" w:rsidRPr="00656C7F">
        <w:t xml:space="preserve"> ILi</w:t>
      </w:r>
      <w:r w:rsidR="0053233C">
        <w:t>S</w:t>
      </w:r>
      <w:r w:rsidR="0053233C" w:rsidRPr="00656C7F">
        <w:t xml:space="preserve"> (Independent Living in </w:t>
      </w:r>
      <w:smartTag w:uri="urn:schemas-microsoft-com:office:smarttags" w:element="country-region">
        <w:smartTag w:uri="urn:schemas-microsoft-com:office:smarttags" w:element="place">
          <w:r w:rsidR="0053233C" w:rsidRPr="00656C7F">
            <w:t>Scotland</w:t>
          </w:r>
        </w:smartTag>
      </w:smartTag>
      <w:r w:rsidR="0053233C" w:rsidRPr="00656C7F">
        <w:t xml:space="preserve">) initiative as part of a wider initiative on independent </w:t>
      </w:r>
      <w:r w:rsidR="0053233C">
        <w:t>l</w:t>
      </w:r>
      <w:r w:rsidR="0053233C" w:rsidRPr="00656C7F">
        <w:t xml:space="preserve">iving. ILiS is a Steering Group </w:t>
      </w:r>
      <w:r w:rsidR="0053233C">
        <w:t xml:space="preserve">made up of </w:t>
      </w:r>
      <w:r w:rsidR="0053233C" w:rsidRPr="00656C7F">
        <w:t>people</w:t>
      </w:r>
      <w:r w:rsidR="0053233C">
        <w:t xml:space="preserve"> with disabilities </w:t>
      </w:r>
      <w:r w:rsidR="0053233C" w:rsidRPr="00656C7F">
        <w:t>repr</w:t>
      </w:r>
      <w:r w:rsidR="0053233C">
        <w:t xml:space="preserve">esenting user-led organisations. </w:t>
      </w:r>
      <w:r w:rsidR="0053233C" w:rsidRPr="00656C7F">
        <w:rPr>
          <w:rFonts w:cs="Arial"/>
          <w:lang w:eastAsia="en-IE"/>
        </w:rPr>
        <w:t>The project is</w:t>
      </w:r>
      <w:r w:rsidR="0053233C">
        <w:rPr>
          <w:rFonts w:cs="Arial"/>
          <w:lang w:eastAsia="en-IE"/>
        </w:rPr>
        <w:t xml:space="preserve"> to be </w:t>
      </w:r>
      <w:r w:rsidR="0053233C" w:rsidRPr="00656C7F">
        <w:rPr>
          <w:rFonts w:cs="Arial"/>
          <w:lang w:eastAsia="en-IE"/>
        </w:rPr>
        <w:t xml:space="preserve">hosted by the </w:t>
      </w:r>
      <w:r w:rsidR="0053233C">
        <w:rPr>
          <w:rFonts w:cs="Arial"/>
          <w:lang w:eastAsia="en-IE"/>
        </w:rPr>
        <w:t>EHRC (Equality and Human Rights Commission) until March 2011</w:t>
      </w:r>
      <w:r w:rsidR="0053233C">
        <w:rPr>
          <w:rStyle w:val="FootnoteReference"/>
          <w:lang w:eastAsia="en-IE"/>
        </w:rPr>
        <w:footnoteReference w:id="102"/>
      </w:r>
      <w:r w:rsidR="0053233C">
        <w:rPr>
          <w:lang w:eastAsia="en-IE"/>
        </w:rPr>
        <w:t>.</w:t>
      </w:r>
    </w:p>
    <w:p w:rsidR="0053233C" w:rsidRDefault="0053233C" w:rsidP="0053233C">
      <w:pPr>
        <w:rPr>
          <w:lang w:eastAsia="en-IE"/>
        </w:rPr>
      </w:pPr>
      <w:r>
        <w:rPr>
          <w:lang w:eastAsia="en-IE"/>
        </w:rPr>
        <w:t>The definition of independent living adopted by the ILiS project is:</w:t>
      </w:r>
    </w:p>
    <w:p w:rsidR="0053233C" w:rsidRDefault="0053233C" w:rsidP="0053233C">
      <w:pPr>
        <w:rPr>
          <w:lang w:eastAsia="en-IE"/>
        </w:rPr>
      </w:pPr>
      <w:r>
        <w:rPr>
          <w:lang w:eastAsia="en-IE"/>
        </w:rPr>
        <w:tab/>
      </w:r>
      <w:r w:rsidRPr="006F5B13">
        <w:rPr>
          <w:lang w:eastAsia="en-IE"/>
        </w:rPr>
        <w:t>“Independent living means disabled</w:t>
      </w:r>
      <w:r>
        <w:rPr>
          <w:lang w:eastAsia="en-IE"/>
        </w:rPr>
        <w:t xml:space="preserve"> </w:t>
      </w:r>
      <w:r w:rsidRPr="006F5B13">
        <w:rPr>
          <w:lang w:eastAsia="en-IE"/>
        </w:rPr>
        <w:t>people of al</w:t>
      </w:r>
      <w:r>
        <w:rPr>
          <w:lang w:eastAsia="en-IE"/>
        </w:rPr>
        <w:t xml:space="preserve">l ages having the same </w:t>
      </w:r>
      <w:r>
        <w:rPr>
          <w:lang w:eastAsia="en-IE"/>
        </w:rPr>
        <w:tab/>
        <w:t xml:space="preserve">freedom, </w:t>
      </w:r>
      <w:r w:rsidRPr="006F5B13">
        <w:rPr>
          <w:lang w:eastAsia="en-IE"/>
        </w:rPr>
        <w:t>choice, dignity and control as other citizens</w:t>
      </w:r>
      <w:r>
        <w:rPr>
          <w:lang w:eastAsia="en-IE"/>
        </w:rPr>
        <w:t xml:space="preserve"> </w:t>
      </w:r>
      <w:r w:rsidRPr="006F5B13">
        <w:rPr>
          <w:lang w:eastAsia="en-IE"/>
        </w:rPr>
        <w:t>at home,</w:t>
      </w:r>
      <w:r>
        <w:rPr>
          <w:lang w:eastAsia="en-IE"/>
        </w:rPr>
        <w:t xml:space="preserve"> at work, </w:t>
      </w:r>
      <w:r>
        <w:rPr>
          <w:lang w:eastAsia="en-IE"/>
        </w:rPr>
        <w:tab/>
        <w:t xml:space="preserve">and in the community. </w:t>
      </w:r>
      <w:r w:rsidRPr="006F5B13">
        <w:rPr>
          <w:lang w:eastAsia="en-IE"/>
        </w:rPr>
        <w:t>It does not mean living by yourself or</w:t>
      </w:r>
      <w:r>
        <w:rPr>
          <w:lang w:eastAsia="en-IE"/>
        </w:rPr>
        <w:t xml:space="preserve"> </w:t>
      </w:r>
      <w:r w:rsidRPr="006F5B13">
        <w:rPr>
          <w:lang w:eastAsia="en-IE"/>
        </w:rPr>
        <w:t>fending f</w:t>
      </w:r>
      <w:r>
        <w:rPr>
          <w:lang w:eastAsia="en-IE"/>
        </w:rPr>
        <w:t xml:space="preserve">or </w:t>
      </w:r>
      <w:r>
        <w:rPr>
          <w:lang w:eastAsia="en-IE"/>
        </w:rPr>
        <w:tab/>
        <w:t xml:space="preserve">yourself. It means rights to </w:t>
      </w:r>
      <w:r w:rsidRPr="006F5B13">
        <w:rPr>
          <w:lang w:eastAsia="en-IE"/>
        </w:rPr>
        <w:t>practical assistance and support to</w:t>
      </w:r>
      <w:r>
        <w:rPr>
          <w:lang w:eastAsia="en-IE"/>
        </w:rPr>
        <w:t xml:space="preserve"> </w:t>
      </w:r>
      <w:r>
        <w:rPr>
          <w:lang w:eastAsia="en-IE"/>
        </w:rPr>
        <w:tab/>
      </w:r>
      <w:r w:rsidRPr="006F5B13">
        <w:rPr>
          <w:lang w:eastAsia="en-IE"/>
        </w:rPr>
        <w:t>par</w:t>
      </w:r>
      <w:r>
        <w:rPr>
          <w:lang w:eastAsia="en-IE"/>
        </w:rPr>
        <w:t xml:space="preserve">ticipate in society and live an </w:t>
      </w:r>
      <w:r w:rsidRPr="006F5B13">
        <w:rPr>
          <w:lang w:eastAsia="en-IE"/>
        </w:rPr>
        <w:t>ordinary life”</w:t>
      </w:r>
      <w:r>
        <w:rPr>
          <w:rStyle w:val="FootnoteReference"/>
          <w:lang w:eastAsia="en-IE"/>
        </w:rPr>
        <w:footnoteReference w:id="103"/>
      </w:r>
      <w:r>
        <w:rPr>
          <w:lang w:eastAsia="en-IE"/>
        </w:rPr>
        <w:t>.</w:t>
      </w:r>
    </w:p>
    <w:p w:rsidR="0053233C" w:rsidRDefault="0053233C" w:rsidP="0053233C">
      <w:pPr>
        <w:rPr>
          <w:lang w:eastAsia="en-IE"/>
        </w:rPr>
      </w:pPr>
      <w:r>
        <w:rPr>
          <w:lang w:eastAsia="en-IE"/>
        </w:rPr>
        <w:t xml:space="preserve">A report entitled </w:t>
      </w:r>
      <w:r w:rsidRPr="000366A4">
        <w:rPr>
          <w:b/>
          <w:lang w:eastAsia="en-IE"/>
        </w:rPr>
        <w:t>Ready for Action</w:t>
      </w:r>
      <w:r>
        <w:rPr>
          <w:b/>
          <w:lang w:eastAsia="en-IE"/>
        </w:rPr>
        <w:t xml:space="preserve"> </w:t>
      </w:r>
      <w:r>
        <w:rPr>
          <w:lang w:eastAsia="en-IE"/>
        </w:rPr>
        <w:t>published by ILiS</w:t>
      </w:r>
      <w:r>
        <w:rPr>
          <w:b/>
          <w:lang w:eastAsia="en-IE"/>
        </w:rPr>
        <w:t xml:space="preserve"> </w:t>
      </w:r>
      <w:r>
        <w:rPr>
          <w:lang w:eastAsia="en-IE"/>
        </w:rPr>
        <w:t xml:space="preserve">states that in order for people to achieve independent living in </w:t>
      </w:r>
      <w:smartTag w:uri="urn:schemas-microsoft-com:office:smarttags" w:element="country-region">
        <w:smartTag w:uri="urn:schemas-microsoft-com:office:smarttags" w:element="place">
          <w:r>
            <w:rPr>
              <w:lang w:eastAsia="en-IE"/>
            </w:rPr>
            <w:t>Scotland</w:t>
          </w:r>
        </w:smartTag>
      </w:smartTag>
      <w:r>
        <w:rPr>
          <w:lang w:eastAsia="en-IE"/>
        </w:rPr>
        <w:t xml:space="preserve"> there needs to be :</w:t>
      </w:r>
    </w:p>
    <w:p w:rsidR="0053233C" w:rsidRDefault="0053233C" w:rsidP="0053233C">
      <w:pPr>
        <w:pStyle w:val="ListBullet"/>
        <w:rPr>
          <w:lang w:eastAsia="en-IE"/>
        </w:rPr>
      </w:pPr>
      <w:r>
        <w:rPr>
          <w:lang w:eastAsia="en-IE"/>
        </w:rPr>
        <w:t>A political, social and service structure that supports independent living</w:t>
      </w:r>
    </w:p>
    <w:p w:rsidR="0053233C" w:rsidRDefault="0053233C" w:rsidP="0053233C">
      <w:pPr>
        <w:pStyle w:val="ListBullet"/>
        <w:rPr>
          <w:lang w:eastAsia="en-IE"/>
        </w:rPr>
      </w:pPr>
      <w:r>
        <w:rPr>
          <w:lang w:eastAsia="en-IE"/>
        </w:rPr>
        <w:t>An appropriate environment and transport system</w:t>
      </w:r>
    </w:p>
    <w:p w:rsidR="0053233C" w:rsidRDefault="0053233C" w:rsidP="0053233C">
      <w:pPr>
        <w:pStyle w:val="ListBullet"/>
        <w:rPr>
          <w:lang w:eastAsia="en-IE"/>
        </w:rPr>
      </w:pPr>
      <w:r>
        <w:rPr>
          <w:lang w:eastAsia="en-IE"/>
        </w:rPr>
        <w:t>Adequate personal support and services</w:t>
      </w:r>
    </w:p>
    <w:p w:rsidR="0053233C" w:rsidRDefault="0053233C" w:rsidP="0053233C">
      <w:pPr>
        <w:pStyle w:val="ListBullet"/>
        <w:rPr>
          <w:lang w:eastAsia="en-IE"/>
        </w:rPr>
      </w:pPr>
      <w:r>
        <w:rPr>
          <w:lang w:eastAsia="en-IE"/>
        </w:rPr>
        <w:t>Opportunities to take part in economic, social and public life</w:t>
      </w:r>
      <w:r>
        <w:rPr>
          <w:rStyle w:val="FootnoteReference"/>
          <w:lang w:eastAsia="en-IE"/>
        </w:rPr>
        <w:footnoteReference w:id="104"/>
      </w:r>
    </w:p>
    <w:p w:rsidR="00623FE7" w:rsidRDefault="0053233C" w:rsidP="00CA5A88">
      <w:pPr>
        <w:pStyle w:val="Heading4"/>
        <w:rPr>
          <w:lang w:eastAsia="en-IE"/>
        </w:rPr>
      </w:pPr>
      <w:r>
        <w:rPr>
          <w:lang w:val="en-US"/>
        </w:rPr>
        <w:t xml:space="preserve"> </w:t>
      </w:r>
      <w:r w:rsidR="00623FE7">
        <w:t>Personal Assistance</w:t>
      </w:r>
      <w:bookmarkEnd w:id="128"/>
    </w:p>
    <w:p w:rsidR="007F4905" w:rsidRPr="005B140F" w:rsidRDefault="007F4905" w:rsidP="007F4905">
      <w:r>
        <w:t>The Scottish government has established funding for personal assistance; housing adaptations; and implemented self directed supports, direct payments and other systems to support independent living for people with disabilities.</w:t>
      </w:r>
    </w:p>
    <w:p w:rsidR="007F4905" w:rsidRDefault="007F4905" w:rsidP="007F4905">
      <w:pPr>
        <w:autoSpaceDE w:val="0"/>
        <w:autoSpaceDN w:val="0"/>
        <w:adjustRightInd w:val="0"/>
        <w:spacing w:after="0" w:line="240" w:lineRule="auto"/>
        <w:rPr>
          <w:rFonts w:cs="Arial"/>
          <w:lang w:eastAsia="en-IE"/>
        </w:rPr>
      </w:pPr>
      <w:r>
        <w:rPr>
          <w:rFonts w:cs="Arial"/>
        </w:rPr>
        <w:t>SPAEN (Scottish Personal Assistant Employers Network), is a nation wide organisation that provides a range of peer supports</w:t>
      </w:r>
      <w:r w:rsidRPr="00AA3DD3">
        <w:rPr>
          <w:rFonts w:cs="Arial"/>
        </w:rPr>
        <w:t xml:space="preserve"> </w:t>
      </w:r>
      <w:r>
        <w:rPr>
          <w:rFonts w:cs="Arial"/>
        </w:rPr>
        <w:t>such as:</w:t>
      </w:r>
      <w:r>
        <w:rPr>
          <w:rFonts w:ascii="Rockwell" w:hAnsi="Rockwell" w:cs="Rockwell"/>
          <w:sz w:val="22"/>
          <w:szCs w:val="22"/>
          <w:lang w:eastAsia="en-IE"/>
        </w:rPr>
        <w:t xml:space="preserve"> </w:t>
      </w:r>
      <w:r>
        <w:rPr>
          <w:rFonts w:cs="Arial"/>
          <w:lang w:eastAsia="en-IE"/>
        </w:rPr>
        <w:t xml:space="preserve">personnel </w:t>
      </w:r>
      <w:r w:rsidRPr="004875ED">
        <w:rPr>
          <w:rFonts w:cs="Arial"/>
          <w:lang w:eastAsia="en-IE"/>
        </w:rPr>
        <w:t>management and employment law</w:t>
      </w:r>
      <w:r>
        <w:rPr>
          <w:rFonts w:cs="Arial"/>
          <w:lang w:eastAsia="en-IE"/>
        </w:rPr>
        <w:t xml:space="preserve"> support; etc,</w:t>
      </w:r>
      <w:r>
        <w:rPr>
          <w:rFonts w:cs="Arial"/>
        </w:rPr>
        <w:t xml:space="preserve"> to people with disabilities who are using direct payments and are first time employers of personal care assistants. </w:t>
      </w:r>
      <w:r w:rsidRPr="003931AF">
        <w:t>They have provided training to Scottish local authorities and health boards in setting up self directed support systems</w:t>
      </w:r>
      <w:r>
        <w:rPr>
          <w:rStyle w:val="FootnoteReference"/>
          <w:rFonts w:cs="Arial"/>
          <w:lang w:eastAsia="en-IE"/>
        </w:rPr>
        <w:t xml:space="preserve"> </w:t>
      </w:r>
      <w:r>
        <w:rPr>
          <w:rStyle w:val="FootnoteReference"/>
          <w:rFonts w:cs="Arial"/>
          <w:lang w:eastAsia="en-IE"/>
        </w:rPr>
        <w:footnoteReference w:id="105"/>
      </w:r>
      <w:r>
        <w:rPr>
          <w:rFonts w:cs="Arial"/>
          <w:lang w:eastAsia="en-IE"/>
        </w:rPr>
        <w:t>.</w:t>
      </w:r>
      <w:r w:rsidRPr="004875ED">
        <w:rPr>
          <w:rFonts w:cs="Arial"/>
          <w:lang w:eastAsia="en-IE"/>
        </w:rPr>
        <w:t xml:space="preserve"> </w:t>
      </w:r>
      <w:r>
        <w:rPr>
          <w:rFonts w:cs="Arial"/>
          <w:lang w:eastAsia="en-IE"/>
        </w:rPr>
        <w:t>SPAEN is a charity that is funded through various schemes such as the National Lottery.</w:t>
      </w:r>
    </w:p>
    <w:p w:rsidR="00F06AE8" w:rsidRDefault="00F06AE8" w:rsidP="007F4905"/>
    <w:p w:rsidR="007F4905" w:rsidRDefault="007F4905" w:rsidP="007F4905">
      <w:pPr>
        <w:rPr>
          <w:rFonts w:cs="Arial"/>
        </w:rPr>
      </w:pPr>
      <w:r>
        <w:t>The Independent Living Fund pays for personal assistance services. To be eligible for this type of funding, people with disabilities must be between 16 – 65 and must be receiving social services support (either direct payments or services in kind) worth at least €360 (£320) a week/ €18,540 (£16,640) a year, or be entitled to a higher rate of Disability Living Allowance. Applicants and their partners must also have less than €25,600 (£23,000) in savings or capital</w:t>
      </w:r>
      <w:r>
        <w:rPr>
          <w:rStyle w:val="FootnoteReference"/>
          <w:rFonts w:cs="Arial"/>
        </w:rPr>
        <w:footnoteReference w:id="106"/>
      </w:r>
      <w:r>
        <w:t>.</w:t>
      </w:r>
      <w:r w:rsidRPr="003029D8">
        <w:rPr>
          <w:rFonts w:cs="Arial"/>
        </w:rPr>
        <w:t xml:space="preserve"> </w:t>
      </w:r>
    </w:p>
    <w:p w:rsidR="007F4905" w:rsidRDefault="007F4905" w:rsidP="007F4905">
      <w:r>
        <w:rPr>
          <w:rFonts w:cs="Arial"/>
        </w:rPr>
        <w:t>To obtain funding for their social care needs, applicants must apply to their local authority to request a needs assessment. Funding decisions are made under the “Fair Access to Care” procedure. This national system identifies four levels of risk: critical, substantial, moderate and low. These services are to be provided according to assessed needs and the impact on a person’s ability to live independently, rather than the availability of particular services.</w:t>
      </w:r>
    </w:p>
    <w:p w:rsidR="007F4905" w:rsidRDefault="007F4905" w:rsidP="007F4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eastAsia="en-IE"/>
        </w:rPr>
      </w:pPr>
      <w:r>
        <w:rPr>
          <w:rFonts w:cs="Arial"/>
        </w:rPr>
        <w:t>While a funding agency may be responsible for paying a personal assistant, the person with the disability recruits their personal assistant and chooses how they would like to be assisted</w:t>
      </w:r>
      <w:r>
        <w:rPr>
          <w:rStyle w:val="FootnoteReference"/>
          <w:rFonts w:cs="Arial"/>
        </w:rPr>
        <w:footnoteReference w:id="107"/>
      </w:r>
      <w:r>
        <w:rPr>
          <w:rFonts w:cs="Arial"/>
        </w:rPr>
        <w:t>.</w:t>
      </w:r>
    </w:p>
    <w:p w:rsidR="007F4905" w:rsidRDefault="007F4905" w:rsidP="007F4905">
      <w:pPr>
        <w:pStyle w:val="Heading4"/>
      </w:pPr>
      <w:bookmarkStart w:id="129" w:name="_Toc267920933"/>
      <w:r>
        <w:t>Home adaptations and assistive technology</w:t>
      </w:r>
      <w:bookmarkEnd w:id="129"/>
    </w:p>
    <w:p w:rsidR="007F4905" w:rsidRDefault="007F4905" w:rsidP="007F4905">
      <w:r>
        <w:t>People with disabilities can apply for Disabled Facilities grants from their local councils/authorities to make alterations to their homes so that they can continue to live in them. Widening doors and installing ramps, installing stair lifts, showers, making controls easier to use and improving access in the house to make it easier to look after children, are examples of housing alterations that can be funded by these grants</w:t>
      </w:r>
      <w:r>
        <w:rPr>
          <w:rStyle w:val="FootnoteReference"/>
          <w:rFonts w:cs="Arial"/>
        </w:rPr>
        <w:footnoteReference w:id="108"/>
      </w:r>
      <w:r>
        <w:t>.</w:t>
      </w:r>
    </w:p>
    <w:p w:rsidR="007F4905" w:rsidRDefault="007F4905" w:rsidP="007F4905">
      <w:r>
        <w:t xml:space="preserve">These grants are based on a financial assessment/means testing. Social security benefits are ignored in this assessment. The amount of funding a person can receive is determined by comparing income and capital with assessed needs. The earnings of other people in the house are also taken into account. People with disabilities can receive funding of up to €22,300 (£20,000) in </w:t>
      </w:r>
      <w:smartTag w:uri="urn:schemas-microsoft-com:office:smarttags" w:element="country-region">
        <w:smartTag w:uri="urn:schemas-microsoft-com:office:smarttags" w:element="place">
          <w:r>
            <w:t>Scotland</w:t>
          </w:r>
        </w:smartTag>
      </w:smartTag>
      <w:r>
        <w:t>. Costs over this amount are met by the person with a disability</w:t>
      </w:r>
      <w:r>
        <w:rPr>
          <w:rStyle w:val="FootnoteReference"/>
          <w:rFonts w:cs="Arial"/>
        </w:rPr>
        <w:footnoteReference w:id="109"/>
      </w:r>
      <w:r>
        <w:t>.</w:t>
      </w:r>
    </w:p>
    <w:p w:rsidR="007F4905" w:rsidRDefault="007F4905" w:rsidP="007F4905">
      <w:r>
        <w:t xml:space="preserve">In </w:t>
      </w:r>
      <w:smartTag w:uri="urn:schemas-microsoft-com:office:smarttags" w:element="country-region">
        <w:smartTag w:uri="urn:schemas-microsoft-com:office:smarttags" w:element="place">
          <w:r>
            <w:t>Scotland</w:t>
          </w:r>
        </w:smartTag>
      </w:smartTag>
      <w:r>
        <w:t>, after an assessment of need has been conducted, up to 100% of the cost may be granted. For people over 65 years of age, the provision of social services equipment is free</w:t>
      </w:r>
      <w:r>
        <w:rPr>
          <w:rStyle w:val="FootnoteReference"/>
          <w:rFonts w:cs="Arial"/>
        </w:rPr>
        <w:footnoteReference w:id="110"/>
      </w:r>
      <w:r>
        <w:t>.</w:t>
      </w:r>
    </w:p>
    <w:p w:rsidR="0039615F" w:rsidRPr="0039615F" w:rsidRDefault="00623FE7" w:rsidP="0039615F">
      <w:pPr>
        <w:pStyle w:val="Heading1"/>
        <w:rPr>
          <w:rFonts w:ascii="Verdana" w:hAnsi="Verdana"/>
          <w:lang w:val="en-US"/>
        </w:rPr>
      </w:pPr>
      <w:bookmarkStart w:id="130" w:name="_Toc279136919"/>
      <w:bookmarkEnd w:id="125"/>
      <w:bookmarkEnd w:id="126"/>
      <w:bookmarkEnd w:id="127"/>
      <w:r>
        <w:rPr>
          <w:lang w:val="en-US"/>
        </w:rPr>
        <w:t>5. Entitlement</w:t>
      </w:r>
      <w:r w:rsidR="00B5186C">
        <w:rPr>
          <w:lang w:val="en-US"/>
        </w:rPr>
        <w:t>,</w:t>
      </w:r>
      <w:r w:rsidR="00047196">
        <w:rPr>
          <w:lang w:val="en-US"/>
        </w:rPr>
        <w:t xml:space="preserve"> </w:t>
      </w:r>
      <w:r w:rsidR="00F06AE8">
        <w:rPr>
          <w:lang w:val="en-US"/>
        </w:rPr>
        <w:t>Choice</w:t>
      </w:r>
      <w:r w:rsidR="00B5186C">
        <w:rPr>
          <w:lang w:val="en-US"/>
        </w:rPr>
        <w:t xml:space="preserve"> and User Involvement</w:t>
      </w:r>
      <w:bookmarkEnd w:id="130"/>
    </w:p>
    <w:p w:rsidR="00623FE7" w:rsidRDefault="00623FE7" w:rsidP="0039615F">
      <w:pPr>
        <w:pStyle w:val="Heading1"/>
        <w:rPr>
          <w:lang w:val="en-US"/>
        </w:rPr>
      </w:pPr>
      <w:bookmarkStart w:id="131" w:name="_Toc279136920"/>
      <w:r>
        <w:rPr>
          <w:lang w:val="en-US"/>
        </w:rPr>
        <w:t>5.1 Entitlement</w:t>
      </w:r>
      <w:r w:rsidR="00DE345C">
        <w:rPr>
          <w:lang w:val="en-US"/>
        </w:rPr>
        <w:t xml:space="preserve"> and service procurement</w:t>
      </w:r>
      <w:bookmarkEnd w:id="131"/>
      <w:r w:rsidR="00DE345C">
        <w:rPr>
          <w:lang w:val="en-US"/>
        </w:rPr>
        <w:t xml:space="preserve"> </w:t>
      </w:r>
    </w:p>
    <w:p w:rsidR="004A4A84" w:rsidRDefault="009A6EB3" w:rsidP="009A6EB3">
      <w:r>
        <w:t xml:space="preserve">NHS Scotland is the publicly funded healthcare system for </w:t>
      </w:r>
      <w:smartTag w:uri="urn:schemas-microsoft-com:office:smarttags" w:element="country-region">
        <w:smartTag w:uri="urn:schemas-microsoft-com:office:smarttags" w:element="place">
          <w:r w:rsidR="004A4A84">
            <w:t>Scotland</w:t>
          </w:r>
        </w:smartTag>
      </w:smartTag>
      <w:r w:rsidR="004A4A84">
        <w:t xml:space="preserve"> </w:t>
      </w:r>
      <w:r>
        <w:t xml:space="preserve">and primary health care is provided free of charge to those living in </w:t>
      </w:r>
      <w:smartTag w:uri="urn:schemas-microsoft-com:office:smarttags" w:element="country-region">
        <w:smartTag w:uri="urn:schemas-microsoft-com:office:smarttags" w:element="place">
          <w:r>
            <w:t>Scotland</w:t>
          </w:r>
        </w:smartTag>
      </w:smartTag>
      <w:r>
        <w:t xml:space="preserve"> </w:t>
      </w:r>
    </w:p>
    <w:p w:rsidR="009A6EB3" w:rsidRPr="009A6EB3" w:rsidRDefault="004A4A84" w:rsidP="009A6EB3">
      <w:pPr>
        <w:rPr>
          <w:rFonts w:ascii="Verdana" w:hAnsi="Verdana"/>
          <w:lang w:val="en-US"/>
        </w:rPr>
      </w:pPr>
      <w:r>
        <w:t xml:space="preserve">The Department of Work and Pensions under the </w:t>
      </w:r>
      <w:smartTag w:uri="urn:schemas-microsoft-com:office:smarttags" w:element="country-region">
        <w:smartTag w:uri="urn:schemas-microsoft-com:office:smarttags" w:element="place">
          <w:r>
            <w:t>UK</w:t>
          </w:r>
        </w:smartTag>
      </w:smartTag>
      <w:r>
        <w:t xml:space="preserve"> government is responsible for disability-related income and vocational and employment need. </w:t>
      </w:r>
      <w:r w:rsidR="009A6EB3">
        <w:t xml:space="preserve">People with disabilities are eligible for social care i.e. disability benefits </w:t>
      </w:r>
      <w:r w:rsidR="0039615F">
        <w:t xml:space="preserve"> such as Employment Support Allowance, Disability Living Allowance, Severe Disability Allowance etc., </w:t>
      </w:r>
      <w:r w:rsidR="009A6EB3">
        <w:t>but are not entitled to the</w:t>
      </w:r>
      <w:r w:rsidR="00902E4F">
        <w:t>m</w:t>
      </w:r>
      <w:r w:rsidR="009A6EB3">
        <w:t xml:space="preserve">. </w:t>
      </w:r>
      <w:r w:rsidR="0039615F">
        <w:t xml:space="preserve">(Details of disability benefits are listed in Appendix 3). </w:t>
      </w:r>
      <w:r w:rsidR="007E45E2">
        <w:t xml:space="preserve">Social care is means tested. </w:t>
      </w:r>
    </w:p>
    <w:p w:rsidR="00623FE7" w:rsidRPr="0075402B" w:rsidRDefault="00623FE7" w:rsidP="00623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eastAsia="en-IE"/>
        </w:rPr>
        <w:t xml:space="preserve">In </w:t>
      </w:r>
      <w:smartTag w:uri="urn:schemas-microsoft-com:office:smarttags" w:element="country-region">
        <w:smartTag w:uri="urn:schemas-microsoft-com:office:smarttags" w:element="place">
          <w:r>
            <w:rPr>
              <w:rFonts w:cs="Arial"/>
              <w:lang w:eastAsia="en-IE"/>
            </w:rPr>
            <w:t>Scotland</w:t>
          </w:r>
        </w:smartTag>
      </w:smartTag>
      <w:r>
        <w:rPr>
          <w:rFonts w:cs="Arial"/>
          <w:lang w:eastAsia="en-IE"/>
        </w:rPr>
        <w:t>, health, personal and social services for people with disabilities are provided by a mixture of public bodies such as the Department of Health and Wellbeing, NHS boards, and local authorities</w:t>
      </w:r>
      <w:r>
        <w:rPr>
          <w:rStyle w:val="FootnoteReference"/>
          <w:rFonts w:cs="Arial"/>
        </w:rPr>
        <w:footnoteReference w:id="111"/>
      </w:r>
      <w:r>
        <w:rPr>
          <w:rFonts w:cs="Arial"/>
          <w:lang w:eastAsia="en-IE"/>
        </w:rPr>
        <w:t xml:space="preserve">, in addition to private organisations and NGOs. NGOs have to put in tenders to  be eligible for social care procurement. In January 2010 the Scottish government  produced a draft guide for consultation for social care procurement. </w:t>
      </w:r>
      <w:r w:rsidRPr="0075402B">
        <w:rPr>
          <w:rFonts w:cs="Arial"/>
          <w:lang w:val="en-US"/>
        </w:rPr>
        <w:t xml:space="preserve">This </w:t>
      </w:r>
      <w:r>
        <w:rPr>
          <w:rFonts w:cs="Arial"/>
          <w:lang w:val="en-US"/>
        </w:rPr>
        <w:t xml:space="preserve"> guide gives service providers a detailed </w:t>
      </w:r>
      <w:r w:rsidRPr="0075402B">
        <w:rPr>
          <w:rFonts w:cs="Arial"/>
          <w:lang w:val="en-US"/>
        </w:rPr>
        <w:t xml:space="preserve">framework for procurement of social services </w:t>
      </w:r>
      <w:r>
        <w:rPr>
          <w:rFonts w:cs="Arial"/>
          <w:lang w:val="en-US"/>
        </w:rPr>
        <w:t xml:space="preserve">that includes </w:t>
      </w:r>
      <w:r w:rsidRPr="0075402B">
        <w:rPr>
          <w:rFonts w:cs="Arial"/>
          <w:lang w:val="en-US"/>
        </w:rPr>
        <w:t>preparation, analysis, planning, securing of services and review</w:t>
      </w:r>
      <w:r>
        <w:rPr>
          <w:rStyle w:val="FootnoteReference"/>
          <w:rFonts w:cs="Arial"/>
        </w:rPr>
        <w:footnoteReference w:id="112"/>
      </w:r>
      <w:r w:rsidRPr="0075402B">
        <w:rPr>
          <w:rFonts w:cs="Arial"/>
          <w:lang w:val="en-US"/>
        </w:rPr>
        <w:t>.</w:t>
      </w:r>
    </w:p>
    <w:p w:rsidR="00AF0D08" w:rsidRDefault="00AF0D08" w:rsidP="00AF0D08">
      <w:pPr>
        <w:rPr>
          <w:lang w:eastAsia="en-IE"/>
        </w:rPr>
      </w:pPr>
      <w:bookmarkStart w:id="132" w:name="_Toc246242123"/>
      <w:bookmarkStart w:id="133" w:name="_Toc247447266"/>
      <w:bookmarkStart w:id="134" w:name="_Toc255485509"/>
      <w:bookmarkEnd w:id="100"/>
      <w:bookmarkEnd w:id="101"/>
      <w:bookmarkEnd w:id="102"/>
      <w:r>
        <w:rPr>
          <w:lang w:eastAsia="en-IE"/>
        </w:rPr>
        <w:t xml:space="preserve">The Scottish government has </w:t>
      </w:r>
      <w:r w:rsidR="002A1FE1">
        <w:rPr>
          <w:lang w:eastAsia="en-IE"/>
        </w:rPr>
        <w:t xml:space="preserve">drafted guidelines </w:t>
      </w:r>
      <w:r>
        <w:rPr>
          <w:lang w:eastAsia="en-IE"/>
        </w:rPr>
        <w:t>regarding procurement of social care services by local authorities, NGOs</w:t>
      </w:r>
      <w:r w:rsidR="00240724">
        <w:rPr>
          <w:lang w:eastAsia="en-IE"/>
        </w:rPr>
        <w:t>, and other service providers</w:t>
      </w:r>
      <w:r>
        <w:rPr>
          <w:lang w:eastAsia="en-IE"/>
        </w:rPr>
        <w:t xml:space="preserve"> etc</w:t>
      </w:r>
      <w:r>
        <w:rPr>
          <w:rStyle w:val="FootnoteReference"/>
        </w:rPr>
        <w:footnoteReference w:id="113"/>
      </w:r>
      <w:r>
        <w:rPr>
          <w:lang w:eastAsia="en-IE"/>
        </w:rPr>
        <w:t xml:space="preserve">. In practice however local authorities </w:t>
      </w:r>
      <w:r w:rsidR="00240724">
        <w:rPr>
          <w:lang w:eastAsia="en-IE"/>
        </w:rPr>
        <w:t>still</w:t>
      </w:r>
      <w:r w:rsidR="007D02C1">
        <w:rPr>
          <w:lang w:eastAsia="en-IE"/>
        </w:rPr>
        <w:t xml:space="preserve"> purchase and </w:t>
      </w:r>
      <w:r w:rsidR="00240724">
        <w:rPr>
          <w:lang w:eastAsia="en-IE"/>
        </w:rPr>
        <w:t xml:space="preserve"> provide  the majority of health, personal and social care services to people with disabilities</w:t>
      </w:r>
      <w:r w:rsidR="00240724">
        <w:rPr>
          <w:rStyle w:val="FootnoteReference"/>
        </w:rPr>
        <w:footnoteReference w:id="114"/>
      </w:r>
      <w:r w:rsidR="00240724">
        <w:rPr>
          <w:lang w:eastAsia="en-IE"/>
        </w:rPr>
        <w:t>.</w:t>
      </w:r>
      <w:r w:rsidR="00047196">
        <w:rPr>
          <w:lang w:eastAsia="en-IE"/>
        </w:rPr>
        <w:t xml:space="preserve"> </w:t>
      </w:r>
      <w:r w:rsidR="00240724">
        <w:rPr>
          <w:lang w:eastAsia="en-IE"/>
        </w:rPr>
        <w:t xml:space="preserve">Service users in </w:t>
      </w:r>
      <w:smartTag w:uri="urn:schemas-microsoft-com:office:smarttags" w:element="country-region">
        <w:smartTag w:uri="urn:schemas-microsoft-com:office:smarttags" w:element="place">
          <w:r w:rsidR="00240724">
            <w:rPr>
              <w:lang w:eastAsia="en-IE"/>
            </w:rPr>
            <w:t>Scotland</w:t>
          </w:r>
        </w:smartTag>
      </w:smartTag>
      <w:r w:rsidR="00240724">
        <w:rPr>
          <w:lang w:eastAsia="en-IE"/>
        </w:rPr>
        <w:t xml:space="preserve"> have little choice regarding service providers.</w:t>
      </w:r>
    </w:p>
    <w:p w:rsidR="00240724" w:rsidRDefault="00836EA0" w:rsidP="00AF0D08">
      <w:pPr>
        <w:rPr>
          <w:lang w:eastAsia="en-IE"/>
        </w:rPr>
      </w:pPr>
      <w:r>
        <w:rPr>
          <w:lang w:eastAsia="en-IE"/>
        </w:rPr>
        <w:t>However the direct payments system does provide people with disabilities with choice regarding how they manage th</w:t>
      </w:r>
      <w:r w:rsidR="002A1FE1">
        <w:rPr>
          <w:lang w:eastAsia="en-IE"/>
        </w:rPr>
        <w:t>eir disability benefits and the</w:t>
      </w:r>
      <w:r>
        <w:rPr>
          <w:lang w:eastAsia="en-IE"/>
        </w:rPr>
        <w:t xml:space="preserve"> types of services they purchase with their benefits.</w:t>
      </w:r>
    </w:p>
    <w:p w:rsidR="00047196" w:rsidRDefault="00836EA0" w:rsidP="002F4702">
      <w:pPr>
        <w:rPr>
          <w:lang w:eastAsia="en-IE"/>
        </w:rPr>
      </w:pPr>
      <w:r>
        <w:rPr>
          <w:lang w:eastAsia="en-IE"/>
        </w:rPr>
        <w:t>The proposed  self directed supports are perceived by the Scottish government, disability organisations and by key informants, as offering people with disabilities greater choice regarding how they manage their disability benefits.</w:t>
      </w:r>
    </w:p>
    <w:p w:rsidR="0097317F" w:rsidRPr="00D14D3A" w:rsidRDefault="00DE345C" w:rsidP="0097317F">
      <w:pPr>
        <w:rPr>
          <w:rFonts w:cs="Arial"/>
          <w:lang w:val="en-US"/>
        </w:rPr>
      </w:pPr>
      <w:bookmarkStart w:id="135" w:name="_Toc247447229"/>
      <w:bookmarkStart w:id="136" w:name="_Toc255485512"/>
      <w:bookmarkStart w:id="137" w:name="_Toc279136921"/>
      <w:r>
        <w:rPr>
          <w:rStyle w:val="Heading1Char"/>
        </w:rPr>
        <w:t>5.</w:t>
      </w:r>
      <w:r w:rsidR="002F4702">
        <w:rPr>
          <w:rStyle w:val="Heading1Char"/>
        </w:rPr>
        <w:t>2</w:t>
      </w:r>
      <w:r w:rsidR="00D14D3A" w:rsidRPr="00D14D3A">
        <w:rPr>
          <w:rStyle w:val="Heading1Char"/>
        </w:rPr>
        <w:t>. Involvement of People with Disabilities</w:t>
      </w:r>
      <w:bookmarkEnd w:id="137"/>
      <w:r w:rsidR="00D14D3A">
        <w:rPr>
          <w:lang w:eastAsia="en-IE"/>
        </w:rPr>
        <w:t xml:space="preserve">                          </w:t>
      </w:r>
      <w:r w:rsidR="0097317F" w:rsidRPr="00D14D3A">
        <w:rPr>
          <w:rFonts w:cs="Arial"/>
          <w:lang w:val="en-US"/>
        </w:rPr>
        <w:t>The Scottish government has worked in consultation with disability organisations and people with disabilities in developing and implementing schemes and initiatives:</w:t>
      </w:r>
    </w:p>
    <w:p w:rsidR="0097317F" w:rsidRDefault="0097317F" w:rsidP="0097317F">
      <w:pPr>
        <w:pStyle w:val="ListBullet"/>
        <w:rPr>
          <w:lang w:eastAsia="en-IE"/>
        </w:rPr>
      </w:pPr>
      <w:r>
        <w:rPr>
          <w:lang w:eastAsia="en-IE"/>
        </w:rPr>
        <w:t>Disability schemes for 2007 and 2008-2011</w:t>
      </w:r>
    </w:p>
    <w:p w:rsidR="0097317F" w:rsidRDefault="0097317F" w:rsidP="0097317F">
      <w:pPr>
        <w:pStyle w:val="ListBullet"/>
        <w:rPr>
          <w:lang w:eastAsia="en-IE"/>
        </w:rPr>
      </w:pPr>
      <w:r>
        <w:rPr>
          <w:lang w:eastAsia="en-IE"/>
        </w:rPr>
        <w:t>Testing and piloting self directed supports and supported self assessment  for people with disabilities</w:t>
      </w:r>
    </w:p>
    <w:p w:rsidR="0097317F" w:rsidRDefault="0097317F" w:rsidP="0097317F">
      <w:pPr>
        <w:pStyle w:val="ListBullet"/>
        <w:rPr>
          <w:lang w:eastAsia="en-IE"/>
        </w:rPr>
      </w:pPr>
      <w:r>
        <w:rPr>
          <w:lang w:eastAsia="en-IE"/>
        </w:rPr>
        <w:t xml:space="preserve">Independent </w:t>
      </w:r>
      <w:r w:rsidR="00FC4C0C">
        <w:rPr>
          <w:lang w:eastAsia="en-IE"/>
        </w:rPr>
        <w:t xml:space="preserve">living </w:t>
      </w:r>
      <w:r>
        <w:rPr>
          <w:lang w:eastAsia="en-IE"/>
        </w:rPr>
        <w:t xml:space="preserve">movement in </w:t>
      </w:r>
      <w:smartTag w:uri="urn:schemas-microsoft-com:office:smarttags" w:element="country-region">
        <w:smartTag w:uri="urn:schemas-microsoft-com:office:smarttags" w:element="place">
          <w:r>
            <w:rPr>
              <w:lang w:eastAsia="en-IE"/>
            </w:rPr>
            <w:t>Scotland</w:t>
          </w:r>
        </w:smartTag>
      </w:smartTag>
    </w:p>
    <w:p w:rsidR="0097317F" w:rsidRPr="000C35F0" w:rsidRDefault="0097317F" w:rsidP="0097317F">
      <w:pPr>
        <w:pStyle w:val="ListBullet"/>
        <w:rPr>
          <w:lang w:eastAsia="en-IE"/>
        </w:rPr>
      </w:pPr>
      <w:r>
        <w:rPr>
          <w:lang w:eastAsia="en-IE"/>
        </w:rPr>
        <w:t>Supported employments services</w:t>
      </w:r>
    </w:p>
    <w:p w:rsidR="0097317F" w:rsidRDefault="00DE345C" w:rsidP="0097317F">
      <w:pPr>
        <w:pStyle w:val="Heading1"/>
      </w:pPr>
      <w:bookmarkStart w:id="138" w:name="_Toc267920946"/>
      <w:bookmarkStart w:id="139" w:name="_Toc279136922"/>
      <w:r>
        <w:rPr>
          <w:lang w:eastAsia="en-IE"/>
        </w:rPr>
        <w:t>6</w:t>
      </w:r>
      <w:r w:rsidR="00D14D3A">
        <w:rPr>
          <w:lang w:eastAsia="en-IE"/>
        </w:rPr>
        <w:t>.</w:t>
      </w:r>
      <w:r w:rsidR="00FC4C0C">
        <w:t xml:space="preserve"> </w:t>
      </w:r>
      <w:bookmarkEnd w:id="136"/>
      <w:bookmarkEnd w:id="138"/>
      <w:r>
        <w:t>Summary of Key learning Points</w:t>
      </w:r>
      <w:bookmarkEnd w:id="139"/>
      <w:r>
        <w:t xml:space="preserve"> </w:t>
      </w:r>
    </w:p>
    <w:p w:rsidR="004924E2" w:rsidRDefault="004924E2" w:rsidP="004924E2">
      <w:pPr>
        <w:pStyle w:val="Heading4"/>
        <w:rPr>
          <w:lang w:eastAsia="en-IE"/>
        </w:rPr>
      </w:pPr>
      <w:bookmarkStart w:id="140" w:name="_Toc255485515"/>
      <w:bookmarkStart w:id="141" w:name="_Toc267920949"/>
      <w:r>
        <w:rPr>
          <w:lang w:eastAsia="en-IE"/>
        </w:rPr>
        <w:t xml:space="preserve">Direct payments </w:t>
      </w:r>
    </w:p>
    <w:p w:rsidR="004924E2" w:rsidRPr="004924E2" w:rsidRDefault="004924E2" w:rsidP="004924E2">
      <w:pPr>
        <w:rPr>
          <w:rFonts w:cs="Arial"/>
        </w:rPr>
      </w:pPr>
      <w:r>
        <w:rPr>
          <w:rFonts w:cs="Arial"/>
        </w:rPr>
        <w:t>According to a key informant</w:t>
      </w:r>
      <w:r w:rsidR="00DE345C">
        <w:rPr>
          <w:rFonts w:cs="Arial"/>
        </w:rPr>
        <w:t xml:space="preserve"> for this background paper</w:t>
      </w:r>
      <w:r>
        <w:rPr>
          <w:rFonts w:cs="Arial"/>
        </w:rPr>
        <w:t xml:space="preserve">, </w:t>
      </w:r>
      <w:r w:rsidR="00DE345C">
        <w:rPr>
          <w:rFonts w:cs="Arial"/>
        </w:rPr>
        <w:t>the provision of direct payments is</w:t>
      </w:r>
      <w:r>
        <w:rPr>
          <w:rFonts w:cs="Arial"/>
        </w:rPr>
        <w:t xml:space="preserve"> one of the strengths of the Scottish system, as it provides people with disabilities </w:t>
      </w:r>
      <w:r w:rsidR="00C529DC">
        <w:rPr>
          <w:rFonts w:cs="Arial"/>
        </w:rPr>
        <w:t xml:space="preserve">greater empowerment, with the opportunity and independence to </w:t>
      </w:r>
      <w:r>
        <w:rPr>
          <w:rFonts w:cs="Arial"/>
        </w:rPr>
        <w:t xml:space="preserve">manage their disability benefits themselves and pay for their services themselves.  </w:t>
      </w:r>
    </w:p>
    <w:p w:rsidR="00DF3827" w:rsidRDefault="00DF3827" w:rsidP="00DF3827">
      <w:pPr>
        <w:pStyle w:val="Heading4"/>
        <w:rPr>
          <w:lang w:eastAsia="en-IE"/>
        </w:rPr>
      </w:pPr>
      <w:r w:rsidRPr="00937C7A">
        <w:rPr>
          <w:lang w:eastAsia="en-IE"/>
        </w:rPr>
        <w:t>Local Area Co-ordination of Services</w:t>
      </w:r>
    </w:p>
    <w:p w:rsidR="00DF3827" w:rsidRDefault="00DF3827" w:rsidP="00DF3827">
      <w:pPr>
        <w:rPr>
          <w:rFonts w:cs="Arial"/>
          <w:color w:val="000000"/>
          <w:lang w:eastAsia="en-IE"/>
        </w:rPr>
      </w:pPr>
      <w:r>
        <w:rPr>
          <w:lang w:eastAsia="en-IE"/>
        </w:rPr>
        <w:t xml:space="preserve">The Local Area Co-ordination of Services uses case management and </w:t>
      </w:r>
      <w:r>
        <w:rPr>
          <w:rFonts w:cs="Arial"/>
          <w:color w:val="000000"/>
          <w:lang w:eastAsia="en-IE"/>
        </w:rPr>
        <w:t>a person centred approach to support people with learning disabilities and their families to enable them to live as part of their community</w:t>
      </w:r>
      <w:r>
        <w:rPr>
          <w:rStyle w:val="FootnoteReference"/>
          <w:rFonts w:cs="Arial"/>
          <w:color w:val="000000"/>
          <w:lang w:eastAsia="en-IE"/>
        </w:rPr>
        <w:footnoteReference w:id="115"/>
      </w:r>
      <w:r>
        <w:rPr>
          <w:rFonts w:cs="Arial"/>
          <w:color w:val="000000"/>
          <w:lang w:eastAsia="en-IE"/>
        </w:rPr>
        <w:t>.</w:t>
      </w:r>
    </w:p>
    <w:p w:rsidR="00DE345C" w:rsidRDefault="00DF3827" w:rsidP="00DE345C">
      <w:pPr>
        <w:rPr>
          <w:lang w:eastAsia="en-IE"/>
        </w:rPr>
      </w:pPr>
      <w:r>
        <w:rPr>
          <w:rFonts w:cs="Arial"/>
          <w:color w:val="000000"/>
          <w:lang w:eastAsia="en-IE"/>
        </w:rPr>
        <w:t xml:space="preserve">The strengths and benefits of this system </w:t>
      </w:r>
      <w:r w:rsidR="00C529DC">
        <w:rPr>
          <w:rFonts w:cs="Arial"/>
          <w:color w:val="000000"/>
          <w:lang w:eastAsia="en-IE"/>
        </w:rPr>
        <w:t xml:space="preserve">have been </w:t>
      </w:r>
      <w:r>
        <w:rPr>
          <w:rFonts w:cs="Arial"/>
          <w:color w:val="000000"/>
          <w:lang w:eastAsia="en-IE"/>
        </w:rPr>
        <w:t xml:space="preserve"> seen regarding increases in:</w:t>
      </w:r>
    </w:p>
    <w:p w:rsidR="00DF3827" w:rsidRDefault="00DF3827" w:rsidP="00DE345C">
      <w:pPr>
        <w:numPr>
          <w:ilvl w:val="0"/>
          <w:numId w:val="36"/>
        </w:numPr>
        <w:rPr>
          <w:lang w:eastAsia="en-IE"/>
        </w:rPr>
      </w:pPr>
      <w:r>
        <w:rPr>
          <w:lang w:eastAsia="en-IE"/>
        </w:rPr>
        <w:t>Service users' awareness of service options available to them. Local care co-ordinators assisted them in how to use these services</w:t>
      </w:r>
    </w:p>
    <w:p w:rsidR="00DF3827" w:rsidRPr="00B61A38" w:rsidRDefault="00DF3827" w:rsidP="00DF3827">
      <w:pPr>
        <w:pStyle w:val="ListBullet"/>
        <w:rPr>
          <w:b/>
        </w:rPr>
      </w:pPr>
      <w:r>
        <w:rPr>
          <w:lang w:eastAsia="en-IE"/>
        </w:rPr>
        <w:t>Disability awareness in communities</w:t>
      </w:r>
      <w:r>
        <w:rPr>
          <w:rStyle w:val="FootnoteReference"/>
        </w:rPr>
        <w:footnoteReference w:id="116"/>
      </w:r>
    </w:p>
    <w:p w:rsidR="00B61A38" w:rsidRPr="00703E65" w:rsidRDefault="00B61A38" w:rsidP="00B61A38">
      <w:pPr>
        <w:pStyle w:val="Heading4"/>
        <w:rPr>
          <w:rFonts w:ascii="Arial" w:hAnsi="Arial"/>
          <w:lang w:eastAsia="en-IE"/>
        </w:rPr>
      </w:pPr>
      <w:bookmarkStart w:id="142" w:name="_Toc267920951"/>
      <w:r>
        <w:rPr>
          <w:lang w:eastAsia="en-IE"/>
        </w:rPr>
        <w:t>SPAEN and peer support</w:t>
      </w:r>
      <w:bookmarkEnd w:id="142"/>
    </w:p>
    <w:p w:rsidR="00B61A38" w:rsidRDefault="00B61A38" w:rsidP="00B61A38">
      <w:pPr>
        <w:autoSpaceDE w:val="0"/>
        <w:autoSpaceDN w:val="0"/>
        <w:adjustRightInd w:val="0"/>
        <w:spacing w:after="0" w:line="240" w:lineRule="atLeast"/>
        <w:rPr>
          <w:rFonts w:cs="Arial"/>
          <w:lang w:eastAsia="en-IE"/>
        </w:rPr>
      </w:pPr>
      <w:r>
        <w:rPr>
          <w:rFonts w:cs="Arial"/>
          <w:lang w:eastAsia="en-IE"/>
        </w:rPr>
        <w:t xml:space="preserve">In the opinion of a key informant </w:t>
      </w:r>
      <w:r w:rsidR="00DE345C">
        <w:rPr>
          <w:rFonts w:cs="Arial"/>
          <w:lang w:eastAsia="en-IE"/>
        </w:rPr>
        <w:t xml:space="preserve">for this paper, </w:t>
      </w:r>
      <w:r>
        <w:rPr>
          <w:rFonts w:cs="Arial"/>
          <w:lang w:eastAsia="en-IE"/>
        </w:rPr>
        <w:t>the p</w:t>
      </w:r>
      <w:r w:rsidRPr="00703E65">
        <w:rPr>
          <w:rFonts w:cs="Arial"/>
          <w:lang w:eastAsia="en-IE"/>
        </w:rPr>
        <w:t xml:space="preserve">eer support </w:t>
      </w:r>
      <w:r>
        <w:rPr>
          <w:rFonts w:cs="Arial"/>
          <w:lang w:eastAsia="en-IE"/>
        </w:rPr>
        <w:t xml:space="preserve"> and other work carried out by SPAEN has been essential to the development of Independent Living in </w:t>
      </w:r>
      <w:smartTag w:uri="urn:schemas-microsoft-com:office:smarttags" w:element="country-region">
        <w:smartTag w:uri="urn:schemas-microsoft-com:office:smarttags" w:element="place">
          <w:r>
            <w:rPr>
              <w:rFonts w:cs="Arial"/>
              <w:lang w:eastAsia="en-IE"/>
            </w:rPr>
            <w:t>Scotland</w:t>
          </w:r>
        </w:smartTag>
      </w:smartTag>
      <w:r>
        <w:rPr>
          <w:rFonts w:cs="Arial"/>
          <w:lang w:eastAsia="en-IE"/>
        </w:rPr>
        <w:t>. It has been a beneficial training resource for local authorities and other organisations regarding the delivery of direct payments.</w:t>
      </w:r>
    </w:p>
    <w:p w:rsidR="0097317F" w:rsidRDefault="00DE345C" w:rsidP="00C36CA2">
      <w:pPr>
        <w:pStyle w:val="Heading4"/>
        <w:rPr>
          <w:lang w:eastAsia="en-IE"/>
        </w:rPr>
      </w:pPr>
      <w:r>
        <w:rPr>
          <w:lang w:eastAsia="en-IE"/>
        </w:rPr>
        <w:t xml:space="preserve">Individualised budgets and self </w:t>
      </w:r>
      <w:r w:rsidR="0097317F">
        <w:rPr>
          <w:lang w:eastAsia="en-IE"/>
        </w:rPr>
        <w:t xml:space="preserve"> directed support systems</w:t>
      </w:r>
      <w:bookmarkEnd w:id="141"/>
    </w:p>
    <w:p w:rsidR="0097317F" w:rsidRDefault="00DE345C" w:rsidP="0097317F">
      <w:pPr>
        <w:rPr>
          <w:lang w:eastAsia="en-IE"/>
        </w:rPr>
      </w:pPr>
      <w:r>
        <w:t xml:space="preserve">User led individualised budgets, and self directed support were identified by key informants in Scotland as important strengths in the system, empowering service users and improving choice and control in the system.  </w:t>
      </w:r>
    </w:p>
    <w:p w:rsidR="0097317F" w:rsidRDefault="0097317F" w:rsidP="00C36CA2">
      <w:pPr>
        <w:pStyle w:val="Heading4"/>
        <w:rPr>
          <w:lang w:val="en-US" w:bidi="en-US"/>
        </w:rPr>
      </w:pPr>
      <w:bookmarkStart w:id="143" w:name="_Toc247447255"/>
      <w:bookmarkStart w:id="144" w:name="_Toc254268562"/>
      <w:bookmarkStart w:id="145" w:name="_Toc267920953"/>
      <w:bookmarkEnd w:id="140"/>
      <w:r>
        <w:rPr>
          <w:lang w:val="en-US" w:bidi="en-US"/>
        </w:rPr>
        <w:t>Gaps in service provision</w:t>
      </w:r>
      <w:bookmarkEnd w:id="145"/>
      <w:r>
        <w:rPr>
          <w:lang w:val="en-US" w:bidi="en-US"/>
        </w:rPr>
        <w:t xml:space="preserve"> </w:t>
      </w:r>
    </w:p>
    <w:p w:rsidR="0097317F" w:rsidRPr="006D571D" w:rsidRDefault="0097317F" w:rsidP="0097317F">
      <w:pPr>
        <w:rPr>
          <w:lang w:val="en-US" w:bidi="en-US"/>
        </w:rPr>
      </w:pPr>
      <w:r>
        <w:rPr>
          <w:lang w:val="en-US" w:bidi="en-US"/>
        </w:rPr>
        <w:t xml:space="preserve">A Scottish Executive report (2008) stated </w:t>
      </w:r>
      <w:bookmarkEnd w:id="143"/>
      <w:bookmarkEnd w:id="144"/>
      <w:r>
        <w:rPr>
          <w:lang w:val="en-US" w:bidi="en-US"/>
        </w:rPr>
        <w:t xml:space="preserve">that </w:t>
      </w:r>
      <w:r>
        <w:rPr>
          <w:rFonts w:cs="Helvetica"/>
          <w:lang w:val="en-US" w:bidi="en-US"/>
        </w:rPr>
        <w:t>research revealed that there were certain gaps and shortages regarding the provision of care services for particular groups, including people with early onset of dementia.</w:t>
      </w:r>
      <w:r>
        <w:rPr>
          <w:rStyle w:val="FootnoteReference"/>
          <w:rFonts w:ascii="Helvetica" w:hAnsi="Helvetica" w:cs="Helvetica"/>
          <w:lang w:bidi="en-US"/>
        </w:rPr>
        <w:footnoteReference w:id="117"/>
      </w:r>
    </w:p>
    <w:p w:rsidR="0097317F" w:rsidRDefault="0097317F" w:rsidP="00C36CA2">
      <w:pPr>
        <w:pStyle w:val="Heading4"/>
        <w:rPr>
          <w:lang w:val="en-US" w:bidi="en-US"/>
        </w:rPr>
      </w:pPr>
      <w:bookmarkStart w:id="146" w:name="_Toc247447256"/>
      <w:bookmarkStart w:id="147" w:name="_Toc254268563"/>
      <w:bookmarkStart w:id="148" w:name="_Toc267920954"/>
      <w:r>
        <w:rPr>
          <w:lang w:val="en-US" w:bidi="en-US"/>
        </w:rPr>
        <w:t>Unmet Nee</w:t>
      </w:r>
      <w:bookmarkEnd w:id="146"/>
      <w:bookmarkEnd w:id="147"/>
      <w:r>
        <w:rPr>
          <w:lang w:val="en-US" w:bidi="en-US"/>
        </w:rPr>
        <w:t>ds</w:t>
      </w:r>
      <w:bookmarkEnd w:id="148"/>
    </w:p>
    <w:p w:rsidR="0097317F"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n-US" w:bidi="en-US"/>
        </w:rPr>
      </w:pPr>
      <w:r>
        <w:rPr>
          <w:lang w:val="en-US" w:bidi="en-US"/>
        </w:rPr>
        <w:t>A Scottish government report</w:t>
      </w:r>
      <w:r>
        <w:rPr>
          <w:rFonts w:cs="Helvetica"/>
          <w:lang w:val="en-US" w:bidi="en-US"/>
        </w:rPr>
        <w:t xml:space="preserve"> stated that statistics were kept about unmet need in terms of care services. It found that ‘needs were often discussed in terms of the services deemed necessary to meet them rather than in a wider ‘needs-led’ context’. It also reported that people with disabilities had a low level of involvement in community care assessments and that needs assessment was subject to geographic variation, with local authorities, and sometimes local teams within authorities, interpreting central guidance differently</w:t>
      </w:r>
      <w:r>
        <w:rPr>
          <w:rStyle w:val="FootnoteReference"/>
          <w:rFonts w:cs="Helvetica"/>
          <w:lang w:bidi="en-US"/>
        </w:rPr>
        <w:footnoteReference w:id="118"/>
      </w:r>
      <w:r>
        <w:rPr>
          <w:rFonts w:cs="Helvetica"/>
          <w:lang w:val="en-US" w:bidi="en-US"/>
        </w:rPr>
        <w:t>.</w:t>
      </w:r>
    </w:p>
    <w:p w:rsidR="0097317F" w:rsidRDefault="0097317F" w:rsidP="0097317F">
      <w:pPr>
        <w:pStyle w:val="Heading1"/>
        <w:sectPr w:rsidR="0097317F" w:rsidSect="006B2928">
          <w:pgSz w:w="11906" w:h="16838"/>
          <w:pgMar w:top="1440" w:right="1800" w:bottom="1440" w:left="1800" w:header="708" w:footer="708" w:gutter="0"/>
          <w:cols w:space="720"/>
        </w:sectPr>
      </w:pPr>
      <w:bookmarkStart w:id="149" w:name="_Toc247447226"/>
      <w:bookmarkStart w:id="150" w:name="_Toc246242134"/>
      <w:bookmarkStart w:id="151" w:name="_Toc247447254"/>
      <w:bookmarkStart w:id="152" w:name="_Toc247447273"/>
      <w:bookmarkStart w:id="153" w:name="_Toc255836009"/>
      <w:bookmarkEnd w:id="135"/>
    </w:p>
    <w:p w:rsidR="0097317F" w:rsidRDefault="00D14D3A" w:rsidP="0097317F">
      <w:pPr>
        <w:pStyle w:val="Heading1"/>
      </w:pPr>
      <w:bookmarkStart w:id="154" w:name="_Toc267920958"/>
      <w:bookmarkStart w:id="155" w:name="_Toc269478468"/>
      <w:bookmarkStart w:id="156" w:name="_Toc279136923"/>
      <w:r>
        <w:t>10.</w:t>
      </w:r>
      <w:r w:rsidR="0097317F">
        <w:t xml:space="preserve"> References</w:t>
      </w:r>
      <w:bookmarkEnd w:id="152"/>
      <w:bookmarkEnd w:id="153"/>
      <w:bookmarkEnd w:id="154"/>
      <w:bookmarkEnd w:id="155"/>
      <w:bookmarkEnd w:id="156"/>
    </w:p>
    <w:p w:rsidR="0097317F" w:rsidRPr="00592EBA" w:rsidRDefault="0097317F" w:rsidP="0097317F">
      <w:r>
        <w:t xml:space="preserve">Advice guide. Online help from Citizen's advice </w:t>
      </w:r>
      <w:r w:rsidRPr="00592EBA">
        <w:t>http://www.adviceguide.org.uk/scotland/your_rights/civil_rights_scotland/local_government_services_scotland.htm#Local_authority_services</w:t>
      </w:r>
    </w:p>
    <w:p w:rsidR="0097317F"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171B3">
        <w:rPr>
          <w:lang w:eastAsia="en-IE"/>
        </w:rPr>
        <w:t>Benefits for people with disabilities</w:t>
      </w:r>
      <w:r w:rsidRPr="00C171B3">
        <w:t xml:space="preserve"> </w:t>
      </w:r>
      <w:r>
        <w:t>http://www.adviceguide.org.uk/scotland/your_money/benefits/benefits_for_people_who_are_sick_or_disabled.</w:t>
      </w:r>
    </w:p>
    <w:p w:rsidR="0097317F" w:rsidRDefault="0097317F" w:rsidP="0097317F">
      <w:r w:rsidRPr="00212A47">
        <w:t>Community Health Partnerships. http://www.sehd.scot.nhs.uk/chp/</w:t>
      </w:r>
    </w:p>
    <w:p w:rsidR="0097317F" w:rsidRDefault="0097317F" w:rsidP="0097317F">
      <w:r w:rsidRPr="00FD2A25">
        <w:t xml:space="preserve">Counsel + Care </w:t>
      </w:r>
      <w:r>
        <w:t xml:space="preserve">guide. </w:t>
      </w:r>
      <w:r w:rsidRPr="00FD2A25">
        <w:rPr>
          <w:lang w:eastAsia="en-IE"/>
        </w:rPr>
        <w:t>Assessment and services from</w:t>
      </w:r>
      <w:r>
        <w:rPr>
          <w:lang w:eastAsia="en-IE"/>
        </w:rPr>
        <w:t xml:space="preserve"> your local council in </w:t>
      </w:r>
      <w:smartTag w:uri="urn:schemas-microsoft-com:office:smarttags" w:element="country-region">
        <w:smartTag w:uri="urn:schemas-microsoft-com:office:smarttags" w:element="place">
          <w:r w:rsidRPr="00FD2A25">
            <w:rPr>
              <w:lang w:eastAsia="en-IE"/>
            </w:rPr>
            <w:t>Scotland</w:t>
          </w:r>
        </w:smartTag>
      </w:smartTag>
      <w:r>
        <w:rPr>
          <w:lang w:eastAsia="en-IE"/>
        </w:rPr>
        <w:t xml:space="preserve"> </w:t>
      </w:r>
      <w:r w:rsidRPr="00F11A7D">
        <w:t>http://www.firststopcareadvice.org.uk/downloads/resources/2951.pdf</w:t>
      </w:r>
    </w:p>
    <w:p w:rsidR="0041156B" w:rsidRPr="0041156B" w:rsidRDefault="0041156B" w:rsidP="0097317F">
      <w:pPr>
        <w:rPr>
          <w:rFonts w:cs="Arial"/>
          <w:lang w:val="en-US"/>
        </w:rPr>
      </w:pPr>
      <w:r w:rsidRPr="007D02C1">
        <w:rPr>
          <w:lang w:val="en-US"/>
        </w:rPr>
        <w:t xml:space="preserve">Curtice, L. and Fraser, F. (2002) The Domiciliary Care Market in </w:t>
      </w:r>
      <w:smartTag w:uri="urn:schemas-microsoft-com:office:smarttags" w:element="country-region">
        <w:smartTag w:uri="urn:schemas-microsoft-com:office:smarttags" w:element="place">
          <w:r w:rsidRPr="007D02C1">
            <w:rPr>
              <w:lang w:val="en-US"/>
            </w:rPr>
            <w:t>Scotland</w:t>
          </w:r>
        </w:smartTag>
      </w:smartTag>
      <w:r w:rsidRPr="007D02C1">
        <w:rPr>
          <w:lang w:val="en-US"/>
        </w:rPr>
        <w:t xml:space="preserve"> Quazi-markets revisited, Health and Social Care in the Community 8 (4) 260-268</w:t>
      </w:r>
    </w:p>
    <w:p w:rsidR="0097317F" w:rsidRDefault="0097317F" w:rsidP="0097317F">
      <w:r w:rsidRPr="00F864A3">
        <w:t>Department of Health. HM Government (2009) Valuing Employment Now: real jobs for people with learning disabilities</w:t>
      </w:r>
      <w:r w:rsidRPr="00212A47">
        <w:t xml:space="preserve"> </w:t>
      </w:r>
    </w:p>
    <w:p w:rsidR="0097317F" w:rsidRPr="00212A47" w:rsidRDefault="0097317F" w:rsidP="0097317F">
      <w:r w:rsidRPr="00212A47">
        <w:t>Education Acts 2004 &amp; 2009: Consultation on Changes to the Secondary Legislation and Supporting children's Learning Code of Practice www.scotland.gov.uk/Publications/2009/11/03140104/12</w:t>
      </w:r>
    </w:p>
    <w:p w:rsidR="0097317F" w:rsidRDefault="0097317F" w:rsidP="0097317F">
      <w:r w:rsidRPr="00B34181">
        <w:t>Employability Learning Network</w:t>
      </w:r>
      <w:r>
        <w:t xml:space="preserve"> </w:t>
      </w:r>
      <w:r w:rsidRPr="00216C4B">
        <w:t>http://www.employabilityinscotland.com/employabilitylearningnetwork_1.aspx</w:t>
      </w:r>
    </w:p>
    <w:p w:rsidR="002C430F" w:rsidRPr="00216C4B" w:rsidRDefault="002C430F" w:rsidP="0097317F">
      <w:r w:rsidRPr="002C430F">
        <w:t>Ethertington</w:t>
      </w:r>
      <w:r w:rsidRPr="002C430F">
        <w:rPr>
          <w:lang w:val="en-US"/>
        </w:rPr>
        <w:t xml:space="preserve">, K., Hatton, C., Water, J. (2009) Way Ahead. Our early experience in </w:t>
      </w:r>
      <w:smartTag w:uri="urn:schemas-microsoft-com:office:smarttags" w:element="place">
        <w:r w:rsidRPr="002C430F">
          <w:rPr>
            <w:lang w:val="en-US"/>
          </w:rPr>
          <w:t>North Lanarkshire</w:t>
        </w:r>
      </w:smartTag>
      <w:r w:rsidRPr="002C430F">
        <w:rPr>
          <w:lang w:val="en-US"/>
        </w:rPr>
        <w:t xml:space="preserve"> of demonstrating the impact of the In Control approach.  In Control </w:t>
      </w:r>
      <w:smartTag w:uri="urn:schemas-microsoft-com:office:smarttags" w:element="country-region">
        <w:smartTag w:uri="urn:schemas-microsoft-com:office:smarttags" w:element="place">
          <w:r w:rsidRPr="002C430F">
            <w:rPr>
              <w:lang w:val="en-US"/>
            </w:rPr>
            <w:t>Scotland</w:t>
          </w:r>
        </w:smartTag>
      </w:smartTag>
      <w:r w:rsidRPr="002C430F">
        <w:t>.</w:t>
      </w:r>
    </w:p>
    <w:p w:rsidR="0097317F"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t xml:space="preserve">Goodwin, N., </w:t>
      </w:r>
      <w:smartTag w:uri="urn:schemas-microsoft-com:office:smarttags" w:element="City">
        <w:smartTag w:uri="urn:schemas-microsoft-com:office:smarttags" w:element="place">
          <w:r>
            <w:t>Dixon</w:t>
          </w:r>
        </w:smartTag>
      </w:smartTag>
      <w:r>
        <w:t>, J., Feeley, D; Ham, C</w:t>
      </w:r>
      <w:r>
        <w:rPr>
          <w:lang w:val="en-US"/>
        </w:rPr>
        <w:t>.</w:t>
      </w:r>
      <w:r>
        <w:t xml:space="preserve">(2008) Country Case study </w:t>
      </w:r>
      <w:smartTag w:uri="urn:schemas-microsoft-com:office:smarttags" w:element="country-region">
        <w:smartTag w:uri="urn:schemas-microsoft-com:office:smarttags" w:element="place">
          <w:r>
            <w:t>UK</w:t>
          </w:r>
        </w:smartTag>
      </w:smartTag>
      <w:r>
        <w:t xml:space="preserve">.  Primary Care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Scotland</w:t>
          </w:r>
        </w:smartTag>
      </w:smartTag>
      <w:r>
        <w:t xml:space="preserve">. Paper presented at Conference on  </w:t>
      </w:r>
      <w:r>
        <w:rPr>
          <w:lang w:val="en-US"/>
        </w:rPr>
        <w:t xml:space="preserve">Improving primary care in </w:t>
      </w:r>
      <w:smartTag w:uri="urn:schemas-microsoft-com:office:smarttags" w:element="place">
        <w:r>
          <w:rPr>
            <w:lang w:val="en-US"/>
          </w:rPr>
          <w:t>Europe</w:t>
        </w:r>
      </w:smartTag>
      <w:r>
        <w:rPr>
          <w:lang w:val="en-US"/>
        </w:rPr>
        <w:t xml:space="preserve"> and the </w:t>
      </w:r>
      <w:smartTag w:uri="urn:schemas-microsoft-com:office:smarttags" w:element="country-region">
        <w:smartTag w:uri="urn:schemas-microsoft-com:office:smarttags" w:element="place">
          <w:r>
            <w:rPr>
              <w:lang w:val="en-US"/>
            </w:rPr>
            <w:t>US</w:t>
          </w:r>
        </w:smartTag>
      </w:smartTag>
      <w:r>
        <w:rPr>
          <w:lang w:val="en-US"/>
        </w:rPr>
        <w:t xml:space="preserve">: Towards patient-centered, proactive and coordinated systems of care, </w:t>
      </w:r>
      <w:smartTag w:uri="urn:schemas-microsoft-com:office:smarttags" w:element="country-region">
        <w:smartTag w:uri="urn:schemas-microsoft-com:office:smarttags" w:element="place">
          <w:r>
            <w:rPr>
              <w:lang w:val="en-US"/>
            </w:rPr>
            <w:t>Italy</w:t>
          </w:r>
        </w:smartTag>
      </w:smartTag>
      <w:r>
        <w:rPr>
          <w:lang w:val="en-US"/>
        </w:rPr>
        <w:t>.</w:t>
      </w:r>
    </w:p>
    <w:p w:rsidR="002C430F" w:rsidRPr="002C430F" w:rsidRDefault="002C430F" w:rsidP="002C430F">
      <w:r w:rsidRPr="00B91B53">
        <w:t xml:space="preserve">In Control </w:t>
      </w:r>
      <w:smartTag w:uri="urn:schemas-microsoft-com:office:smarttags" w:element="country-region">
        <w:smartTag w:uri="urn:schemas-microsoft-com:office:smarttags" w:element="place">
          <w:r w:rsidRPr="00B91B53">
            <w:t>Scotland</w:t>
          </w:r>
        </w:smartTag>
      </w:smartTag>
      <w:r w:rsidRPr="00B91B53">
        <w:t xml:space="preserve"> </w:t>
      </w:r>
      <w:r>
        <w:t>http://www.in-</w:t>
      </w:r>
      <w:r w:rsidRPr="00B91B53">
        <w:t>contr</w:t>
      </w:r>
      <w:r>
        <w:t>ol.org.uk/</w:t>
      </w:r>
    </w:p>
    <w:p w:rsidR="0097317F" w:rsidRDefault="0097317F" w:rsidP="0097317F">
      <w:r>
        <w:t xml:space="preserve">Independent Living in </w:t>
      </w:r>
      <w:smartTag w:uri="urn:schemas-microsoft-com:office:smarttags" w:element="country-region">
        <w:smartTag w:uri="urn:schemas-microsoft-com:office:smarttags" w:element="place">
          <w:r>
            <w:t>Scotland</w:t>
          </w:r>
        </w:smartTag>
      </w:smartTag>
      <w:r>
        <w:t xml:space="preserve"> website </w:t>
      </w:r>
      <w:r w:rsidRPr="009D39C0">
        <w:t>http://www.ilis.co.uk/about.aspx</w:t>
      </w:r>
    </w:p>
    <w:p w:rsidR="002C430F" w:rsidRPr="009D39C0" w:rsidRDefault="002C430F" w:rsidP="0097317F">
      <w:r w:rsidRPr="0041156B">
        <w:t>Improvement Services Website</w:t>
      </w:r>
      <w:r>
        <w:t xml:space="preserve"> </w:t>
      </w:r>
      <w:r w:rsidRPr="001058C1">
        <w:t>http://www.improvementservice.org.uk/single-outcome-agreements/</w:t>
      </w:r>
    </w:p>
    <w:p w:rsidR="0097317F" w:rsidRPr="00E81A25" w:rsidRDefault="0097317F" w:rsidP="0097317F">
      <w:pPr>
        <w:rPr>
          <w:rFonts w:cs="Arial"/>
          <w:lang w:eastAsia="en-IE"/>
        </w:rPr>
      </w:pPr>
      <w:r w:rsidRPr="00E81A25">
        <w:t>Law, J.,</w:t>
      </w:r>
      <w:r>
        <w:t xml:space="preserve"> </w:t>
      </w:r>
      <w:r w:rsidRPr="00E81A25">
        <w:t>McCann, D., O' May, F., Smart,</w:t>
      </w:r>
      <w:r>
        <w:t xml:space="preserve"> </w:t>
      </w:r>
      <w:r w:rsidRPr="00E81A25">
        <w:t xml:space="preserve">C., Buchan, J. (2009) </w:t>
      </w:r>
      <w:r w:rsidRPr="00E81A25">
        <w:rPr>
          <w:lang w:eastAsia="en-IE"/>
        </w:rPr>
        <w:t>Service Provision for Children and Young People with Complex Needs in a Community Setting from The Perspectives of Nursing and Allied Health Professionals</w:t>
      </w:r>
      <w:r>
        <w:rPr>
          <w:lang w:eastAsia="en-IE"/>
        </w:rPr>
        <w:t>. Scottish Government</w:t>
      </w:r>
    </w:p>
    <w:p w:rsidR="0097317F" w:rsidRDefault="0097317F" w:rsidP="0097317F">
      <w:pPr>
        <w:rPr>
          <w:lang w:eastAsia="en-IE"/>
        </w:rPr>
      </w:pPr>
      <w:r>
        <w:rPr>
          <w:lang w:eastAsia="en-IE"/>
        </w:rPr>
        <w:t xml:space="preserve">Learning Disability Alliance </w:t>
      </w:r>
      <w:smartTag w:uri="urn:schemas-microsoft-com:office:smarttags" w:element="country-region">
        <w:smartTag w:uri="urn:schemas-microsoft-com:office:smarttags" w:element="place">
          <w:r>
            <w:rPr>
              <w:lang w:eastAsia="en-IE"/>
            </w:rPr>
            <w:t>Scotland</w:t>
          </w:r>
        </w:smartTag>
      </w:smartTag>
      <w:r w:rsidRPr="00101300">
        <w:rPr>
          <w:lang w:eastAsia="en-IE"/>
        </w:rPr>
        <w:t xml:space="preserve"> </w:t>
      </w:r>
      <w:r>
        <w:rPr>
          <w:lang w:eastAsia="en-IE"/>
        </w:rPr>
        <w:t>http://www.ldascotland.org</w:t>
      </w:r>
    </w:p>
    <w:p w:rsidR="0097317F" w:rsidRDefault="0097317F" w:rsidP="0097317F">
      <w:r>
        <w:t xml:space="preserve">Momentum </w:t>
      </w:r>
      <w:smartTag w:uri="urn:schemas-microsoft-com:office:smarttags" w:element="country-region">
        <w:smartTag w:uri="urn:schemas-microsoft-com:office:smarttags" w:element="place">
          <w:r>
            <w:t>Scotland</w:t>
          </w:r>
        </w:smartTag>
      </w:smartTag>
      <w:r>
        <w:t xml:space="preserve"> http://www.momentumscotland.org/web/News%20Centre/Factsheets/Physical%20Disability</w:t>
      </w:r>
    </w:p>
    <w:p w:rsidR="0097317F" w:rsidRDefault="0097317F" w:rsidP="0097317F">
      <w:r w:rsidRPr="006369CB">
        <w:t>NHS Scotland website http://www.show.scot.nhs.uk/introduction.aspx</w:t>
      </w:r>
    </w:p>
    <w:p w:rsidR="0097317F" w:rsidRPr="002C430F" w:rsidRDefault="0097317F" w:rsidP="0097317F">
      <w:pPr>
        <w:rPr>
          <w:rFonts w:cs="Arial"/>
          <w:color w:val="000000"/>
        </w:rPr>
      </w:pPr>
      <w:r w:rsidRPr="002C430F">
        <w:rPr>
          <w:rFonts w:cs="Arial"/>
          <w:color w:val="000000"/>
        </w:rPr>
        <w:t xml:space="preserve">NHS National Services </w:t>
      </w:r>
      <w:smartTag w:uri="urn:schemas-microsoft-com:office:smarttags" w:element="country-region">
        <w:smartTag w:uri="urn:schemas-microsoft-com:office:smarttags" w:element="place">
          <w:r w:rsidRPr="002C430F">
            <w:rPr>
              <w:rFonts w:cs="Arial"/>
              <w:color w:val="000000"/>
            </w:rPr>
            <w:t>Scotland</w:t>
          </w:r>
        </w:smartTag>
      </w:smartTag>
      <w:r w:rsidRPr="002C430F">
        <w:rPr>
          <w:rFonts w:cs="Arial"/>
          <w:color w:val="000000"/>
        </w:rPr>
        <w:t xml:space="preserve">. </w:t>
      </w:r>
      <w:hyperlink r:id="rId12" w:history="1">
        <w:r w:rsidRPr="002C430F">
          <w:rPr>
            <w:rStyle w:val="Hyperlink"/>
            <w:rFonts w:cs="Arial"/>
            <w:color w:val="000000"/>
            <w:u w:val="none"/>
          </w:rPr>
          <w:t>http://www.nhsnss.org/home/index.php</w:t>
        </w:r>
      </w:hyperlink>
    </w:p>
    <w:p w:rsidR="0097317F" w:rsidRPr="00CD2092" w:rsidRDefault="0097317F" w:rsidP="0097317F">
      <w:r w:rsidRPr="00BF1848">
        <w:rPr>
          <w:rFonts w:cs="Arial"/>
          <w:color w:val="000000"/>
          <w:lang w:eastAsia="en-IE"/>
        </w:rPr>
        <w:t xml:space="preserve">National Health Service Quality Improvement Scotland National Overview February (2006) </w:t>
      </w:r>
      <w:r>
        <w:t xml:space="preserve">Learning Disability Services </w:t>
      </w:r>
      <w:r w:rsidRPr="00CD2092">
        <w:t>http://www.nhshealthquality.org/nhsqis/files/NHSQIS%20Learning%20Disability%20Nat%20Overview%20((Feb%202006).pdf</w:t>
      </w:r>
    </w:p>
    <w:p w:rsidR="0097317F" w:rsidRPr="000B74C9" w:rsidRDefault="0097317F" w:rsidP="0097317F">
      <w:r w:rsidRPr="00CA2066">
        <w:t xml:space="preserve">National Statistics </w:t>
      </w:r>
      <w:smartTag w:uri="urn:schemas-microsoft-com:office:smarttags" w:element="country-region">
        <w:smartTag w:uri="urn:schemas-microsoft-com:office:smarttags" w:element="place">
          <w:r w:rsidRPr="00CA2066">
            <w:t>Scotland</w:t>
          </w:r>
        </w:smartTag>
      </w:smartTag>
      <w:r w:rsidRPr="00CA2066">
        <w:t xml:space="preserve"> (2008). </w:t>
      </w:r>
      <w:r w:rsidRPr="00CA2066">
        <w:rPr>
          <w:iCs/>
        </w:rPr>
        <w:t>Health and Community Care Publications</w:t>
      </w:r>
      <w:r w:rsidRPr="00CA2066">
        <w:t>, http://www.scotland.gov.uk/Topics/Statis</w:t>
      </w:r>
      <w:r>
        <w:t>tics/Browse/Health/Publications.</w:t>
      </w:r>
      <w:r w:rsidRPr="006369CB">
        <w:t>NES Mental Health Act http://www.nes.scot.nhs.uk/mha/intro.htm</w:t>
      </w:r>
    </w:p>
    <w:p w:rsidR="0097317F" w:rsidRPr="00212A47" w:rsidRDefault="0097317F" w:rsidP="0097317F">
      <w:r w:rsidRPr="00212A47">
        <w:t>Office of Public Sector Information (2007): Adult Support and Protection (</w:t>
      </w:r>
      <w:smartTag w:uri="urn:schemas-microsoft-com:office:smarttags" w:element="country-region">
        <w:smartTag w:uri="urn:schemas-microsoft-com:office:smarttags" w:element="place">
          <w:r w:rsidRPr="00212A47">
            <w:t>Scotland</w:t>
          </w:r>
        </w:smartTag>
      </w:smartTag>
      <w:r w:rsidRPr="00212A47">
        <w:t>) 2007 http://www.opsi.gov.uk/legislation/scotland/acts2007/asp_20070010_en_1</w:t>
      </w:r>
    </w:p>
    <w:p w:rsidR="0097317F" w:rsidRDefault="0097317F" w:rsidP="0097317F">
      <w:r>
        <w:t>Pearson, C. (2000) Money Talks? Competing Discourses in the implementation of direct payments. Critical Social Policy, 20,4.</w:t>
      </w:r>
    </w:p>
    <w:p w:rsidR="00EC4D07" w:rsidRPr="00EC4D07" w:rsidRDefault="00EC4D07" w:rsidP="0097317F">
      <w:r>
        <w:t>Prime Minister's Strategy Unit (2005) Improving the Life Chances of Disabled People</w:t>
      </w:r>
      <w:r w:rsidRPr="00EC4D07">
        <w:t xml:space="preserve"> http://www.cabinetoffice.gov.uk/media/cabinetoffice/strategy/assets/disability.pdf</w:t>
      </w:r>
    </w:p>
    <w:p w:rsidR="0097317F" w:rsidRDefault="0097317F" w:rsidP="0097317F">
      <w:r w:rsidRPr="006369CB">
        <w:t>Public sector, ICT, e-government news &amp; jobs website http://www.publictechnology.net/modules.php?op=modload&amp;name=News&amp;file=article&amp;sid=844</w:t>
      </w:r>
    </w:p>
    <w:p w:rsidR="0097317F" w:rsidRDefault="0097317F" w:rsidP="0097317F">
      <w:r>
        <w:t xml:space="preserve">Reid Howe Associates (2009) Ready for Action. Key issues and disabled people's priorities for independent living. Independent Living in </w:t>
      </w:r>
      <w:smartTag w:uri="urn:schemas-microsoft-com:office:smarttags" w:element="country-region">
        <w:smartTag w:uri="urn:schemas-microsoft-com:office:smarttags" w:element="place">
          <w:r>
            <w:t>Scotland</w:t>
          </w:r>
        </w:smartTag>
      </w:smartTag>
    </w:p>
    <w:p w:rsidR="0097317F" w:rsidRPr="001C356A" w:rsidRDefault="0097317F" w:rsidP="0097317F">
      <w:r>
        <w:t xml:space="preserve">Report of the 21st Century Work Review </w:t>
      </w:r>
      <w:r w:rsidRPr="001C356A">
        <w:t>(2006)</w:t>
      </w:r>
      <w:r>
        <w:t xml:space="preserve"> Changing Lives</w:t>
      </w:r>
      <w:r w:rsidRPr="001C356A">
        <w:t xml:space="preserve"> http://scotland.gov.uk/Resource/Doc/91931/0021949.pdf</w:t>
      </w:r>
    </w:p>
    <w:p w:rsidR="0097317F" w:rsidRDefault="0097317F" w:rsidP="0097317F">
      <w:r>
        <w:t xml:space="preserve">Riddell, S., Pearson, C., Jolly, D., Barnes, C., Priestley, M. and Mercer, G. (2005)  The Development of direct payments in the </w:t>
      </w:r>
      <w:smartTag w:uri="urn:schemas-microsoft-com:office:smarttags" w:element="country-region">
        <w:smartTag w:uri="urn:schemas-microsoft-com:office:smarttags" w:element="place">
          <w:r>
            <w:t>UK</w:t>
          </w:r>
        </w:smartTag>
      </w:smartTag>
      <w:r>
        <w:t>: Implications for Social Justice. Social Policy and Society 4,1,75-87.</w:t>
      </w:r>
    </w:p>
    <w:p w:rsidR="0097317F" w:rsidRDefault="0097317F" w:rsidP="0097317F">
      <w:r>
        <w:t>Riddell, S., Ahlgren, L., Pearson, C., Williams, V., Watson, N., MacFarlane, H. (2006) The Implementation of  Direct Payments in Scotland for People who use Care Services, Centre for Research in Education Inclusion and Diversity.</w:t>
      </w:r>
    </w:p>
    <w:p w:rsidR="0097317F" w:rsidRPr="002635F6" w:rsidRDefault="0097317F" w:rsidP="0097317F">
      <w:r w:rsidRPr="002635F6">
        <w:t>R</w:t>
      </w:r>
      <w:r>
        <w:t>idley, J., Hunter, S.  &amp; Infusion Co-operative (2005) Go for it! Supporting People with Learning Disabilities and /or Autism Spectrum Disorder in Employment. Scottish Executive Social Research.</w:t>
      </w:r>
    </w:p>
    <w:p w:rsidR="0097317F" w:rsidRDefault="0097317F" w:rsidP="0097317F">
      <w:smartTag w:uri="urn:schemas-microsoft-com:office:smarttags" w:element="country-region">
        <w:smartTag w:uri="urn:schemas-microsoft-com:office:smarttags" w:element="place">
          <w:r>
            <w:t>Scotland</w:t>
          </w:r>
        </w:smartTag>
      </w:smartTag>
      <w:r>
        <w:t xml:space="preserve"> the Official Online Gateway http://www.scotland.org/about/fact-file/population/index.html</w:t>
      </w:r>
    </w:p>
    <w:p w:rsidR="0097317F"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lang w:val="en-US" w:bidi="en-US"/>
        </w:rPr>
        <w:t xml:space="preserve">Scottish Executive (1999) MEL (1999) 67 Good practice: Equality for disabled people in the NHSiS: access to services http://www.show.scot.nhs.uk/publications/me/pcap/b-2_.pdf  </w:t>
      </w:r>
    </w:p>
    <w:p w:rsidR="0097317F"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lang w:val="en-US" w:bidi="en-US"/>
        </w:rPr>
        <w:t xml:space="preserve">Scottish Executive (2000b) The same as you? A review of services for people with learning disabilities http://www.scotland.gov.uk/ldsr/docs/tsay-00.asp </w:t>
      </w:r>
    </w:p>
    <w:p w:rsidR="0097317F" w:rsidRPr="002635F6" w:rsidRDefault="0097317F" w:rsidP="0097317F">
      <w:pPr>
        <w:rPr>
          <w:rFonts w:cs="Arial"/>
          <w:lang w:eastAsia="en-IE"/>
        </w:rPr>
      </w:pPr>
      <w:r w:rsidRPr="002635F6">
        <w:rPr>
          <w:lang w:eastAsia="en-IE"/>
        </w:rPr>
        <w:t xml:space="preserve">Scottish Executive (2004) “Adults with Learning Disabilities Implementation of ‘The same as you? </w:t>
      </w:r>
      <w:smartTag w:uri="urn:schemas-microsoft-com:office:smarttags" w:element="country-region">
        <w:smartTag w:uri="urn:schemas-microsoft-com:office:smarttags" w:element="place">
          <w:r w:rsidRPr="002635F6">
            <w:rPr>
              <w:lang w:eastAsia="en-IE"/>
            </w:rPr>
            <w:t>Scotland</w:t>
          </w:r>
        </w:smartTag>
      </w:smartTag>
      <w:r w:rsidRPr="002635F6">
        <w:rPr>
          <w:lang w:eastAsia="en-IE"/>
        </w:rPr>
        <w:t xml:space="preserve"> 2003”, National Statistics Publication, </w:t>
      </w:r>
      <w:smartTag w:uri="urn:schemas-microsoft-com:office:smarttags" w:element="City">
        <w:smartTag w:uri="urn:schemas-microsoft-com:office:smarttags" w:element="place">
          <w:r w:rsidRPr="002635F6">
            <w:rPr>
              <w:lang w:eastAsia="en-IE"/>
            </w:rPr>
            <w:t>Edinburgh</w:t>
          </w:r>
        </w:smartTag>
      </w:smartTag>
      <w:r w:rsidRPr="002635F6">
        <w:rPr>
          <w:lang w:eastAsia="en-IE"/>
        </w:rPr>
        <w:t>: Scottish Executive.</w:t>
      </w:r>
    </w:p>
    <w:p w:rsidR="0097317F" w:rsidRPr="003602C1" w:rsidRDefault="0097317F" w:rsidP="0097317F">
      <w:pPr>
        <w:rPr>
          <w:lang w:val="en-US" w:bidi="en-US"/>
        </w:rPr>
      </w:pPr>
      <w:r>
        <w:rPr>
          <w:lang w:val="en-US" w:bidi="en-US"/>
        </w:rPr>
        <w:t xml:space="preserve">Scottish Executive (2004j) Home at last? The Same as you? National Implementation Group Report of the short-life working group on Hospital Closure and Service Reprovision http://www.scotland.gov.uk/Publications/2004/01/18742/31614 </w:t>
      </w:r>
    </w:p>
    <w:p w:rsidR="0097317F" w:rsidRPr="00E27B1E" w:rsidRDefault="0097317F" w:rsidP="0097317F">
      <w:r w:rsidRPr="00E27B1E">
        <w:t>Scottish Executive National Statistics Publication (2006)  Statistics Release, Direct Payments Scotland 2006. www.scotland.gov.uk/Resource/Doc/149651/0039854.pdf</w:t>
      </w:r>
    </w:p>
    <w:p w:rsidR="0097317F"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Pr>
          <w:rFonts w:cs="Arial"/>
          <w:lang w:val="en-US" w:bidi="en-US"/>
        </w:rPr>
        <w:t>Scottish Executive (2006c) High level summary of Statistics – Equality http://www.scotland.gov.uk/Publications/2006/11/20102424/11</w:t>
      </w:r>
    </w:p>
    <w:p w:rsidR="0097317F"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Pr>
          <w:rFonts w:cs="Arial"/>
          <w:lang w:val="en-US" w:bidi="en-US"/>
        </w:rPr>
        <w:t xml:space="preserve">Scottish Executive (2006e) The same as you? - Partnership in Practice Agreements 2004-2007: National Overview and Next Steps http://www.scotland.gov.uk/Publications/2006/10/30103929/0 </w:t>
      </w:r>
    </w:p>
    <w:p w:rsidR="0041156B" w:rsidRPr="0041156B" w:rsidRDefault="0041156B" w:rsidP="0041156B">
      <w:pPr>
        <w:rPr>
          <w:rFonts w:ascii="Gill Sans" w:hAnsi="Gill Sans"/>
        </w:rPr>
      </w:pPr>
      <w:r w:rsidRPr="0041156B">
        <w:t>Scottish Executive, (2010) Guidance on procurement of social care for consultation; http://www.scotland.gov.uk/Publications/2010/01/13125045/0</w:t>
      </w:r>
    </w:p>
    <w:p w:rsidR="002C430F" w:rsidRPr="00C47353" w:rsidRDefault="002C430F" w:rsidP="002C430F">
      <w:r>
        <w:t>Scottish G</w:t>
      </w:r>
      <w:r w:rsidRPr="00C47353">
        <w:t>overnment's website</w:t>
      </w:r>
      <w:r>
        <w:t xml:space="preserve">. About </w:t>
      </w:r>
      <w:smartTag w:uri="urn:schemas-microsoft-com:office:smarttags" w:element="country-region">
        <w:smartTag w:uri="urn:schemas-microsoft-com:office:smarttags" w:element="place">
          <w:r>
            <w:t>Scotland</w:t>
          </w:r>
        </w:smartTag>
      </w:smartTag>
      <w:r>
        <w:t xml:space="preserve">'s Public Bodies. </w:t>
      </w:r>
      <w:r w:rsidRPr="00C47353">
        <w:t>http://www.scotland.gov.uk/Topics/Government/public-bodies/about</w:t>
      </w:r>
    </w:p>
    <w:p w:rsidR="002C430F" w:rsidRPr="0041156B" w:rsidRDefault="002C430F" w:rsidP="002C430F">
      <w:r>
        <w:t xml:space="preserve">Scottish government website : Community Planning section </w:t>
      </w:r>
      <w:r w:rsidRPr="0041156B">
        <w:t>http://www.scotland.gov.uk/Topics/Government/PublicServiceReform/community-planning</w:t>
      </w:r>
    </w:p>
    <w:p w:rsidR="0097317F" w:rsidRPr="00B34181" w:rsidRDefault="0097317F" w:rsidP="0097317F">
      <w:r w:rsidRPr="00B34181">
        <w:t>Scottish Government website http://www.scotland.gov.uk/Topics/People/Equality/disability</w:t>
      </w:r>
    </w:p>
    <w:p w:rsidR="0097317F"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Scottish Government (2007) Statistics Release. Adults with Learning Disabilities. Implementation of the Same As You? 2007</w:t>
      </w:r>
    </w:p>
    <w:p w:rsidR="0097317F" w:rsidRPr="00F65059"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Pr>
          <w:rFonts w:cs="Arial"/>
          <w:lang w:val="en-US" w:bidi="en-US"/>
        </w:rPr>
        <w:t>Scottish Government (2007a) Better Health and Better Care Action Plan http://www.scotland.gov.uk/Publications/2007/12/11103453/5</w:t>
      </w:r>
    </w:p>
    <w:p w:rsidR="0097317F" w:rsidRPr="00CE07F5"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rPr>
          <w:rFonts w:cs="Helvetica"/>
          <w:lang w:val="en-US" w:bidi="en-US"/>
        </w:rPr>
      </w:pPr>
      <w:r>
        <w:rPr>
          <w:rFonts w:cs="Helvetica"/>
          <w:lang w:val="en-US" w:bidi="en-US"/>
        </w:rPr>
        <w:t>Scottish Government (2007</w:t>
      </w:r>
      <w:r w:rsidRPr="00CE07F5">
        <w:rPr>
          <w:rFonts w:cs="Helvetica"/>
          <w:lang w:val="en-US" w:bidi="en-US"/>
        </w:rPr>
        <w:t xml:space="preserve">) Day Care Services, Scotland 2007 </w:t>
      </w:r>
    </w:p>
    <w:p w:rsidR="0097317F"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n-US" w:bidi="en-US"/>
        </w:rPr>
      </w:pPr>
      <w:r w:rsidRPr="00CE07F5">
        <w:rPr>
          <w:rFonts w:cs="Helvetica"/>
          <w:lang w:val="en-US" w:bidi="en-US"/>
        </w:rPr>
        <w:t xml:space="preserve">http://www.scotland.gov.uk/Publications/2007/11/27110719/2 </w:t>
      </w:r>
    </w:p>
    <w:p w:rsidR="0097317F"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n-US" w:bidi="en-US"/>
        </w:rPr>
      </w:pPr>
      <w:r>
        <w:rPr>
          <w:lang w:eastAsia="en-IE"/>
        </w:rPr>
        <w:t xml:space="preserve">Scottish Government (2007) </w:t>
      </w:r>
      <w:r w:rsidRPr="00DD5696">
        <w:rPr>
          <w:lang w:eastAsia="en-IE"/>
        </w:rPr>
        <w:t>Day Care Services Census Return D1-B</w:t>
      </w:r>
      <w:r>
        <w:rPr>
          <w:lang w:eastAsia="en-IE"/>
        </w:rPr>
        <w:t>.</w:t>
      </w:r>
      <w:r w:rsidRPr="008B4C33">
        <w:rPr>
          <w:rFonts w:cs="Helvetica"/>
          <w:lang w:val="en-US" w:bidi="en-US"/>
        </w:rPr>
        <w:t xml:space="preserve"> </w:t>
      </w:r>
      <w:r w:rsidRPr="00CE07F5">
        <w:rPr>
          <w:rFonts w:cs="Helvetica"/>
          <w:lang w:val="en-US" w:bidi="en-US"/>
        </w:rPr>
        <w:t xml:space="preserve">http://www.scotland.gov.uk/Publications/2007/11/27110719/2 </w:t>
      </w:r>
    </w:p>
    <w:p w:rsidR="0097317F" w:rsidRDefault="0097317F" w:rsidP="0097317F">
      <w:pPr>
        <w:rPr>
          <w:lang w:val="en-US" w:bidi="en-US"/>
        </w:rPr>
      </w:pPr>
      <w:r w:rsidRPr="00D74FDE">
        <w:rPr>
          <w:lang w:val="en-US" w:bidi="en-US"/>
        </w:rPr>
        <w:t>Sc</w:t>
      </w:r>
      <w:r>
        <w:rPr>
          <w:lang w:val="en-US" w:bidi="en-US"/>
        </w:rPr>
        <w:t xml:space="preserve">ottish Government (2007g) </w:t>
      </w:r>
      <w:smartTag w:uri="urn:schemas-microsoft-com:office:smarttags" w:element="place">
        <w:smartTag w:uri="urn:schemas-microsoft-com:office:smarttags" w:element="City">
          <w:r>
            <w:rPr>
              <w:lang w:val="en-US" w:bidi="en-US"/>
            </w:rPr>
            <w:t>Care H</w:t>
          </w:r>
          <w:r w:rsidRPr="00D74FDE">
            <w:rPr>
              <w:lang w:val="en-US" w:bidi="en-US"/>
            </w:rPr>
            <w:t>omes</w:t>
          </w:r>
        </w:smartTag>
        <w:r w:rsidRPr="00D74FDE">
          <w:rPr>
            <w:lang w:val="en-US" w:bidi="en-US"/>
          </w:rPr>
          <w:t xml:space="preserve">, </w:t>
        </w:r>
        <w:smartTag w:uri="urn:schemas-microsoft-com:office:smarttags" w:element="country-region">
          <w:r w:rsidRPr="00D74FDE">
            <w:rPr>
              <w:lang w:val="en-US" w:bidi="en-US"/>
            </w:rPr>
            <w:t>Scotland</w:t>
          </w:r>
        </w:smartTag>
      </w:smartTag>
      <w:r w:rsidRPr="00D74FDE">
        <w:rPr>
          <w:lang w:val="en-US" w:bidi="en-US"/>
        </w:rPr>
        <w:t xml:space="preserve"> March 2007 . http://www.scotland.gov.uk/Publications/2007/11/26142330/7 </w:t>
      </w:r>
    </w:p>
    <w:p w:rsidR="0097317F" w:rsidRDefault="0097317F" w:rsidP="0097317F">
      <w:pPr>
        <w:rPr>
          <w:lang w:val="en-US" w:bidi="en-US"/>
        </w:rPr>
      </w:pPr>
      <w:r>
        <w:rPr>
          <w:lang w:val="en-US" w:bidi="en-US"/>
        </w:rPr>
        <w:t>Scottish Government (2007</w:t>
      </w:r>
      <w:r w:rsidRPr="003602C1">
        <w:rPr>
          <w:lang w:val="en-US" w:bidi="en-US"/>
        </w:rPr>
        <w:t xml:space="preserve">) Direct Payments Scotland 2007 http://www.scotland.gov.uk/Publications/2007/09/24155213/1 </w:t>
      </w:r>
    </w:p>
    <w:p w:rsidR="002C430F" w:rsidRPr="001058C1" w:rsidRDefault="002C430F" w:rsidP="002C430F">
      <w:r>
        <w:t>Scottish G</w:t>
      </w:r>
      <w:r w:rsidRPr="0041156B">
        <w:t>overnment</w:t>
      </w:r>
      <w:r>
        <w:t xml:space="preserve"> (2007)  Spending Review </w:t>
      </w:r>
      <w:r w:rsidRPr="001058C1">
        <w:t>http://www.scotland.gov.uk/Publications/2007/11/13092240/9</w:t>
      </w:r>
    </w:p>
    <w:p w:rsidR="0097317F" w:rsidRDefault="002C430F" w:rsidP="0097317F">
      <w:r>
        <w:t>Scottish G</w:t>
      </w:r>
      <w:r w:rsidR="0097317F" w:rsidRPr="00B34181">
        <w:t>overnment (2008) Disability Equality Scheme 2008-2011</w:t>
      </w:r>
    </w:p>
    <w:p w:rsidR="0097317F" w:rsidRPr="00216C4B" w:rsidRDefault="0097317F" w:rsidP="0097317F">
      <w:r>
        <w:t>Scottish G</w:t>
      </w:r>
      <w:r w:rsidRPr="00216C4B">
        <w:t>overnment (2008</w:t>
      </w:r>
      <w:r>
        <w:t>) Equally W</w:t>
      </w:r>
      <w:r w:rsidRPr="00216C4B">
        <w:t>ell</w:t>
      </w:r>
      <w:r>
        <w:t xml:space="preserve"> </w:t>
      </w:r>
      <w:r w:rsidRPr="00216C4B">
        <w:t>Implementation Plan</w:t>
      </w:r>
      <w:r>
        <w:t xml:space="preserve"> </w:t>
      </w:r>
      <w:r w:rsidRPr="00216C4B">
        <w:t>http://www.scotland.gov.uk</w:t>
      </w:r>
      <w:r>
        <w:t>/Publications/2008/12/10094101/5</w:t>
      </w:r>
    </w:p>
    <w:p w:rsidR="0097317F" w:rsidRDefault="0097317F" w:rsidP="0097317F">
      <w:r>
        <w:t xml:space="preserve">Scottish Government (2008) Reporting on Progress towards Equality of Opportunity between Disabled Persons and other persons made by Public Authorities in </w:t>
      </w:r>
      <w:smartTag w:uri="urn:schemas-microsoft-com:office:smarttags" w:element="country-region">
        <w:smartTag w:uri="urn:schemas-microsoft-com:office:smarttags" w:element="place">
          <w:r>
            <w:t>Scotland</w:t>
          </w:r>
        </w:smartTag>
      </w:smartTag>
      <w:r>
        <w:t>: The Scottish Minister’s Duties Health and Well Being.</w:t>
      </w:r>
    </w:p>
    <w:p w:rsidR="0097317F" w:rsidRPr="00A07CBA" w:rsidRDefault="0097317F" w:rsidP="0097317F">
      <w:r w:rsidRPr="00A07CBA">
        <w:t xml:space="preserve">The Scottish Government (2008) Reporting on Progress towards Equality of Opportunity between Disabled Persons and other persons made by Public Authorities in </w:t>
      </w:r>
      <w:smartTag w:uri="urn:schemas-microsoft-com:office:smarttags" w:element="country-region">
        <w:smartTag w:uri="urn:schemas-microsoft-com:office:smarttags" w:element="place">
          <w:r w:rsidRPr="00A07CBA">
            <w:t>Scotland</w:t>
          </w:r>
        </w:smartTag>
      </w:smartTag>
      <w:r w:rsidRPr="00A07CBA">
        <w:t>: Education and Lifelong Learning</w:t>
      </w:r>
    </w:p>
    <w:p w:rsidR="0097317F" w:rsidRDefault="00663E8C" w:rsidP="0097317F">
      <w:r>
        <w:t>Scottish G</w:t>
      </w:r>
      <w:r w:rsidR="0097317F">
        <w:t xml:space="preserve">overnment (2008) Statistical Bulletin: Health Series: </w:t>
      </w:r>
      <w:smartTag w:uri="urn:schemas-microsoft-com:office:smarttags" w:element="place">
        <w:smartTag w:uri="urn:schemas-microsoft-com:office:smarttags" w:element="City">
          <w:r w:rsidR="0097317F">
            <w:t>Care Homes</w:t>
          </w:r>
        </w:smartTag>
        <w:r w:rsidR="0097317F">
          <w:t xml:space="preserve">, </w:t>
        </w:r>
        <w:smartTag w:uri="urn:schemas-microsoft-com:office:smarttags" w:element="country-region">
          <w:r w:rsidR="0097317F">
            <w:t>Scotland</w:t>
          </w:r>
        </w:smartTag>
      </w:smartTag>
      <w:r w:rsidR="0097317F">
        <w:t xml:space="preserve"> </w:t>
      </w:r>
    </w:p>
    <w:p w:rsidR="0097317F" w:rsidRPr="00D74FDE"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rPr>
          <w:rFonts w:cs="Helvetica"/>
          <w:lang w:val="en-US" w:bidi="en-US"/>
        </w:rPr>
      </w:pPr>
      <w:r w:rsidRPr="00D74FDE">
        <w:rPr>
          <w:rFonts w:cs="Helvetica"/>
          <w:lang w:val="en-US" w:bidi="en-US"/>
        </w:rPr>
        <w:t xml:space="preserve">Scottish Government (2008j) High level summary of Statistics Trend </w:t>
      </w:r>
    </w:p>
    <w:p w:rsidR="0097317F"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rPr>
          <w:rFonts w:cs="Helvetica"/>
          <w:lang w:val="en-US" w:bidi="en-US"/>
        </w:rPr>
      </w:pPr>
      <w:r w:rsidRPr="00D74FDE">
        <w:rPr>
          <w:rFonts w:cs="Helvetica"/>
          <w:lang w:val="en-US" w:bidi="en-US"/>
        </w:rPr>
        <w:t xml:space="preserve">http://www.scotland.gov.uk/Topics/Statistics/Browse/Health/TrendMentalHealthServices </w:t>
      </w:r>
    </w:p>
    <w:p w:rsidR="0097317F" w:rsidRPr="008B4C33"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rPr>
          <w:rFonts w:cs="Helvetica"/>
          <w:lang w:val="en-US" w:bidi="en-US"/>
        </w:rPr>
      </w:pPr>
      <w:r>
        <w:t xml:space="preserve">                                                                                                               </w:t>
      </w:r>
    </w:p>
    <w:p w:rsidR="0097317F" w:rsidRPr="006F227C" w:rsidRDefault="00663E8C" w:rsidP="0097317F">
      <w:r>
        <w:t>Scottish G</w:t>
      </w:r>
      <w:r w:rsidR="0097317F">
        <w:t xml:space="preserve">overnment (2009) Home care services </w:t>
      </w:r>
      <w:smartTag w:uri="urn:schemas-microsoft-com:office:smarttags" w:element="country-region">
        <w:smartTag w:uri="urn:schemas-microsoft-com:office:smarttags" w:element="place">
          <w:r w:rsidR="0097317F">
            <w:t>Scotland</w:t>
          </w:r>
        </w:smartTag>
      </w:smartTag>
      <w:r w:rsidR="0097317F">
        <w:t>.</w:t>
      </w:r>
      <w:r w:rsidR="0097317F" w:rsidRPr="006F227C">
        <w:t xml:space="preserve"> http://www.scotland.gov.uk/Resource/Doc/293019/0090393.pdf</w:t>
      </w:r>
    </w:p>
    <w:p w:rsidR="0097317F" w:rsidRDefault="0097317F" w:rsidP="0097317F">
      <w:r>
        <w:t>Scottish Government (2009) Housing statistics for Scotland 2009: Key Trends summary http://www.scotland.gov.uk/Publications/2009/08/26141508/1</w:t>
      </w:r>
    </w:p>
    <w:p w:rsidR="0097317F" w:rsidRPr="00E04D99" w:rsidRDefault="0097317F" w:rsidP="0097317F">
      <w:r>
        <w:t>Scottish government (2009</w:t>
      </w:r>
      <w:r w:rsidRPr="00193633">
        <w:t>)</w:t>
      </w:r>
      <w:r>
        <w:t xml:space="preserve"> </w:t>
      </w:r>
      <w:r w:rsidRPr="00E04D99">
        <w:t xml:space="preserve">Self Directed Support a  National Strategy for </w:t>
      </w:r>
      <w:smartTag w:uri="urn:schemas-microsoft-com:office:smarttags" w:element="country-region">
        <w:smartTag w:uri="urn:schemas-microsoft-com:office:smarttags" w:element="place">
          <w:r w:rsidRPr="00E04D99">
            <w:t>Scotland</w:t>
          </w:r>
        </w:smartTag>
      </w:smartTag>
      <w:r>
        <w:t xml:space="preserve"> </w:t>
      </w:r>
      <w:r w:rsidRPr="00E04D99">
        <w:t>http://www.scotland.gov.uk/Resource/Doc/301424/0094007.pdf</w:t>
      </w:r>
    </w:p>
    <w:p w:rsidR="0097317F" w:rsidRPr="008C7369" w:rsidRDefault="00663E8C" w:rsidP="0097317F">
      <w:pPr>
        <w:rPr>
          <w:lang w:eastAsia="en-IE"/>
        </w:rPr>
      </w:pPr>
      <w:r>
        <w:t>Scottish G</w:t>
      </w:r>
      <w:r w:rsidR="0097317F">
        <w:t xml:space="preserve">overnment (2009) </w:t>
      </w:r>
      <w:r w:rsidR="0097317F" w:rsidRPr="008C7369">
        <w:rPr>
          <w:lang w:eastAsia="en-IE"/>
        </w:rPr>
        <w:t xml:space="preserve">Self-directed Support (Direct Payments), </w:t>
      </w:r>
      <w:smartTag w:uri="urn:schemas-microsoft-com:office:smarttags" w:element="country-region">
        <w:smartTag w:uri="urn:schemas-microsoft-com:office:smarttags" w:element="place">
          <w:r w:rsidR="0097317F" w:rsidRPr="008C7369">
            <w:rPr>
              <w:lang w:eastAsia="en-IE"/>
            </w:rPr>
            <w:t>Scotland</w:t>
          </w:r>
        </w:smartTag>
      </w:smartTag>
      <w:r w:rsidR="0097317F" w:rsidRPr="008C7369">
        <w:rPr>
          <w:lang w:eastAsia="en-IE"/>
        </w:rPr>
        <w:t>, 2009</w:t>
      </w:r>
      <w:r w:rsidR="0097317F" w:rsidRPr="008C7369">
        <w:t xml:space="preserve"> </w:t>
      </w:r>
      <w:r w:rsidR="0097317F" w:rsidRPr="008C7369">
        <w:rPr>
          <w:lang w:eastAsia="en-IE"/>
        </w:rPr>
        <w:t>http://www.scotland.gov.uk/Resource/Doc/299811/0093457.pdf</w:t>
      </w:r>
    </w:p>
    <w:p w:rsidR="0097317F" w:rsidRPr="00B908BB" w:rsidRDefault="0097317F" w:rsidP="0097317F">
      <w:r>
        <w:t>Scottish G</w:t>
      </w:r>
      <w:r w:rsidRPr="00B908BB">
        <w:t>overnment</w:t>
      </w:r>
      <w:r>
        <w:t xml:space="preserve"> &amp; COSLA</w:t>
      </w:r>
      <w:r w:rsidRPr="00B908BB">
        <w:t xml:space="preserve"> (2009) Supp</w:t>
      </w:r>
      <w:r>
        <w:t>orted E</w:t>
      </w:r>
      <w:r w:rsidRPr="00B908BB">
        <w:t>mpl</w:t>
      </w:r>
      <w:r>
        <w:t>oyment Scoping Exercise, Final R</w:t>
      </w:r>
      <w:r w:rsidRPr="00B908BB">
        <w:t>ep</w:t>
      </w:r>
      <w:r>
        <w:t>o</w:t>
      </w:r>
      <w:r w:rsidRPr="00B908BB">
        <w:t>rt</w:t>
      </w:r>
      <w:r>
        <w:t>,</w:t>
      </w:r>
      <w:r w:rsidRPr="00B908BB">
        <w:t xml:space="preserve"> March 2009</w:t>
      </w:r>
    </w:p>
    <w:p w:rsidR="009D494C" w:rsidRPr="00D02462" w:rsidRDefault="009D494C" w:rsidP="009D494C">
      <w:pPr>
        <w:rPr>
          <w:lang w:val="en-GB"/>
        </w:rPr>
      </w:pPr>
      <w:r>
        <w:t>Scottish Government (2010)</w:t>
      </w:r>
      <w:r w:rsidRPr="00D02462">
        <w:rPr>
          <w:rStyle w:val="Heading3Char"/>
          <w:lang w:val="en-GB"/>
        </w:rPr>
        <w:t xml:space="preserve"> </w:t>
      </w:r>
      <w:r w:rsidRPr="00D02462">
        <w:rPr>
          <w:lang w:val="en-GB"/>
        </w:rPr>
        <w:t>Caring Together: The Carers Strategy for Scotland 2010 - 2015</w:t>
      </w:r>
      <w:r>
        <w:rPr>
          <w:lang w:val="en-GB"/>
        </w:rPr>
        <w:t>.</w:t>
      </w:r>
      <w:r w:rsidRPr="00D02462">
        <w:t xml:space="preserve"> </w:t>
      </w:r>
      <w:r w:rsidRPr="00D02462">
        <w:rPr>
          <w:lang w:val="en-GB"/>
        </w:rPr>
        <w:t>http://www.scotland.gov.uk/Publications/2010/07/23153304/35</w:t>
      </w:r>
    </w:p>
    <w:p w:rsidR="009D494C" w:rsidRPr="00D853B6" w:rsidRDefault="009D494C" w:rsidP="009D494C">
      <w:pPr>
        <w:rPr>
          <w:lang w:val="es-ES"/>
        </w:rPr>
      </w:pPr>
      <w:r>
        <w:t>Scottish G</w:t>
      </w:r>
      <w:r w:rsidRPr="00CA5A88">
        <w:t xml:space="preserve">overnment (2010) Respite Care Scotland 2009. </w:t>
      </w:r>
      <w:r w:rsidRPr="00D853B6">
        <w:rPr>
          <w:lang w:val="es-ES"/>
        </w:rPr>
        <w:t>Final Figureshttp://www.scotland.gov.uk/Resource/Doc/924/0100863.pdf</w:t>
      </w:r>
    </w:p>
    <w:p w:rsidR="0097317F" w:rsidRPr="00745B49" w:rsidRDefault="0097317F" w:rsidP="0097317F">
      <w:r w:rsidRPr="00745B49">
        <w:t>SPAEN website</w:t>
      </w:r>
      <w:r>
        <w:t xml:space="preserve"> </w:t>
      </w:r>
      <w:r w:rsidRPr="00745B49">
        <w:t>http://www.spaen.co.uk/</w:t>
      </w:r>
    </w:p>
    <w:p w:rsidR="0097317F" w:rsidRDefault="0097317F" w:rsidP="0097317F">
      <w:r>
        <w:t xml:space="preserve">Stalker, K.O., Malloch, M., Barry, M.A., Watson, J.A. (2008) Local area co-ordination: strengthening support for people with learning disabilities in </w:t>
      </w:r>
      <w:smartTag w:uri="urn:schemas-microsoft-com:office:smarttags" w:element="country-region">
        <w:smartTag w:uri="urn:schemas-microsoft-com:office:smarttags" w:element="place">
          <w:r>
            <w:t>Scotland</w:t>
          </w:r>
        </w:smartTag>
      </w:smartTag>
      <w:r>
        <w:t>. British Journal of Learning Disabilities. Blackwell Publishing Ltd.</w:t>
      </w:r>
    </w:p>
    <w:p w:rsidR="0097317F" w:rsidRDefault="0097317F" w:rsidP="0097317F">
      <w:r>
        <w:t>The Education Acts 2004 &amp; 2009: Consultation on Changes to the Secondary Legislation and Supporting children's Learning Code of Practice www.scotland.gov.uk/Publications/2009/11/03140104/12</w:t>
      </w:r>
    </w:p>
    <w:p w:rsidR="0097317F" w:rsidRPr="002F048C" w:rsidRDefault="0097317F" w:rsidP="0097317F">
      <w:r>
        <w:rPr>
          <w:rFonts w:cs="Helvetica"/>
          <w:lang w:val="en-US" w:bidi="en-US"/>
        </w:rPr>
        <w:t>The Scottish Housing Regulator</w:t>
      </w:r>
      <w:r w:rsidRPr="009A7BFE">
        <w:t xml:space="preserve"> </w:t>
      </w:r>
      <w:r>
        <w:t>http://www.scottishhousingregulator.gov.uk/stellent/groups/public/documents/webpages/shr_homepage.hcsp</w:t>
      </w:r>
    </w:p>
    <w:p w:rsidR="0097317F" w:rsidRDefault="0097317F" w:rsidP="0097317F">
      <w:r>
        <w:t xml:space="preserve">The </w:t>
      </w:r>
      <w:smartTag w:uri="urn:schemas-microsoft-com:office:smarttags" w:element="country-region">
        <w:smartTag w:uri="urn:schemas-microsoft-com:office:smarttags" w:element="place">
          <w:r>
            <w:t>UK</w:t>
          </w:r>
        </w:smartTag>
      </w:smartTag>
      <w:r>
        <w:t xml:space="preserve"> Statue Law Database. http://www.statutelaw.gov.uk/</w:t>
      </w:r>
    </w:p>
    <w:p w:rsidR="0097317F" w:rsidRDefault="0097317F" w:rsidP="0097317F">
      <w:r>
        <w:t xml:space="preserve">Witcher, S., Stalker, K., Roadburg, M., and Jones, C. (2000) Direct Payments. the Impact on Choice and Control for Disabled People. </w:t>
      </w:r>
      <w:smartTag w:uri="urn:schemas-microsoft-com:office:smarttags" w:element="City">
        <w:smartTag w:uri="urn:schemas-microsoft-com:office:smarttags" w:element="place">
          <w:r>
            <w:t>Edinburgh</w:t>
          </w:r>
        </w:smartTag>
      </w:smartTag>
      <w:r>
        <w:t>: Scottish Executive  Central Research Unit.</w:t>
      </w:r>
    </w:p>
    <w:p w:rsidR="0097317F"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 xml:space="preserve">Woodin, S; Priestley, M and Prideaux, S (2009) </w:t>
      </w:r>
      <w:r>
        <w:rPr>
          <w:rFonts w:cs="Arial"/>
          <w:lang w:val="en-US" w:bidi="en-US"/>
        </w:rPr>
        <w:t xml:space="preserve">ANED country report on the implementation of policies supporting independent living for disabled people. </w:t>
      </w:r>
    </w:p>
    <w:p w:rsidR="0097317F" w:rsidRDefault="0097317F" w:rsidP="0097317F">
      <w:pPr>
        <w:pStyle w:val="Heading1"/>
        <w:sectPr w:rsidR="0097317F" w:rsidSect="006B2928">
          <w:pgSz w:w="11906" w:h="16838"/>
          <w:pgMar w:top="1440" w:right="1800" w:bottom="1440" w:left="1800" w:header="708" w:footer="708" w:gutter="0"/>
          <w:cols w:space="720"/>
        </w:sectPr>
      </w:pPr>
      <w:bookmarkStart w:id="157" w:name="_Toc247447274"/>
    </w:p>
    <w:p w:rsidR="0097317F" w:rsidRPr="001C356A" w:rsidRDefault="0097317F" w:rsidP="0097317F">
      <w:pPr>
        <w:pStyle w:val="Heading1"/>
      </w:pPr>
      <w:bookmarkStart w:id="158" w:name="_Toc255836010"/>
      <w:bookmarkStart w:id="159" w:name="_Toc267920959"/>
      <w:bookmarkStart w:id="160" w:name="_Toc279136924"/>
      <w:r>
        <w:t>Appendix 1 Services provided by 8 special NHS Boards</w:t>
      </w:r>
      <w:bookmarkEnd w:id="159"/>
      <w:bookmarkEnd w:id="160"/>
    </w:p>
    <w:p w:rsidR="0097317F" w:rsidRDefault="005A5DC0" w:rsidP="0097317F">
      <w:pPr>
        <w:spacing w:before="100" w:beforeAutospacing="1" w:after="100" w:afterAutospacing="1" w:line="240" w:lineRule="auto"/>
        <w:rPr>
          <w:rFonts w:cs="Arial"/>
          <w:lang w:eastAsia="en-IE"/>
        </w:rPr>
      </w:pPr>
      <w:r>
        <w:rPr>
          <w:rFonts w:cs="Arial"/>
          <w:lang w:eastAsia="en-IE"/>
        </w:rPr>
        <w:t>There</w:t>
      </w:r>
      <w:r w:rsidR="0097317F">
        <w:rPr>
          <w:rFonts w:cs="Arial"/>
          <w:lang w:eastAsia="en-IE"/>
        </w:rPr>
        <w:t xml:space="preserve"> are 8 Special NHS Boards that provide health services throughout </w:t>
      </w:r>
      <w:smartTag w:uri="urn:schemas-microsoft-com:office:smarttags" w:element="country-region">
        <w:smartTag w:uri="urn:schemas-microsoft-com:office:smarttags" w:element="place">
          <w:r w:rsidR="0097317F">
            <w:rPr>
              <w:rFonts w:cs="Arial"/>
              <w:lang w:eastAsia="en-IE"/>
            </w:rPr>
            <w:t>Scotland</w:t>
          </w:r>
        </w:smartTag>
      </w:smartTag>
      <w:r w:rsidR="0097317F">
        <w:rPr>
          <w:rFonts w:cs="Arial"/>
          <w:lang w:eastAsia="en-IE"/>
        </w:rPr>
        <w:t>. They are as follows:</w:t>
      </w:r>
    </w:p>
    <w:p w:rsidR="0097317F" w:rsidRPr="00172854" w:rsidRDefault="0097317F" w:rsidP="0097317F">
      <w:pPr>
        <w:pStyle w:val="ListBullet"/>
      </w:pPr>
      <w:r w:rsidRPr="00397C8D">
        <w:rPr>
          <w:szCs w:val="20"/>
        </w:rPr>
        <w:t xml:space="preserve">The </w:t>
      </w:r>
      <w:hyperlink r:id="rId13" w:history="1">
        <w:r w:rsidRPr="00397C8D">
          <w:rPr>
            <w:szCs w:val="20"/>
            <w:shd w:val="clear" w:color="auto" w:fill="FFFFFF"/>
          </w:rPr>
          <w:t>Scottish Ambulance Service</w:t>
        </w:r>
      </w:hyperlink>
      <w:r>
        <w:t xml:space="preserve"> </w:t>
      </w:r>
      <w:r w:rsidRPr="00397C8D">
        <w:rPr>
          <w:szCs w:val="20"/>
        </w:rPr>
        <w:t xml:space="preserve">serves all of </w:t>
      </w:r>
      <w:smartTag w:uri="urn:schemas-microsoft-com:office:smarttags" w:element="country-region">
        <w:smartTag w:uri="urn:schemas-microsoft-com:office:smarttags" w:element="place">
          <w:r w:rsidRPr="00397C8D">
            <w:rPr>
              <w:szCs w:val="20"/>
            </w:rPr>
            <w:t>Scotland</w:t>
          </w:r>
        </w:smartTag>
      </w:smartTag>
      <w:r w:rsidRPr="00397C8D">
        <w:rPr>
          <w:szCs w:val="20"/>
        </w:rPr>
        <w:t xml:space="preserve"> and is a Special NHS Board funded directly by the Scottis</w:t>
      </w:r>
      <w:r>
        <w:t xml:space="preserve">h Government Health Directorate. It </w:t>
      </w:r>
      <w:r w:rsidRPr="00397C8D">
        <w:rPr>
          <w:szCs w:val="20"/>
        </w:rPr>
        <w:t>provides an Accident and Emergency servi</w:t>
      </w:r>
      <w:r>
        <w:t>ce that responds to 999 calls, in addition</w:t>
      </w:r>
      <w:r w:rsidRPr="00397C8D">
        <w:rPr>
          <w:szCs w:val="20"/>
        </w:rPr>
        <w:t xml:space="preserve"> </w:t>
      </w:r>
      <w:r>
        <w:t xml:space="preserve">to a </w:t>
      </w:r>
      <w:r w:rsidRPr="00397C8D">
        <w:rPr>
          <w:szCs w:val="20"/>
        </w:rPr>
        <w:t>Non-Emergency service that performs an essential role in getting patie</w:t>
      </w:r>
      <w:r>
        <w:t>nts to and from health services</w:t>
      </w:r>
    </w:p>
    <w:p w:rsidR="0097317F" w:rsidRDefault="0097317F" w:rsidP="0097317F">
      <w:pPr>
        <w:pStyle w:val="ListBullet"/>
      </w:pPr>
      <w:hyperlink r:id="rId14" w:history="1">
        <w:r w:rsidRPr="00397C8D">
          <w:rPr>
            <w:szCs w:val="20"/>
            <w:shd w:val="clear" w:color="auto" w:fill="FFFFFF"/>
          </w:rPr>
          <w:t>NHS 24</w:t>
        </w:r>
      </w:hyperlink>
      <w:r w:rsidRPr="00397C8D">
        <w:rPr>
          <w:szCs w:val="20"/>
        </w:rPr>
        <w:t xml:space="preserve"> </w:t>
      </w:r>
      <w:r>
        <w:t xml:space="preserve">provides people with </w:t>
      </w:r>
      <w:r w:rsidRPr="00397C8D">
        <w:rPr>
          <w:szCs w:val="20"/>
        </w:rPr>
        <w:t>24-hour telephone access to medical advice from clinical professionals</w:t>
      </w:r>
    </w:p>
    <w:p w:rsidR="0097317F" w:rsidRDefault="0097317F" w:rsidP="0097317F">
      <w:pPr>
        <w:pStyle w:val="ListBullet"/>
      </w:pPr>
      <w:r>
        <w:t>T</w:t>
      </w:r>
      <w:r w:rsidRPr="00397C8D">
        <w:rPr>
          <w:szCs w:val="20"/>
        </w:rPr>
        <w:t xml:space="preserve">he </w:t>
      </w:r>
      <w:hyperlink r:id="rId15" w:history="1">
        <w:r w:rsidRPr="00397C8D">
          <w:rPr>
            <w:szCs w:val="20"/>
            <w:shd w:val="clear" w:color="auto" w:fill="FFFFFF"/>
          </w:rPr>
          <w:t>State Hospital</w:t>
        </w:r>
      </w:hyperlink>
      <w:r>
        <w:t xml:space="preserve"> at Carstairs is the only high security hospital in </w:t>
      </w:r>
      <w:smartTag w:uri="urn:schemas-microsoft-com:office:smarttags" w:element="country-region">
        <w:smartTag w:uri="urn:schemas-microsoft-com:office:smarttags" w:element="place">
          <w:r>
            <w:t>Scotland</w:t>
          </w:r>
        </w:smartTag>
      </w:smartTag>
      <w:r>
        <w:t xml:space="preserve"> that provides </w:t>
      </w:r>
      <w:r w:rsidRPr="00397C8D">
        <w:rPr>
          <w:szCs w:val="20"/>
        </w:rPr>
        <w:t xml:space="preserve">care for </w:t>
      </w:r>
      <w:r>
        <w:t xml:space="preserve">high security </w:t>
      </w:r>
      <w:r w:rsidRPr="00397C8D">
        <w:rPr>
          <w:szCs w:val="20"/>
        </w:rPr>
        <w:t>patients</w:t>
      </w:r>
    </w:p>
    <w:p w:rsidR="0097317F" w:rsidRPr="00172854" w:rsidRDefault="0097317F" w:rsidP="0097317F">
      <w:pPr>
        <w:pStyle w:val="ListBullet"/>
      </w:pPr>
      <w:hyperlink r:id="rId16" w:history="1">
        <w:r w:rsidRPr="00397C8D">
          <w:rPr>
            <w:szCs w:val="20"/>
            <w:shd w:val="clear" w:color="auto" w:fill="FFFFFF"/>
          </w:rPr>
          <w:t>NHS Health Scotland</w:t>
        </w:r>
      </w:hyperlink>
      <w:r w:rsidRPr="00397C8D">
        <w:rPr>
          <w:szCs w:val="20"/>
        </w:rPr>
        <w:t xml:space="preserve"> </w:t>
      </w:r>
      <w:r>
        <w:t>is a national organisation that promotes healthy lifestyles, provides information to the public on improving their health, in addition to focusing on reducing inequalities in the health care system</w:t>
      </w:r>
    </w:p>
    <w:p w:rsidR="0097317F" w:rsidRPr="00172854" w:rsidRDefault="0097317F" w:rsidP="0097317F">
      <w:pPr>
        <w:pStyle w:val="ListBullet"/>
      </w:pPr>
      <w:hyperlink r:id="rId17" w:history="1">
        <w:r w:rsidRPr="00172854">
          <w:t>NHS Quality Improvement Scotland</w:t>
        </w:r>
      </w:hyperlink>
      <w:r w:rsidRPr="00172854">
        <w:t xml:space="preserve"> focuses on improving the quality of health care in </w:t>
      </w:r>
      <w:smartTag w:uri="urn:schemas-microsoft-com:office:smarttags" w:element="country-region">
        <w:smartTag w:uri="urn:schemas-microsoft-com:office:smarttags" w:element="place">
          <w:r w:rsidRPr="00172854">
            <w:t>Scotland</w:t>
          </w:r>
        </w:smartTag>
      </w:smartTag>
      <w:r w:rsidRPr="00172854">
        <w:t>. This organisation also works with NHS professionals and the public to produce, implement and monitor national standards of ca</w:t>
      </w:r>
      <w:r>
        <w:t>re</w:t>
      </w:r>
    </w:p>
    <w:p w:rsidR="0097317F" w:rsidRPr="00397C8D" w:rsidRDefault="0097317F" w:rsidP="0097317F">
      <w:pPr>
        <w:pStyle w:val="ListBullet"/>
        <w:rPr>
          <w:szCs w:val="20"/>
        </w:rPr>
      </w:pPr>
      <w:hyperlink r:id="rId18" w:history="1">
        <w:r w:rsidRPr="009256C6">
          <w:rPr>
            <w:rStyle w:val="Hyperlink"/>
          </w:rPr>
          <w:t>http://www.nhsnss.org/home/index.php</w:t>
        </w:r>
      </w:hyperlink>
      <w:r w:rsidRPr="00397C8D">
        <w:rPr>
          <w:szCs w:val="20"/>
        </w:rPr>
        <w:t xml:space="preserve">The </w:t>
      </w:r>
      <w:hyperlink r:id="rId19" w:tgtFrame="_top" w:history="1">
        <w:r w:rsidRPr="00397C8D">
          <w:t>NHS National Services Scotland</w:t>
        </w:r>
      </w:hyperlink>
      <w:r w:rsidRPr="00397C8D">
        <w:rPr>
          <w:szCs w:val="20"/>
        </w:rPr>
        <w:t xml:space="preserve"> (formerly known as the Common Services Agency) provides </w:t>
      </w:r>
      <w:r>
        <w:t xml:space="preserve">a range of </w:t>
      </w:r>
      <w:r w:rsidRPr="00397C8D">
        <w:rPr>
          <w:szCs w:val="20"/>
        </w:rPr>
        <w:t xml:space="preserve">important specialist services </w:t>
      </w:r>
      <w:r>
        <w:t xml:space="preserve">such as: </w:t>
      </w:r>
      <w:r w:rsidRPr="00397C8D">
        <w:rPr>
          <w:szCs w:val="20"/>
        </w:rPr>
        <w:t>provisi</w:t>
      </w:r>
      <w:r>
        <w:t xml:space="preserve">on of health statistics; blood transfusion services; </w:t>
      </w:r>
      <w:r w:rsidRPr="00397C8D">
        <w:rPr>
          <w:szCs w:val="20"/>
        </w:rPr>
        <w:t>national surveil</w:t>
      </w:r>
      <w:r>
        <w:t xml:space="preserve">lance of communicable diseases; </w:t>
      </w:r>
      <w:r w:rsidRPr="00397C8D">
        <w:rPr>
          <w:szCs w:val="20"/>
        </w:rPr>
        <w:t>n</w:t>
      </w:r>
      <w:r>
        <w:t xml:space="preserve">ational screening programmes; </w:t>
      </w:r>
      <w:r w:rsidRPr="00397C8D">
        <w:rPr>
          <w:szCs w:val="20"/>
        </w:rPr>
        <w:t>managing payments for primary care practitioners</w:t>
      </w:r>
      <w:r>
        <w:t xml:space="preserve"> etc</w:t>
      </w:r>
    </w:p>
    <w:p w:rsidR="0097317F" w:rsidRPr="00397C8D" w:rsidRDefault="0097317F" w:rsidP="0097317F">
      <w:pPr>
        <w:pStyle w:val="ListBullet"/>
        <w:rPr>
          <w:szCs w:val="20"/>
        </w:rPr>
      </w:pPr>
      <w:hyperlink r:id="rId20" w:tgtFrame="_blank" w:history="1">
        <w:r w:rsidRPr="00397C8D">
          <w:t>NHS Education for Scotland</w:t>
        </w:r>
      </w:hyperlink>
      <w:r>
        <w:t xml:space="preserve"> is the training organisation for</w:t>
      </w:r>
      <w:r w:rsidRPr="00397C8D">
        <w:rPr>
          <w:szCs w:val="20"/>
        </w:rPr>
        <w:t xml:space="preserve"> NHSScotland</w:t>
      </w:r>
      <w:r>
        <w:t xml:space="preserve">. It enables the staff of </w:t>
      </w:r>
      <w:r w:rsidRPr="00397C8D">
        <w:rPr>
          <w:szCs w:val="20"/>
        </w:rPr>
        <w:t>NHSScotland</w:t>
      </w:r>
      <w:r>
        <w:t xml:space="preserve"> to continue to</w:t>
      </w:r>
      <w:r w:rsidRPr="00397C8D">
        <w:rPr>
          <w:szCs w:val="20"/>
        </w:rPr>
        <w:t xml:space="preserve"> develop </w:t>
      </w:r>
      <w:r>
        <w:t xml:space="preserve">their skills </w:t>
      </w:r>
      <w:r w:rsidRPr="00397C8D">
        <w:rPr>
          <w:szCs w:val="20"/>
        </w:rPr>
        <w:t xml:space="preserve">and </w:t>
      </w:r>
      <w:r>
        <w:t>to deliver the highest standards in patient care</w:t>
      </w:r>
    </w:p>
    <w:p w:rsidR="008E08DD" w:rsidRDefault="0097317F" w:rsidP="0097317F">
      <w:pPr>
        <w:pStyle w:val="ListBullet"/>
      </w:pPr>
      <w:hyperlink r:id="rId21" w:tgtFrame="_blank" w:history="1">
        <w:r w:rsidRPr="00397C8D">
          <w:t>National Waiting Times Centre Board (The Golden Jubilee National Hospital)</w:t>
        </w:r>
      </w:hyperlink>
      <w:r w:rsidRPr="00397C8D">
        <w:t xml:space="preserve"> provides a ded</w:t>
      </w:r>
      <w:r>
        <w:t>icated elective facility in specialist services</w:t>
      </w:r>
      <w:r w:rsidRPr="00397C8D">
        <w:t xml:space="preserve"> for patients throughout </w:t>
      </w:r>
      <w:smartTag w:uri="urn:schemas-microsoft-com:office:smarttags" w:element="country-region">
        <w:smartTag w:uri="urn:schemas-microsoft-com:office:smarttags" w:element="place">
          <w:r w:rsidRPr="00397C8D">
            <w:t>Scotland</w:t>
          </w:r>
        </w:smartTag>
      </w:smartTag>
      <w:r w:rsidRPr="00397C8D">
        <w:t xml:space="preserve"> to reducing waiting times</w:t>
      </w:r>
      <w:r>
        <w:rPr>
          <w:rStyle w:val="FootnoteReference"/>
          <w:szCs w:val="20"/>
        </w:rPr>
        <w:footnoteReference w:id="119"/>
      </w:r>
    </w:p>
    <w:p w:rsidR="00594A89" w:rsidRDefault="00594A89" w:rsidP="0097317F">
      <w:pPr>
        <w:pStyle w:val="Heading1"/>
        <w:sectPr w:rsidR="00594A89" w:rsidSect="006B2928">
          <w:footerReference w:type="default" r:id="rId22"/>
          <w:pgSz w:w="12240" w:h="15840"/>
          <w:pgMar w:top="1440" w:right="1800" w:bottom="1440" w:left="1800" w:header="708" w:footer="708" w:gutter="0"/>
          <w:cols w:space="708"/>
          <w:docGrid w:linePitch="360"/>
        </w:sectPr>
      </w:pPr>
      <w:bookmarkStart w:id="161" w:name="_Toc267920960"/>
    </w:p>
    <w:p w:rsidR="00200921" w:rsidRDefault="00A535F7" w:rsidP="0097317F">
      <w:pPr>
        <w:pStyle w:val="Heading1"/>
      </w:pPr>
      <w:bookmarkStart w:id="162" w:name="_Toc279136925"/>
      <w:r>
        <w:t>Appendix 2</w:t>
      </w:r>
      <w:r w:rsidR="00200921">
        <w:tab/>
        <w:t>CHP Model of Service Delivery</w:t>
      </w:r>
      <w:bookmarkEnd w:id="162"/>
      <w:r w:rsidR="0097317F">
        <w:t xml:space="preserve"> </w:t>
      </w:r>
    </w:p>
    <w:p w:rsidR="00200921" w:rsidRDefault="001911E6" w:rsidP="0097317F">
      <w:pPr>
        <w:pStyle w:val="Heading1"/>
      </w:pPr>
      <w:bookmarkStart w:id="163" w:name="_Toc274231250"/>
      <w:bookmarkStart w:id="164" w:name="_Toc276028159"/>
      <w:bookmarkStart w:id="165" w:name="_Toc276028320"/>
      <w:bookmarkStart w:id="166" w:name="_Toc279136926"/>
      <w:r>
        <w:rPr>
          <w:noProof/>
          <w:lang w:eastAsia="en-IE"/>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41910</wp:posOffset>
                </wp:positionV>
                <wp:extent cx="5829300" cy="5486400"/>
                <wp:effectExtent l="9525" t="9525" r="9525" b="9525"/>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486400"/>
                        </a:xfrm>
                        <a:prstGeom prst="rect">
                          <a:avLst/>
                        </a:prstGeom>
                        <a:solidFill>
                          <a:srgbClr val="FFFFFF"/>
                        </a:solidFill>
                        <a:ln w="9525">
                          <a:solidFill>
                            <a:srgbClr val="000000"/>
                          </a:solidFill>
                          <a:miter lim="800000"/>
                          <a:headEnd/>
                          <a:tailEnd/>
                        </a:ln>
                      </wps:spPr>
                      <wps:txbx>
                        <w:txbxContent>
                          <w:p w:rsidR="0085625D" w:rsidRPr="00B2282D" w:rsidRDefault="0085625D" w:rsidP="00200921">
                            <w:pPr>
                              <w:jc w:val="center"/>
                              <w:rPr>
                                <w:rFonts w:cs="Arial"/>
                                <w:b/>
                                <w:sz w:val="20"/>
                                <w:szCs w:val="20"/>
                              </w:rPr>
                            </w:pPr>
                            <w:r w:rsidRPr="00B2282D">
                              <w:rPr>
                                <w:b/>
                                <w:sz w:val="20"/>
                                <w:szCs w:val="20"/>
                              </w:rPr>
                              <w:t xml:space="preserve">Lothian Region: </w:t>
                            </w:r>
                            <w:r w:rsidRPr="00B2282D">
                              <w:rPr>
                                <w:rFonts w:cs="Arial"/>
                                <w:b/>
                                <w:sz w:val="20"/>
                                <w:szCs w:val="20"/>
                              </w:rPr>
                              <w:t>780,00 inhabitants</w:t>
                            </w:r>
                          </w:p>
                          <w:p w:rsidR="0085625D" w:rsidRPr="00702D0E" w:rsidRDefault="0085625D" w:rsidP="00200921">
                            <w:pPr>
                              <w:jc w:val="center"/>
                              <w:rPr>
                                <w:b/>
                                <w:sz w:val="20"/>
                                <w:szCs w:val="20"/>
                              </w:rPr>
                            </w:pPr>
                            <w:r w:rsidRPr="00702D0E">
                              <w:rPr>
                                <w:b/>
                                <w:sz w:val="20"/>
                                <w:szCs w:val="20"/>
                              </w:rPr>
                              <w:t>Community based health services by 5 CHPs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796"/>
                              <w:gridCol w:w="1796"/>
                              <w:gridCol w:w="1796"/>
                              <w:gridCol w:w="1797"/>
                              <w:gridCol w:w="1797"/>
                            </w:tblGrid>
                            <w:tr w:rsidR="0085625D" w:rsidRPr="00C75F97">
                              <w:tblPrEx>
                                <w:tblCellMar>
                                  <w:top w:w="0" w:type="dxa"/>
                                  <w:bottom w:w="0" w:type="dxa"/>
                                </w:tblCellMar>
                              </w:tblPrEx>
                              <w:trPr>
                                <w:trHeight w:val="298"/>
                                <w:tblHeader/>
                              </w:trPr>
                              <w:tc>
                                <w:tcPr>
                                  <w:tcW w:w="1796" w:type="dxa"/>
                                  <w:tcBorders>
                                    <w:top w:val="single" w:sz="12" w:space="0" w:color="000000"/>
                                    <w:bottom w:val="single" w:sz="12" w:space="0" w:color="000000"/>
                                  </w:tcBorders>
                                  <w:shd w:val="clear" w:color="auto" w:fill="CC99FF"/>
                                </w:tcPr>
                                <w:p w:rsidR="0085625D" w:rsidRPr="00C75F97" w:rsidRDefault="0085625D" w:rsidP="000F673C">
                                  <w:pPr>
                                    <w:pStyle w:val="TableHead"/>
                                    <w:jc w:val="right"/>
                                    <w:rPr>
                                      <w:sz w:val="20"/>
                                      <w:szCs w:val="20"/>
                                    </w:rPr>
                                  </w:pPr>
                                  <w:r w:rsidRPr="00C75F97">
                                    <w:rPr>
                                      <w:sz w:val="20"/>
                                      <w:szCs w:val="20"/>
                                    </w:rPr>
                                    <w:t>CHP 1</w:t>
                                  </w:r>
                                </w:p>
                              </w:tc>
                              <w:tc>
                                <w:tcPr>
                                  <w:tcW w:w="1796" w:type="dxa"/>
                                  <w:tcBorders>
                                    <w:top w:val="single" w:sz="12" w:space="0" w:color="000000"/>
                                    <w:bottom w:val="single" w:sz="12" w:space="0" w:color="000000"/>
                                  </w:tcBorders>
                                  <w:shd w:val="clear" w:color="auto" w:fill="800080"/>
                                </w:tcPr>
                                <w:p w:rsidR="0085625D" w:rsidRPr="00C75F97" w:rsidRDefault="0085625D" w:rsidP="000F673C">
                                  <w:pPr>
                                    <w:pStyle w:val="TableHead"/>
                                    <w:jc w:val="right"/>
                                    <w:rPr>
                                      <w:sz w:val="20"/>
                                      <w:szCs w:val="20"/>
                                    </w:rPr>
                                  </w:pPr>
                                  <w:r w:rsidRPr="00C75F97">
                                    <w:rPr>
                                      <w:sz w:val="20"/>
                                      <w:szCs w:val="20"/>
                                    </w:rPr>
                                    <w:t>CHP 2</w:t>
                                  </w:r>
                                </w:p>
                              </w:tc>
                              <w:tc>
                                <w:tcPr>
                                  <w:tcW w:w="1796" w:type="dxa"/>
                                  <w:tcBorders>
                                    <w:top w:val="single" w:sz="12" w:space="0" w:color="000000"/>
                                    <w:bottom w:val="single" w:sz="12" w:space="0" w:color="000000"/>
                                  </w:tcBorders>
                                  <w:shd w:val="clear" w:color="auto" w:fill="00FFFF"/>
                                </w:tcPr>
                                <w:p w:rsidR="0085625D" w:rsidRPr="00C75F97" w:rsidRDefault="0085625D" w:rsidP="000F673C">
                                  <w:pPr>
                                    <w:pStyle w:val="TableHead"/>
                                    <w:jc w:val="right"/>
                                    <w:rPr>
                                      <w:sz w:val="20"/>
                                      <w:szCs w:val="20"/>
                                    </w:rPr>
                                  </w:pPr>
                                  <w:r w:rsidRPr="00C75F97">
                                    <w:rPr>
                                      <w:sz w:val="20"/>
                                      <w:szCs w:val="20"/>
                                    </w:rPr>
                                    <w:t>CHP 3</w:t>
                                  </w:r>
                                </w:p>
                              </w:tc>
                              <w:tc>
                                <w:tcPr>
                                  <w:tcW w:w="1797" w:type="dxa"/>
                                  <w:tcBorders>
                                    <w:top w:val="single" w:sz="12" w:space="0" w:color="000000"/>
                                    <w:bottom w:val="single" w:sz="12" w:space="0" w:color="000000"/>
                                  </w:tcBorders>
                                  <w:shd w:val="clear" w:color="auto" w:fill="FFFF99"/>
                                </w:tcPr>
                                <w:p w:rsidR="0085625D" w:rsidRPr="00C75F97" w:rsidRDefault="0085625D" w:rsidP="000F673C">
                                  <w:pPr>
                                    <w:pStyle w:val="TableHead"/>
                                    <w:jc w:val="right"/>
                                    <w:rPr>
                                      <w:sz w:val="20"/>
                                      <w:szCs w:val="20"/>
                                    </w:rPr>
                                  </w:pPr>
                                  <w:r w:rsidRPr="00C75F97">
                                    <w:rPr>
                                      <w:sz w:val="20"/>
                                      <w:szCs w:val="20"/>
                                    </w:rPr>
                                    <w:t>CHP4</w:t>
                                  </w:r>
                                </w:p>
                              </w:tc>
                              <w:tc>
                                <w:tcPr>
                                  <w:tcW w:w="1797" w:type="dxa"/>
                                  <w:tcBorders>
                                    <w:top w:val="single" w:sz="12" w:space="0" w:color="000000"/>
                                    <w:bottom w:val="single" w:sz="12" w:space="0" w:color="000000"/>
                                  </w:tcBorders>
                                  <w:shd w:val="clear" w:color="auto" w:fill="CCFFCC"/>
                                </w:tcPr>
                                <w:p w:rsidR="0085625D" w:rsidRPr="00C75F97" w:rsidRDefault="0085625D" w:rsidP="000F673C">
                                  <w:pPr>
                                    <w:pStyle w:val="TableHead"/>
                                    <w:jc w:val="right"/>
                                    <w:rPr>
                                      <w:sz w:val="20"/>
                                      <w:szCs w:val="20"/>
                                    </w:rPr>
                                  </w:pPr>
                                  <w:r w:rsidRPr="00C75F97">
                                    <w:rPr>
                                      <w:sz w:val="20"/>
                                      <w:szCs w:val="20"/>
                                    </w:rPr>
                                    <w:t>CHP5</w:t>
                                  </w:r>
                                </w:p>
                              </w:tc>
                            </w:tr>
                          </w:tbl>
                          <w:p w:rsidR="0085625D" w:rsidRPr="00C75F97" w:rsidRDefault="0085625D" w:rsidP="00200921">
                            <w:pPr>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C75F97">
                              <w:rPr>
                                <w:b/>
                                <w:sz w:val="20"/>
                                <w:szCs w:val="20"/>
                              </w:rPr>
                              <w:t>Services for people with mental health issues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8622"/>
                            </w:tblGrid>
                            <w:tr w:rsidR="0085625D" w:rsidRPr="00C75F97">
                              <w:tblPrEx>
                                <w:tblCellMar>
                                  <w:top w:w="0" w:type="dxa"/>
                                  <w:bottom w:w="0" w:type="dxa"/>
                                </w:tblCellMar>
                              </w:tblPrEx>
                              <w:trPr>
                                <w:tblHeader/>
                              </w:trPr>
                              <w:tc>
                                <w:tcPr>
                                  <w:tcW w:w="8622" w:type="dxa"/>
                                  <w:tcBorders>
                                    <w:top w:val="single" w:sz="12" w:space="0" w:color="000000"/>
                                    <w:bottom w:val="single" w:sz="12" w:space="0" w:color="000000"/>
                                  </w:tcBorders>
                                  <w:shd w:val="clear" w:color="auto" w:fill="CC99FF"/>
                                </w:tcPr>
                                <w:p w:rsidR="0085625D" w:rsidRPr="00C75F97" w:rsidRDefault="0085625D" w:rsidP="000F673C">
                                  <w:pPr>
                                    <w:pStyle w:val="TableHead"/>
                                    <w:rPr>
                                      <w:sz w:val="20"/>
                                      <w:szCs w:val="20"/>
                                    </w:rPr>
                                  </w:pPr>
                                  <w:r w:rsidRPr="00C75F97">
                                    <w:rPr>
                                      <w:sz w:val="20"/>
                                      <w:szCs w:val="20"/>
                                    </w:rPr>
                                    <w:t>CHP</w:t>
                                  </w:r>
                                  <w:r>
                                    <w:rPr>
                                      <w:sz w:val="20"/>
                                      <w:szCs w:val="20"/>
                                    </w:rPr>
                                    <w:t xml:space="preserve">1 supervises and manages the financial and administrative operation of these services and the delivery of these services  for the entire region, including services provided by the 4 other CHPS. </w:t>
                                  </w:r>
                                </w:p>
                              </w:tc>
                            </w:tr>
                          </w:tbl>
                          <w:p w:rsidR="0085625D" w:rsidRPr="00BC02EA" w:rsidRDefault="0085625D" w:rsidP="00200921">
                            <w:pPr>
                              <w:jc w:val="center"/>
                              <w:rPr>
                                <w:b/>
                                <w:sz w:val="20"/>
                                <w:szCs w:val="20"/>
                              </w:rPr>
                            </w:pPr>
                            <w:r>
                              <w:t xml:space="preserve">                                                                                                                                                         </w:t>
                            </w:r>
                            <w:r w:rsidRPr="00BC02EA">
                              <w:rPr>
                                <w:b/>
                                <w:sz w:val="20"/>
                                <w:szCs w:val="20"/>
                              </w:rPr>
                              <w:t>Provision of mental health services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00FFFF"/>
                              <w:tblLayout w:type="fixed"/>
                              <w:tblLook w:val="003F" w:firstRow="1" w:lastRow="0" w:firstColumn="0" w:lastColumn="0" w:noHBand="0" w:noVBand="0"/>
                            </w:tblPr>
                            <w:tblGrid>
                              <w:gridCol w:w="2155"/>
                              <w:gridCol w:w="2155"/>
                              <w:gridCol w:w="2156"/>
                              <w:gridCol w:w="2156"/>
                            </w:tblGrid>
                            <w:tr w:rsidR="0085625D" w:rsidRPr="00BC02EA">
                              <w:tblPrEx>
                                <w:tblCellMar>
                                  <w:top w:w="0" w:type="dxa"/>
                                  <w:bottom w:w="0" w:type="dxa"/>
                                </w:tblCellMar>
                              </w:tblPrEx>
                              <w:trPr>
                                <w:tblHeader/>
                              </w:trPr>
                              <w:tc>
                                <w:tcPr>
                                  <w:tcW w:w="2155" w:type="dxa"/>
                                  <w:tcBorders>
                                    <w:top w:val="single" w:sz="12" w:space="0" w:color="000000"/>
                                    <w:bottom w:val="single" w:sz="12" w:space="0" w:color="000000"/>
                                  </w:tcBorders>
                                  <w:shd w:val="clear" w:color="auto" w:fill="993366"/>
                                </w:tcPr>
                                <w:p w:rsidR="0085625D" w:rsidRPr="00BC02EA" w:rsidRDefault="0085625D" w:rsidP="000F673C">
                                  <w:pPr>
                                    <w:pStyle w:val="TableHead"/>
                                    <w:jc w:val="right"/>
                                    <w:rPr>
                                      <w:sz w:val="20"/>
                                      <w:szCs w:val="20"/>
                                    </w:rPr>
                                  </w:pPr>
                                  <w:r w:rsidRPr="00BC02EA">
                                    <w:rPr>
                                      <w:sz w:val="20"/>
                                      <w:szCs w:val="20"/>
                                    </w:rPr>
                                    <w:t>CHP 2</w:t>
                                  </w:r>
                                </w:p>
                              </w:tc>
                              <w:tc>
                                <w:tcPr>
                                  <w:tcW w:w="2155" w:type="dxa"/>
                                  <w:shd w:val="clear" w:color="auto" w:fill="00FFFF"/>
                                </w:tcPr>
                                <w:p w:rsidR="0085625D" w:rsidRPr="00BC02EA" w:rsidRDefault="0085625D" w:rsidP="000F673C">
                                  <w:pPr>
                                    <w:pStyle w:val="TableHead"/>
                                    <w:jc w:val="right"/>
                                    <w:rPr>
                                      <w:sz w:val="20"/>
                                      <w:szCs w:val="20"/>
                                    </w:rPr>
                                  </w:pPr>
                                  <w:r w:rsidRPr="00BC02EA">
                                    <w:rPr>
                                      <w:sz w:val="20"/>
                                      <w:szCs w:val="20"/>
                                    </w:rPr>
                                    <w:t>CHP 3</w:t>
                                  </w:r>
                                </w:p>
                              </w:tc>
                              <w:tc>
                                <w:tcPr>
                                  <w:tcW w:w="2156" w:type="dxa"/>
                                  <w:tcBorders>
                                    <w:top w:val="single" w:sz="12" w:space="0" w:color="000000"/>
                                    <w:bottom w:val="single" w:sz="12" w:space="0" w:color="000000"/>
                                  </w:tcBorders>
                                  <w:shd w:val="clear" w:color="auto" w:fill="FFFF99"/>
                                </w:tcPr>
                                <w:p w:rsidR="0085625D" w:rsidRPr="00BC02EA" w:rsidRDefault="0085625D" w:rsidP="000F673C">
                                  <w:pPr>
                                    <w:pStyle w:val="TableHead"/>
                                    <w:jc w:val="right"/>
                                    <w:rPr>
                                      <w:sz w:val="20"/>
                                      <w:szCs w:val="20"/>
                                    </w:rPr>
                                  </w:pPr>
                                  <w:r w:rsidRPr="00BC02EA">
                                    <w:rPr>
                                      <w:sz w:val="20"/>
                                      <w:szCs w:val="20"/>
                                    </w:rPr>
                                    <w:t>CHP 4</w:t>
                                  </w:r>
                                </w:p>
                              </w:tc>
                              <w:tc>
                                <w:tcPr>
                                  <w:tcW w:w="2156" w:type="dxa"/>
                                  <w:tcBorders>
                                    <w:top w:val="single" w:sz="12" w:space="0" w:color="000000"/>
                                    <w:bottom w:val="single" w:sz="12" w:space="0" w:color="000000"/>
                                  </w:tcBorders>
                                  <w:shd w:val="clear" w:color="auto" w:fill="CCFFCC"/>
                                </w:tcPr>
                                <w:p w:rsidR="0085625D" w:rsidRPr="00BC02EA" w:rsidRDefault="0085625D" w:rsidP="000F673C">
                                  <w:pPr>
                                    <w:pStyle w:val="TableHead"/>
                                    <w:jc w:val="right"/>
                                    <w:rPr>
                                      <w:sz w:val="20"/>
                                      <w:szCs w:val="20"/>
                                    </w:rPr>
                                  </w:pPr>
                                  <w:r w:rsidRPr="00BC02EA">
                                    <w:rPr>
                                      <w:sz w:val="20"/>
                                      <w:szCs w:val="20"/>
                                    </w:rPr>
                                    <w:t>CHP 5</w:t>
                                  </w:r>
                                </w:p>
                              </w:tc>
                            </w:tr>
                          </w:tbl>
                          <w:p w:rsidR="0085625D" w:rsidRPr="00BC02EA" w:rsidRDefault="0085625D" w:rsidP="00200921">
                            <w:pPr>
                              <w:jc w:val="center"/>
                              <w:rPr>
                                <w:sz w:val="20"/>
                                <w:szCs w:val="20"/>
                              </w:rPr>
                            </w:pPr>
                            <w:r>
                              <w:rPr>
                                <w:sz w:val="20"/>
                                <w:szCs w:val="20"/>
                              </w:rPr>
                              <w:t xml:space="preserve">                                                                                                                                                                                        </w:t>
                            </w:r>
                            <w:r w:rsidRPr="00C75F97">
                              <w:rPr>
                                <w:b/>
                                <w:sz w:val="20"/>
                                <w:szCs w:val="20"/>
                              </w:rPr>
                              <w:t>Services for people with learning disabilities</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993366"/>
                              <w:tblLayout w:type="fixed"/>
                              <w:tblLook w:val="003F" w:firstRow="1" w:lastRow="0" w:firstColumn="0" w:lastColumn="0" w:noHBand="0" w:noVBand="0"/>
                            </w:tblPr>
                            <w:tblGrid>
                              <w:gridCol w:w="8622"/>
                            </w:tblGrid>
                            <w:tr w:rsidR="0085625D" w:rsidRPr="00C75F97">
                              <w:tblPrEx>
                                <w:tblCellMar>
                                  <w:top w:w="0" w:type="dxa"/>
                                  <w:bottom w:w="0" w:type="dxa"/>
                                </w:tblCellMar>
                              </w:tblPrEx>
                              <w:trPr>
                                <w:tblHeader/>
                              </w:trPr>
                              <w:tc>
                                <w:tcPr>
                                  <w:tcW w:w="8622" w:type="dxa"/>
                                  <w:shd w:val="clear" w:color="auto" w:fill="993366"/>
                                </w:tcPr>
                                <w:p w:rsidR="0085625D" w:rsidRPr="00C75F97" w:rsidRDefault="0085625D" w:rsidP="000F673C">
                                  <w:pPr>
                                    <w:pStyle w:val="TableHead"/>
                                    <w:rPr>
                                      <w:sz w:val="20"/>
                                      <w:szCs w:val="20"/>
                                    </w:rPr>
                                  </w:pPr>
                                  <w:r w:rsidRPr="00C75F97">
                                    <w:rPr>
                                      <w:sz w:val="20"/>
                                      <w:szCs w:val="20"/>
                                    </w:rPr>
                                    <w:t>CHP</w:t>
                                  </w:r>
                                  <w:r>
                                    <w:rPr>
                                      <w:sz w:val="20"/>
                                      <w:szCs w:val="20"/>
                                    </w:rPr>
                                    <w:t xml:space="preserve">2 supervises and manages the financial and administrative operation of these services and the delivery of these services  for the entire region, including services provided by the 4 other CHPS. </w:t>
                                  </w:r>
                                </w:p>
                              </w:tc>
                            </w:tr>
                          </w:tbl>
                          <w:p w:rsidR="0085625D" w:rsidRPr="00BC02EA" w:rsidRDefault="0085625D" w:rsidP="00200921">
                            <w:pPr>
                              <w:jc w:val="center"/>
                              <w:rPr>
                                <w:b/>
                                <w:sz w:val="20"/>
                                <w:szCs w:val="20"/>
                              </w:rPr>
                            </w:pPr>
                            <w:r>
                              <w:rPr>
                                <w:b/>
                                <w:sz w:val="20"/>
                                <w:szCs w:val="20"/>
                              </w:rPr>
                              <w:t xml:space="preserve">                                                                                                                                                                     </w:t>
                            </w:r>
                            <w:r w:rsidRPr="00BC02EA">
                              <w:rPr>
                                <w:b/>
                                <w:sz w:val="20"/>
                                <w:szCs w:val="20"/>
                              </w:rPr>
                              <w:t xml:space="preserve">Provision of </w:t>
                            </w:r>
                            <w:r>
                              <w:rPr>
                                <w:b/>
                                <w:sz w:val="20"/>
                                <w:szCs w:val="20"/>
                              </w:rPr>
                              <w:t>learning disability services.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155"/>
                              <w:gridCol w:w="2155"/>
                              <w:gridCol w:w="2156"/>
                              <w:gridCol w:w="2156"/>
                            </w:tblGrid>
                            <w:tr w:rsidR="0085625D" w:rsidRPr="00BC02EA">
                              <w:tblPrEx>
                                <w:tblCellMar>
                                  <w:top w:w="0" w:type="dxa"/>
                                  <w:bottom w:w="0" w:type="dxa"/>
                                </w:tblCellMar>
                              </w:tblPrEx>
                              <w:trPr>
                                <w:tblHeader/>
                              </w:trPr>
                              <w:tc>
                                <w:tcPr>
                                  <w:tcW w:w="2155" w:type="dxa"/>
                                  <w:tcBorders>
                                    <w:top w:val="single" w:sz="12" w:space="0" w:color="000000"/>
                                    <w:bottom w:val="single" w:sz="12" w:space="0" w:color="000000"/>
                                  </w:tcBorders>
                                  <w:shd w:val="clear" w:color="auto" w:fill="CC99FF"/>
                                </w:tcPr>
                                <w:p w:rsidR="0085625D" w:rsidRPr="00BC02EA" w:rsidRDefault="0085625D" w:rsidP="000F673C">
                                  <w:pPr>
                                    <w:pStyle w:val="TableHead"/>
                                    <w:jc w:val="right"/>
                                    <w:rPr>
                                      <w:sz w:val="20"/>
                                      <w:szCs w:val="20"/>
                                    </w:rPr>
                                  </w:pPr>
                                  <w:r>
                                    <w:rPr>
                                      <w:sz w:val="20"/>
                                      <w:szCs w:val="20"/>
                                    </w:rPr>
                                    <w:t>CHP 1</w:t>
                                  </w:r>
                                </w:p>
                              </w:tc>
                              <w:tc>
                                <w:tcPr>
                                  <w:tcW w:w="2155" w:type="dxa"/>
                                  <w:tcBorders>
                                    <w:top w:val="single" w:sz="12" w:space="0" w:color="000000"/>
                                    <w:bottom w:val="single" w:sz="12" w:space="0" w:color="000000"/>
                                  </w:tcBorders>
                                  <w:shd w:val="clear" w:color="auto" w:fill="00FFFF"/>
                                </w:tcPr>
                                <w:p w:rsidR="0085625D" w:rsidRPr="00BC02EA" w:rsidRDefault="0085625D" w:rsidP="000F673C">
                                  <w:pPr>
                                    <w:pStyle w:val="TableHead"/>
                                    <w:jc w:val="right"/>
                                    <w:rPr>
                                      <w:sz w:val="20"/>
                                      <w:szCs w:val="20"/>
                                    </w:rPr>
                                  </w:pPr>
                                  <w:r w:rsidRPr="00BC02EA">
                                    <w:rPr>
                                      <w:sz w:val="20"/>
                                      <w:szCs w:val="20"/>
                                    </w:rPr>
                                    <w:t>CHP 3</w:t>
                                  </w:r>
                                </w:p>
                              </w:tc>
                              <w:tc>
                                <w:tcPr>
                                  <w:tcW w:w="2156" w:type="dxa"/>
                                  <w:tcBorders>
                                    <w:top w:val="single" w:sz="12" w:space="0" w:color="000000"/>
                                    <w:bottom w:val="single" w:sz="12" w:space="0" w:color="000000"/>
                                  </w:tcBorders>
                                  <w:shd w:val="clear" w:color="auto" w:fill="FFFF99"/>
                                </w:tcPr>
                                <w:p w:rsidR="0085625D" w:rsidRPr="00BC02EA" w:rsidRDefault="0085625D" w:rsidP="000F673C">
                                  <w:pPr>
                                    <w:pStyle w:val="TableHead"/>
                                    <w:jc w:val="right"/>
                                    <w:rPr>
                                      <w:sz w:val="20"/>
                                      <w:szCs w:val="20"/>
                                    </w:rPr>
                                  </w:pPr>
                                  <w:r w:rsidRPr="00BC02EA">
                                    <w:rPr>
                                      <w:sz w:val="20"/>
                                      <w:szCs w:val="20"/>
                                    </w:rPr>
                                    <w:t>CHP 4</w:t>
                                  </w:r>
                                </w:p>
                              </w:tc>
                              <w:tc>
                                <w:tcPr>
                                  <w:tcW w:w="2156" w:type="dxa"/>
                                  <w:tcBorders>
                                    <w:top w:val="single" w:sz="12" w:space="0" w:color="000000"/>
                                    <w:bottom w:val="single" w:sz="12" w:space="0" w:color="000000"/>
                                  </w:tcBorders>
                                  <w:shd w:val="clear" w:color="auto" w:fill="CCFFCC"/>
                                </w:tcPr>
                                <w:p w:rsidR="0085625D" w:rsidRPr="00BC02EA" w:rsidRDefault="0085625D" w:rsidP="000F673C">
                                  <w:pPr>
                                    <w:pStyle w:val="TableHead"/>
                                    <w:jc w:val="right"/>
                                    <w:rPr>
                                      <w:sz w:val="20"/>
                                      <w:szCs w:val="20"/>
                                    </w:rPr>
                                  </w:pPr>
                                  <w:r w:rsidRPr="00BC02EA">
                                    <w:rPr>
                                      <w:sz w:val="20"/>
                                      <w:szCs w:val="20"/>
                                    </w:rPr>
                                    <w:t>CHP 5</w:t>
                                  </w:r>
                                </w:p>
                              </w:tc>
                            </w:tr>
                          </w:tbl>
                          <w:p w:rsidR="0085625D" w:rsidRDefault="00856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0;margin-top:3.3pt;width:459pt;height:6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7AKQ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">
                <v:textbox>
                  <w:txbxContent>
                    <w:p w:rsidR="0085625D" w:rsidRPr="00B2282D" w:rsidRDefault="0085625D" w:rsidP="00200921">
                      <w:pPr>
                        <w:jc w:val="center"/>
                        <w:rPr>
                          <w:rFonts w:cs="Arial"/>
                          <w:b/>
                          <w:sz w:val="20"/>
                          <w:szCs w:val="20"/>
                        </w:rPr>
                      </w:pPr>
                      <w:r w:rsidRPr="00B2282D">
                        <w:rPr>
                          <w:b/>
                          <w:sz w:val="20"/>
                          <w:szCs w:val="20"/>
                        </w:rPr>
                        <w:t xml:space="preserve">Lothian Region: </w:t>
                      </w:r>
                      <w:r w:rsidRPr="00B2282D">
                        <w:rPr>
                          <w:rFonts w:cs="Arial"/>
                          <w:b/>
                          <w:sz w:val="20"/>
                          <w:szCs w:val="20"/>
                        </w:rPr>
                        <w:t>780,00 inhabitants</w:t>
                      </w:r>
                    </w:p>
                    <w:p w:rsidR="0085625D" w:rsidRPr="00702D0E" w:rsidRDefault="0085625D" w:rsidP="00200921">
                      <w:pPr>
                        <w:jc w:val="center"/>
                        <w:rPr>
                          <w:b/>
                          <w:sz w:val="20"/>
                          <w:szCs w:val="20"/>
                        </w:rPr>
                      </w:pPr>
                      <w:r w:rsidRPr="00702D0E">
                        <w:rPr>
                          <w:b/>
                          <w:sz w:val="20"/>
                          <w:szCs w:val="20"/>
                        </w:rPr>
                        <w:t>Community based health services by 5 CHPs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796"/>
                        <w:gridCol w:w="1796"/>
                        <w:gridCol w:w="1796"/>
                        <w:gridCol w:w="1797"/>
                        <w:gridCol w:w="1797"/>
                      </w:tblGrid>
                      <w:tr w:rsidR="0085625D" w:rsidRPr="00C75F97">
                        <w:tblPrEx>
                          <w:tblCellMar>
                            <w:top w:w="0" w:type="dxa"/>
                            <w:bottom w:w="0" w:type="dxa"/>
                          </w:tblCellMar>
                        </w:tblPrEx>
                        <w:trPr>
                          <w:trHeight w:val="298"/>
                          <w:tblHeader/>
                        </w:trPr>
                        <w:tc>
                          <w:tcPr>
                            <w:tcW w:w="1796" w:type="dxa"/>
                            <w:tcBorders>
                              <w:top w:val="single" w:sz="12" w:space="0" w:color="000000"/>
                              <w:bottom w:val="single" w:sz="12" w:space="0" w:color="000000"/>
                            </w:tcBorders>
                            <w:shd w:val="clear" w:color="auto" w:fill="CC99FF"/>
                          </w:tcPr>
                          <w:p w:rsidR="0085625D" w:rsidRPr="00C75F97" w:rsidRDefault="0085625D" w:rsidP="000F673C">
                            <w:pPr>
                              <w:pStyle w:val="TableHead"/>
                              <w:jc w:val="right"/>
                              <w:rPr>
                                <w:sz w:val="20"/>
                                <w:szCs w:val="20"/>
                              </w:rPr>
                            </w:pPr>
                            <w:r w:rsidRPr="00C75F97">
                              <w:rPr>
                                <w:sz w:val="20"/>
                                <w:szCs w:val="20"/>
                              </w:rPr>
                              <w:t>CHP 1</w:t>
                            </w:r>
                          </w:p>
                        </w:tc>
                        <w:tc>
                          <w:tcPr>
                            <w:tcW w:w="1796" w:type="dxa"/>
                            <w:tcBorders>
                              <w:top w:val="single" w:sz="12" w:space="0" w:color="000000"/>
                              <w:bottom w:val="single" w:sz="12" w:space="0" w:color="000000"/>
                            </w:tcBorders>
                            <w:shd w:val="clear" w:color="auto" w:fill="800080"/>
                          </w:tcPr>
                          <w:p w:rsidR="0085625D" w:rsidRPr="00C75F97" w:rsidRDefault="0085625D" w:rsidP="000F673C">
                            <w:pPr>
                              <w:pStyle w:val="TableHead"/>
                              <w:jc w:val="right"/>
                              <w:rPr>
                                <w:sz w:val="20"/>
                                <w:szCs w:val="20"/>
                              </w:rPr>
                            </w:pPr>
                            <w:r w:rsidRPr="00C75F97">
                              <w:rPr>
                                <w:sz w:val="20"/>
                                <w:szCs w:val="20"/>
                              </w:rPr>
                              <w:t>CHP 2</w:t>
                            </w:r>
                          </w:p>
                        </w:tc>
                        <w:tc>
                          <w:tcPr>
                            <w:tcW w:w="1796" w:type="dxa"/>
                            <w:tcBorders>
                              <w:top w:val="single" w:sz="12" w:space="0" w:color="000000"/>
                              <w:bottom w:val="single" w:sz="12" w:space="0" w:color="000000"/>
                            </w:tcBorders>
                            <w:shd w:val="clear" w:color="auto" w:fill="00FFFF"/>
                          </w:tcPr>
                          <w:p w:rsidR="0085625D" w:rsidRPr="00C75F97" w:rsidRDefault="0085625D" w:rsidP="000F673C">
                            <w:pPr>
                              <w:pStyle w:val="TableHead"/>
                              <w:jc w:val="right"/>
                              <w:rPr>
                                <w:sz w:val="20"/>
                                <w:szCs w:val="20"/>
                              </w:rPr>
                            </w:pPr>
                            <w:r w:rsidRPr="00C75F97">
                              <w:rPr>
                                <w:sz w:val="20"/>
                                <w:szCs w:val="20"/>
                              </w:rPr>
                              <w:t>CHP 3</w:t>
                            </w:r>
                          </w:p>
                        </w:tc>
                        <w:tc>
                          <w:tcPr>
                            <w:tcW w:w="1797" w:type="dxa"/>
                            <w:tcBorders>
                              <w:top w:val="single" w:sz="12" w:space="0" w:color="000000"/>
                              <w:bottom w:val="single" w:sz="12" w:space="0" w:color="000000"/>
                            </w:tcBorders>
                            <w:shd w:val="clear" w:color="auto" w:fill="FFFF99"/>
                          </w:tcPr>
                          <w:p w:rsidR="0085625D" w:rsidRPr="00C75F97" w:rsidRDefault="0085625D" w:rsidP="000F673C">
                            <w:pPr>
                              <w:pStyle w:val="TableHead"/>
                              <w:jc w:val="right"/>
                              <w:rPr>
                                <w:sz w:val="20"/>
                                <w:szCs w:val="20"/>
                              </w:rPr>
                            </w:pPr>
                            <w:r w:rsidRPr="00C75F97">
                              <w:rPr>
                                <w:sz w:val="20"/>
                                <w:szCs w:val="20"/>
                              </w:rPr>
                              <w:t>CHP4</w:t>
                            </w:r>
                          </w:p>
                        </w:tc>
                        <w:tc>
                          <w:tcPr>
                            <w:tcW w:w="1797" w:type="dxa"/>
                            <w:tcBorders>
                              <w:top w:val="single" w:sz="12" w:space="0" w:color="000000"/>
                              <w:bottom w:val="single" w:sz="12" w:space="0" w:color="000000"/>
                            </w:tcBorders>
                            <w:shd w:val="clear" w:color="auto" w:fill="CCFFCC"/>
                          </w:tcPr>
                          <w:p w:rsidR="0085625D" w:rsidRPr="00C75F97" w:rsidRDefault="0085625D" w:rsidP="000F673C">
                            <w:pPr>
                              <w:pStyle w:val="TableHead"/>
                              <w:jc w:val="right"/>
                              <w:rPr>
                                <w:sz w:val="20"/>
                                <w:szCs w:val="20"/>
                              </w:rPr>
                            </w:pPr>
                            <w:r w:rsidRPr="00C75F97">
                              <w:rPr>
                                <w:sz w:val="20"/>
                                <w:szCs w:val="20"/>
                              </w:rPr>
                              <w:t>CHP5</w:t>
                            </w:r>
                          </w:p>
                        </w:tc>
                      </w:tr>
                    </w:tbl>
                    <w:p w:rsidR="0085625D" w:rsidRPr="00C75F97" w:rsidRDefault="0085625D" w:rsidP="00200921">
                      <w:pPr>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C75F97">
                        <w:rPr>
                          <w:b/>
                          <w:sz w:val="20"/>
                          <w:szCs w:val="20"/>
                        </w:rPr>
                        <w:t>Services for people with mental health issues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8622"/>
                      </w:tblGrid>
                      <w:tr w:rsidR="0085625D" w:rsidRPr="00C75F97">
                        <w:tblPrEx>
                          <w:tblCellMar>
                            <w:top w:w="0" w:type="dxa"/>
                            <w:bottom w:w="0" w:type="dxa"/>
                          </w:tblCellMar>
                        </w:tblPrEx>
                        <w:trPr>
                          <w:tblHeader/>
                        </w:trPr>
                        <w:tc>
                          <w:tcPr>
                            <w:tcW w:w="8622" w:type="dxa"/>
                            <w:tcBorders>
                              <w:top w:val="single" w:sz="12" w:space="0" w:color="000000"/>
                              <w:bottom w:val="single" w:sz="12" w:space="0" w:color="000000"/>
                            </w:tcBorders>
                            <w:shd w:val="clear" w:color="auto" w:fill="CC99FF"/>
                          </w:tcPr>
                          <w:p w:rsidR="0085625D" w:rsidRPr="00C75F97" w:rsidRDefault="0085625D" w:rsidP="000F673C">
                            <w:pPr>
                              <w:pStyle w:val="TableHead"/>
                              <w:rPr>
                                <w:sz w:val="20"/>
                                <w:szCs w:val="20"/>
                              </w:rPr>
                            </w:pPr>
                            <w:r w:rsidRPr="00C75F97">
                              <w:rPr>
                                <w:sz w:val="20"/>
                                <w:szCs w:val="20"/>
                              </w:rPr>
                              <w:t>CHP</w:t>
                            </w:r>
                            <w:r>
                              <w:rPr>
                                <w:sz w:val="20"/>
                                <w:szCs w:val="20"/>
                              </w:rPr>
                              <w:t xml:space="preserve">1 supervises and manages the financial and administrative operation of these services and the delivery of these services  for the entire region, including services provided by the 4 other CHPS. </w:t>
                            </w:r>
                          </w:p>
                        </w:tc>
                      </w:tr>
                    </w:tbl>
                    <w:p w:rsidR="0085625D" w:rsidRPr="00BC02EA" w:rsidRDefault="0085625D" w:rsidP="00200921">
                      <w:pPr>
                        <w:jc w:val="center"/>
                        <w:rPr>
                          <w:b/>
                          <w:sz w:val="20"/>
                          <w:szCs w:val="20"/>
                        </w:rPr>
                      </w:pPr>
                      <w:r>
                        <w:t xml:space="preserve">                                                                                                                                                         </w:t>
                      </w:r>
                      <w:r w:rsidRPr="00BC02EA">
                        <w:rPr>
                          <w:b/>
                          <w:sz w:val="20"/>
                          <w:szCs w:val="20"/>
                        </w:rPr>
                        <w:t>Provision of mental health services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00FFFF"/>
                        <w:tblLayout w:type="fixed"/>
                        <w:tblLook w:val="003F" w:firstRow="1" w:lastRow="0" w:firstColumn="0" w:lastColumn="0" w:noHBand="0" w:noVBand="0"/>
                      </w:tblPr>
                      <w:tblGrid>
                        <w:gridCol w:w="2155"/>
                        <w:gridCol w:w="2155"/>
                        <w:gridCol w:w="2156"/>
                        <w:gridCol w:w="2156"/>
                      </w:tblGrid>
                      <w:tr w:rsidR="0085625D" w:rsidRPr="00BC02EA">
                        <w:tblPrEx>
                          <w:tblCellMar>
                            <w:top w:w="0" w:type="dxa"/>
                            <w:bottom w:w="0" w:type="dxa"/>
                          </w:tblCellMar>
                        </w:tblPrEx>
                        <w:trPr>
                          <w:tblHeader/>
                        </w:trPr>
                        <w:tc>
                          <w:tcPr>
                            <w:tcW w:w="2155" w:type="dxa"/>
                            <w:tcBorders>
                              <w:top w:val="single" w:sz="12" w:space="0" w:color="000000"/>
                              <w:bottom w:val="single" w:sz="12" w:space="0" w:color="000000"/>
                            </w:tcBorders>
                            <w:shd w:val="clear" w:color="auto" w:fill="993366"/>
                          </w:tcPr>
                          <w:p w:rsidR="0085625D" w:rsidRPr="00BC02EA" w:rsidRDefault="0085625D" w:rsidP="000F673C">
                            <w:pPr>
                              <w:pStyle w:val="TableHead"/>
                              <w:jc w:val="right"/>
                              <w:rPr>
                                <w:sz w:val="20"/>
                                <w:szCs w:val="20"/>
                              </w:rPr>
                            </w:pPr>
                            <w:r w:rsidRPr="00BC02EA">
                              <w:rPr>
                                <w:sz w:val="20"/>
                                <w:szCs w:val="20"/>
                              </w:rPr>
                              <w:t>CHP 2</w:t>
                            </w:r>
                          </w:p>
                        </w:tc>
                        <w:tc>
                          <w:tcPr>
                            <w:tcW w:w="2155" w:type="dxa"/>
                            <w:shd w:val="clear" w:color="auto" w:fill="00FFFF"/>
                          </w:tcPr>
                          <w:p w:rsidR="0085625D" w:rsidRPr="00BC02EA" w:rsidRDefault="0085625D" w:rsidP="000F673C">
                            <w:pPr>
                              <w:pStyle w:val="TableHead"/>
                              <w:jc w:val="right"/>
                              <w:rPr>
                                <w:sz w:val="20"/>
                                <w:szCs w:val="20"/>
                              </w:rPr>
                            </w:pPr>
                            <w:r w:rsidRPr="00BC02EA">
                              <w:rPr>
                                <w:sz w:val="20"/>
                                <w:szCs w:val="20"/>
                              </w:rPr>
                              <w:t>CHP 3</w:t>
                            </w:r>
                          </w:p>
                        </w:tc>
                        <w:tc>
                          <w:tcPr>
                            <w:tcW w:w="2156" w:type="dxa"/>
                            <w:tcBorders>
                              <w:top w:val="single" w:sz="12" w:space="0" w:color="000000"/>
                              <w:bottom w:val="single" w:sz="12" w:space="0" w:color="000000"/>
                            </w:tcBorders>
                            <w:shd w:val="clear" w:color="auto" w:fill="FFFF99"/>
                          </w:tcPr>
                          <w:p w:rsidR="0085625D" w:rsidRPr="00BC02EA" w:rsidRDefault="0085625D" w:rsidP="000F673C">
                            <w:pPr>
                              <w:pStyle w:val="TableHead"/>
                              <w:jc w:val="right"/>
                              <w:rPr>
                                <w:sz w:val="20"/>
                                <w:szCs w:val="20"/>
                              </w:rPr>
                            </w:pPr>
                            <w:r w:rsidRPr="00BC02EA">
                              <w:rPr>
                                <w:sz w:val="20"/>
                                <w:szCs w:val="20"/>
                              </w:rPr>
                              <w:t>CHP 4</w:t>
                            </w:r>
                          </w:p>
                        </w:tc>
                        <w:tc>
                          <w:tcPr>
                            <w:tcW w:w="2156" w:type="dxa"/>
                            <w:tcBorders>
                              <w:top w:val="single" w:sz="12" w:space="0" w:color="000000"/>
                              <w:bottom w:val="single" w:sz="12" w:space="0" w:color="000000"/>
                            </w:tcBorders>
                            <w:shd w:val="clear" w:color="auto" w:fill="CCFFCC"/>
                          </w:tcPr>
                          <w:p w:rsidR="0085625D" w:rsidRPr="00BC02EA" w:rsidRDefault="0085625D" w:rsidP="000F673C">
                            <w:pPr>
                              <w:pStyle w:val="TableHead"/>
                              <w:jc w:val="right"/>
                              <w:rPr>
                                <w:sz w:val="20"/>
                                <w:szCs w:val="20"/>
                              </w:rPr>
                            </w:pPr>
                            <w:r w:rsidRPr="00BC02EA">
                              <w:rPr>
                                <w:sz w:val="20"/>
                                <w:szCs w:val="20"/>
                              </w:rPr>
                              <w:t>CHP 5</w:t>
                            </w:r>
                          </w:p>
                        </w:tc>
                      </w:tr>
                    </w:tbl>
                    <w:p w:rsidR="0085625D" w:rsidRPr="00BC02EA" w:rsidRDefault="0085625D" w:rsidP="00200921">
                      <w:pPr>
                        <w:jc w:val="center"/>
                        <w:rPr>
                          <w:sz w:val="20"/>
                          <w:szCs w:val="20"/>
                        </w:rPr>
                      </w:pPr>
                      <w:r>
                        <w:rPr>
                          <w:sz w:val="20"/>
                          <w:szCs w:val="20"/>
                        </w:rPr>
                        <w:t xml:space="preserve">                                                                                                                                                                                        </w:t>
                      </w:r>
                      <w:r w:rsidRPr="00C75F97">
                        <w:rPr>
                          <w:b/>
                          <w:sz w:val="20"/>
                          <w:szCs w:val="20"/>
                        </w:rPr>
                        <w:t>Services for people with learning disabilities</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993366"/>
                        <w:tblLayout w:type="fixed"/>
                        <w:tblLook w:val="003F" w:firstRow="1" w:lastRow="0" w:firstColumn="0" w:lastColumn="0" w:noHBand="0" w:noVBand="0"/>
                      </w:tblPr>
                      <w:tblGrid>
                        <w:gridCol w:w="8622"/>
                      </w:tblGrid>
                      <w:tr w:rsidR="0085625D" w:rsidRPr="00C75F97">
                        <w:tblPrEx>
                          <w:tblCellMar>
                            <w:top w:w="0" w:type="dxa"/>
                            <w:bottom w:w="0" w:type="dxa"/>
                          </w:tblCellMar>
                        </w:tblPrEx>
                        <w:trPr>
                          <w:tblHeader/>
                        </w:trPr>
                        <w:tc>
                          <w:tcPr>
                            <w:tcW w:w="8622" w:type="dxa"/>
                            <w:shd w:val="clear" w:color="auto" w:fill="993366"/>
                          </w:tcPr>
                          <w:p w:rsidR="0085625D" w:rsidRPr="00C75F97" w:rsidRDefault="0085625D" w:rsidP="000F673C">
                            <w:pPr>
                              <w:pStyle w:val="TableHead"/>
                              <w:rPr>
                                <w:sz w:val="20"/>
                                <w:szCs w:val="20"/>
                              </w:rPr>
                            </w:pPr>
                            <w:r w:rsidRPr="00C75F97">
                              <w:rPr>
                                <w:sz w:val="20"/>
                                <w:szCs w:val="20"/>
                              </w:rPr>
                              <w:t>CHP</w:t>
                            </w:r>
                            <w:r>
                              <w:rPr>
                                <w:sz w:val="20"/>
                                <w:szCs w:val="20"/>
                              </w:rPr>
                              <w:t xml:space="preserve">2 supervises and manages the financial and administrative operation of these services and the delivery of these services  for the entire region, including services provided by the 4 other CHPS. </w:t>
                            </w:r>
                          </w:p>
                        </w:tc>
                      </w:tr>
                    </w:tbl>
                    <w:p w:rsidR="0085625D" w:rsidRPr="00BC02EA" w:rsidRDefault="0085625D" w:rsidP="00200921">
                      <w:pPr>
                        <w:jc w:val="center"/>
                        <w:rPr>
                          <w:b/>
                          <w:sz w:val="20"/>
                          <w:szCs w:val="20"/>
                        </w:rPr>
                      </w:pPr>
                      <w:r>
                        <w:rPr>
                          <w:b/>
                          <w:sz w:val="20"/>
                          <w:szCs w:val="20"/>
                        </w:rPr>
                        <w:t xml:space="preserve">                                                                                                                                                                     </w:t>
                      </w:r>
                      <w:r w:rsidRPr="00BC02EA">
                        <w:rPr>
                          <w:b/>
                          <w:sz w:val="20"/>
                          <w:szCs w:val="20"/>
                        </w:rPr>
                        <w:t xml:space="preserve">Provision of </w:t>
                      </w:r>
                      <w:r>
                        <w:rPr>
                          <w:b/>
                          <w:sz w:val="20"/>
                          <w:szCs w:val="20"/>
                        </w:rPr>
                        <w:t>learning disability services.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155"/>
                        <w:gridCol w:w="2155"/>
                        <w:gridCol w:w="2156"/>
                        <w:gridCol w:w="2156"/>
                      </w:tblGrid>
                      <w:tr w:rsidR="0085625D" w:rsidRPr="00BC02EA">
                        <w:tblPrEx>
                          <w:tblCellMar>
                            <w:top w:w="0" w:type="dxa"/>
                            <w:bottom w:w="0" w:type="dxa"/>
                          </w:tblCellMar>
                        </w:tblPrEx>
                        <w:trPr>
                          <w:tblHeader/>
                        </w:trPr>
                        <w:tc>
                          <w:tcPr>
                            <w:tcW w:w="2155" w:type="dxa"/>
                            <w:tcBorders>
                              <w:top w:val="single" w:sz="12" w:space="0" w:color="000000"/>
                              <w:bottom w:val="single" w:sz="12" w:space="0" w:color="000000"/>
                            </w:tcBorders>
                            <w:shd w:val="clear" w:color="auto" w:fill="CC99FF"/>
                          </w:tcPr>
                          <w:p w:rsidR="0085625D" w:rsidRPr="00BC02EA" w:rsidRDefault="0085625D" w:rsidP="000F673C">
                            <w:pPr>
                              <w:pStyle w:val="TableHead"/>
                              <w:jc w:val="right"/>
                              <w:rPr>
                                <w:sz w:val="20"/>
                                <w:szCs w:val="20"/>
                              </w:rPr>
                            </w:pPr>
                            <w:r>
                              <w:rPr>
                                <w:sz w:val="20"/>
                                <w:szCs w:val="20"/>
                              </w:rPr>
                              <w:t>CHP 1</w:t>
                            </w:r>
                          </w:p>
                        </w:tc>
                        <w:tc>
                          <w:tcPr>
                            <w:tcW w:w="2155" w:type="dxa"/>
                            <w:tcBorders>
                              <w:top w:val="single" w:sz="12" w:space="0" w:color="000000"/>
                              <w:bottom w:val="single" w:sz="12" w:space="0" w:color="000000"/>
                            </w:tcBorders>
                            <w:shd w:val="clear" w:color="auto" w:fill="00FFFF"/>
                          </w:tcPr>
                          <w:p w:rsidR="0085625D" w:rsidRPr="00BC02EA" w:rsidRDefault="0085625D" w:rsidP="000F673C">
                            <w:pPr>
                              <w:pStyle w:val="TableHead"/>
                              <w:jc w:val="right"/>
                              <w:rPr>
                                <w:sz w:val="20"/>
                                <w:szCs w:val="20"/>
                              </w:rPr>
                            </w:pPr>
                            <w:r w:rsidRPr="00BC02EA">
                              <w:rPr>
                                <w:sz w:val="20"/>
                                <w:szCs w:val="20"/>
                              </w:rPr>
                              <w:t>CHP 3</w:t>
                            </w:r>
                          </w:p>
                        </w:tc>
                        <w:tc>
                          <w:tcPr>
                            <w:tcW w:w="2156" w:type="dxa"/>
                            <w:tcBorders>
                              <w:top w:val="single" w:sz="12" w:space="0" w:color="000000"/>
                              <w:bottom w:val="single" w:sz="12" w:space="0" w:color="000000"/>
                            </w:tcBorders>
                            <w:shd w:val="clear" w:color="auto" w:fill="FFFF99"/>
                          </w:tcPr>
                          <w:p w:rsidR="0085625D" w:rsidRPr="00BC02EA" w:rsidRDefault="0085625D" w:rsidP="000F673C">
                            <w:pPr>
                              <w:pStyle w:val="TableHead"/>
                              <w:jc w:val="right"/>
                              <w:rPr>
                                <w:sz w:val="20"/>
                                <w:szCs w:val="20"/>
                              </w:rPr>
                            </w:pPr>
                            <w:r w:rsidRPr="00BC02EA">
                              <w:rPr>
                                <w:sz w:val="20"/>
                                <w:szCs w:val="20"/>
                              </w:rPr>
                              <w:t>CHP 4</w:t>
                            </w:r>
                          </w:p>
                        </w:tc>
                        <w:tc>
                          <w:tcPr>
                            <w:tcW w:w="2156" w:type="dxa"/>
                            <w:tcBorders>
                              <w:top w:val="single" w:sz="12" w:space="0" w:color="000000"/>
                              <w:bottom w:val="single" w:sz="12" w:space="0" w:color="000000"/>
                            </w:tcBorders>
                            <w:shd w:val="clear" w:color="auto" w:fill="CCFFCC"/>
                          </w:tcPr>
                          <w:p w:rsidR="0085625D" w:rsidRPr="00BC02EA" w:rsidRDefault="0085625D" w:rsidP="000F673C">
                            <w:pPr>
                              <w:pStyle w:val="TableHead"/>
                              <w:jc w:val="right"/>
                              <w:rPr>
                                <w:sz w:val="20"/>
                                <w:szCs w:val="20"/>
                              </w:rPr>
                            </w:pPr>
                            <w:r w:rsidRPr="00BC02EA">
                              <w:rPr>
                                <w:sz w:val="20"/>
                                <w:szCs w:val="20"/>
                              </w:rPr>
                              <w:t>CHP 5</w:t>
                            </w:r>
                          </w:p>
                        </w:tc>
                      </w:tr>
                    </w:tbl>
                    <w:p w:rsidR="0085625D" w:rsidRDefault="0085625D"/>
                  </w:txbxContent>
                </v:textbox>
              </v:shape>
            </w:pict>
          </mc:Fallback>
        </mc:AlternateContent>
      </w:r>
      <w:bookmarkEnd w:id="163"/>
      <w:bookmarkEnd w:id="164"/>
      <w:bookmarkEnd w:id="165"/>
      <w:bookmarkEnd w:id="166"/>
    </w:p>
    <w:p w:rsidR="00200921" w:rsidRDefault="00200921" w:rsidP="0097317F">
      <w:pPr>
        <w:pStyle w:val="Heading1"/>
      </w:pPr>
    </w:p>
    <w:p w:rsidR="00200921" w:rsidRDefault="00200921" w:rsidP="0097317F">
      <w:pPr>
        <w:pStyle w:val="Heading1"/>
      </w:pPr>
    </w:p>
    <w:p w:rsidR="00200921" w:rsidRDefault="001911E6" w:rsidP="0097317F">
      <w:pPr>
        <w:pStyle w:val="Heading1"/>
      </w:pPr>
      <w:bookmarkStart w:id="167" w:name="_Toc274231251"/>
      <w:bookmarkStart w:id="168" w:name="_Toc276028160"/>
      <w:bookmarkStart w:id="169" w:name="_Toc276028321"/>
      <w:bookmarkStart w:id="170" w:name="_Toc279136927"/>
      <w:r>
        <w:rPr>
          <w:noProof/>
          <w:lang w:eastAsia="en-IE"/>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365760</wp:posOffset>
                </wp:positionV>
                <wp:extent cx="0" cy="228600"/>
                <wp:effectExtent l="57150" t="7620" r="57150" b="20955"/>
                <wp:wrapNone/>
                <wp:docPr id="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877BC" id="Line 9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8.8pt" to="3in,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Z9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wtF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">
                <v:stroke endarrow="block"/>
              </v:line>
            </w:pict>
          </mc:Fallback>
        </mc:AlternateContent>
      </w:r>
      <w:bookmarkEnd w:id="167"/>
      <w:bookmarkEnd w:id="168"/>
      <w:bookmarkEnd w:id="169"/>
      <w:bookmarkEnd w:id="170"/>
    </w:p>
    <w:p w:rsidR="00200921" w:rsidRDefault="00200921" w:rsidP="0097317F">
      <w:pPr>
        <w:pStyle w:val="Heading1"/>
      </w:pPr>
    </w:p>
    <w:p w:rsidR="00200921" w:rsidRDefault="001911E6" w:rsidP="0097317F">
      <w:pPr>
        <w:pStyle w:val="Heading1"/>
      </w:pPr>
      <w:bookmarkStart w:id="171" w:name="_Toc274231252"/>
      <w:bookmarkStart w:id="172" w:name="_Toc276028161"/>
      <w:bookmarkStart w:id="173" w:name="_Toc276028322"/>
      <w:bookmarkStart w:id="174" w:name="_Toc279136928"/>
      <w:r>
        <w:rPr>
          <w:noProof/>
          <w:lang w:eastAsia="en-IE"/>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335280</wp:posOffset>
                </wp:positionV>
                <wp:extent cx="0" cy="228600"/>
                <wp:effectExtent l="57150" t="7620" r="57150" b="20955"/>
                <wp:wrapNone/>
                <wp:docPr id="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3C8D1" id="Line 10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6.4pt" to="3in,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">
                <v:stroke endarrow="block"/>
              </v:line>
            </w:pict>
          </mc:Fallback>
        </mc:AlternateContent>
      </w:r>
      <w:bookmarkEnd w:id="171"/>
      <w:bookmarkEnd w:id="172"/>
      <w:bookmarkEnd w:id="173"/>
      <w:bookmarkEnd w:id="174"/>
    </w:p>
    <w:p w:rsidR="00200921" w:rsidRDefault="001911E6" w:rsidP="0097317F">
      <w:pPr>
        <w:pStyle w:val="Heading1"/>
      </w:pPr>
      <w:bookmarkStart w:id="175" w:name="_Toc274231253"/>
      <w:bookmarkStart w:id="176" w:name="_Toc276028162"/>
      <w:bookmarkStart w:id="177" w:name="_Toc276028323"/>
      <w:bookmarkStart w:id="178" w:name="_Toc279136929"/>
      <w:r>
        <w:rPr>
          <w:noProof/>
          <w:lang w:eastAsia="en-IE"/>
        </w:rPr>
        <mc:AlternateContent>
          <mc:Choice Requires="wps">
            <w:drawing>
              <wp:anchor distT="0" distB="0" distL="114300" distR="114300" simplePos="0" relativeHeight="251654144" behindDoc="0" locked="0" layoutInCell="1" allowOverlap="1">
                <wp:simplePos x="0" y="0"/>
                <wp:positionH relativeFrom="column">
                  <wp:posOffset>2743200</wp:posOffset>
                </wp:positionH>
                <wp:positionV relativeFrom="paragraph">
                  <wp:posOffset>262890</wp:posOffset>
                </wp:positionV>
                <wp:extent cx="0" cy="228600"/>
                <wp:effectExtent l="57150" t="7620" r="57150" b="20955"/>
                <wp:wrapNone/>
                <wp:docPr id="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98EDC" id="Line 9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7pt" to="3in,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hz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">
                <v:stroke endarrow="block"/>
              </v:line>
            </w:pict>
          </mc:Fallback>
        </mc:AlternateContent>
      </w:r>
      <w:bookmarkEnd w:id="175"/>
      <w:bookmarkEnd w:id="176"/>
      <w:bookmarkEnd w:id="177"/>
      <w:bookmarkEnd w:id="178"/>
    </w:p>
    <w:p w:rsidR="00200921" w:rsidRDefault="001911E6" w:rsidP="0097317F">
      <w:pPr>
        <w:pStyle w:val="Heading1"/>
      </w:pPr>
      <w:bookmarkStart w:id="179" w:name="_Toc274231254"/>
      <w:bookmarkStart w:id="180" w:name="_Toc276028163"/>
      <w:bookmarkStart w:id="181" w:name="_Toc276028324"/>
      <w:bookmarkStart w:id="182" w:name="_Toc279136930"/>
      <w:r>
        <w:rPr>
          <w:noProof/>
          <w:lang w:eastAsia="en-IE"/>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335280</wp:posOffset>
                </wp:positionV>
                <wp:extent cx="0" cy="228600"/>
                <wp:effectExtent l="57150" t="9525" r="57150" b="19050"/>
                <wp:wrapNone/>
                <wp:docPr id="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9E9E2" id="Line 1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6.4pt" to="3in,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6Q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">
                <v:stroke endarrow="block"/>
              </v:line>
            </w:pict>
          </mc:Fallback>
        </mc:AlternateContent>
      </w:r>
      <w:bookmarkEnd w:id="179"/>
      <w:bookmarkEnd w:id="180"/>
      <w:bookmarkEnd w:id="181"/>
      <w:bookmarkEnd w:id="182"/>
    </w:p>
    <w:p w:rsidR="00200921" w:rsidRDefault="001911E6" w:rsidP="0097317F">
      <w:pPr>
        <w:pStyle w:val="Heading1"/>
      </w:pPr>
      <w:bookmarkStart w:id="183" w:name="_Toc274231255"/>
      <w:bookmarkStart w:id="184" w:name="_Toc276028164"/>
      <w:bookmarkStart w:id="185" w:name="_Toc276028325"/>
      <w:bookmarkStart w:id="186" w:name="_Toc279136931"/>
      <w:r>
        <w:rPr>
          <w:noProof/>
          <w:lang w:eastAsia="en-IE"/>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262890</wp:posOffset>
                </wp:positionV>
                <wp:extent cx="0" cy="228600"/>
                <wp:effectExtent l="57150" t="9525" r="57150" b="19050"/>
                <wp:wrapNone/>
                <wp:docPr id="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12518" id="Line 10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7pt" to="3in,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37KA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">
                <v:stroke endarrow="block"/>
              </v:line>
            </w:pict>
          </mc:Fallback>
        </mc:AlternateContent>
      </w:r>
      <w:bookmarkEnd w:id="183"/>
      <w:bookmarkEnd w:id="184"/>
      <w:bookmarkEnd w:id="185"/>
      <w:bookmarkEnd w:id="186"/>
    </w:p>
    <w:p w:rsidR="00200921" w:rsidRDefault="00200921" w:rsidP="0097317F">
      <w:pPr>
        <w:pStyle w:val="Heading1"/>
      </w:pPr>
    </w:p>
    <w:p w:rsidR="00200921" w:rsidRDefault="001911E6" w:rsidP="0097317F">
      <w:pPr>
        <w:pStyle w:val="Heading1"/>
      </w:pPr>
      <w:bookmarkStart w:id="187" w:name="_Toc274231256"/>
      <w:bookmarkStart w:id="188" w:name="_Toc276028165"/>
      <w:bookmarkStart w:id="189" w:name="_Toc276028326"/>
      <w:bookmarkStart w:id="190" w:name="_Toc279136932"/>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232410</wp:posOffset>
                </wp:positionV>
                <wp:extent cx="0" cy="228600"/>
                <wp:effectExtent l="57150" t="9525" r="57150" b="19050"/>
                <wp:wrapNone/>
                <wp:docPr id="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0EC4" id="Line 1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3pt" to="3in,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bX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slnQZjCuBJda7Wyojp7Vk3nU9JtDStcdUQceOT5fDARmISJ5FRI2zkCG/fBJM/AhR6+j&#10;UOfW9gESJEDn2I/LvR/87BEdDymc5vlinsZWJaS8xRnr/EeuexSMCksgHX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">
                <v:stroke endarrow="block"/>
              </v:line>
            </w:pict>
          </mc:Fallback>
        </mc:AlternateContent>
      </w:r>
      <w:bookmarkEnd w:id="187"/>
      <w:bookmarkEnd w:id="188"/>
      <w:bookmarkEnd w:id="189"/>
      <w:bookmarkEnd w:id="190"/>
    </w:p>
    <w:p w:rsidR="00200921" w:rsidRDefault="001911E6" w:rsidP="0097317F">
      <w:pPr>
        <w:pStyle w:val="Heading1"/>
      </w:pPr>
      <w:bookmarkStart w:id="191" w:name="_Toc274231257"/>
      <w:bookmarkStart w:id="192" w:name="_Toc276028166"/>
      <w:bookmarkStart w:id="193" w:name="_Toc276028327"/>
      <w:bookmarkStart w:id="194" w:name="_Toc279136933"/>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160020</wp:posOffset>
                </wp:positionV>
                <wp:extent cx="0" cy="228600"/>
                <wp:effectExtent l="57150" t="9525" r="57150" b="19050"/>
                <wp:wrapNone/>
                <wp:docPr id="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C913F" id="Line 1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6pt" to="3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uh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hpEgH&#10;LdoKxVH2kAdteuMKcKnUzobq6Fk9m62m3xxSumqJOvDI8eViIDALEcmbkLBxBjLs+8+agQ85eh2F&#10;Oje2C5AgATrHflzu/eBnj+hwSOE0z+ezNLYqIcUtzljnP3HdoWCUWALp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">
                <v:stroke endarrow="block"/>
              </v:line>
            </w:pict>
          </mc:Fallback>
        </mc:AlternateContent>
      </w:r>
      <w:bookmarkEnd w:id="191"/>
      <w:bookmarkEnd w:id="192"/>
      <w:bookmarkEnd w:id="193"/>
      <w:bookmarkEnd w:id="194"/>
    </w:p>
    <w:p w:rsidR="00200921" w:rsidRDefault="00200921" w:rsidP="0097317F">
      <w:pPr>
        <w:pStyle w:val="Heading1"/>
      </w:pPr>
    </w:p>
    <w:p w:rsidR="00200921" w:rsidRDefault="00200921" w:rsidP="0097317F">
      <w:pPr>
        <w:pStyle w:val="Heading1"/>
      </w:pPr>
    </w:p>
    <w:p w:rsidR="00200921" w:rsidRDefault="00200921" w:rsidP="0097317F">
      <w:pPr>
        <w:pStyle w:val="Heading1"/>
      </w:pPr>
    </w:p>
    <w:p w:rsidR="00200921" w:rsidRDefault="00200921" w:rsidP="0097317F">
      <w:pPr>
        <w:pStyle w:val="Heading1"/>
      </w:pPr>
    </w:p>
    <w:p w:rsidR="006E6AF1" w:rsidRDefault="006E6AF1" w:rsidP="0097317F">
      <w:pPr>
        <w:pStyle w:val="Heading1"/>
      </w:pPr>
    </w:p>
    <w:p w:rsidR="006E6AF1" w:rsidRDefault="006E6AF1" w:rsidP="0097317F">
      <w:pPr>
        <w:pStyle w:val="Heading1"/>
      </w:pPr>
    </w:p>
    <w:p w:rsidR="0097317F" w:rsidRDefault="006E6AF1" w:rsidP="0097317F">
      <w:pPr>
        <w:pStyle w:val="Heading1"/>
      </w:pPr>
      <w:bookmarkStart w:id="195" w:name="_Toc279136934"/>
      <w:r>
        <w:t xml:space="preserve">Appendix 3 </w:t>
      </w:r>
      <w:r w:rsidR="0097317F">
        <w:t>Benefits for People with Disabilities</w:t>
      </w:r>
      <w:bookmarkEnd w:id="157"/>
      <w:bookmarkEnd w:id="158"/>
      <w:bookmarkEnd w:id="161"/>
      <w:bookmarkEnd w:id="195"/>
    </w:p>
    <w:p w:rsidR="0097317F" w:rsidRDefault="0097317F" w:rsidP="00C36CA2">
      <w:pPr>
        <w:pStyle w:val="Heading4"/>
      </w:pPr>
      <w:bookmarkStart w:id="196" w:name="_Toc247447275"/>
      <w:bookmarkStart w:id="197" w:name="_Toc246242084"/>
      <w:bookmarkStart w:id="198" w:name="_Toc255836011"/>
      <w:bookmarkStart w:id="199" w:name="_Toc267920961"/>
      <w:r>
        <w:t>Employment and Support Allowance</w:t>
      </w:r>
      <w:bookmarkEnd w:id="196"/>
      <w:bookmarkEnd w:id="197"/>
      <w:bookmarkEnd w:id="198"/>
      <w:bookmarkEnd w:id="199"/>
    </w:p>
    <w:p w:rsidR="0097317F" w:rsidRDefault="0097317F" w:rsidP="0097317F">
      <w:r>
        <w:t xml:space="preserve">Prior to 2008 people with </w:t>
      </w:r>
      <w:r>
        <w:rPr>
          <w:rFonts w:cs="Arial"/>
        </w:rPr>
        <w:t>limited capacity to work due to an disability received the Incapacity Benefit.</w:t>
      </w:r>
      <w:r>
        <w:t xml:space="preserve"> Post October, 2008 this allowance has now been changed to the Employment and Support Allowance (ESA)</w:t>
      </w:r>
      <w:r>
        <w:rPr>
          <w:rStyle w:val="FootnoteReference"/>
          <w:color w:val="000000"/>
          <w:szCs w:val="20"/>
          <w:lang w:bidi="x-none"/>
        </w:rPr>
        <w:footnoteReference w:id="120"/>
      </w:r>
      <w:r w:rsidR="00A95454">
        <w:t>.</w:t>
      </w:r>
      <w:r>
        <w:t xml:space="preserve"> It is for people who can't work because of sickness or disability, and who are not getting Statutory Sick Pay.</w:t>
      </w:r>
    </w:p>
    <w:p w:rsidR="0097317F" w:rsidRDefault="0097317F" w:rsidP="0097317F">
      <w:r>
        <w:t>There are two types of ESA:</w:t>
      </w:r>
    </w:p>
    <w:p w:rsidR="0097317F" w:rsidRDefault="0097317F" w:rsidP="0097317F">
      <w:pPr>
        <w:pStyle w:val="ListBullet"/>
      </w:pPr>
      <w:r>
        <w:t xml:space="preserve">contributory ESA, which </w:t>
      </w:r>
      <w:r w:rsidR="00594A89">
        <w:t>the recipient</w:t>
      </w:r>
      <w:r>
        <w:t xml:space="preserve"> can get if </w:t>
      </w:r>
      <w:r w:rsidR="00594A89">
        <w:t xml:space="preserve">he/she has </w:t>
      </w:r>
      <w:r>
        <w:t>paid enough national insurance contributions</w:t>
      </w:r>
    </w:p>
    <w:p w:rsidR="0097317F" w:rsidRDefault="0097317F" w:rsidP="00594A89">
      <w:pPr>
        <w:pStyle w:val="ListBullet"/>
      </w:pPr>
      <w:r>
        <w:t>income-re</w:t>
      </w:r>
      <w:r w:rsidR="00594A89">
        <w:t xml:space="preserve">lated ESA which is paid if he/she has </w:t>
      </w:r>
      <w:r>
        <w:t>income and capital are low enough</w:t>
      </w:r>
    </w:p>
    <w:p w:rsidR="0097317F" w:rsidRDefault="0097317F" w:rsidP="00C36CA2">
      <w:pPr>
        <w:pStyle w:val="Heading4"/>
      </w:pPr>
      <w:bookmarkStart w:id="200" w:name="_Toc247447276"/>
      <w:bookmarkStart w:id="201" w:name="_Toc246242085"/>
      <w:bookmarkStart w:id="202" w:name="_Toc255836012"/>
      <w:bookmarkStart w:id="203" w:name="_Toc267920962"/>
      <w:r>
        <w:t>Eligibility</w:t>
      </w:r>
      <w:bookmarkEnd w:id="200"/>
      <w:bookmarkEnd w:id="201"/>
      <w:bookmarkEnd w:id="202"/>
      <w:bookmarkEnd w:id="203"/>
    </w:p>
    <w:p w:rsidR="0097317F" w:rsidRDefault="00594A89" w:rsidP="0097317F">
      <w:r>
        <w:t>The recipient</w:t>
      </w:r>
      <w:r w:rsidR="0097317F">
        <w:t xml:space="preserve"> may be able to get both contributory ESA and income-related ESA, depending on </w:t>
      </w:r>
      <w:r>
        <w:t>thei</w:t>
      </w:r>
      <w:r w:rsidR="0097317F">
        <w:t xml:space="preserve">r circumstances. For both types of ESA, </w:t>
      </w:r>
      <w:r>
        <w:t xml:space="preserve">the recipient </w:t>
      </w:r>
      <w:r w:rsidR="0097317F">
        <w:t>will usually have to have v</w:t>
      </w:r>
      <w:r>
        <w:t>arious tests to confirm that they</w:t>
      </w:r>
      <w:r w:rsidR="0097317F">
        <w:t xml:space="preserve"> have limited capability for work. ESA is paid by the Department for Work and Pensions (DWP).</w:t>
      </w:r>
    </w:p>
    <w:p w:rsidR="0097317F" w:rsidRDefault="0097317F" w:rsidP="0097317F">
      <w:r>
        <w:t xml:space="preserve">People cannot get ESA if they or their partner are getting Income Support, income-based Jobseeker’s Allowance or Pension Credit. </w:t>
      </w:r>
    </w:p>
    <w:p w:rsidR="0097317F" w:rsidRDefault="0097317F" w:rsidP="0097317F">
      <w:r>
        <w:t>In order to qu</w:t>
      </w:r>
      <w:r w:rsidR="002B3466">
        <w:t xml:space="preserve">alify for contributory ESA, the recipient </w:t>
      </w:r>
      <w:r>
        <w:t>will usually have to have paid enough national insurance</w:t>
      </w:r>
      <w:r w:rsidR="002B3466">
        <w:t xml:space="preserve"> contributions. However, if the recipient </w:t>
      </w:r>
      <w:r>
        <w:t>become</w:t>
      </w:r>
      <w:r w:rsidR="002B3466">
        <w:t>s unfit for work before they are 20 (25 if they</w:t>
      </w:r>
      <w:r>
        <w:t xml:space="preserve"> have </w:t>
      </w:r>
      <w:r w:rsidR="002B3466">
        <w:t>been in full-time education) they</w:t>
      </w:r>
      <w:r>
        <w:t xml:space="preserve"> do not need to meet the contribution conditions or have paid national insurance.</w:t>
      </w:r>
    </w:p>
    <w:p w:rsidR="0097317F" w:rsidRDefault="0097317F" w:rsidP="0097317F">
      <w:pPr>
        <w:pStyle w:val="ListNumber"/>
      </w:pPr>
      <w:r>
        <w:t>To get income-related ESA, a person’s income will be compared with the amount that the gov</w:t>
      </w:r>
      <w:r w:rsidR="00A95454">
        <w:t>ernment thinks is enough for them</w:t>
      </w:r>
      <w:r>
        <w:t xml:space="preserve"> to live on. A person is inelig</w:t>
      </w:r>
      <w:r w:rsidR="00A95454">
        <w:t>ible for income-related ESA if they</w:t>
      </w:r>
      <w:r>
        <w:t xml:space="preserve"> have savings of more than €17,800 (£16,000).</w:t>
      </w:r>
    </w:p>
    <w:p w:rsidR="0097317F" w:rsidRDefault="0097317F" w:rsidP="0097317F">
      <w:r>
        <w:t>Proof of incapacity needs to be shown via medical certificates to the Department for Work and Pensions (DWP).</w:t>
      </w:r>
    </w:p>
    <w:p w:rsidR="0097317F" w:rsidRDefault="0097317F" w:rsidP="0097317F">
      <w:r>
        <w:t xml:space="preserve">The rate of ESA a person receives is dependent on whether they are eligible for contributory ESA or income-related ESA and an assessment of their work capacity.  </w:t>
      </w:r>
    </w:p>
    <w:p w:rsidR="0097317F" w:rsidRDefault="0097317F" w:rsidP="0097317F">
      <w:pPr>
        <w:rPr>
          <w:color w:val="000000"/>
          <w:szCs w:val="20"/>
          <w:lang w:bidi="x-none"/>
        </w:rPr>
      </w:pPr>
      <w:r>
        <w:t>The assessment phase rate is paid</w:t>
      </w:r>
      <w:r w:rsidR="002B3466">
        <w:t xml:space="preserve"> for the first 13 weeks of a recipient's </w:t>
      </w:r>
      <w:r>
        <w:t xml:space="preserve">claim </w:t>
      </w:r>
      <w:r w:rsidR="002B3466">
        <w:t>while a decision is made on their</w:t>
      </w:r>
      <w:r>
        <w:t xml:space="preserve"> capability for work through the Work Capability Assessment. See Table below.</w:t>
      </w:r>
      <w:r>
        <w:rPr>
          <w:color w:val="000000"/>
          <w:szCs w:val="20"/>
          <w:lang w:bidi="x-none"/>
        </w:rPr>
        <w:t xml:space="preserve"> </w:t>
      </w:r>
    </w:p>
    <w:p w:rsidR="0097317F" w:rsidRDefault="0097317F" w:rsidP="0097317F">
      <w:pPr>
        <w:pStyle w:val="TableTitle"/>
      </w:pPr>
      <w:r>
        <w:t>Initial Assessment Period for ESA</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130"/>
        <w:gridCol w:w="2130"/>
        <w:gridCol w:w="2131"/>
        <w:gridCol w:w="2131"/>
      </w:tblGrid>
      <w:tr w:rsidR="0097317F" w:rsidRPr="00BD6362">
        <w:tblPrEx>
          <w:tblCellMar>
            <w:top w:w="0" w:type="dxa"/>
            <w:bottom w:w="0" w:type="dxa"/>
          </w:tblCellMar>
        </w:tblPrEx>
        <w:trPr>
          <w:tblHeader/>
        </w:trPr>
        <w:tc>
          <w:tcPr>
            <w:tcW w:w="2130" w:type="dxa"/>
            <w:tcBorders>
              <w:bottom w:val="single" w:sz="12" w:space="0" w:color="000000"/>
            </w:tcBorders>
            <w:shd w:val="clear" w:color="auto" w:fill="auto"/>
          </w:tcPr>
          <w:p w:rsidR="0097317F" w:rsidRPr="00BD6362" w:rsidRDefault="0097317F" w:rsidP="000F679D">
            <w:pPr>
              <w:pStyle w:val="TableHead"/>
              <w:jc w:val="right"/>
            </w:pPr>
            <w:r>
              <w:t>Assessment period</w:t>
            </w:r>
          </w:p>
        </w:tc>
        <w:tc>
          <w:tcPr>
            <w:tcW w:w="2130" w:type="dxa"/>
            <w:tcBorders>
              <w:bottom w:val="single" w:sz="12" w:space="0" w:color="000000"/>
            </w:tcBorders>
            <w:shd w:val="clear" w:color="auto" w:fill="auto"/>
          </w:tcPr>
          <w:p w:rsidR="0097317F" w:rsidRPr="00BD6362" w:rsidRDefault="0097317F" w:rsidP="000F679D">
            <w:pPr>
              <w:pStyle w:val="TableHead"/>
              <w:jc w:val="right"/>
            </w:pPr>
            <w:r>
              <w:t>Claimant's Age</w:t>
            </w:r>
          </w:p>
        </w:tc>
        <w:tc>
          <w:tcPr>
            <w:tcW w:w="2131" w:type="dxa"/>
            <w:tcBorders>
              <w:bottom w:val="single" w:sz="12" w:space="0" w:color="000000"/>
            </w:tcBorders>
            <w:shd w:val="clear" w:color="auto" w:fill="auto"/>
          </w:tcPr>
          <w:p w:rsidR="0097317F" w:rsidRPr="00BD6362" w:rsidRDefault="0097317F" w:rsidP="000F679D">
            <w:pPr>
              <w:pStyle w:val="TableHead"/>
              <w:jc w:val="right"/>
            </w:pPr>
            <w:r>
              <w:t>Marital Status</w:t>
            </w:r>
          </w:p>
        </w:tc>
        <w:tc>
          <w:tcPr>
            <w:tcW w:w="2131" w:type="dxa"/>
            <w:tcBorders>
              <w:bottom w:val="single" w:sz="12" w:space="0" w:color="000000"/>
            </w:tcBorders>
            <w:shd w:val="clear" w:color="auto" w:fill="auto"/>
          </w:tcPr>
          <w:p w:rsidR="0097317F" w:rsidRPr="00BD6362" w:rsidRDefault="0097317F" w:rsidP="000F679D">
            <w:pPr>
              <w:pStyle w:val="TableHead"/>
              <w:jc w:val="right"/>
            </w:pPr>
            <w:r>
              <w:t>Weekly Allowance Amount</w:t>
            </w:r>
          </w:p>
        </w:tc>
      </w:tr>
      <w:tr w:rsidR="0097317F" w:rsidRPr="00BD6362">
        <w:tblPrEx>
          <w:tblCellMar>
            <w:top w:w="0" w:type="dxa"/>
            <w:bottom w:w="0" w:type="dxa"/>
          </w:tblCellMar>
        </w:tblPrEx>
        <w:tc>
          <w:tcPr>
            <w:tcW w:w="2130" w:type="dxa"/>
            <w:tcBorders>
              <w:top w:val="single" w:sz="12" w:space="0" w:color="000000"/>
            </w:tcBorders>
            <w:shd w:val="clear" w:color="auto" w:fill="auto"/>
          </w:tcPr>
          <w:p w:rsidR="0097317F" w:rsidRPr="00BD6362" w:rsidRDefault="0097317F" w:rsidP="000F679D">
            <w:pPr>
              <w:pStyle w:val="TableRowHead"/>
            </w:pPr>
            <w:r>
              <w:t>Initial period (weeks 1-13)</w:t>
            </w:r>
          </w:p>
        </w:tc>
        <w:tc>
          <w:tcPr>
            <w:tcW w:w="2130" w:type="dxa"/>
            <w:tcBorders>
              <w:top w:val="single" w:sz="12" w:space="0" w:color="000000"/>
            </w:tcBorders>
            <w:shd w:val="clear" w:color="auto" w:fill="auto"/>
          </w:tcPr>
          <w:p w:rsidR="0097317F" w:rsidRPr="00BD6362" w:rsidRDefault="0097317F" w:rsidP="000F679D">
            <w:pPr>
              <w:pStyle w:val="TableCell"/>
              <w:jc w:val="right"/>
            </w:pPr>
            <w:r>
              <w:t>Under 25</w:t>
            </w:r>
          </w:p>
        </w:tc>
        <w:tc>
          <w:tcPr>
            <w:tcW w:w="2131" w:type="dxa"/>
            <w:tcBorders>
              <w:top w:val="single" w:sz="12" w:space="0" w:color="000000"/>
            </w:tcBorders>
            <w:shd w:val="clear" w:color="auto" w:fill="auto"/>
          </w:tcPr>
          <w:p w:rsidR="0097317F" w:rsidRPr="00BD6362" w:rsidRDefault="0097317F" w:rsidP="000F679D">
            <w:pPr>
              <w:pStyle w:val="TableCell"/>
              <w:jc w:val="right"/>
            </w:pPr>
            <w:r>
              <w:t>Single</w:t>
            </w:r>
          </w:p>
        </w:tc>
        <w:tc>
          <w:tcPr>
            <w:tcW w:w="2131" w:type="dxa"/>
            <w:tcBorders>
              <w:top w:val="single" w:sz="12" w:space="0" w:color="000000"/>
            </w:tcBorders>
            <w:shd w:val="clear" w:color="auto" w:fill="auto"/>
          </w:tcPr>
          <w:p w:rsidR="0097317F" w:rsidRPr="0008078D" w:rsidRDefault="0097317F" w:rsidP="000F679D">
            <w:pPr>
              <w:jc w:val="right"/>
            </w:pPr>
            <w:bookmarkStart w:id="204" w:name="_Toc255836013"/>
            <w:r w:rsidRPr="0008078D">
              <w:t xml:space="preserve">Up to </w:t>
            </w:r>
            <w:r>
              <w:t>£</w:t>
            </w:r>
            <w:r w:rsidRPr="0008078D">
              <w:t>50.95</w:t>
            </w:r>
            <w:bookmarkEnd w:id="204"/>
          </w:p>
        </w:tc>
      </w:tr>
      <w:tr w:rsidR="0097317F" w:rsidRPr="00BD6362">
        <w:tblPrEx>
          <w:tblCellMar>
            <w:top w:w="0" w:type="dxa"/>
            <w:bottom w:w="0" w:type="dxa"/>
          </w:tblCellMar>
        </w:tblPrEx>
        <w:tc>
          <w:tcPr>
            <w:tcW w:w="2130" w:type="dxa"/>
            <w:shd w:val="clear" w:color="auto" w:fill="auto"/>
          </w:tcPr>
          <w:p w:rsidR="0097317F" w:rsidRPr="00BD6362" w:rsidRDefault="0097317F" w:rsidP="000F679D">
            <w:pPr>
              <w:pStyle w:val="TableRowHead"/>
            </w:pPr>
            <w:r>
              <w:t>Initial Assessment Phase</w:t>
            </w:r>
          </w:p>
        </w:tc>
        <w:tc>
          <w:tcPr>
            <w:tcW w:w="2130" w:type="dxa"/>
            <w:shd w:val="clear" w:color="auto" w:fill="auto"/>
          </w:tcPr>
          <w:p w:rsidR="0097317F" w:rsidRPr="00BD6362" w:rsidRDefault="0097317F" w:rsidP="000F679D">
            <w:pPr>
              <w:pStyle w:val="TableCell"/>
              <w:jc w:val="right"/>
            </w:pPr>
            <w:r>
              <w:t>25 and older</w:t>
            </w:r>
          </w:p>
        </w:tc>
        <w:tc>
          <w:tcPr>
            <w:tcW w:w="2131" w:type="dxa"/>
            <w:shd w:val="clear" w:color="auto" w:fill="auto"/>
          </w:tcPr>
          <w:p w:rsidR="0097317F" w:rsidRPr="00BD6362" w:rsidRDefault="0097317F" w:rsidP="000F679D">
            <w:pPr>
              <w:pStyle w:val="TableCell"/>
              <w:jc w:val="right"/>
            </w:pPr>
            <w:r>
              <w:t>Single</w:t>
            </w:r>
          </w:p>
        </w:tc>
        <w:tc>
          <w:tcPr>
            <w:tcW w:w="2131" w:type="dxa"/>
            <w:shd w:val="clear" w:color="auto" w:fill="auto"/>
          </w:tcPr>
          <w:p w:rsidR="0097317F" w:rsidRPr="00BD6362" w:rsidRDefault="0097317F" w:rsidP="000F679D">
            <w:pPr>
              <w:pStyle w:val="TableCell"/>
              <w:jc w:val="right"/>
            </w:pPr>
            <w:r>
              <w:t xml:space="preserve">Up to £64.30 </w:t>
            </w:r>
          </w:p>
        </w:tc>
      </w:tr>
    </w:tbl>
    <w:p w:rsidR="0097317F" w:rsidRPr="00745C93" w:rsidRDefault="0097317F" w:rsidP="0097317F">
      <w:pPr>
        <w:rPr>
          <w:color w:val="000000"/>
          <w:sz w:val="20"/>
          <w:szCs w:val="20"/>
          <w:lang w:bidi="x-none"/>
        </w:rPr>
      </w:pPr>
      <w:r w:rsidRPr="00C17158">
        <w:rPr>
          <w:color w:val="000000"/>
          <w:sz w:val="20"/>
          <w:szCs w:val="20"/>
          <w:lang w:bidi="x-none"/>
        </w:rPr>
        <w:t xml:space="preserve">*Conversion rate for </w:t>
      </w:r>
      <w:smartTag w:uri="urn:schemas-microsoft-com:office:smarttags" w:element="date">
        <w:smartTagPr>
          <w:attr w:name="Year" w:val="2010"/>
          <w:attr w:name="Day" w:val="22"/>
          <w:attr w:name="Month" w:val="3"/>
        </w:smartTagPr>
        <w:r w:rsidRPr="00C17158">
          <w:rPr>
            <w:color w:val="000000"/>
            <w:sz w:val="20"/>
            <w:szCs w:val="20"/>
            <w:lang w:bidi="x-none"/>
          </w:rPr>
          <w:t>22/03/2010</w:t>
        </w:r>
      </w:smartTag>
      <w:r w:rsidRPr="00C17158">
        <w:rPr>
          <w:color w:val="000000"/>
          <w:sz w:val="20"/>
          <w:szCs w:val="20"/>
          <w:lang w:bidi="x-none"/>
        </w:rPr>
        <w:t xml:space="preserve"> is £1=€1.11387</w:t>
      </w:r>
      <w:r>
        <w:rPr>
          <w:color w:val="000000"/>
          <w:sz w:val="20"/>
          <w:szCs w:val="20"/>
          <w:lang w:bidi="x-none"/>
        </w:rPr>
        <w:t xml:space="preserve"> </w:t>
      </w:r>
      <w:r w:rsidRPr="00745C93">
        <w:rPr>
          <w:color w:val="000000"/>
          <w:sz w:val="20"/>
          <w:szCs w:val="20"/>
          <w:lang w:bidi="x-none"/>
        </w:rPr>
        <w:t>http://www.xe.com/ucc/convert.cgi?Amount=20%2C000&amp;From=GBP&amp;To=EUR&amp;image.x=29&amp;image.y=13</w:t>
      </w:r>
    </w:p>
    <w:p w:rsidR="0097317F" w:rsidRDefault="0097317F" w:rsidP="0097317F">
      <w:pPr>
        <w:rPr>
          <w:color w:val="000000"/>
          <w:szCs w:val="20"/>
          <w:lang w:bidi="x-none"/>
        </w:rPr>
      </w:pPr>
      <w:r>
        <w:rPr>
          <w:color w:val="000000"/>
          <w:szCs w:val="20"/>
          <w:lang w:bidi="x-none"/>
        </w:rPr>
        <w:t xml:space="preserve">Generally people do not get any money for the first three days of their claim. </w:t>
      </w:r>
    </w:p>
    <w:p w:rsidR="0097317F" w:rsidRPr="0008078D" w:rsidRDefault="0097317F" w:rsidP="0097317F">
      <w:pPr>
        <w:rPr>
          <w:color w:val="000000"/>
          <w:szCs w:val="20"/>
          <w:lang w:bidi="x-none"/>
        </w:rPr>
      </w:pPr>
      <w:r>
        <w:rPr>
          <w:color w:val="000000"/>
          <w:szCs w:val="20"/>
          <w:lang w:bidi="x-none"/>
        </w:rPr>
        <w:t>If the Work Capab</w:t>
      </w:r>
      <w:r w:rsidR="002B3466">
        <w:rPr>
          <w:color w:val="000000"/>
          <w:szCs w:val="20"/>
          <w:lang w:bidi="x-none"/>
        </w:rPr>
        <w:t>ility Assessment shows that the recipient's</w:t>
      </w:r>
      <w:r>
        <w:rPr>
          <w:color w:val="000000"/>
          <w:szCs w:val="20"/>
          <w:lang w:bidi="x-none"/>
        </w:rPr>
        <w:t xml:space="preserve"> illnes</w:t>
      </w:r>
      <w:r w:rsidR="002B3466">
        <w:rPr>
          <w:color w:val="000000"/>
          <w:szCs w:val="20"/>
          <w:lang w:bidi="x-none"/>
        </w:rPr>
        <w:t xml:space="preserve">s or disability does limit their </w:t>
      </w:r>
      <w:r>
        <w:rPr>
          <w:color w:val="000000"/>
          <w:szCs w:val="20"/>
          <w:lang w:bidi="x-none"/>
        </w:rPr>
        <w:t xml:space="preserve">ability to work then </w:t>
      </w:r>
      <w:r w:rsidR="002B3466">
        <w:rPr>
          <w:color w:val="000000"/>
          <w:szCs w:val="20"/>
          <w:lang w:bidi="x-none"/>
        </w:rPr>
        <w:t>they</w:t>
      </w:r>
      <w:r>
        <w:rPr>
          <w:color w:val="000000"/>
          <w:szCs w:val="20"/>
          <w:lang w:bidi="x-none"/>
        </w:rPr>
        <w:t xml:space="preserve"> receive the allowance. However, the Assessment also looks at how people’s work capacity can be developed. Some recipients whose capacity for work is assessed as higher will be in a Work Related Activity Group, while others with be placed in a Support Group.  </w:t>
      </w:r>
    </w:p>
    <w:p w:rsidR="0097317F" w:rsidRDefault="0097317F" w:rsidP="0097317F">
      <w:pPr>
        <w:pStyle w:val="TableTitle"/>
      </w:pPr>
      <w:r>
        <w:t>Rates after Work Capability Assessment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840"/>
        <w:gridCol w:w="2841"/>
        <w:gridCol w:w="2841"/>
      </w:tblGrid>
      <w:tr w:rsidR="0097317F" w:rsidRPr="0008078D">
        <w:tblPrEx>
          <w:tblCellMar>
            <w:top w:w="0" w:type="dxa"/>
            <w:bottom w:w="0" w:type="dxa"/>
          </w:tblCellMar>
        </w:tblPrEx>
        <w:trPr>
          <w:tblHeader/>
        </w:trPr>
        <w:tc>
          <w:tcPr>
            <w:tcW w:w="2840" w:type="dxa"/>
            <w:tcBorders>
              <w:bottom w:val="single" w:sz="12" w:space="0" w:color="000000"/>
            </w:tcBorders>
            <w:shd w:val="clear" w:color="auto" w:fill="auto"/>
          </w:tcPr>
          <w:p w:rsidR="0097317F" w:rsidRPr="0008078D" w:rsidRDefault="0097317F" w:rsidP="000F679D">
            <w:pPr>
              <w:pStyle w:val="TableHead"/>
              <w:jc w:val="right"/>
            </w:pPr>
            <w:r>
              <w:t>Type of group</w:t>
            </w:r>
          </w:p>
        </w:tc>
        <w:tc>
          <w:tcPr>
            <w:tcW w:w="2841" w:type="dxa"/>
            <w:tcBorders>
              <w:bottom w:val="single" w:sz="12" w:space="0" w:color="000000"/>
            </w:tcBorders>
            <w:shd w:val="clear" w:color="auto" w:fill="auto"/>
          </w:tcPr>
          <w:p w:rsidR="0097317F" w:rsidRPr="0008078D" w:rsidRDefault="0097317F" w:rsidP="000F679D">
            <w:pPr>
              <w:pStyle w:val="TableHead"/>
              <w:jc w:val="right"/>
            </w:pPr>
            <w:r>
              <w:t>Marital Status</w:t>
            </w:r>
          </w:p>
        </w:tc>
        <w:tc>
          <w:tcPr>
            <w:tcW w:w="2841" w:type="dxa"/>
            <w:tcBorders>
              <w:bottom w:val="single" w:sz="12" w:space="0" w:color="000000"/>
            </w:tcBorders>
            <w:shd w:val="clear" w:color="auto" w:fill="auto"/>
          </w:tcPr>
          <w:p w:rsidR="0097317F" w:rsidRPr="0008078D" w:rsidRDefault="0097317F" w:rsidP="000F679D">
            <w:pPr>
              <w:pStyle w:val="TableHead"/>
              <w:jc w:val="right"/>
            </w:pPr>
            <w:r>
              <w:t>Weekly Amount</w:t>
            </w:r>
          </w:p>
        </w:tc>
      </w:tr>
      <w:tr w:rsidR="0097317F" w:rsidRPr="0008078D">
        <w:tblPrEx>
          <w:tblCellMar>
            <w:top w:w="0" w:type="dxa"/>
            <w:bottom w:w="0" w:type="dxa"/>
          </w:tblCellMar>
        </w:tblPrEx>
        <w:tc>
          <w:tcPr>
            <w:tcW w:w="2840" w:type="dxa"/>
            <w:tcBorders>
              <w:top w:val="single" w:sz="12" w:space="0" w:color="000000"/>
            </w:tcBorders>
            <w:shd w:val="clear" w:color="auto" w:fill="auto"/>
          </w:tcPr>
          <w:p w:rsidR="0097317F" w:rsidRPr="0008078D" w:rsidRDefault="0097317F" w:rsidP="000F679D">
            <w:pPr>
              <w:pStyle w:val="TableRowHead"/>
            </w:pPr>
            <w:r>
              <w:t>Work Related Activity Group</w:t>
            </w:r>
          </w:p>
        </w:tc>
        <w:tc>
          <w:tcPr>
            <w:tcW w:w="2841" w:type="dxa"/>
            <w:tcBorders>
              <w:top w:val="single" w:sz="12" w:space="0" w:color="000000"/>
            </w:tcBorders>
            <w:shd w:val="clear" w:color="auto" w:fill="auto"/>
          </w:tcPr>
          <w:p w:rsidR="0097317F" w:rsidRPr="0008078D" w:rsidRDefault="0097317F" w:rsidP="000F679D">
            <w:pPr>
              <w:pStyle w:val="TableCell"/>
              <w:jc w:val="right"/>
            </w:pPr>
            <w:r>
              <w:t>Single</w:t>
            </w:r>
          </w:p>
        </w:tc>
        <w:tc>
          <w:tcPr>
            <w:tcW w:w="2841" w:type="dxa"/>
            <w:tcBorders>
              <w:top w:val="single" w:sz="12" w:space="0" w:color="000000"/>
            </w:tcBorders>
            <w:shd w:val="clear" w:color="auto" w:fill="auto"/>
          </w:tcPr>
          <w:p w:rsidR="0097317F" w:rsidRPr="0008078D" w:rsidRDefault="0097317F" w:rsidP="000F679D">
            <w:pPr>
              <w:pStyle w:val="TableCell"/>
              <w:jc w:val="right"/>
            </w:pPr>
            <w:r>
              <w:t>Up to £89.80</w:t>
            </w:r>
          </w:p>
        </w:tc>
      </w:tr>
      <w:tr w:rsidR="0097317F" w:rsidRPr="0008078D">
        <w:tblPrEx>
          <w:tblCellMar>
            <w:top w:w="0" w:type="dxa"/>
            <w:bottom w:w="0" w:type="dxa"/>
          </w:tblCellMar>
        </w:tblPrEx>
        <w:tc>
          <w:tcPr>
            <w:tcW w:w="2840" w:type="dxa"/>
            <w:shd w:val="clear" w:color="auto" w:fill="auto"/>
          </w:tcPr>
          <w:p w:rsidR="0097317F" w:rsidRPr="0008078D" w:rsidRDefault="0097317F" w:rsidP="000F679D">
            <w:pPr>
              <w:pStyle w:val="TableRowHead"/>
            </w:pPr>
            <w:r>
              <w:t>Support Group</w:t>
            </w:r>
          </w:p>
        </w:tc>
        <w:tc>
          <w:tcPr>
            <w:tcW w:w="2841" w:type="dxa"/>
            <w:shd w:val="clear" w:color="auto" w:fill="auto"/>
          </w:tcPr>
          <w:p w:rsidR="0097317F" w:rsidRPr="0008078D" w:rsidRDefault="0097317F" w:rsidP="000F679D">
            <w:pPr>
              <w:pStyle w:val="TableCell"/>
              <w:jc w:val="right"/>
            </w:pPr>
            <w:r>
              <w:t>Single</w:t>
            </w:r>
          </w:p>
        </w:tc>
        <w:tc>
          <w:tcPr>
            <w:tcW w:w="2841" w:type="dxa"/>
            <w:shd w:val="clear" w:color="auto" w:fill="auto"/>
          </w:tcPr>
          <w:p w:rsidR="0097317F" w:rsidRPr="0008078D" w:rsidRDefault="0097317F" w:rsidP="000F679D">
            <w:pPr>
              <w:pStyle w:val="TableCell"/>
              <w:jc w:val="right"/>
            </w:pPr>
            <w:r>
              <w:t>£95.15</w:t>
            </w:r>
          </w:p>
        </w:tc>
      </w:tr>
    </w:tbl>
    <w:p w:rsidR="0097317F" w:rsidRPr="00745C93" w:rsidRDefault="0097317F" w:rsidP="0097317F">
      <w:pPr>
        <w:rPr>
          <w:color w:val="000000"/>
          <w:sz w:val="20"/>
          <w:szCs w:val="20"/>
          <w:lang w:bidi="x-none"/>
        </w:rPr>
      </w:pPr>
      <w:r w:rsidRPr="00C17158">
        <w:rPr>
          <w:color w:val="000000"/>
          <w:sz w:val="20"/>
          <w:szCs w:val="20"/>
          <w:lang w:bidi="x-none"/>
        </w:rPr>
        <w:t xml:space="preserve">*Conversion rate for </w:t>
      </w:r>
      <w:smartTag w:uri="urn:schemas-microsoft-com:office:smarttags" w:element="date">
        <w:smartTagPr>
          <w:attr w:name="Year" w:val="2010"/>
          <w:attr w:name="Day" w:val="22"/>
          <w:attr w:name="Month" w:val="3"/>
        </w:smartTagPr>
        <w:r w:rsidRPr="00C17158">
          <w:rPr>
            <w:color w:val="000000"/>
            <w:sz w:val="20"/>
            <w:szCs w:val="20"/>
            <w:lang w:bidi="x-none"/>
          </w:rPr>
          <w:t>22/03/2010</w:t>
        </w:r>
      </w:smartTag>
      <w:r w:rsidRPr="00C17158">
        <w:rPr>
          <w:color w:val="000000"/>
          <w:sz w:val="20"/>
          <w:szCs w:val="20"/>
          <w:lang w:bidi="x-none"/>
        </w:rPr>
        <w:t xml:space="preserve"> is £1=€1.11387</w:t>
      </w:r>
      <w:r>
        <w:rPr>
          <w:color w:val="000000"/>
          <w:sz w:val="20"/>
          <w:szCs w:val="20"/>
          <w:lang w:bidi="x-none"/>
        </w:rPr>
        <w:t xml:space="preserve"> </w:t>
      </w:r>
      <w:r w:rsidRPr="00745C93">
        <w:rPr>
          <w:color w:val="000000"/>
          <w:sz w:val="20"/>
          <w:szCs w:val="20"/>
          <w:lang w:bidi="x-none"/>
        </w:rPr>
        <w:t>http://www.xe.com/ucc/convert.cgi?Amount=20%2C000&amp;From=GBP&amp;To=EUR&amp;image.x=29&amp;image.y=13</w:t>
      </w:r>
    </w:p>
    <w:p w:rsidR="0097317F" w:rsidRDefault="0097317F" w:rsidP="0097317F">
      <w:pPr>
        <w:pStyle w:val="FootnoteText"/>
        <w:rPr>
          <w:color w:val="000000"/>
        </w:rPr>
      </w:pPr>
      <w:r>
        <w:rPr>
          <w:color w:val="000000"/>
          <w:lang w:bidi="x-none"/>
        </w:rPr>
        <w:t xml:space="preserve">Further information about criteria for the ESA is available at </w:t>
      </w:r>
      <w:r>
        <w:rPr>
          <w:color w:val="000000"/>
        </w:rPr>
        <w:t>http://www.direct.gov.uk/en/DisabledPeople/FinancialSupport/esa/DG_171896</w:t>
      </w:r>
    </w:p>
    <w:p w:rsidR="0097317F" w:rsidRDefault="0097317F" w:rsidP="00C36CA2">
      <w:pPr>
        <w:pStyle w:val="Heading4"/>
      </w:pPr>
      <w:bookmarkStart w:id="205" w:name="_Toc247447279"/>
      <w:bookmarkStart w:id="206" w:name="_Toc246242086"/>
      <w:bookmarkStart w:id="207" w:name="_Toc255836014"/>
      <w:bookmarkStart w:id="208" w:name="_Toc267920963"/>
      <w:r>
        <w:t>Severe Disablement Allowance</w:t>
      </w:r>
      <w:bookmarkEnd w:id="205"/>
      <w:bookmarkEnd w:id="206"/>
      <w:bookmarkEnd w:id="207"/>
      <w:bookmarkEnd w:id="208"/>
      <w:r>
        <w:t xml:space="preserve"> </w:t>
      </w:r>
    </w:p>
    <w:p w:rsidR="0097317F"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lang w:bidi="x-none"/>
        </w:rPr>
      </w:pPr>
      <w:r>
        <w:rPr>
          <w:rFonts w:cs="Arial"/>
        </w:rPr>
        <w:t>This allowance was abolished in 2001. New claimants receive the Employment and Support Allowance. People in receipt of this allowance</w:t>
      </w:r>
      <w:r>
        <w:rPr>
          <w:color w:val="000000"/>
          <w:szCs w:val="20"/>
          <w:lang w:bidi="x-none"/>
        </w:rPr>
        <w:t xml:space="preserve"> are incapable of work because of illness or disability for at least 28 weeks in a row and are between 16 and 64 years old</w:t>
      </w:r>
      <w:r w:rsidR="00B20331">
        <w:rPr>
          <w:color w:val="000000"/>
          <w:szCs w:val="20"/>
          <w:lang w:bidi="x-none"/>
        </w:rPr>
        <w:t>.</w:t>
      </w:r>
    </w:p>
    <w:p w:rsidR="0097317F" w:rsidRDefault="0097317F" w:rsidP="00C36CA2">
      <w:pPr>
        <w:pStyle w:val="Heading4"/>
      </w:pPr>
      <w:bookmarkStart w:id="209" w:name="_Toc247447280"/>
      <w:bookmarkStart w:id="210" w:name="_Toc246242087"/>
      <w:bookmarkStart w:id="211" w:name="_Toc255836015"/>
      <w:bookmarkStart w:id="212" w:name="_Toc267920964"/>
      <w:r>
        <w:t>Rates</w:t>
      </w:r>
      <w:bookmarkEnd w:id="209"/>
      <w:bookmarkEnd w:id="210"/>
      <w:bookmarkEnd w:id="211"/>
      <w:bookmarkEnd w:id="212"/>
    </w:p>
    <w:p w:rsidR="0097317F" w:rsidRDefault="0097317F" w:rsidP="0097317F">
      <w:pPr>
        <w:rPr>
          <w:color w:val="000000"/>
          <w:szCs w:val="20"/>
          <w:lang w:bidi="x-none"/>
        </w:rPr>
      </w:pPr>
      <w:r>
        <w:rPr>
          <w:color w:val="000000"/>
          <w:szCs w:val="20"/>
          <w:lang w:bidi="x-none"/>
        </w:rPr>
        <w:t>Depending on someone’s age when they became unable to work they get an age-related additional weekly amount, the current maxim</w:t>
      </w:r>
      <w:r w:rsidR="002B3466">
        <w:rPr>
          <w:color w:val="000000"/>
          <w:szCs w:val="20"/>
          <w:lang w:bidi="x-none"/>
        </w:rPr>
        <w:t xml:space="preserve">um weekly rate is £57.45 (if the recipient has </w:t>
      </w:r>
      <w:r>
        <w:rPr>
          <w:color w:val="000000"/>
          <w:szCs w:val="20"/>
          <w:lang w:bidi="x-none"/>
        </w:rPr>
        <w:t>been getting Severe Disablement Allowance before April 2001).</w:t>
      </w:r>
    </w:p>
    <w:p w:rsidR="0097317F" w:rsidRDefault="002B3466" w:rsidP="0097317F">
      <w:pPr>
        <w:pStyle w:val="ListBullet"/>
      </w:pPr>
      <w:r>
        <w:t>under 40 years old, the recipient is</w:t>
      </w:r>
      <w:r w:rsidR="0097317F">
        <w:t xml:space="preserve"> eligible for an extra £15.65 (higher rate)</w:t>
      </w:r>
    </w:p>
    <w:p w:rsidR="0097317F" w:rsidRDefault="002B3466" w:rsidP="0097317F">
      <w:pPr>
        <w:pStyle w:val="ListBullet"/>
      </w:pPr>
      <w:r>
        <w:t xml:space="preserve">40-49, the recipient is </w:t>
      </w:r>
      <w:r w:rsidR="0097317F">
        <w:t>eligible for an extra £9.10 (middle rate)</w:t>
      </w:r>
    </w:p>
    <w:p w:rsidR="0097317F" w:rsidRDefault="002B3466" w:rsidP="0097317F">
      <w:pPr>
        <w:pStyle w:val="ListBullet"/>
      </w:pPr>
      <w:r>
        <w:t xml:space="preserve">50-59, the recipient is </w:t>
      </w:r>
      <w:r w:rsidR="0097317F">
        <w:t>eligible for an extra £5.35 (lower rate)</w:t>
      </w:r>
    </w:p>
    <w:p w:rsidR="0097317F" w:rsidRPr="00745C93" w:rsidRDefault="0097317F" w:rsidP="0097317F">
      <w:pPr>
        <w:rPr>
          <w:color w:val="000000"/>
          <w:sz w:val="20"/>
          <w:szCs w:val="20"/>
          <w:lang w:bidi="x-none"/>
        </w:rPr>
      </w:pPr>
      <w:r w:rsidRPr="00C17158">
        <w:rPr>
          <w:color w:val="000000"/>
          <w:sz w:val="20"/>
          <w:szCs w:val="20"/>
          <w:lang w:bidi="x-none"/>
        </w:rPr>
        <w:t xml:space="preserve">*Conversion rate for </w:t>
      </w:r>
      <w:smartTag w:uri="urn:schemas-microsoft-com:office:smarttags" w:element="date">
        <w:smartTagPr>
          <w:attr w:name="Year" w:val="2010"/>
          <w:attr w:name="Day" w:val="22"/>
          <w:attr w:name="Month" w:val="3"/>
        </w:smartTagPr>
        <w:r w:rsidRPr="00C17158">
          <w:rPr>
            <w:color w:val="000000"/>
            <w:sz w:val="20"/>
            <w:szCs w:val="20"/>
            <w:lang w:bidi="x-none"/>
          </w:rPr>
          <w:t>22/03/2010</w:t>
        </w:r>
      </w:smartTag>
      <w:r w:rsidRPr="00C17158">
        <w:rPr>
          <w:color w:val="000000"/>
          <w:sz w:val="20"/>
          <w:szCs w:val="20"/>
          <w:lang w:bidi="x-none"/>
        </w:rPr>
        <w:t xml:space="preserve"> is £1=€1.11387</w:t>
      </w:r>
      <w:r>
        <w:rPr>
          <w:color w:val="000000"/>
          <w:sz w:val="20"/>
          <w:szCs w:val="20"/>
          <w:lang w:bidi="x-none"/>
        </w:rPr>
        <w:t xml:space="preserve"> </w:t>
      </w:r>
      <w:r w:rsidRPr="00745C93">
        <w:rPr>
          <w:color w:val="000000"/>
          <w:sz w:val="20"/>
          <w:szCs w:val="20"/>
          <w:lang w:bidi="x-none"/>
        </w:rPr>
        <w:t>http://www.xe.com/ucc/convert.cgi?Amount=20%2C000&amp;From=GBP&amp;To=EUR&amp;image.x=29&amp;image.y=13</w:t>
      </w:r>
    </w:p>
    <w:p w:rsidR="0097317F" w:rsidRDefault="0097317F" w:rsidP="00C36CA2">
      <w:pPr>
        <w:pStyle w:val="Heading4"/>
      </w:pPr>
      <w:bookmarkStart w:id="213" w:name="_Toc247447281"/>
      <w:bookmarkStart w:id="214" w:name="_Toc246242088"/>
      <w:bookmarkStart w:id="215" w:name="_Toc255836016"/>
      <w:bookmarkStart w:id="216" w:name="_Toc267920965"/>
      <w:r>
        <w:t>Disability Living Allowance</w:t>
      </w:r>
      <w:bookmarkEnd w:id="213"/>
      <w:bookmarkEnd w:id="214"/>
      <w:bookmarkEnd w:id="215"/>
      <w:bookmarkEnd w:id="216"/>
    </w:p>
    <w:p w:rsidR="0097317F" w:rsidRDefault="002B3466" w:rsidP="0097317F">
      <w:pPr>
        <w:rPr>
          <w:color w:val="000000"/>
          <w:szCs w:val="20"/>
          <w:lang w:bidi="x-none"/>
        </w:rPr>
      </w:pPr>
      <w:r>
        <w:rPr>
          <w:color w:val="000000"/>
          <w:szCs w:val="20"/>
          <w:lang w:bidi="x-none"/>
        </w:rPr>
        <w:t xml:space="preserve">A person </w:t>
      </w:r>
      <w:r w:rsidR="0097317F">
        <w:rPr>
          <w:color w:val="000000"/>
          <w:szCs w:val="20"/>
          <w:lang w:bidi="x-none"/>
        </w:rPr>
        <w:t>can get Disabili</w:t>
      </w:r>
      <w:r>
        <w:rPr>
          <w:color w:val="000000"/>
          <w:szCs w:val="20"/>
          <w:lang w:bidi="x-none"/>
        </w:rPr>
        <w:t>ty Living Allowance (DLA) if they</w:t>
      </w:r>
      <w:r w:rsidR="0097317F">
        <w:rPr>
          <w:color w:val="000000"/>
          <w:szCs w:val="20"/>
          <w:lang w:bidi="x-none"/>
        </w:rPr>
        <w:t>:</w:t>
      </w:r>
    </w:p>
    <w:p w:rsidR="0097317F" w:rsidRDefault="002B3466" w:rsidP="0097317F">
      <w:pPr>
        <w:pStyle w:val="ListBullet"/>
        <w:ind w:left="0" w:firstLine="0"/>
      </w:pPr>
      <w:r>
        <w:t>Claim before they</w:t>
      </w:r>
      <w:r w:rsidR="0097317F">
        <w:t xml:space="preserve"> are 65</w:t>
      </w:r>
    </w:p>
    <w:p w:rsidR="0097317F" w:rsidRDefault="0097317F" w:rsidP="0097317F">
      <w:pPr>
        <w:pStyle w:val="ListBullet"/>
        <w:ind w:left="0" w:firstLine="0"/>
      </w:pPr>
      <w:r>
        <w:t>Have had care needs or mobility needs for at least three months</w:t>
      </w:r>
    </w:p>
    <w:p w:rsidR="0097317F" w:rsidRDefault="0097317F" w:rsidP="0097317F">
      <w:pPr>
        <w:pStyle w:val="ListBullet"/>
        <w:ind w:left="0" w:firstLine="0"/>
      </w:pPr>
      <w:r>
        <w:t>Are likely to have these needs for at least another six months</w:t>
      </w:r>
    </w:p>
    <w:p w:rsidR="0097317F" w:rsidRDefault="00A95454" w:rsidP="0097317F">
      <w:pPr>
        <w:rPr>
          <w:color w:val="000000"/>
          <w:szCs w:val="20"/>
          <w:lang w:bidi="x-none"/>
        </w:rPr>
      </w:pPr>
      <w:r>
        <w:rPr>
          <w:color w:val="000000"/>
          <w:szCs w:val="20"/>
          <w:lang w:bidi="x-none"/>
        </w:rPr>
        <w:t>If a recipient</w:t>
      </w:r>
      <w:r w:rsidR="002B3466">
        <w:rPr>
          <w:color w:val="000000"/>
          <w:szCs w:val="20"/>
          <w:lang w:bidi="x-none"/>
        </w:rPr>
        <w:t xml:space="preserve"> is </w:t>
      </w:r>
      <w:r>
        <w:rPr>
          <w:color w:val="000000"/>
          <w:szCs w:val="20"/>
          <w:lang w:bidi="x-none"/>
        </w:rPr>
        <w:t xml:space="preserve">already getting DLA when they reach 65, they </w:t>
      </w:r>
      <w:r w:rsidR="0097317F">
        <w:rPr>
          <w:color w:val="000000"/>
          <w:szCs w:val="20"/>
          <w:lang w:bidi="x-none"/>
        </w:rPr>
        <w:t>can c</w:t>
      </w:r>
      <w:r>
        <w:rPr>
          <w:color w:val="000000"/>
          <w:szCs w:val="20"/>
          <w:lang w:bidi="x-none"/>
        </w:rPr>
        <w:t>ontinue to get it as long as they</w:t>
      </w:r>
      <w:r w:rsidR="0097317F">
        <w:rPr>
          <w:color w:val="000000"/>
          <w:szCs w:val="20"/>
          <w:lang w:bidi="x-none"/>
        </w:rPr>
        <w:t xml:space="preserve"> still h</w:t>
      </w:r>
      <w:r>
        <w:rPr>
          <w:color w:val="000000"/>
          <w:szCs w:val="20"/>
          <w:lang w:bidi="x-none"/>
        </w:rPr>
        <w:t xml:space="preserve">ave care or mobility needs. The recipient </w:t>
      </w:r>
      <w:r w:rsidR="0097317F">
        <w:rPr>
          <w:color w:val="000000"/>
          <w:szCs w:val="20"/>
          <w:lang w:bidi="x-none"/>
        </w:rPr>
        <w:t>wi</w:t>
      </w:r>
      <w:r>
        <w:rPr>
          <w:color w:val="000000"/>
          <w:szCs w:val="20"/>
          <w:lang w:bidi="x-none"/>
        </w:rPr>
        <w:t xml:space="preserve">ll not be able to get DLA if they </w:t>
      </w:r>
      <w:r w:rsidR="0097317F">
        <w:rPr>
          <w:color w:val="000000"/>
          <w:szCs w:val="20"/>
          <w:lang w:bidi="x-none"/>
        </w:rPr>
        <w:t>are living permanently in a ho</w:t>
      </w:r>
      <w:r>
        <w:rPr>
          <w:color w:val="000000"/>
          <w:szCs w:val="20"/>
          <w:lang w:bidi="x-none"/>
        </w:rPr>
        <w:t>spital or in a care home and their local council is helping them with their</w:t>
      </w:r>
      <w:r w:rsidR="0097317F">
        <w:rPr>
          <w:color w:val="000000"/>
          <w:szCs w:val="20"/>
          <w:lang w:bidi="x-none"/>
        </w:rPr>
        <w:t xml:space="preserve"> fees.</w:t>
      </w:r>
    </w:p>
    <w:p w:rsidR="0097317F" w:rsidRDefault="0097317F" w:rsidP="00C36CA2">
      <w:pPr>
        <w:pStyle w:val="Heading4"/>
      </w:pPr>
      <w:bookmarkStart w:id="217" w:name="_Toc247447282"/>
      <w:bookmarkStart w:id="218" w:name="_Toc246242089"/>
      <w:bookmarkStart w:id="219" w:name="_Toc255836017"/>
      <w:bookmarkStart w:id="220" w:name="_Toc267920966"/>
      <w:r>
        <w:t>Care needs</w:t>
      </w:r>
      <w:bookmarkEnd w:id="217"/>
      <w:bookmarkEnd w:id="218"/>
      <w:bookmarkEnd w:id="219"/>
      <w:bookmarkEnd w:id="220"/>
    </w:p>
    <w:p w:rsidR="0097317F" w:rsidRDefault="0097317F" w:rsidP="0097317F">
      <w:pPr>
        <w:rPr>
          <w:color w:val="000000"/>
          <w:szCs w:val="20"/>
          <w:lang w:bidi="x-none"/>
        </w:rPr>
      </w:pPr>
      <w:r>
        <w:rPr>
          <w:color w:val="000000"/>
          <w:szCs w:val="20"/>
          <w:lang w:bidi="x-none"/>
        </w:rPr>
        <w:t>The care component of Disability Living Allowance (DLA) is pa</w:t>
      </w:r>
      <w:r w:rsidR="00A95454">
        <w:rPr>
          <w:color w:val="000000"/>
          <w:szCs w:val="20"/>
          <w:lang w:bidi="x-none"/>
        </w:rPr>
        <w:t>id at three different rates. The recipient</w:t>
      </w:r>
      <w:r>
        <w:rPr>
          <w:color w:val="000000"/>
          <w:szCs w:val="20"/>
          <w:lang w:bidi="x-none"/>
        </w:rPr>
        <w:t xml:space="preserve"> get</w:t>
      </w:r>
      <w:r w:rsidR="00A95454">
        <w:rPr>
          <w:color w:val="000000"/>
          <w:szCs w:val="20"/>
          <w:lang w:bidi="x-none"/>
        </w:rPr>
        <w:t>s the lower rate if they</w:t>
      </w:r>
      <w:r>
        <w:rPr>
          <w:color w:val="000000"/>
          <w:szCs w:val="20"/>
          <w:lang w:bidi="x-none"/>
        </w:rPr>
        <w:t xml:space="preserve"> need help with cooking a main meal or care for a </w:t>
      </w:r>
      <w:r w:rsidR="00A95454">
        <w:rPr>
          <w:color w:val="000000"/>
          <w:szCs w:val="20"/>
          <w:lang w:bidi="x-none"/>
        </w:rPr>
        <w:t>significant part of the day. The recipient</w:t>
      </w:r>
      <w:r>
        <w:rPr>
          <w:color w:val="000000"/>
          <w:szCs w:val="20"/>
          <w:lang w:bidi="x-none"/>
        </w:rPr>
        <w:t xml:space="preserve"> get</w:t>
      </w:r>
      <w:r w:rsidR="00A95454">
        <w:rPr>
          <w:color w:val="000000"/>
          <w:szCs w:val="20"/>
          <w:lang w:bidi="x-none"/>
        </w:rPr>
        <w:t>s the middle rate if they</w:t>
      </w:r>
      <w:r>
        <w:rPr>
          <w:color w:val="000000"/>
          <w:szCs w:val="20"/>
          <w:lang w:bidi="x-none"/>
        </w:rPr>
        <w:t xml:space="preserve"> need frequent care throughout the day or night, or continual supervision </w:t>
      </w:r>
      <w:r w:rsidR="00A95454">
        <w:rPr>
          <w:color w:val="000000"/>
          <w:szCs w:val="20"/>
          <w:lang w:bidi="x-none"/>
        </w:rPr>
        <w:t>throughout the day or night. The recipient</w:t>
      </w:r>
      <w:r>
        <w:rPr>
          <w:color w:val="000000"/>
          <w:szCs w:val="20"/>
          <w:lang w:bidi="x-none"/>
        </w:rPr>
        <w:t xml:space="preserve"> can </w:t>
      </w:r>
      <w:r w:rsidR="00A95454">
        <w:rPr>
          <w:color w:val="000000"/>
          <w:szCs w:val="20"/>
          <w:lang w:bidi="x-none"/>
        </w:rPr>
        <w:t>also get the middle rate if they need someone with them</w:t>
      </w:r>
      <w:r>
        <w:rPr>
          <w:color w:val="000000"/>
          <w:szCs w:val="20"/>
          <w:lang w:bidi="x-none"/>
        </w:rPr>
        <w:t xml:space="preserve"> wh</w:t>
      </w:r>
      <w:r w:rsidR="00A95454">
        <w:rPr>
          <w:color w:val="000000"/>
          <w:szCs w:val="20"/>
          <w:lang w:bidi="x-none"/>
        </w:rPr>
        <w:t>ile they are on dialysis. The recipient</w:t>
      </w:r>
      <w:r>
        <w:rPr>
          <w:color w:val="000000"/>
          <w:szCs w:val="20"/>
          <w:lang w:bidi="x-none"/>
        </w:rPr>
        <w:t xml:space="preserve"> get</w:t>
      </w:r>
      <w:r w:rsidR="00A95454">
        <w:rPr>
          <w:color w:val="000000"/>
          <w:szCs w:val="20"/>
          <w:lang w:bidi="x-none"/>
        </w:rPr>
        <w:t>s the higher rate if they</w:t>
      </w:r>
      <w:r>
        <w:rPr>
          <w:color w:val="000000"/>
          <w:szCs w:val="20"/>
          <w:lang w:bidi="x-none"/>
        </w:rPr>
        <w:t xml:space="preserve"> need frequent care or supervision through</w:t>
      </w:r>
      <w:r w:rsidR="00A95454">
        <w:rPr>
          <w:color w:val="000000"/>
          <w:szCs w:val="20"/>
          <w:lang w:bidi="x-none"/>
        </w:rPr>
        <w:t>out the day and night, or if they</w:t>
      </w:r>
      <w:r>
        <w:rPr>
          <w:color w:val="000000"/>
          <w:szCs w:val="20"/>
          <w:lang w:bidi="x-none"/>
        </w:rPr>
        <w:t xml:space="preserve"> are terminally ill.</w:t>
      </w:r>
    </w:p>
    <w:p w:rsidR="0097317F" w:rsidRDefault="0097317F" w:rsidP="00C36CA2">
      <w:pPr>
        <w:pStyle w:val="Heading4"/>
      </w:pPr>
      <w:bookmarkStart w:id="221" w:name="_Toc247447283"/>
      <w:bookmarkStart w:id="222" w:name="_Toc255836018"/>
      <w:bookmarkStart w:id="223" w:name="_Toc267920967"/>
      <w:r>
        <w:t xml:space="preserve">Care component -Weekly rates from </w:t>
      </w:r>
      <w:smartTag w:uri="urn:schemas-microsoft-com:office:smarttags" w:element="date">
        <w:smartTagPr>
          <w:attr w:name="Year" w:val="2009"/>
          <w:attr w:name="Day" w:val="6"/>
          <w:attr w:name="Month" w:val="4"/>
        </w:smartTagPr>
        <w:r>
          <w:t>6 April 2009</w:t>
        </w:r>
      </w:smartTag>
      <w:bookmarkEnd w:id="221"/>
      <w:bookmarkEnd w:id="222"/>
      <w:bookmarkEnd w:id="223"/>
    </w:p>
    <w:p w:rsidR="0097317F" w:rsidRDefault="0097317F" w:rsidP="0097317F">
      <w:pPr>
        <w:rPr>
          <w:color w:val="000000"/>
          <w:szCs w:val="20"/>
          <w:lang w:bidi="x-none"/>
        </w:rPr>
      </w:pPr>
      <w:r>
        <w:rPr>
          <w:color w:val="000000"/>
          <w:szCs w:val="20"/>
          <w:lang w:bidi="x-none"/>
        </w:rPr>
        <w:t xml:space="preserve">Higher rate </w:t>
      </w:r>
      <w:r>
        <w:rPr>
          <w:color w:val="000000"/>
          <w:szCs w:val="20"/>
          <w:lang w:bidi="x-none"/>
        </w:rPr>
        <w:tab/>
        <w:t>£70.35</w:t>
      </w:r>
    </w:p>
    <w:p w:rsidR="0097317F" w:rsidRDefault="0097317F" w:rsidP="0097317F">
      <w:pPr>
        <w:rPr>
          <w:color w:val="000000"/>
          <w:szCs w:val="20"/>
          <w:lang w:bidi="x-none"/>
        </w:rPr>
      </w:pPr>
      <w:r>
        <w:rPr>
          <w:color w:val="000000"/>
          <w:szCs w:val="20"/>
          <w:lang w:bidi="x-none"/>
        </w:rPr>
        <w:t xml:space="preserve">Middle rate </w:t>
      </w:r>
      <w:r>
        <w:rPr>
          <w:color w:val="000000"/>
          <w:szCs w:val="20"/>
          <w:lang w:bidi="x-none"/>
        </w:rPr>
        <w:tab/>
        <w:t>£47.10</w:t>
      </w:r>
    </w:p>
    <w:p w:rsidR="0097317F" w:rsidRDefault="0097317F" w:rsidP="0097317F">
      <w:pPr>
        <w:rPr>
          <w:color w:val="000000"/>
          <w:szCs w:val="20"/>
          <w:lang w:bidi="x-none"/>
        </w:rPr>
      </w:pPr>
      <w:r>
        <w:rPr>
          <w:color w:val="000000"/>
          <w:szCs w:val="20"/>
          <w:lang w:bidi="x-none"/>
        </w:rPr>
        <w:t xml:space="preserve">Lower rate </w:t>
      </w:r>
      <w:r>
        <w:rPr>
          <w:color w:val="000000"/>
          <w:szCs w:val="20"/>
          <w:lang w:bidi="x-none"/>
        </w:rPr>
        <w:tab/>
        <w:t>£18.65</w:t>
      </w:r>
    </w:p>
    <w:p w:rsidR="0097317F" w:rsidRPr="00745C93" w:rsidRDefault="0097317F" w:rsidP="0097317F">
      <w:pPr>
        <w:rPr>
          <w:color w:val="000000"/>
          <w:sz w:val="20"/>
          <w:szCs w:val="20"/>
          <w:lang w:bidi="x-none"/>
        </w:rPr>
      </w:pPr>
      <w:r w:rsidRPr="00C17158">
        <w:rPr>
          <w:color w:val="000000"/>
          <w:sz w:val="20"/>
          <w:szCs w:val="20"/>
          <w:lang w:bidi="x-none"/>
        </w:rPr>
        <w:t xml:space="preserve">*Conversion rate for </w:t>
      </w:r>
      <w:smartTag w:uri="urn:schemas-microsoft-com:office:smarttags" w:element="date">
        <w:smartTagPr>
          <w:attr w:name="Year" w:val="2010"/>
          <w:attr w:name="Day" w:val="22"/>
          <w:attr w:name="Month" w:val="3"/>
        </w:smartTagPr>
        <w:r w:rsidRPr="00C17158">
          <w:rPr>
            <w:color w:val="000000"/>
            <w:sz w:val="20"/>
            <w:szCs w:val="20"/>
            <w:lang w:bidi="x-none"/>
          </w:rPr>
          <w:t>22/03/2010</w:t>
        </w:r>
      </w:smartTag>
      <w:r w:rsidRPr="00C17158">
        <w:rPr>
          <w:color w:val="000000"/>
          <w:sz w:val="20"/>
          <w:szCs w:val="20"/>
          <w:lang w:bidi="x-none"/>
        </w:rPr>
        <w:t xml:space="preserve"> is £1=€1.11387</w:t>
      </w:r>
      <w:r>
        <w:rPr>
          <w:color w:val="000000"/>
          <w:sz w:val="20"/>
          <w:szCs w:val="20"/>
          <w:lang w:bidi="x-none"/>
        </w:rPr>
        <w:t xml:space="preserve"> </w:t>
      </w:r>
      <w:r w:rsidRPr="00745C93">
        <w:rPr>
          <w:color w:val="000000"/>
          <w:sz w:val="20"/>
          <w:szCs w:val="20"/>
          <w:lang w:bidi="x-none"/>
        </w:rPr>
        <w:t>http://www.xe.com/ucc/convert.cgi?Amount=20%2C000&amp;From=GBP&amp;To=EUR&amp;image.x=29&amp;image.y=13</w:t>
      </w:r>
    </w:p>
    <w:p w:rsidR="0097317F" w:rsidRDefault="0097317F" w:rsidP="00C36CA2">
      <w:pPr>
        <w:pStyle w:val="Heading4"/>
      </w:pPr>
      <w:bookmarkStart w:id="224" w:name="_Toc247447284"/>
      <w:bookmarkStart w:id="225" w:name="_Toc246242090"/>
      <w:bookmarkStart w:id="226" w:name="_Toc255836019"/>
      <w:bookmarkStart w:id="227" w:name="_Toc267920968"/>
      <w:r>
        <w:t>Mobility needs</w:t>
      </w:r>
      <w:bookmarkEnd w:id="224"/>
      <w:bookmarkEnd w:id="225"/>
      <w:bookmarkEnd w:id="226"/>
      <w:bookmarkEnd w:id="227"/>
    </w:p>
    <w:p w:rsidR="0097317F" w:rsidRDefault="0097317F" w:rsidP="0097317F">
      <w:pPr>
        <w:rPr>
          <w:color w:val="000000"/>
          <w:szCs w:val="20"/>
          <w:lang w:bidi="x-none"/>
        </w:rPr>
      </w:pPr>
      <w:r>
        <w:rPr>
          <w:color w:val="000000"/>
          <w:szCs w:val="20"/>
          <w:lang w:bidi="x-none"/>
        </w:rPr>
        <w:t>The mobility component of DLA is paid at two different rates.</w:t>
      </w:r>
    </w:p>
    <w:p w:rsidR="0097317F" w:rsidRDefault="00A95454" w:rsidP="0097317F">
      <w:pPr>
        <w:rPr>
          <w:color w:val="000000"/>
          <w:szCs w:val="20"/>
          <w:lang w:bidi="x-none"/>
        </w:rPr>
      </w:pPr>
      <w:r>
        <w:rPr>
          <w:color w:val="000000"/>
          <w:szCs w:val="20"/>
          <w:lang w:bidi="x-none"/>
        </w:rPr>
        <w:t>The recipient</w:t>
      </w:r>
      <w:r w:rsidR="0097317F">
        <w:rPr>
          <w:color w:val="000000"/>
          <w:szCs w:val="20"/>
          <w:lang w:bidi="x-none"/>
        </w:rPr>
        <w:t xml:space="preserve"> get</w:t>
      </w:r>
      <w:r>
        <w:rPr>
          <w:color w:val="000000"/>
          <w:szCs w:val="20"/>
          <w:lang w:bidi="x-none"/>
        </w:rPr>
        <w:t>s the lower rate if they</w:t>
      </w:r>
      <w:r w:rsidR="0097317F">
        <w:rPr>
          <w:color w:val="000000"/>
          <w:szCs w:val="20"/>
          <w:lang w:bidi="x-none"/>
        </w:rPr>
        <w:t xml:space="preserve"> cannot walk outdoors on an unfamiliar route without guidance or supervision from another person for most of the time. This could be because of either a physical or mental disability.</w:t>
      </w:r>
    </w:p>
    <w:p w:rsidR="0097317F" w:rsidRDefault="0006113E" w:rsidP="0097317F">
      <w:pPr>
        <w:rPr>
          <w:color w:val="000000"/>
          <w:szCs w:val="20"/>
          <w:lang w:bidi="x-none"/>
        </w:rPr>
      </w:pPr>
      <w:r>
        <w:rPr>
          <w:color w:val="000000"/>
          <w:szCs w:val="20"/>
          <w:lang w:bidi="x-none"/>
        </w:rPr>
        <w:t xml:space="preserve">The recipient </w:t>
      </w:r>
      <w:r w:rsidR="0097317F">
        <w:rPr>
          <w:color w:val="000000"/>
          <w:szCs w:val="20"/>
          <w:lang w:bidi="x-none"/>
        </w:rPr>
        <w:t>get</w:t>
      </w:r>
      <w:r>
        <w:rPr>
          <w:color w:val="000000"/>
          <w:szCs w:val="20"/>
          <w:lang w:bidi="x-none"/>
        </w:rPr>
        <w:t>s</w:t>
      </w:r>
      <w:r w:rsidR="0097317F">
        <w:rPr>
          <w:color w:val="000000"/>
          <w:szCs w:val="20"/>
          <w:lang w:bidi="x-none"/>
        </w:rPr>
        <w:t xml:space="preserve"> the higher r</w:t>
      </w:r>
      <w:r>
        <w:rPr>
          <w:color w:val="000000"/>
          <w:szCs w:val="20"/>
          <w:lang w:bidi="x-none"/>
        </w:rPr>
        <w:t>ate mobility component if they are</w:t>
      </w:r>
      <w:r w:rsidR="0097317F">
        <w:rPr>
          <w:color w:val="000000"/>
          <w:szCs w:val="20"/>
          <w:lang w:bidi="x-none"/>
        </w:rPr>
        <w:t xml:space="preserve"> unable or virtually unable to walk bec</w:t>
      </w:r>
      <w:r>
        <w:rPr>
          <w:color w:val="000000"/>
          <w:szCs w:val="20"/>
          <w:lang w:bidi="x-none"/>
        </w:rPr>
        <w:t>ause of pain, the effect on their</w:t>
      </w:r>
      <w:r w:rsidR="0097317F">
        <w:rPr>
          <w:color w:val="000000"/>
          <w:szCs w:val="20"/>
          <w:lang w:bidi="x-none"/>
        </w:rPr>
        <w:t xml:space="preserve"> h</w:t>
      </w:r>
      <w:r>
        <w:rPr>
          <w:color w:val="000000"/>
          <w:szCs w:val="20"/>
          <w:lang w:bidi="x-none"/>
        </w:rPr>
        <w:t xml:space="preserve">ealth or the limitations on their walking. The recipient </w:t>
      </w:r>
      <w:r w:rsidR="0097317F">
        <w:rPr>
          <w:color w:val="000000"/>
          <w:szCs w:val="20"/>
          <w:lang w:bidi="x-none"/>
        </w:rPr>
        <w:t>can</w:t>
      </w:r>
      <w:r>
        <w:rPr>
          <w:color w:val="000000"/>
          <w:szCs w:val="20"/>
          <w:lang w:bidi="x-none"/>
        </w:rPr>
        <w:t xml:space="preserve"> only get the higher rate if they</w:t>
      </w:r>
      <w:r w:rsidR="0097317F">
        <w:rPr>
          <w:color w:val="000000"/>
          <w:szCs w:val="20"/>
          <w:lang w:bidi="x-none"/>
        </w:rPr>
        <w:t xml:space="preserve"> are blind and</w:t>
      </w:r>
      <w:r w:rsidR="00C36CA2">
        <w:rPr>
          <w:color w:val="000000"/>
          <w:szCs w:val="20"/>
          <w:lang w:bidi="x-none"/>
        </w:rPr>
        <w:t>/or</w:t>
      </w:r>
      <w:r>
        <w:rPr>
          <w:color w:val="000000"/>
          <w:szCs w:val="20"/>
          <w:lang w:bidi="x-none"/>
        </w:rPr>
        <w:t xml:space="preserve"> deaf and if they use a guide dog, they </w:t>
      </w:r>
      <w:r w:rsidR="0097317F">
        <w:rPr>
          <w:color w:val="000000"/>
          <w:szCs w:val="20"/>
          <w:lang w:bidi="x-none"/>
        </w:rPr>
        <w:t>will still qualify for th</w:t>
      </w:r>
      <w:r>
        <w:rPr>
          <w:color w:val="000000"/>
          <w:szCs w:val="20"/>
          <w:lang w:bidi="x-none"/>
        </w:rPr>
        <w:t>e DLA mobility component if they can show that they</w:t>
      </w:r>
      <w:r w:rsidR="0097317F">
        <w:rPr>
          <w:color w:val="000000"/>
          <w:szCs w:val="20"/>
          <w:lang w:bidi="x-none"/>
        </w:rPr>
        <w:t xml:space="preserve"> would need he</w:t>
      </w:r>
      <w:r>
        <w:rPr>
          <w:color w:val="000000"/>
          <w:szCs w:val="20"/>
          <w:lang w:bidi="x-none"/>
        </w:rPr>
        <w:t>lp from another person if they didn't have the dog, or if they</w:t>
      </w:r>
      <w:r w:rsidR="0097317F">
        <w:rPr>
          <w:color w:val="000000"/>
          <w:szCs w:val="20"/>
          <w:lang w:bidi="x-none"/>
        </w:rPr>
        <w:t xml:space="preserve"> were using a new route unfamiliar to the dog.</w:t>
      </w:r>
    </w:p>
    <w:p w:rsidR="0097317F" w:rsidRDefault="0006113E" w:rsidP="0097317F">
      <w:pPr>
        <w:rPr>
          <w:color w:val="000000"/>
          <w:szCs w:val="20"/>
          <w:lang w:bidi="x-none"/>
        </w:rPr>
      </w:pPr>
      <w:r>
        <w:rPr>
          <w:color w:val="000000"/>
          <w:szCs w:val="20"/>
          <w:lang w:bidi="x-none"/>
        </w:rPr>
        <w:t>The recipient</w:t>
      </w:r>
      <w:r w:rsidR="0097317F">
        <w:rPr>
          <w:color w:val="000000"/>
          <w:szCs w:val="20"/>
          <w:lang w:bidi="x-none"/>
        </w:rPr>
        <w:t xml:space="preserve"> do</w:t>
      </w:r>
      <w:r>
        <w:rPr>
          <w:color w:val="000000"/>
          <w:szCs w:val="20"/>
          <w:lang w:bidi="x-none"/>
        </w:rPr>
        <w:t>es</w:t>
      </w:r>
      <w:r w:rsidR="0097317F">
        <w:rPr>
          <w:color w:val="000000"/>
          <w:szCs w:val="20"/>
          <w:lang w:bidi="x-none"/>
        </w:rPr>
        <w:t xml:space="preserve"> not actually hav</w:t>
      </w:r>
      <w:r>
        <w:rPr>
          <w:color w:val="000000"/>
          <w:szCs w:val="20"/>
          <w:lang w:bidi="x-none"/>
        </w:rPr>
        <w:t>e to be receiving help with their</w:t>
      </w:r>
      <w:r w:rsidR="0097317F">
        <w:rPr>
          <w:color w:val="000000"/>
          <w:szCs w:val="20"/>
          <w:lang w:bidi="x-none"/>
        </w:rPr>
        <w:t xml:space="preserve"> mobility needs to get the mobility </w:t>
      </w:r>
      <w:r>
        <w:rPr>
          <w:color w:val="000000"/>
          <w:szCs w:val="20"/>
          <w:lang w:bidi="x-none"/>
        </w:rPr>
        <w:t xml:space="preserve">component of DLA, as long as they can show that they </w:t>
      </w:r>
      <w:r w:rsidR="0097317F">
        <w:rPr>
          <w:color w:val="000000"/>
          <w:szCs w:val="20"/>
          <w:lang w:bidi="x-none"/>
        </w:rPr>
        <w:t>need it.</w:t>
      </w:r>
    </w:p>
    <w:p w:rsidR="0097317F" w:rsidRDefault="0097317F" w:rsidP="0097317F">
      <w:pPr>
        <w:rPr>
          <w:b/>
          <w:color w:val="000000"/>
          <w:szCs w:val="20"/>
          <w:lang w:bidi="x-none"/>
        </w:rPr>
      </w:pPr>
      <w:r>
        <w:rPr>
          <w:b/>
          <w:color w:val="000000"/>
          <w:szCs w:val="20"/>
          <w:lang w:bidi="x-none"/>
        </w:rPr>
        <w:t xml:space="preserve">Mobility component </w:t>
      </w:r>
      <w:r>
        <w:rPr>
          <w:b/>
          <w:color w:val="000000"/>
          <w:szCs w:val="20"/>
          <w:lang w:bidi="x-none"/>
        </w:rPr>
        <w:tab/>
        <w:t xml:space="preserve">Weekly rate from </w:t>
      </w:r>
      <w:smartTag w:uri="urn:schemas-microsoft-com:office:smarttags" w:element="date">
        <w:smartTagPr>
          <w:attr w:name="Month" w:val="4"/>
          <w:attr w:name="Day" w:val="6"/>
          <w:attr w:name="Year" w:val="2009"/>
        </w:smartTagPr>
        <w:r>
          <w:rPr>
            <w:b/>
            <w:color w:val="000000"/>
            <w:szCs w:val="20"/>
            <w:lang w:bidi="x-none"/>
          </w:rPr>
          <w:t>6 April 2009</w:t>
        </w:r>
      </w:smartTag>
    </w:p>
    <w:p w:rsidR="0097317F" w:rsidRDefault="0097317F" w:rsidP="0097317F">
      <w:pPr>
        <w:rPr>
          <w:color w:val="000000"/>
          <w:szCs w:val="20"/>
          <w:lang w:bidi="x-none"/>
        </w:rPr>
      </w:pPr>
      <w:r>
        <w:rPr>
          <w:color w:val="000000"/>
          <w:szCs w:val="20"/>
          <w:lang w:bidi="x-none"/>
        </w:rPr>
        <w:t xml:space="preserve">Higher rate </w:t>
      </w:r>
      <w:r>
        <w:rPr>
          <w:color w:val="000000"/>
          <w:szCs w:val="20"/>
          <w:lang w:bidi="x-none"/>
        </w:rPr>
        <w:tab/>
        <w:t>£49.10</w:t>
      </w:r>
    </w:p>
    <w:p w:rsidR="0097317F" w:rsidRDefault="0097317F" w:rsidP="0097317F">
      <w:pPr>
        <w:rPr>
          <w:color w:val="000000"/>
          <w:szCs w:val="20"/>
          <w:lang w:bidi="x-none"/>
        </w:rPr>
      </w:pPr>
      <w:r>
        <w:rPr>
          <w:color w:val="000000"/>
          <w:szCs w:val="20"/>
          <w:lang w:bidi="x-none"/>
        </w:rPr>
        <w:t xml:space="preserve">Lower rate </w:t>
      </w:r>
      <w:r>
        <w:rPr>
          <w:color w:val="000000"/>
          <w:szCs w:val="20"/>
          <w:lang w:bidi="x-none"/>
        </w:rPr>
        <w:tab/>
        <w:t>£18.65</w:t>
      </w:r>
    </w:p>
    <w:p w:rsidR="0097317F" w:rsidRPr="00745C93" w:rsidRDefault="0097317F" w:rsidP="0097317F">
      <w:pPr>
        <w:rPr>
          <w:color w:val="000000"/>
          <w:sz w:val="20"/>
          <w:szCs w:val="20"/>
          <w:lang w:bidi="x-none"/>
        </w:rPr>
      </w:pPr>
      <w:r w:rsidRPr="00C17158">
        <w:rPr>
          <w:color w:val="000000"/>
          <w:sz w:val="20"/>
          <w:szCs w:val="20"/>
          <w:lang w:bidi="x-none"/>
        </w:rPr>
        <w:t xml:space="preserve">*Conversion rate for </w:t>
      </w:r>
      <w:smartTag w:uri="urn:schemas-microsoft-com:office:smarttags" w:element="date">
        <w:smartTagPr>
          <w:attr w:name="Month" w:val="3"/>
          <w:attr w:name="Day" w:val="22"/>
          <w:attr w:name="Year" w:val="2010"/>
        </w:smartTagPr>
        <w:r w:rsidRPr="00C17158">
          <w:rPr>
            <w:color w:val="000000"/>
            <w:sz w:val="20"/>
            <w:szCs w:val="20"/>
            <w:lang w:bidi="x-none"/>
          </w:rPr>
          <w:t>22/03/2010</w:t>
        </w:r>
      </w:smartTag>
      <w:r w:rsidRPr="00C17158">
        <w:rPr>
          <w:color w:val="000000"/>
          <w:sz w:val="20"/>
          <w:szCs w:val="20"/>
          <w:lang w:bidi="x-none"/>
        </w:rPr>
        <w:t xml:space="preserve"> is £1=€1.11387</w:t>
      </w:r>
      <w:r>
        <w:rPr>
          <w:color w:val="000000"/>
          <w:sz w:val="20"/>
          <w:szCs w:val="20"/>
          <w:lang w:bidi="x-none"/>
        </w:rPr>
        <w:t xml:space="preserve"> </w:t>
      </w:r>
      <w:r w:rsidRPr="00745C93">
        <w:rPr>
          <w:color w:val="000000"/>
          <w:sz w:val="20"/>
          <w:szCs w:val="20"/>
          <w:lang w:bidi="x-none"/>
        </w:rPr>
        <w:t>http://www.xe.com/ucc/convert.cgi?Amount=20%2C000&amp;From=GBP&amp;To=EUR&amp;image.x=29&amp;image.y=13</w:t>
      </w:r>
    </w:p>
    <w:p w:rsidR="0097317F" w:rsidRDefault="0097317F" w:rsidP="0097317F">
      <w:pPr>
        <w:rPr>
          <w:color w:val="000000"/>
          <w:szCs w:val="20"/>
          <w:lang w:bidi="x-none"/>
        </w:rPr>
      </w:pPr>
      <w:r>
        <w:rPr>
          <w:color w:val="000000"/>
          <w:szCs w:val="20"/>
          <w:lang w:bidi="x-none"/>
        </w:rPr>
        <w:t>Disability Living Allowance (DLA) can be paid for children under 16, but there are extra conditions about their care and mobility needs.</w:t>
      </w:r>
    </w:p>
    <w:p w:rsidR="0097317F" w:rsidRDefault="0097317F" w:rsidP="0097317F">
      <w:pPr>
        <w:rPr>
          <w:color w:val="000000"/>
          <w:szCs w:val="20"/>
          <w:lang w:bidi="x-none"/>
        </w:rPr>
      </w:pPr>
      <w:r>
        <w:rPr>
          <w:color w:val="000000"/>
          <w:szCs w:val="20"/>
          <w:lang w:bidi="x-none"/>
        </w:rPr>
        <w:t>To get the care component of DLA, a child must meet the same conditions as an adult, but they must also show that they need a lot more care or supervision than other children of the same age. For example, a child aged under 16 cannot get the DLA care component just because they are unable to cook a main meal for themselves.</w:t>
      </w:r>
    </w:p>
    <w:p w:rsidR="0097317F" w:rsidRDefault="0006113E" w:rsidP="0097317F">
      <w:pPr>
        <w:rPr>
          <w:color w:val="000000"/>
          <w:szCs w:val="20"/>
          <w:lang w:bidi="x-none"/>
        </w:rPr>
      </w:pPr>
      <w:r>
        <w:rPr>
          <w:color w:val="000000"/>
          <w:szCs w:val="20"/>
          <w:lang w:bidi="x-none"/>
        </w:rPr>
        <w:t xml:space="preserve">A person </w:t>
      </w:r>
      <w:r w:rsidR="0097317F">
        <w:rPr>
          <w:color w:val="000000"/>
          <w:szCs w:val="20"/>
          <w:lang w:bidi="x-none"/>
        </w:rPr>
        <w:t>can make a claim for the care component of DLA as s</w:t>
      </w:r>
      <w:r>
        <w:rPr>
          <w:color w:val="000000"/>
          <w:szCs w:val="20"/>
          <w:lang w:bidi="x-none"/>
        </w:rPr>
        <w:t xml:space="preserve">oon as a child is born, but the claimant </w:t>
      </w:r>
      <w:r w:rsidR="0097317F">
        <w:rPr>
          <w:color w:val="000000"/>
          <w:szCs w:val="20"/>
          <w:lang w:bidi="x-none"/>
        </w:rPr>
        <w:t xml:space="preserve">won't be paid any benefit until the child is three months old. </w:t>
      </w:r>
    </w:p>
    <w:p w:rsidR="0097317F" w:rsidRDefault="0097317F" w:rsidP="0097317F">
      <w:pPr>
        <w:rPr>
          <w:color w:val="000000"/>
          <w:szCs w:val="20"/>
          <w:lang w:bidi="x-none"/>
        </w:rPr>
      </w:pPr>
      <w:r>
        <w:rPr>
          <w:color w:val="000000"/>
          <w:szCs w:val="20"/>
          <w:lang w:bidi="x-none"/>
        </w:rPr>
        <w:t>Children under 16 can't get the mobility component of DLA until they are three, for the higher rate, or five, for the lower rate. To get the lower rate, they must also need more help or supervision than other children of the same age. This extra condition no longer applies, once the child reaches the age of 16.</w:t>
      </w:r>
    </w:p>
    <w:p w:rsidR="0097317F" w:rsidRDefault="0097317F" w:rsidP="00C36CA2">
      <w:pPr>
        <w:pStyle w:val="Heading4"/>
      </w:pPr>
      <w:bookmarkStart w:id="228" w:name="_Toc247447285"/>
      <w:bookmarkStart w:id="229" w:name="_Toc246242091"/>
      <w:bookmarkStart w:id="230" w:name="_Toc255836020"/>
      <w:bookmarkStart w:id="231" w:name="_Toc267920969"/>
      <w:r>
        <w:t>Attendance Allowance</w:t>
      </w:r>
      <w:bookmarkEnd w:id="228"/>
      <w:bookmarkEnd w:id="229"/>
      <w:bookmarkEnd w:id="230"/>
      <w:bookmarkEnd w:id="231"/>
    </w:p>
    <w:p w:rsidR="0097317F" w:rsidRDefault="0006113E" w:rsidP="0097317F">
      <w:pPr>
        <w:rPr>
          <w:color w:val="000000"/>
          <w:szCs w:val="20"/>
          <w:lang w:bidi="x-none"/>
        </w:rPr>
      </w:pPr>
      <w:r>
        <w:rPr>
          <w:color w:val="000000"/>
          <w:szCs w:val="20"/>
          <w:lang w:bidi="x-none"/>
        </w:rPr>
        <w:t>A person</w:t>
      </w:r>
      <w:r w:rsidR="0097317F">
        <w:rPr>
          <w:color w:val="000000"/>
          <w:szCs w:val="20"/>
          <w:lang w:bidi="x-none"/>
        </w:rPr>
        <w:t xml:space="preserve"> can get </w:t>
      </w:r>
      <w:r>
        <w:rPr>
          <w:color w:val="000000"/>
          <w:szCs w:val="20"/>
          <w:lang w:bidi="x-none"/>
        </w:rPr>
        <w:t>Attendance Allowance (AA) if they are disabled, they have care needs and they are 65 or over. The person</w:t>
      </w:r>
      <w:r w:rsidR="0097317F">
        <w:rPr>
          <w:color w:val="000000"/>
          <w:szCs w:val="20"/>
          <w:lang w:bidi="x-none"/>
        </w:rPr>
        <w:t xml:space="preserve"> must not be living permanently in hospital or accommodation funded by a local authority, for example, a local authority care home. </w:t>
      </w:r>
    </w:p>
    <w:p w:rsidR="0097317F" w:rsidRDefault="0097317F" w:rsidP="0097317F">
      <w:pPr>
        <w:rPr>
          <w:color w:val="000000"/>
          <w:szCs w:val="20"/>
          <w:lang w:bidi="x-none"/>
        </w:rPr>
      </w:pPr>
      <w:r>
        <w:rPr>
          <w:color w:val="000000"/>
          <w:szCs w:val="20"/>
          <w:lang w:bidi="x-none"/>
        </w:rPr>
        <w:t>To g</w:t>
      </w:r>
      <w:r w:rsidR="0006113E">
        <w:rPr>
          <w:color w:val="000000"/>
          <w:szCs w:val="20"/>
          <w:lang w:bidi="x-none"/>
        </w:rPr>
        <w:t xml:space="preserve">et Attendance Allowance (AA) a person has </w:t>
      </w:r>
      <w:r>
        <w:rPr>
          <w:color w:val="000000"/>
          <w:szCs w:val="20"/>
          <w:lang w:bidi="x-none"/>
        </w:rPr>
        <w:t>to have had care needs for at least six months (unless you are terminally ill).</w:t>
      </w:r>
    </w:p>
    <w:p w:rsidR="0097317F" w:rsidRDefault="0006113E" w:rsidP="0097317F">
      <w:pPr>
        <w:rPr>
          <w:color w:val="000000"/>
          <w:szCs w:val="20"/>
          <w:lang w:bidi="x-none"/>
        </w:rPr>
      </w:pPr>
      <w:r>
        <w:rPr>
          <w:color w:val="000000"/>
          <w:szCs w:val="20"/>
          <w:lang w:bidi="x-none"/>
        </w:rPr>
        <w:t>A recipient is defined as having care needs if they need help with their</w:t>
      </w:r>
      <w:r w:rsidR="0097317F">
        <w:rPr>
          <w:color w:val="000000"/>
          <w:szCs w:val="20"/>
          <w:lang w:bidi="x-none"/>
        </w:rPr>
        <w:t xml:space="preserve"> ‘bodily functions’, for example, washing, getting dressed and going to the toilet. This help can inc</w:t>
      </w:r>
      <w:r>
        <w:rPr>
          <w:color w:val="000000"/>
          <w:szCs w:val="20"/>
          <w:lang w:bidi="x-none"/>
        </w:rPr>
        <w:t>lude attention, which allows them</w:t>
      </w:r>
      <w:r w:rsidR="0097317F">
        <w:rPr>
          <w:color w:val="000000"/>
          <w:szCs w:val="20"/>
          <w:lang w:bidi="x-none"/>
        </w:rPr>
        <w:t xml:space="preserve"> to tak</w:t>
      </w:r>
      <w:r>
        <w:rPr>
          <w:color w:val="000000"/>
          <w:szCs w:val="20"/>
          <w:lang w:bidi="x-none"/>
        </w:rPr>
        <w:t xml:space="preserve">e part in social activities. The recipient also has care needs if they need supervision to stop them from being a danger to themselves or others. If they </w:t>
      </w:r>
      <w:r w:rsidR="0097317F">
        <w:rPr>
          <w:color w:val="000000"/>
          <w:szCs w:val="20"/>
          <w:lang w:bidi="x-none"/>
        </w:rPr>
        <w:t xml:space="preserve">are terminally ill, </w:t>
      </w:r>
      <w:r>
        <w:rPr>
          <w:color w:val="000000"/>
          <w:szCs w:val="20"/>
          <w:lang w:bidi="x-none"/>
        </w:rPr>
        <w:t xml:space="preserve">they </w:t>
      </w:r>
      <w:r w:rsidR="0097317F">
        <w:rPr>
          <w:color w:val="000000"/>
          <w:szCs w:val="20"/>
          <w:lang w:bidi="x-none"/>
        </w:rPr>
        <w:t>are automatically treated as having care needs.</w:t>
      </w:r>
    </w:p>
    <w:p w:rsidR="0097317F" w:rsidRDefault="0006113E" w:rsidP="0097317F">
      <w:pPr>
        <w:rPr>
          <w:color w:val="000000"/>
          <w:szCs w:val="20"/>
          <w:lang w:bidi="x-none"/>
        </w:rPr>
      </w:pPr>
      <w:r>
        <w:rPr>
          <w:color w:val="000000"/>
          <w:szCs w:val="20"/>
          <w:lang w:bidi="x-none"/>
        </w:rPr>
        <w:t>A recipient</w:t>
      </w:r>
      <w:r w:rsidR="0097317F">
        <w:rPr>
          <w:color w:val="000000"/>
          <w:szCs w:val="20"/>
          <w:lang w:bidi="x-none"/>
        </w:rPr>
        <w:t xml:space="preserve"> do</w:t>
      </w:r>
      <w:r>
        <w:rPr>
          <w:color w:val="000000"/>
          <w:szCs w:val="20"/>
          <w:lang w:bidi="x-none"/>
        </w:rPr>
        <w:t>es</w:t>
      </w:r>
      <w:r w:rsidR="0097317F">
        <w:rPr>
          <w:color w:val="000000"/>
          <w:szCs w:val="20"/>
          <w:lang w:bidi="x-none"/>
        </w:rPr>
        <w:t xml:space="preserve"> not actually ha</w:t>
      </w:r>
      <w:r>
        <w:rPr>
          <w:color w:val="000000"/>
          <w:szCs w:val="20"/>
          <w:lang w:bidi="x-none"/>
        </w:rPr>
        <w:t>ve to be receiving help for their care needs. As long as they</w:t>
      </w:r>
      <w:r w:rsidR="0097317F">
        <w:rPr>
          <w:color w:val="000000"/>
          <w:szCs w:val="20"/>
          <w:lang w:bidi="x-none"/>
        </w:rPr>
        <w:t xml:space="preserve"> have the needs</w:t>
      </w:r>
      <w:r>
        <w:rPr>
          <w:color w:val="000000"/>
          <w:szCs w:val="20"/>
          <w:lang w:bidi="x-none"/>
        </w:rPr>
        <w:t>, it does not matter whether they</w:t>
      </w:r>
      <w:r w:rsidR="0097317F">
        <w:rPr>
          <w:color w:val="000000"/>
          <w:szCs w:val="20"/>
          <w:lang w:bidi="x-none"/>
        </w:rPr>
        <w:t xml:space="preserve"> are getting or planning to get care. Attendance Allowance (AA) is paid at two rates, a h</w:t>
      </w:r>
      <w:r>
        <w:rPr>
          <w:color w:val="000000"/>
          <w:szCs w:val="20"/>
          <w:lang w:bidi="x-none"/>
        </w:rPr>
        <w:t xml:space="preserve">igher rate and a lower rate. A recipient </w:t>
      </w:r>
      <w:r w:rsidR="0097317F">
        <w:rPr>
          <w:color w:val="000000"/>
          <w:szCs w:val="20"/>
          <w:lang w:bidi="x-none"/>
        </w:rPr>
        <w:t xml:space="preserve"> get</w:t>
      </w:r>
      <w:r>
        <w:rPr>
          <w:color w:val="000000"/>
          <w:szCs w:val="20"/>
          <w:lang w:bidi="x-none"/>
        </w:rPr>
        <w:t>s the lower rate of AA if they</w:t>
      </w:r>
      <w:r w:rsidR="0097317F">
        <w:rPr>
          <w:color w:val="000000"/>
          <w:szCs w:val="20"/>
          <w:lang w:bidi="x-none"/>
        </w:rPr>
        <w:t xml:space="preserve"> need frequent care </w:t>
      </w:r>
      <w:r>
        <w:rPr>
          <w:color w:val="000000"/>
          <w:szCs w:val="20"/>
          <w:lang w:bidi="x-none"/>
        </w:rPr>
        <w:t>throughout the day or night. The recipient</w:t>
      </w:r>
      <w:r w:rsidR="0097317F">
        <w:rPr>
          <w:color w:val="000000"/>
          <w:szCs w:val="20"/>
          <w:lang w:bidi="x-none"/>
        </w:rPr>
        <w:t xml:space="preserve"> get</w:t>
      </w:r>
      <w:r>
        <w:rPr>
          <w:color w:val="000000"/>
          <w:szCs w:val="20"/>
          <w:lang w:bidi="x-none"/>
        </w:rPr>
        <w:t>s the higher rate if they</w:t>
      </w:r>
      <w:r w:rsidR="0097317F">
        <w:rPr>
          <w:color w:val="000000"/>
          <w:szCs w:val="20"/>
          <w:lang w:bidi="x-none"/>
        </w:rPr>
        <w:t xml:space="preserve"> need frequent care throug</w:t>
      </w:r>
      <w:r>
        <w:rPr>
          <w:color w:val="000000"/>
          <w:szCs w:val="20"/>
          <w:lang w:bidi="x-none"/>
        </w:rPr>
        <w:t>hout the day and night or if they</w:t>
      </w:r>
      <w:r w:rsidR="0097317F">
        <w:rPr>
          <w:color w:val="000000"/>
          <w:szCs w:val="20"/>
          <w:lang w:bidi="x-none"/>
        </w:rPr>
        <w:t xml:space="preserve"> are terminally ill.</w:t>
      </w:r>
    </w:p>
    <w:p w:rsidR="0097317F" w:rsidRDefault="0097317F" w:rsidP="0097317F">
      <w:pPr>
        <w:rPr>
          <w:b/>
          <w:color w:val="000000"/>
          <w:szCs w:val="20"/>
          <w:lang w:bidi="x-none"/>
        </w:rPr>
      </w:pPr>
      <w:r>
        <w:rPr>
          <w:b/>
          <w:color w:val="000000"/>
          <w:szCs w:val="20"/>
          <w:lang w:bidi="x-none"/>
        </w:rPr>
        <w:t xml:space="preserve">Attendance Allowance  </w:t>
      </w:r>
      <w:r>
        <w:rPr>
          <w:b/>
          <w:color w:val="000000"/>
          <w:szCs w:val="20"/>
          <w:lang w:bidi="x-none"/>
        </w:rPr>
        <w:tab/>
        <w:t>Weekly rate</w:t>
      </w:r>
    </w:p>
    <w:p w:rsidR="0097317F" w:rsidRDefault="0097317F" w:rsidP="0097317F">
      <w:pPr>
        <w:rPr>
          <w:color w:val="000000"/>
          <w:szCs w:val="20"/>
          <w:lang w:bidi="x-none"/>
        </w:rPr>
      </w:pPr>
      <w:r>
        <w:rPr>
          <w:color w:val="000000"/>
          <w:szCs w:val="20"/>
          <w:lang w:bidi="x-none"/>
        </w:rPr>
        <w:t xml:space="preserve">Higher rate  </w:t>
      </w:r>
      <w:r>
        <w:rPr>
          <w:color w:val="000000"/>
          <w:szCs w:val="20"/>
          <w:lang w:bidi="x-none"/>
        </w:rPr>
        <w:tab/>
      </w:r>
      <w:r>
        <w:rPr>
          <w:color w:val="000000"/>
          <w:szCs w:val="20"/>
          <w:lang w:bidi="x-none"/>
        </w:rPr>
        <w:tab/>
      </w:r>
      <w:r>
        <w:rPr>
          <w:color w:val="000000"/>
          <w:szCs w:val="20"/>
          <w:lang w:bidi="x-none"/>
        </w:rPr>
        <w:tab/>
        <w:t>£70.35</w:t>
      </w:r>
    </w:p>
    <w:p w:rsidR="0097317F" w:rsidRDefault="0097317F"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color w:val="000000"/>
          <w:szCs w:val="20"/>
          <w:lang w:bidi="x-none"/>
        </w:rPr>
        <w:t xml:space="preserve">Lower rate </w:t>
      </w:r>
      <w:r>
        <w:rPr>
          <w:color w:val="000000"/>
          <w:szCs w:val="20"/>
          <w:lang w:bidi="x-none"/>
        </w:rPr>
        <w:tab/>
      </w:r>
      <w:r>
        <w:rPr>
          <w:color w:val="000000"/>
          <w:szCs w:val="20"/>
          <w:lang w:bidi="x-none"/>
        </w:rPr>
        <w:tab/>
      </w:r>
      <w:r>
        <w:rPr>
          <w:color w:val="000000"/>
          <w:szCs w:val="20"/>
          <w:lang w:bidi="x-none"/>
        </w:rPr>
        <w:tab/>
        <w:t xml:space="preserve">£47.10 </w:t>
      </w:r>
      <w:r>
        <w:rPr>
          <w:rStyle w:val="FootnoteReference"/>
          <w:color w:val="000000"/>
          <w:szCs w:val="20"/>
          <w:lang w:bidi="x-none"/>
        </w:rPr>
        <w:footnoteReference w:id="121"/>
      </w:r>
    </w:p>
    <w:p w:rsidR="0097317F" w:rsidRPr="00745C93" w:rsidRDefault="0097317F" w:rsidP="0097317F">
      <w:pPr>
        <w:rPr>
          <w:color w:val="000000"/>
          <w:sz w:val="20"/>
          <w:szCs w:val="20"/>
          <w:lang w:bidi="x-none"/>
        </w:rPr>
      </w:pPr>
      <w:bookmarkStart w:id="232" w:name="_Toc247447286"/>
      <w:bookmarkStart w:id="233" w:name="_Toc246242092"/>
      <w:bookmarkStart w:id="234" w:name="_Toc255836021"/>
      <w:r w:rsidRPr="00C17158">
        <w:rPr>
          <w:color w:val="000000"/>
          <w:sz w:val="20"/>
          <w:szCs w:val="20"/>
          <w:lang w:bidi="x-none"/>
        </w:rPr>
        <w:t xml:space="preserve">*Conversion rate for </w:t>
      </w:r>
      <w:smartTag w:uri="urn:schemas-microsoft-com:office:smarttags" w:element="date">
        <w:smartTagPr>
          <w:attr w:name="Month" w:val="3"/>
          <w:attr w:name="Day" w:val="22"/>
          <w:attr w:name="Year" w:val="2010"/>
        </w:smartTagPr>
        <w:r w:rsidRPr="00C17158">
          <w:rPr>
            <w:color w:val="000000"/>
            <w:sz w:val="20"/>
            <w:szCs w:val="20"/>
            <w:lang w:bidi="x-none"/>
          </w:rPr>
          <w:t>22/03/2010</w:t>
        </w:r>
      </w:smartTag>
      <w:r w:rsidRPr="00C17158">
        <w:rPr>
          <w:color w:val="000000"/>
          <w:sz w:val="20"/>
          <w:szCs w:val="20"/>
          <w:lang w:bidi="x-none"/>
        </w:rPr>
        <w:t xml:space="preserve"> is £1=€1.1138</w:t>
      </w:r>
      <w:r>
        <w:rPr>
          <w:color w:val="000000"/>
          <w:sz w:val="20"/>
          <w:szCs w:val="20"/>
          <w:lang w:bidi="x-none"/>
        </w:rPr>
        <w:t xml:space="preserve">7 </w:t>
      </w:r>
      <w:r w:rsidRPr="00745C93">
        <w:rPr>
          <w:color w:val="000000"/>
          <w:sz w:val="20"/>
          <w:szCs w:val="20"/>
          <w:lang w:bidi="x-none"/>
        </w:rPr>
        <w:t>http://www.xe.com/ucc/convert.cgi?Amount=20%2C000&amp;From=GBP&amp;To=EUR&amp;image.x=29&amp;image.y=13</w:t>
      </w:r>
    </w:p>
    <w:p w:rsidR="0097317F" w:rsidRDefault="0097317F" w:rsidP="00C36CA2">
      <w:pPr>
        <w:pStyle w:val="Heading4"/>
      </w:pPr>
      <w:bookmarkStart w:id="235" w:name="_Toc267920970"/>
      <w:r>
        <w:t>Disablement Benefit</w:t>
      </w:r>
      <w:bookmarkEnd w:id="232"/>
      <w:bookmarkEnd w:id="233"/>
      <w:bookmarkEnd w:id="234"/>
      <w:bookmarkEnd w:id="235"/>
    </w:p>
    <w:p w:rsidR="0097317F" w:rsidRPr="00C17158" w:rsidRDefault="0097317F" w:rsidP="0097317F">
      <w:pPr>
        <w:rPr>
          <w:color w:val="000000"/>
          <w:szCs w:val="20"/>
          <w:lang w:bidi="x-none"/>
        </w:rPr>
      </w:pPr>
      <w:r>
        <w:rPr>
          <w:color w:val="000000"/>
          <w:szCs w:val="20"/>
          <w:lang w:bidi="x-none"/>
        </w:rPr>
        <w:t>There are different claim forms for Disablement Benefit, depending on whether the disability was cause</w:t>
      </w:r>
      <w:r w:rsidR="0006113E">
        <w:rPr>
          <w:color w:val="000000"/>
          <w:szCs w:val="20"/>
          <w:lang w:bidi="x-none"/>
        </w:rPr>
        <w:t xml:space="preserve">d by an accident or whether a person is claiming because they </w:t>
      </w:r>
      <w:r>
        <w:rPr>
          <w:color w:val="000000"/>
          <w:szCs w:val="20"/>
          <w:lang w:bidi="x-none"/>
        </w:rPr>
        <w:t xml:space="preserve"> have a pa</w:t>
      </w:r>
      <w:r w:rsidR="0006113E">
        <w:rPr>
          <w:color w:val="000000"/>
          <w:szCs w:val="20"/>
          <w:lang w:bidi="x-none"/>
        </w:rPr>
        <w:t xml:space="preserve">rticular industrial disease. People </w:t>
      </w:r>
      <w:r>
        <w:rPr>
          <w:color w:val="000000"/>
          <w:szCs w:val="20"/>
          <w:lang w:bidi="x-none"/>
        </w:rPr>
        <w:t xml:space="preserve">should ask at the local benefit office for the right form. For more details: </w:t>
      </w:r>
      <w:r>
        <w:rPr>
          <w:color w:val="000000"/>
        </w:rPr>
        <w:t>http://www.direct.gov.uk/en/DisabledPeople/FinancialSupport/OtherBenefitsAndSupport/index.htm</w:t>
      </w:r>
    </w:p>
    <w:p w:rsidR="0097317F" w:rsidRDefault="0097317F" w:rsidP="0097317F">
      <w:pPr>
        <w:pStyle w:val="Heading1"/>
        <w:sectPr w:rsidR="0097317F" w:rsidSect="006B2928">
          <w:pgSz w:w="12240" w:h="15840"/>
          <w:pgMar w:top="1440" w:right="1800" w:bottom="1440" w:left="1800" w:header="708" w:footer="708" w:gutter="0"/>
          <w:cols w:space="708"/>
          <w:docGrid w:linePitch="360"/>
        </w:sectPr>
      </w:pPr>
      <w:bookmarkStart w:id="236" w:name="_Toc247447287"/>
    </w:p>
    <w:p w:rsidR="0097317F" w:rsidRDefault="0097317F" w:rsidP="0097317F">
      <w:pPr>
        <w:pStyle w:val="Heading1"/>
      </w:pPr>
      <w:bookmarkStart w:id="237" w:name="_Toc255836022"/>
      <w:bookmarkStart w:id="238" w:name="_Toc267920971"/>
      <w:bookmarkStart w:id="239" w:name="_Toc279136935"/>
      <w:r>
        <w:t xml:space="preserve">Appendix </w:t>
      </w:r>
      <w:r w:rsidR="00902E4F">
        <w:t>4</w:t>
      </w:r>
      <w:r>
        <w:t xml:space="preserve">: How health and personal services are overseen and monitored in </w:t>
      </w:r>
      <w:smartTag w:uri="urn:schemas-microsoft-com:office:smarttags" w:element="country-region">
        <w:smartTag w:uri="urn:schemas-microsoft-com:office:smarttags" w:element="place">
          <w:r>
            <w:t>Scotland</w:t>
          </w:r>
        </w:smartTag>
      </w:smartTag>
      <w:bookmarkEnd w:id="236"/>
      <w:bookmarkEnd w:id="237"/>
      <w:bookmarkEnd w:id="238"/>
      <w:bookmarkEnd w:id="239"/>
    </w:p>
    <w:p w:rsidR="0097317F" w:rsidRDefault="0097317F" w:rsidP="00CF0287">
      <w:pPr>
        <w:pStyle w:val="Heading4"/>
      </w:pPr>
      <w:bookmarkStart w:id="240" w:name="_Toc247447288"/>
      <w:bookmarkStart w:id="241" w:name="_Toc255836023"/>
      <w:bookmarkStart w:id="242" w:name="_Toc267920972"/>
      <w:r>
        <w:t>1) How are outsourced (i.e., non-statutory) services monitored (how is their performance to contract assessed)?</w:t>
      </w:r>
      <w:bookmarkEnd w:id="240"/>
      <w:bookmarkEnd w:id="241"/>
      <w:bookmarkEnd w:id="242"/>
    </w:p>
    <w:p w:rsidR="0097317F" w:rsidRDefault="0097317F" w:rsidP="0097317F">
      <w:pPr>
        <w:rPr>
          <w:rFonts w:cs="Arial"/>
        </w:rPr>
      </w:pPr>
      <w:r>
        <w:rPr>
          <w:rFonts w:cs="Arial"/>
        </w:rPr>
        <w:t xml:space="preserve">All care services in </w:t>
      </w:r>
      <w:smartTag w:uri="urn:schemas-microsoft-com:office:smarttags" w:element="country-region">
        <w:smartTag w:uri="urn:schemas-microsoft-com:office:smarttags" w:element="place">
          <w:r>
            <w:rPr>
              <w:rFonts w:cs="Arial"/>
            </w:rPr>
            <w:t>Scotland</w:t>
          </w:r>
        </w:smartTag>
      </w:smartTag>
      <w:r>
        <w:rPr>
          <w:rFonts w:cs="Arial"/>
        </w:rPr>
        <w:t xml:space="preserve"> - whether they are provided by local authorities, the private or voluntary sector - are regulated against the Regulation of Care (</w:t>
      </w:r>
      <w:smartTag w:uri="urn:schemas-microsoft-com:office:smarttags" w:element="country-region">
        <w:smartTag w:uri="urn:schemas-microsoft-com:office:smarttags" w:element="place">
          <w:r>
            <w:rPr>
              <w:rFonts w:cs="Arial"/>
            </w:rPr>
            <w:t>Scotland</w:t>
          </w:r>
        </w:smartTag>
      </w:smartTag>
      <w:r>
        <w:rPr>
          <w:rFonts w:cs="Arial"/>
        </w:rPr>
        <w:t xml:space="preserve">) Act 2001 ('the Act'), its associated regulations and the National Care Standards, by the Scottish Commission for the Regulation of Care ('the Care Commission'). </w:t>
      </w:r>
    </w:p>
    <w:p w:rsidR="0097317F" w:rsidRDefault="0097317F" w:rsidP="0097317F">
      <w:pPr>
        <w:rPr>
          <w:rFonts w:cs="Arial"/>
        </w:rPr>
      </w:pPr>
      <w:r>
        <w:rPr>
          <w:rFonts w:cs="Arial"/>
        </w:rPr>
        <w:t xml:space="preserve">The Care Commission's regulatory responsibilities include registering services defined in the Act, inspecting these services, taking enforcement action where good quality care is not provided, and dealing with complaints.   </w:t>
      </w:r>
    </w:p>
    <w:p w:rsidR="0097317F" w:rsidRDefault="0097317F" w:rsidP="0097317F">
      <w:pPr>
        <w:rPr>
          <w:rFonts w:cs="Arial"/>
        </w:rPr>
      </w:pPr>
      <w:r>
        <w:rPr>
          <w:rFonts w:cs="Arial"/>
        </w:rPr>
        <w:t xml:space="preserve">Information about what the Care Commission does and how it does it can be found in their website, at </w:t>
      </w:r>
      <w:r>
        <w:rPr>
          <w:rFonts w:cs="Arial"/>
          <w:u w:val="single"/>
        </w:rPr>
        <w:t>www.carecommission.com</w:t>
      </w:r>
      <w:r>
        <w:rPr>
          <w:rFonts w:cs="Arial"/>
        </w:rPr>
        <w:t>.</w:t>
      </w:r>
    </w:p>
    <w:p w:rsidR="0097317F" w:rsidRDefault="0097317F" w:rsidP="0097317F">
      <w:pPr>
        <w:rPr>
          <w:rFonts w:cs="Arial"/>
        </w:rPr>
      </w:pPr>
      <w:r>
        <w:rPr>
          <w:rFonts w:cs="Arial"/>
        </w:rPr>
        <w:t>Further information on how local authorities monitor contracts with care service providers can be obtained from the policy manager team leader of the Convention of Scottish Local Authorities (COSLA) Health and Social Care Team for information on contract monitoring.</w:t>
      </w:r>
    </w:p>
    <w:p w:rsidR="0097317F" w:rsidRDefault="0097317F" w:rsidP="00CF0287">
      <w:pPr>
        <w:pStyle w:val="Heading4"/>
      </w:pPr>
      <w:bookmarkStart w:id="243" w:name="_Toc247447289"/>
      <w:bookmarkStart w:id="244" w:name="_Toc255836024"/>
      <w:bookmarkStart w:id="245" w:name="_Toc267920973"/>
      <w:r>
        <w:t>2) How are state services monitored?</w:t>
      </w:r>
      <w:bookmarkEnd w:id="243"/>
      <w:bookmarkEnd w:id="244"/>
      <w:bookmarkEnd w:id="245"/>
    </w:p>
    <w:p w:rsidR="0097317F" w:rsidRDefault="0097317F" w:rsidP="0097317F">
      <w:pPr>
        <w:rPr>
          <w:rFonts w:cs="Arial"/>
        </w:rPr>
      </w:pPr>
      <w:r>
        <w:rPr>
          <w:rFonts w:cs="Arial"/>
        </w:rPr>
        <w:t xml:space="preserve">As above at 1.  </w:t>
      </w:r>
    </w:p>
    <w:p w:rsidR="0097317F" w:rsidRDefault="0097317F" w:rsidP="00CF0287">
      <w:pPr>
        <w:pStyle w:val="Heading4"/>
      </w:pPr>
      <w:bookmarkStart w:id="246" w:name="_Toc247447290"/>
      <w:bookmarkStart w:id="247" w:name="_Toc255836025"/>
      <w:bookmarkStart w:id="248" w:name="_Toc267920974"/>
      <w:r>
        <w:t>3) Are services licensed?</w:t>
      </w:r>
      <w:bookmarkEnd w:id="246"/>
      <w:bookmarkEnd w:id="247"/>
      <w:bookmarkEnd w:id="248"/>
    </w:p>
    <w:p w:rsidR="0097317F" w:rsidRDefault="0097317F" w:rsidP="0097317F">
      <w:pPr>
        <w:rPr>
          <w:rFonts w:cs="Arial"/>
        </w:rPr>
      </w:pPr>
      <w:r>
        <w:rPr>
          <w:rFonts w:cs="Arial"/>
        </w:rPr>
        <w:t>All care services must register with the Care Commission.</w:t>
      </w:r>
    </w:p>
    <w:p w:rsidR="0097317F" w:rsidRDefault="0097317F" w:rsidP="0097317F">
      <w:pPr>
        <w:rPr>
          <w:rFonts w:cs="Arial"/>
        </w:rPr>
      </w:pPr>
      <w:r>
        <w:rPr>
          <w:rFonts w:cs="Arial"/>
        </w:rPr>
        <w:t xml:space="preserve">Each pays an initial registration fee followed by a yearly continuation fee as long as they run. </w:t>
      </w:r>
    </w:p>
    <w:p w:rsidR="0097317F" w:rsidRDefault="0097317F" w:rsidP="0097317F">
      <w:pPr>
        <w:rPr>
          <w:rFonts w:cs="Arial"/>
        </w:rPr>
      </w:pPr>
      <w:r>
        <w:rPr>
          <w:rFonts w:cs="Arial"/>
        </w:rPr>
        <w:t xml:space="preserve">The maximum fees that the Care Commission can charge are set by Scottish Ministers. </w:t>
      </w:r>
    </w:p>
    <w:p w:rsidR="0097317F" w:rsidRDefault="0097317F" w:rsidP="0097317F">
      <w:pPr>
        <w:rPr>
          <w:rFonts w:cs="Arial"/>
        </w:rPr>
      </w:pPr>
      <w:r>
        <w:rPr>
          <w:rFonts w:cs="Arial"/>
        </w:rPr>
        <w:t xml:space="preserve">These fees cover the direct cost of regulating services except where the Scottish Government subsidises fees in order to support policy, for example: the policy on affordable childcare.  </w:t>
      </w:r>
    </w:p>
    <w:p w:rsidR="0097317F" w:rsidRDefault="0097317F" w:rsidP="0097317F">
      <w:pPr>
        <w:rPr>
          <w:rFonts w:cs="Arial"/>
        </w:rPr>
      </w:pPr>
      <w:r>
        <w:rPr>
          <w:rFonts w:cs="Arial"/>
        </w:rPr>
        <w:t xml:space="preserve">The process of registering and paying a yearly fee is regarded as a licence to operate.  </w:t>
      </w:r>
    </w:p>
    <w:p w:rsidR="0097317F" w:rsidRDefault="0097317F" w:rsidP="0097317F">
      <w:pPr>
        <w:rPr>
          <w:rFonts w:cs="Arial"/>
        </w:rPr>
      </w:pPr>
      <w:r>
        <w:rPr>
          <w:rFonts w:cs="Arial"/>
        </w:rPr>
        <w:t>It is an offence to operate a care service as defined in the Act without being registered with the Care Commission.</w:t>
      </w:r>
    </w:p>
    <w:p w:rsidR="0097317F" w:rsidRDefault="0097317F" w:rsidP="00CF0287">
      <w:pPr>
        <w:pStyle w:val="Heading4"/>
      </w:pPr>
      <w:bookmarkStart w:id="249" w:name="_Toc247447291"/>
      <w:bookmarkStart w:id="250" w:name="_Toc255836026"/>
      <w:bookmarkStart w:id="251" w:name="_Toc267920975"/>
      <w:r>
        <w:t>4) What regulations apply?</w:t>
      </w:r>
      <w:bookmarkEnd w:id="249"/>
      <w:bookmarkEnd w:id="250"/>
      <w:bookmarkEnd w:id="251"/>
    </w:p>
    <w:p w:rsidR="0097317F" w:rsidRDefault="0097317F" w:rsidP="0097317F">
      <w:pPr>
        <w:rPr>
          <w:rFonts w:cs="Arial"/>
        </w:rPr>
      </w:pPr>
      <w:r>
        <w:rPr>
          <w:rFonts w:cs="Arial"/>
        </w:rPr>
        <w:t xml:space="preserve">There are a number of regulations associated with the Act.  </w:t>
      </w:r>
    </w:p>
    <w:p w:rsidR="0097317F" w:rsidRDefault="0097317F" w:rsidP="0097317F">
      <w:pPr>
        <w:rPr>
          <w:rFonts w:cs="Arial"/>
        </w:rPr>
      </w:pPr>
      <w:r>
        <w:rPr>
          <w:rFonts w:cs="Arial"/>
        </w:rPr>
        <w:t>For example:</w:t>
      </w:r>
    </w:p>
    <w:p w:rsidR="0097317F" w:rsidRDefault="0097317F" w:rsidP="0097317F">
      <w:pPr>
        <w:rPr>
          <w:rFonts w:cs="Arial"/>
        </w:rPr>
      </w:pPr>
      <w:r>
        <w:rPr>
          <w:rFonts w:cs="Arial"/>
        </w:rPr>
        <w:t>The Regulation of Care (Requirements as to Care Services) (Scotland) Regulations 2002 as amended set out requirements on care services and include provisions relating to:</w:t>
      </w:r>
    </w:p>
    <w:p w:rsidR="0097317F" w:rsidRDefault="0097317F" w:rsidP="0097317F">
      <w:pPr>
        <w:pStyle w:val="ListBullet"/>
      </w:pPr>
      <w:r>
        <w:t xml:space="preserve">fitness requirements for providers, managers and employees, </w:t>
      </w:r>
    </w:p>
    <w:p w:rsidR="0097317F" w:rsidRDefault="0097317F" w:rsidP="0097317F">
      <w:pPr>
        <w:pStyle w:val="ListBullet"/>
      </w:pPr>
      <w:r>
        <w:t xml:space="preserve">staffing and </w:t>
      </w:r>
    </w:p>
    <w:p w:rsidR="0097317F" w:rsidRDefault="0097317F" w:rsidP="0097317F">
      <w:pPr>
        <w:pStyle w:val="ListBullet"/>
      </w:pPr>
      <w:r>
        <w:t>welfare of users.</w:t>
      </w:r>
    </w:p>
    <w:p w:rsidR="0097317F" w:rsidRDefault="0097317F" w:rsidP="0097317F">
      <w:pPr>
        <w:rPr>
          <w:rFonts w:cs="Arial"/>
        </w:rPr>
      </w:pPr>
      <w:r>
        <w:rPr>
          <w:rFonts w:cs="Arial"/>
        </w:rPr>
        <w:t xml:space="preserve">Further information about all the regulations can be found on the Scottish Government website for the Care Standards and Sponsorship Branch, at: </w:t>
      </w:r>
      <w:r>
        <w:rPr>
          <w:rFonts w:cs="Arial"/>
          <w:u w:val="single"/>
        </w:rPr>
        <w:t>http://www.scotland.gov.uk/Topics/Health/care/17652</w:t>
      </w:r>
      <w:r>
        <w:rPr>
          <w:rFonts w:cs="Arial"/>
        </w:rPr>
        <w:t xml:space="preserve"> . </w:t>
      </w:r>
    </w:p>
    <w:p w:rsidR="0097317F" w:rsidRDefault="0097317F" w:rsidP="00CF0287">
      <w:pPr>
        <w:pStyle w:val="Heading4"/>
      </w:pPr>
      <w:bookmarkStart w:id="252" w:name="_Toc247447292"/>
      <w:bookmarkStart w:id="253" w:name="_Toc255836027"/>
      <w:bookmarkStart w:id="254" w:name="_Toc267920976"/>
      <w:r>
        <w:t>5) Are services inspected?</w:t>
      </w:r>
      <w:bookmarkEnd w:id="252"/>
      <w:bookmarkEnd w:id="253"/>
      <w:bookmarkEnd w:id="254"/>
    </w:p>
    <w:p w:rsidR="0097317F" w:rsidRDefault="0097317F" w:rsidP="0097317F">
      <w:pPr>
        <w:rPr>
          <w:rFonts w:cs="Arial"/>
        </w:rPr>
      </w:pPr>
      <w:r>
        <w:rPr>
          <w:rFonts w:cs="Arial"/>
        </w:rPr>
        <w:t>The Care Commission inspects to a</w:t>
      </w:r>
      <w:r>
        <w:rPr>
          <w:rFonts w:cs="Arial"/>
          <w:i/>
          <w:iCs/>
        </w:rPr>
        <w:t xml:space="preserve"> minimum</w:t>
      </w:r>
      <w:r>
        <w:rPr>
          <w:rFonts w:cs="Arial"/>
        </w:rPr>
        <w:t xml:space="preserve"> frequency set out in regulations.  </w:t>
      </w:r>
    </w:p>
    <w:p w:rsidR="0097317F" w:rsidRDefault="0097317F" w:rsidP="0097317F">
      <w:pPr>
        <w:rPr>
          <w:rFonts w:cs="Arial"/>
        </w:rPr>
      </w:pPr>
      <w:r>
        <w:rPr>
          <w:rFonts w:cs="Arial"/>
        </w:rPr>
        <w:t xml:space="preserve">For example: care homes are inspected a minimum of two times a year. </w:t>
      </w:r>
    </w:p>
    <w:p w:rsidR="0097317F" w:rsidRDefault="0097317F" w:rsidP="0097317F">
      <w:pPr>
        <w:rPr>
          <w:rFonts w:cs="Arial"/>
        </w:rPr>
      </w:pPr>
      <w:r>
        <w:rPr>
          <w:rFonts w:cs="Arial"/>
        </w:rPr>
        <w:t>The Care Commission sets the policy on inspection within that minimum frequency. Services may therefore be inspected in excess of the minimum.</w:t>
      </w:r>
    </w:p>
    <w:p w:rsidR="0097317F" w:rsidRDefault="0097317F" w:rsidP="0097317F">
      <w:pPr>
        <w:rPr>
          <w:rFonts w:cs="Arial"/>
        </w:rPr>
      </w:pPr>
      <w:r>
        <w:rPr>
          <w:rFonts w:cs="Arial"/>
        </w:rPr>
        <w:t>The relevant regulations, The Regulation of Care (</w:t>
      </w:r>
      <w:smartTag w:uri="urn:schemas-microsoft-com:office:smarttags" w:element="country-region">
        <w:smartTag w:uri="urn:schemas-microsoft-com:office:smarttags" w:element="place">
          <w:r>
            <w:rPr>
              <w:rFonts w:cs="Arial"/>
            </w:rPr>
            <w:t>Scotland</w:t>
          </w:r>
        </w:smartTag>
      </w:smartTag>
      <w:r>
        <w:rPr>
          <w:rFonts w:cs="Arial"/>
        </w:rPr>
        <w:t>) Act 2001 (Minimum Frequency of Inspection )</w:t>
      </w:r>
      <w:r w:rsidR="00F36880">
        <w:rPr>
          <w:rFonts w:cs="Arial"/>
        </w:rPr>
        <w:t xml:space="preserve"> </w:t>
      </w:r>
      <w:r>
        <w:rPr>
          <w:rFonts w:cs="Arial"/>
        </w:rPr>
        <w:t xml:space="preserve">Order 2007 and 2009, can be found at: </w:t>
      </w:r>
      <w:r>
        <w:rPr>
          <w:rFonts w:cs="Arial"/>
          <w:u w:val="single"/>
        </w:rPr>
        <w:t>http://www.scotland.gov.uk/Topics/Health/care/17652</w:t>
      </w:r>
      <w:r>
        <w:rPr>
          <w:rFonts w:cs="Arial"/>
        </w:rPr>
        <w:t xml:space="preserve">. </w:t>
      </w:r>
    </w:p>
    <w:p w:rsidR="0097317F" w:rsidRDefault="0097317F" w:rsidP="0097317F">
      <w:pPr>
        <w:rPr>
          <w:rFonts w:cs="Arial"/>
        </w:rPr>
      </w:pPr>
      <w:r>
        <w:rPr>
          <w:rFonts w:cs="Arial"/>
        </w:rPr>
        <w:t xml:space="preserve">The Care Commission has the power to go into registered services at any time in response to concerns about quality or complaints raised by people using care services, their family or carers, or anyone else.  </w:t>
      </w:r>
    </w:p>
    <w:p w:rsidR="0097317F" w:rsidRDefault="0097317F" w:rsidP="0097317F">
      <w:pPr>
        <w:rPr>
          <w:rFonts w:cs="Arial"/>
        </w:rPr>
      </w:pPr>
      <w:r>
        <w:rPr>
          <w:rFonts w:cs="Arial"/>
        </w:rPr>
        <w:t xml:space="preserve">The Care Commission introduced a grading system in April 2008. </w:t>
      </w:r>
    </w:p>
    <w:p w:rsidR="0097317F" w:rsidRDefault="0097317F" w:rsidP="0097317F">
      <w:pPr>
        <w:rPr>
          <w:rFonts w:cs="Arial"/>
        </w:rPr>
      </w:pPr>
      <w:r>
        <w:rPr>
          <w:rFonts w:cs="Arial"/>
        </w:rPr>
        <w:t>Services are graded across 4 quality themes (depending on what type of service they provide) as follows:</w:t>
      </w:r>
    </w:p>
    <w:p w:rsidR="0097317F" w:rsidRDefault="0097317F" w:rsidP="0097317F">
      <w:pPr>
        <w:pStyle w:val="ListBullet"/>
      </w:pPr>
      <w:r>
        <w:t>care and support</w:t>
      </w:r>
    </w:p>
    <w:p w:rsidR="0097317F" w:rsidRDefault="0097317F" w:rsidP="0097317F">
      <w:pPr>
        <w:pStyle w:val="ListBullet"/>
      </w:pPr>
      <w:r>
        <w:t>environment</w:t>
      </w:r>
    </w:p>
    <w:p w:rsidR="0097317F" w:rsidRDefault="0097317F" w:rsidP="0097317F">
      <w:pPr>
        <w:pStyle w:val="ListBullet"/>
      </w:pPr>
      <w:r>
        <w:t>staffing</w:t>
      </w:r>
    </w:p>
    <w:p w:rsidR="0097317F" w:rsidRDefault="0097317F" w:rsidP="0097317F">
      <w:pPr>
        <w:pStyle w:val="ListBullet"/>
      </w:pPr>
      <w:r>
        <w:t>management and leadership.</w:t>
      </w:r>
    </w:p>
    <w:p w:rsidR="0097317F" w:rsidRDefault="0097317F" w:rsidP="0097317F">
      <w:pPr>
        <w:rPr>
          <w:rFonts w:cs="Arial"/>
        </w:rPr>
      </w:pPr>
      <w:r>
        <w:rPr>
          <w:rFonts w:cs="Arial"/>
        </w:rPr>
        <w:t xml:space="preserve">Inspection reports and grading for services are published on the Care Commission website so that they are available to the public.  </w:t>
      </w:r>
    </w:p>
    <w:p w:rsidR="0097317F" w:rsidRDefault="0097317F" w:rsidP="0097317F">
      <w:pPr>
        <w:rPr>
          <w:rFonts w:cs="Arial"/>
        </w:rPr>
      </w:pPr>
      <w:r>
        <w:rPr>
          <w:rFonts w:cs="Arial"/>
        </w:rPr>
        <w:t xml:space="preserve">Further information about inspections, the Commission's policy on inspection frequency and the grading scheme can be obtained from the Care Commission.  </w:t>
      </w:r>
    </w:p>
    <w:p w:rsidR="0097317F" w:rsidRDefault="0097317F" w:rsidP="00CF0287">
      <w:pPr>
        <w:pStyle w:val="Heading4"/>
      </w:pPr>
      <w:bookmarkStart w:id="255" w:name="_Toc247447293"/>
      <w:bookmarkStart w:id="256" w:name="_Toc255836028"/>
      <w:bookmarkStart w:id="257" w:name="_Toc267920977"/>
      <w:r>
        <w:t>6) What standards exist to support such inspections?</w:t>
      </w:r>
      <w:bookmarkEnd w:id="255"/>
      <w:bookmarkEnd w:id="256"/>
      <w:bookmarkEnd w:id="257"/>
    </w:p>
    <w:p w:rsidR="0097317F" w:rsidRDefault="0097317F" w:rsidP="0097317F">
      <w:pPr>
        <w:rPr>
          <w:rFonts w:cs="Arial"/>
        </w:rPr>
      </w:pPr>
      <w:r>
        <w:rPr>
          <w:rFonts w:cs="Arial"/>
        </w:rPr>
        <w:t xml:space="preserve">The Act requires Scottish Ministers to prepare and publish National Care Standards which must be taken into account by the Care Commission in all its regulatory functions.  </w:t>
      </w:r>
    </w:p>
    <w:p w:rsidR="0097317F" w:rsidRDefault="0097317F" w:rsidP="0097317F">
      <w:pPr>
        <w:rPr>
          <w:rFonts w:cs="Arial"/>
        </w:rPr>
      </w:pPr>
      <w:r>
        <w:rPr>
          <w:rFonts w:cs="Arial"/>
        </w:rPr>
        <w:t xml:space="preserve">The National Care Standards are user and outcome focussed and set out what people using care services can expect from the provider and what to do if they are not getting good quality care that meets their needs. </w:t>
      </w:r>
    </w:p>
    <w:p w:rsidR="0097317F" w:rsidRDefault="0097317F" w:rsidP="0097317F">
      <w:pPr>
        <w:rPr>
          <w:rFonts w:cs="Arial"/>
        </w:rPr>
      </w:pPr>
      <w:r>
        <w:rPr>
          <w:rFonts w:cs="Arial"/>
        </w:rPr>
        <w:t xml:space="preserve">The Scottish Government is currently running an awareness campaign to promote the National Care Standards and their use, both for users and carers.  </w:t>
      </w:r>
    </w:p>
    <w:p w:rsidR="0097317F" w:rsidRDefault="0097317F" w:rsidP="0097317F">
      <w:pPr>
        <w:rPr>
          <w:rFonts w:cs="Arial"/>
        </w:rPr>
      </w:pPr>
      <w:r>
        <w:rPr>
          <w:rFonts w:cs="Arial"/>
        </w:rPr>
        <w:t xml:space="preserve">More information about the Standards can be found at </w:t>
      </w:r>
      <w:r>
        <w:rPr>
          <w:rFonts w:cs="Arial"/>
          <w:u w:val="single"/>
        </w:rPr>
        <w:t>http://www.infoscotland.com/nationalcarestandards/CCC_FirstPage.jsp</w:t>
      </w:r>
      <w:r>
        <w:rPr>
          <w:rFonts w:cs="Arial"/>
        </w:rPr>
        <w:t xml:space="preserve">.   </w:t>
      </w:r>
    </w:p>
    <w:p w:rsidR="0097317F" w:rsidRDefault="0097317F" w:rsidP="0097317F">
      <w:pPr>
        <w:rPr>
          <w:rFonts w:cs="Arial"/>
        </w:rPr>
      </w:pPr>
      <w:r>
        <w:rPr>
          <w:rFonts w:cs="Arial"/>
        </w:rPr>
        <w:t>You can also view any of the Standards which are of interest at this link.</w:t>
      </w:r>
    </w:p>
    <w:p w:rsidR="0097317F" w:rsidRDefault="0097317F" w:rsidP="00CF0287">
      <w:pPr>
        <w:pStyle w:val="Heading4"/>
      </w:pPr>
      <w:bookmarkStart w:id="258" w:name="_Toc247447294"/>
      <w:bookmarkStart w:id="259" w:name="_Toc255836029"/>
      <w:bookmarkStart w:id="260" w:name="_Toc267920978"/>
      <w:r>
        <w:t>7) Other developments of note</w:t>
      </w:r>
      <w:bookmarkEnd w:id="258"/>
      <w:bookmarkEnd w:id="259"/>
      <w:bookmarkEnd w:id="260"/>
    </w:p>
    <w:p w:rsidR="0097317F" w:rsidRDefault="0097317F" w:rsidP="0097317F">
      <w:pPr>
        <w:rPr>
          <w:rFonts w:cs="Arial"/>
        </w:rPr>
      </w:pPr>
      <w:r>
        <w:rPr>
          <w:rFonts w:cs="Arial"/>
        </w:rPr>
        <w:t>Scottish Ministers have announced that managers of 'care at home' services will be included in the scope of registration within the SSSC.</w:t>
      </w:r>
    </w:p>
    <w:p w:rsidR="006B2928" w:rsidRDefault="0097317F" w:rsidP="00F36880">
      <w:bookmarkStart w:id="261" w:name="_Toc255836030"/>
      <w:r>
        <w:t>Registration of managers of care at home services and housing services will commence in 2010, following a period of consultation.</w:t>
      </w:r>
      <w:bookmarkEnd w:id="15"/>
      <w:bookmarkEnd w:id="16"/>
      <w:bookmarkEnd w:id="29"/>
      <w:bookmarkEnd w:id="30"/>
      <w:bookmarkEnd w:id="65"/>
      <w:bookmarkEnd w:id="66"/>
      <w:bookmarkEnd w:id="67"/>
      <w:bookmarkEnd w:id="132"/>
      <w:bookmarkEnd w:id="133"/>
      <w:bookmarkEnd w:id="134"/>
      <w:bookmarkEnd w:id="149"/>
      <w:bookmarkEnd w:id="150"/>
      <w:bookmarkEnd w:id="151"/>
      <w:bookmarkEnd w:id="261"/>
    </w:p>
    <w:sectPr w:rsidR="006B2928" w:rsidSect="00C13CE0">
      <w:footerReference w:type="default" r:id="rId23"/>
      <w:pgSz w:w="11906" w:h="16838"/>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519" w:rsidRDefault="00AC1519">
      <w:r>
        <w:separator/>
      </w:r>
    </w:p>
  </w:endnote>
  <w:endnote w:type="continuationSeparator" w:id="0">
    <w:p w:rsidR="00AC1519" w:rsidRDefault="00AC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harlotte Sans">
    <w:panose1 w:val="00000000000000000000"/>
    <w:charset w:val="00"/>
    <w:family w:val="auto"/>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ill Sans">
    <w:altName w:val="Gill Sans M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5D" w:rsidRDefault="0085625D" w:rsidP="006B2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9C0">
      <w:rPr>
        <w:rStyle w:val="PageNumber"/>
        <w:noProof/>
      </w:rPr>
      <w:t>1</w:t>
    </w:r>
    <w:r>
      <w:rPr>
        <w:rStyle w:val="PageNumber"/>
      </w:rPr>
      <w:fldChar w:fldCharType="end"/>
    </w:r>
  </w:p>
  <w:p w:rsidR="0085625D" w:rsidRDefault="0085625D" w:rsidP="006B29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5D" w:rsidRDefault="0085625D" w:rsidP="006B2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DF3">
      <w:rPr>
        <w:rStyle w:val="PageNumber"/>
        <w:noProof/>
      </w:rPr>
      <w:t>2</w:t>
    </w:r>
    <w:r>
      <w:rPr>
        <w:rStyle w:val="PageNumber"/>
      </w:rPr>
      <w:fldChar w:fldCharType="end"/>
    </w:r>
  </w:p>
  <w:p w:rsidR="0085625D" w:rsidRDefault="0085625D" w:rsidP="006B29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5D" w:rsidRDefault="0085625D" w:rsidP="006B2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85625D" w:rsidRDefault="0085625D" w:rsidP="006B292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5D" w:rsidRDefault="0085625D" w:rsidP="006B2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9A4">
      <w:rPr>
        <w:rStyle w:val="PageNumber"/>
        <w:noProof/>
      </w:rPr>
      <w:t>11</w:t>
    </w:r>
    <w:r>
      <w:rPr>
        <w:rStyle w:val="PageNumber"/>
      </w:rPr>
      <w:fldChar w:fldCharType="end"/>
    </w:r>
  </w:p>
  <w:p w:rsidR="0085625D" w:rsidRDefault="0085625D" w:rsidP="006B292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5D" w:rsidRDefault="0085625D">
    <w:pPr>
      <w:pStyle w:val="Footer"/>
    </w:pPr>
    <w:r>
      <w:tab/>
    </w:r>
    <w:r>
      <w:tab/>
    </w:r>
    <w:r>
      <w:fldChar w:fldCharType="begin"/>
    </w:r>
    <w:r>
      <w:instrText xml:space="preserve"> PAGE  \* Arabic  \* MERGEFORMAT </w:instrText>
    </w:r>
    <w:r>
      <w:fldChar w:fldCharType="separate"/>
    </w:r>
    <w:r w:rsidR="008249A4">
      <w:rPr>
        <w:noProof/>
      </w:rPr>
      <w:t>42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5D" w:rsidRDefault="0085625D">
    <w:pPr>
      <w:pStyle w:val="Footer"/>
    </w:pPr>
    <w:r>
      <w:tab/>
    </w:r>
    <w:r>
      <w:tab/>
    </w:r>
    <w:r>
      <w:fldChar w:fldCharType="begin"/>
    </w:r>
    <w:r>
      <w:instrText xml:space="preserve"> PAGE  \* Arabic  \* MERGEFORMAT </w:instrText>
    </w:r>
    <w:r>
      <w:fldChar w:fldCharType="separate"/>
    </w:r>
    <w:r w:rsidR="008249A4">
      <w:rPr>
        <w:noProof/>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519" w:rsidRDefault="00AC1519">
      <w:r>
        <w:separator/>
      </w:r>
    </w:p>
  </w:footnote>
  <w:footnote w:type="continuationSeparator" w:id="0">
    <w:p w:rsidR="00AC1519" w:rsidRDefault="00AC1519">
      <w:r>
        <w:continuationSeparator/>
      </w:r>
    </w:p>
  </w:footnote>
  <w:footnote w:id="1">
    <w:p w:rsidR="0085625D" w:rsidRPr="00003BDB" w:rsidRDefault="0085625D">
      <w:pPr>
        <w:pStyle w:val="FootnoteText"/>
      </w:pPr>
      <w:r>
        <w:rPr>
          <w:rStyle w:val="FootnoteReference"/>
        </w:rPr>
        <w:footnoteRef/>
      </w:r>
      <w:r>
        <w:t xml:space="preserve"> </w:t>
      </w:r>
      <w:r w:rsidRPr="00003BDB">
        <w:t>Social Focus on Disability (2004) Scottish Government http://www.scotland.gov.uk/Publications/2004/08/19818/41699#1 accessed</w:t>
      </w:r>
      <w:r>
        <w:t xml:space="preserve"> </w:t>
      </w:r>
      <w:smartTag w:uri="urn:schemas-microsoft-com:office:smarttags" w:element="date">
        <w:smartTagPr>
          <w:attr w:name="Month" w:val="10"/>
          <w:attr w:name="Day" w:val="28"/>
          <w:attr w:name="Year" w:val="2010"/>
        </w:smartTagPr>
        <w:r>
          <w:t>28 October 2010</w:t>
        </w:r>
      </w:smartTag>
    </w:p>
  </w:footnote>
  <w:footnote w:id="2">
    <w:p w:rsidR="0085625D" w:rsidRPr="00EB771E" w:rsidRDefault="0085625D">
      <w:pPr>
        <w:pStyle w:val="FootnoteText"/>
      </w:pPr>
      <w:r>
        <w:rPr>
          <w:rStyle w:val="FootnoteReference"/>
        </w:rPr>
        <w:footnoteRef/>
      </w:r>
      <w:r>
        <w:t xml:space="preserve"> </w:t>
      </w:r>
      <w:r w:rsidRPr="00EB771E">
        <w:t xml:space="preserve">This </w:t>
      </w:r>
      <w:r>
        <w:t xml:space="preserve">prevalence rate </w:t>
      </w:r>
      <w:r w:rsidRPr="00EB771E">
        <w:t xml:space="preserve">is </w:t>
      </w:r>
      <w:r>
        <w:t xml:space="preserve">similar to the findings of  </w:t>
      </w:r>
      <w:smartTag w:uri="urn:schemas-microsoft-com:office:smarttags" w:element="country-region">
        <w:smartTag w:uri="urn:schemas-microsoft-com:office:smarttags" w:element="place">
          <w:r>
            <w:t>Ireland</w:t>
          </w:r>
        </w:smartTag>
      </w:smartTag>
      <w:r>
        <w:t xml:space="preserve">'s National Disability Survey when the false negatives are considered. </w:t>
      </w:r>
    </w:p>
  </w:footnote>
  <w:footnote w:id="3">
    <w:p w:rsidR="0085625D" w:rsidRDefault="0085625D">
      <w:pPr>
        <w:pStyle w:val="FootnoteText"/>
      </w:pPr>
      <w:r>
        <w:rPr>
          <w:rStyle w:val="FootnoteReference"/>
        </w:rPr>
        <w:footnoteRef/>
      </w:r>
      <w:r>
        <w:t xml:space="preserve"> </w:t>
      </w:r>
      <w:r w:rsidRPr="00212A47">
        <w:rPr>
          <w:rFonts w:cs="Arial"/>
        </w:rPr>
        <w:t>http://www.momentumscotland.org/web/News%20Centre/Factsheets/Physical%20Disability</w:t>
      </w:r>
    </w:p>
  </w:footnote>
  <w:footnote w:id="4">
    <w:p w:rsidR="0085625D" w:rsidRPr="002104F6" w:rsidRDefault="0085625D">
      <w:pPr>
        <w:pStyle w:val="FootnoteText"/>
      </w:pPr>
      <w:r>
        <w:rPr>
          <w:rStyle w:val="FootnoteReference"/>
        </w:rPr>
        <w:footnoteRef/>
      </w:r>
      <w:r>
        <w:t xml:space="preserve"> </w:t>
      </w:r>
      <w:r w:rsidRPr="00212A47">
        <w:t>Scottish Executive National Statistics Publication (2005) Statistics Release. Registered Blind and Partially Sighted Persons Scotland 2005. http://www.scotland.gov.uk/Publ</w:t>
      </w:r>
      <w:r>
        <w:t xml:space="preserve">ications/2005/09/3090610/06119 </w:t>
      </w:r>
    </w:p>
  </w:footnote>
  <w:footnote w:id="5">
    <w:p w:rsidR="0085625D" w:rsidRPr="002104F6" w:rsidRDefault="0085625D">
      <w:pPr>
        <w:pStyle w:val="FootnoteText"/>
      </w:pPr>
      <w:r>
        <w:rPr>
          <w:rStyle w:val="FootnoteReference"/>
        </w:rPr>
        <w:footnoteRef/>
      </w:r>
      <w:r>
        <w:t xml:space="preserve"> </w:t>
      </w:r>
      <w:r w:rsidRPr="002104F6">
        <w:t>ibid</w:t>
      </w:r>
    </w:p>
  </w:footnote>
  <w:footnote w:id="6">
    <w:p w:rsidR="0085625D" w:rsidRPr="002104F6" w:rsidRDefault="0085625D">
      <w:pPr>
        <w:pStyle w:val="FootnoteText"/>
      </w:pPr>
      <w:r>
        <w:rPr>
          <w:rStyle w:val="FootnoteReference"/>
        </w:rPr>
        <w:footnoteRef/>
      </w:r>
      <w:r>
        <w:t xml:space="preserve"> </w:t>
      </w:r>
      <w:r w:rsidRPr="002104F6">
        <w:t>Statistics Release:</w:t>
      </w:r>
      <w:r>
        <w:t>(2008)</w:t>
      </w:r>
      <w:r w:rsidRPr="002104F6">
        <w:t xml:space="preserve"> Adults with Learning Disabilities Implementation of 'The same as you?' Scotland 2008 http://www.scld.org.uk/scld-projects</w:t>
      </w:r>
      <w:r>
        <w:t>/esay.xhtml</w:t>
      </w:r>
    </w:p>
  </w:footnote>
  <w:footnote w:id="7">
    <w:p w:rsidR="0085625D" w:rsidRPr="00204056" w:rsidRDefault="0085625D" w:rsidP="0095545E">
      <w:pPr>
        <w:pStyle w:val="NormalWeb"/>
        <w:rPr>
          <w:rFonts w:ascii="Arial" w:hAnsi="Arial" w:cs="Arial"/>
          <w:sz w:val="20"/>
          <w:szCs w:val="20"/>
          <w:lang w:val="en-GB"/>
        </w:rPr>
      </w:pPr>
      <w:r>
        <w:rPr>
          <w:rStyle w:val="FootnoteReference"/>
        </w:rPr>
        <w:footnoteRef/>
      </w:r>
      <w:r>
        <w:t xml:space="preserve"> </w:t>
      </w:r>
      <w:r w:rsidRPr="00204056">
        <w:rPr>
          <w:rFonts w:ascii="Arial" w:hAnsi="Arial" w:cs="Arial"/>
          <w:sz w:val="20"/>
          <w:szCs w:val="20"/>
          <w:lang w:val="en-US" w:bidi="en-US"/>
        </w:rPr>
        <w:t>Scottish Executive (2006c) High level summary of Statistics</w:t>
      </w:r>
      <w:r>
        <w:rPr>
          <w:rFonts w:ascii="Arial" w:hAnsi="Arial" w:cs="Arial"/>
          <w:sz w:val="20"/>
          <w:szCs w:val="20"/>
          <w:lang w:val="en-US" w:bidi="en-US"/>
        </w:rPr>
        <w:t>.</w:t>
      </w:r>
      <w:r w:rsidRPr="00204056">
        <w:rPr>
          <w:rFonts w:ascii="Arial" w:hAnsi="Arial" w:cs="Arial"/>
          <w:sz w:val="20"/>
          <w:szCs w:val="20"/>
          <w:lang w:val="en-US" w:bidi="en-US"/>
        </w:rPr>
        <w:t xml:space="preserve"> According to the Scottish Executive report "</w:t>
      </w:r>
      <w:r w:rsidRPr="00204056">
        <w:rPr>
          <w:rFonts w:ascii="Arial" w:hAnsi="Arial" w:cs="Arial"/>
          <w:sz w:val="20"/>
          <w:szCs w:val="20"/>
          <w:lang w:val="en-GB"/>
        </w:rPr>
        <w:t xml:space="preserve">Psychosocial health is measured in the Scottish Health Survey by the General Health Questionnaire ( </w:t>
      </w:r>
      <w:r w:rsidRPr="00204056">
        <w:rPr>
          <w:rStyle w:val="HTMLAcronym"/>
          <w:rFonts w:ascii="Arial" w:hAnsi="Arial" w:cs="Arial"/>
          <w:sz w:val="20"/>
          <w:szCs w:val="20"/>
          <w:lang w:val="en-GB"/>
        </w:rPr>
        <w:t>GHQ</w:t>
      </w:r>
      <w:r w:rsidRPr="00204056">
        <w:rPr>
          <w:rFonts w:ascii="Arial" w:hAnsi="Arial" w:cs="Arial"/>
          <w:sz w:val="20"/>
          <w:szCs w:val="20"/>
          <w:lang w:val="en-GB"/>
        </w:rPr>
        <w:t xml:space="preserve">12). This is a widely used standard measure of mental distress and psychological ill-health. Overall scores ranged between 0 and 12. A score of four or more indicates the presence of a possible psychiatric disorder, whilst a score of zero could, in contrast, be considered to be an indicator of psychological well-being. The proportion of men with high </w:t>
      </w:r>
      <w:r w:rsidRPr="00204056">
        <w:rPr>
          <w:rStyle w:val="HTMLAcronym"/>
          <w:rFonts w:ascii="Arial" w:hAnsi="Arial" w:cs="Arial"/>
          <w:sz w:val="20"/>
          <w:szCs w:val="20"/>
          <w:lang w:val="en-GB"/>
        </w:rPr>
        <w:t>GHQ</w:t>
      </w:r>
      <w:r w:rsidRPr="00204056">
        <w:rPr>
          <w:rFonts w:ascii="Arial" w:hAnsi="Arial" w:cs="Arial"/>
          <w:sz w:val="20"/>
          <w:szCs w:val="20"/>
          <w:lang w:val="en-GB"/>
        </w:rPr>
        <w:t>12 scores (4+) has remained constant over time at 13%, while it declined slightly for women, from 19% in 1995 and 1998 to 17% in 2003. However, there is a marked increase in the numbers with zero scores, for males this increased from 60% in 1995 to 68% in 2003 and for females this increased from 55% in 1995 to 61% in 2003."</w:t>
      </w:r>
    </w:p>
    <w:p w:rsidR="0085625D" w:rsidRDefault="0085625D">
      <w:pPr>
        <w:pStyle w:val="FootnoteText"/>
      </w:pPr>
    </w:p>
  </w:footnote>
  <w:footnote w:id="8">
    <w:p w:rsidR="0085625D" w:rsidRPr="00687807" w:rsidRDefault="0085625D" w:rsidP="00E92649">
      <w:pPr>
        <w:pStyle w:val="FootnoteText"/>
      </w:pPr>
      <w:r>
        <w:rPr>
          <w:rStyle w:val="FootnoteReference"/>
        </w:rPr>
        <w:footnoteRef/>
      </w:r>
      <w:r>
        <w:t xml:space="preserve"> </w:t>
      </w:r>
      <w:r w:rsidRPr="00687807">
        <w:t xml:space="preserve">See </w:t>
      </w:r>
      <w:r>
        <w:t xml:space="preserve">Appendix for further details </w:t>
      </w:r>
    </w:p>
  </w:footnote>
  <w:footnote w:id="9">
    <w:p w:rsidR="0085625D" w:rsidRPr="0000415D" w:rsidRDefault="0085625D">
      <w:pPr>
        <w:pStyle w:val="FootnoteText"/>
      </w:pPr>
      <w:r>
        <w:rPr>
          <w:rStyle w:val="FootnoteReference"/>
        </w:rPr>
        <w:footnoteRef/>
      </w:r>
      <w:r>
        <w:t xml:space="preserve"> </w:t>
      </w:r>
      <w:r w:rsidRPr="001E07DB">
        <w:t>COSLA, the Convention of Scottish Local Authorities, is the representative voice of Scottish local government and also acts as the employers’ association on behalf of all Scottish councils.</w:t>
      </w:r>
      <w:r w:rsidRPr="0000415D">
        <w:t xml:space="preserve"> http://www.cosla.gov.uk/index.asp?leftId=10001DE74-10766726</w:t>
      </w:r>
    </w:p>
  </w:footnote>
  <w:footnote w:id="10">
    <w:p w:rsidR="0085625D" w:rsidRPr="00592EBA" w:rsidRDefault="0085625D" w:rsidP="00E92649">
      <w:pPr>
        <w:pStyle w:val="FootnoteText"/>
      </w:pPr>
      <w:r>
        <w:rPr>
          <w:rStyle w:val="FootnoteReference"/>
        </w:rPr>
        <w:footnoteRef/>
      </w:r>
      <w:r w:rsidRPr="00592EBA">
        <w:t>http://www.adviceguide.org.uk/scotland/your_rights/civil_rights_scotland/local_government_services_scotland.htm#Local_authority_services</w:t>
      </w:r>
    </w:p>
  </w:footnote>
  <w:footnote w:id="11">
    <w:p w:rsidR="0085625D" w:rsidRPr="00212A47" w:rsidRDefault="0085625D" w:rsidP="00E92649">
      <w:pPr>
        <w:pStyle w:val="FootnoteText"/>
        <w:rPr>
          <w:rStyle w:val="FootnoteReference"/>
          <w:vertAlign w:val="baseline"/>
        </w:rPr>
      </w:pPr>
      <w:r w:rsidRPr="00212A47">
        <w:rPr>
          <w:rStyle w:val="FootnoteReference"/>
          <w:rFonts w:cs="Arial"/>
          <w:lang w:eastAsia="en-IE"/>
        </w:rPr>
        <w:footnoteRef/>
      </w:r>
      <w:r w:rsidRPr="00212A47">
        <w:t xml:space="preserve"> </w:t>
      </w:r>
      <w:r w:rsidRPr="00236866">
        <w:rPr>
          <w:rStyle w:val="FootnoteReference"/>
          <w:rFonts w:cs="Arial"/>
          <w:vertAlign w:val="baseline"/>
        </w:rPr>
        <w:t>NHS Scotland website http://www.show.scot.nhs.uk/introduction.aspx</w:t>
      </w:r>
    </w:p>
  </w:footnote>
  <w:footnote w:id="12">
    <w:p w:rsidR="0085625D" w:rsidRPr="00212A47" w:rsidRDefault="0085625D" w:rsidP="00E92649">
      <w:pPr>
        <w:pStyle w:val="FootnoteText"/>
      </w:pPr>
      <w:r w:rsidRPr="00212A47">
        <w:rPr>
          <w:rStyle w:val="FootnoteReference"/>
          <w:vertAlign w:val="baseline"/>
        </w:rPr>
        <w:footnoteRef/>
      </w:r>
      <w:r>
        <w:t xml:space="preserve"> </w:t>
      </w:r>
      <w:r w:rsidRPr="00212A47">
        <w:t>Public sector, ICT, e-government news &amp; jobs website http://www.publictechnology.net/modules.php?op=modlo</w:t>
      </w:r>
      <w:r>
        <w:t>ad&amp;name=News&amp;file=article&amp;sid=84</w:t>
      </w:r>
      <w:r w:rsidRPr="00212A47">
        <w:t>4</w:t>
      </w:r>
    </w:p>
  </w:footnote>
  <w:footnote w:id="13">
    <w:p w:rsidR="0085625D" w:rsidRPr="00212A47" w:rsidRDefault="0085625D" w:rsidP="00E92649">
      <w:pPr>
        <w:pStyle w:val="FootnoteText"/>
      </w:pPr>
      <w:r w:rsidRPr="00212A47">
        <w:rPr>
          <w:rStyle w:val="FootnoteReference"/>
        </w:rPr>
        <w:footnoteRef/>
      </w:r>
      <w:r w:rsidRPr="00212A47">
        <w:t xml:space="preserve"> Community Health Partnerships. http://www.sehd.scot.nhs.uk/chp/</w:t>
      </w:r>
    </w:p>
  </w:footnote>
  <w:footnote w:id="14">
    <w:p w:rsidR="0085625D" w:rsidRDefault="0085625D" w:rsidP="00E92649">
      <w:pPr>
        <w:spacing w:after="60" w:line="240" w:lineRule="auto"/>
        <w:rPr>
          <w:rFonts w:cs="Arial"/>
          <w:sz w:val="20"/>
          <w:szCs w:val="20"/>
          <w:lang w:val="en-US"/>
        </w:rPr>
      </w:pPr>
      <w:r>
        <w:rPr>
          <w:rStyle w:val="FootnoteReference"/>
        </w:rPr>
        <w:footnoteRef/>
      </w:r>
      <w:r>
        <w:t xml:space="preserve"> </w:t>
      </w:r>
      <w:r>
        <w:rPr>
          <w:rFonts w:cs="Arial"/>
          <w:sz w:val="20"/>
          <w:szCs w:val="20"/>
        </w:rPr>
        <w:t xml:space="preserve">Goodwin et al; (2008) Country Case study </w:t>
      </w:r>
      <w:smartTag w:uri="urn:schemas-microsoft-com:office:smarttags" w:element="country-region">
        <w:smartTag w:uri="urn:schemas-microsoft-com:office:smarttags" w:element="place">
          <w:r>
            <w:rPr>
              <w:rFonts w:cs="Arial"/>
              <w:sz w:val="20"/>
              <w:szCs w:val="20"/>
            </w:rPr>
            <w:t>UK</w:t>
          </w:r>
        </w:smartTag>
      </w:smartTag>
      <w:r>
        <w:rPr>
          <w:rFonts w:cs="Arial"/>
          <w:sz w:val="20"/>
          <w:szCs w:val="20"/>
        </w:rPr>
        <w:t xml:space="preserve">. Primary Care in </w:t>
      </w:r>
      <w:smartTag w:uri="urn:schemas-microsoft-com:office:smarttags" w:element="country-region">
        <w:smartTag w:uri="urn:schemas-microsoft-com:office:smarttags" w:element="place">
          <w:r>
            <w:rPr>
              <w:rFonts w:cs="Arial"/>
              <w:sz w:val="20"/>
              <w:szCs w:val="20"/>
            </w:rPr>
            <w:t>England</w:t>
          </w:r>
        </w:smartTag>
      </w:smartTag>
      <w:r>
        <w:rPr>
          <w:rFonts w:cs="Arial"/>
          <w:sz w:val="20"/>
          <w:szCs w:val="20"/>
        </w:rPr>
        <w:t xml:space="preserve"> and </w:t>
      </w:r>
      <w:smartTag w:uri="urn:schemas-microsoft-com:office:smarttags" w:element="country-region">
        <w:smartTag w:uri="urn:schemas-microsoft-com:office:smarttags" w:element="place">
          <w:r>
            <w:rPr>
              <w:rFonts w:cs="Arial"/>
              <w:sz w:val="20"/>
              <w:szCs w:val="20"/>
            </w:rPr>
            <w:t>Scotland</w:t>
          </w:r>
        </w:smartTag>
      </w:smartTag>
      <w:r>
        <w:rPr>
          <w:rFonts w:cs="Arial"/>
          <w:sz w:val="20"/>
          <w:szCs w:val="20"/>
        </w:rPr>
        <w:t xml:space="preserve">. Paper presented at Conference on </w:t>
      </w:r>
      <w:r>
        <w:rPr>
          <w:rFonts w:cs="Arial"/>
          <w:sz w:val="20"/>
          <w:szCs w:val="20"/>
          <w:lang w:val="en-US"/>
        </w:rPr>
        <w:t xml:space="preserve">Improving primary care in </w:t>
      </w:r>
      <w:smartTag w:uri="urn:schemas-microsoft-com:office:smarttags" w:element="place">
        <w:r>
          <w:rPr>
            <w:rFonts w:cs="Arial"/>
            <w:sz w:val="20"/>
            <w:szCs w:val="20"/>
            <w:lang w:val="en-US"/>
          </w:rPr>
          <w:t>Europe</w:t>
        </w:r>
      </w:smartTag>
      <w:r>
        <w:rPr>
          <w:rFonts w:cs="Arial"/>
          <w:sz w:val="20"/>
          <w:szCs w:val="20"/>
          <w:lang w:val="en-US"/>
        </w:rPr>
        <w:t xml:space="preserve"> and the </w:t>
      </w:r>
      <w:smartTag w:uri="urn:schemas-microsoft-com:office:smarttags" w:element="country-region">
        <w:smartTag w:uri="urn:schemas-microsoft-com:office:smarttags" w:element="place">
          <w:r>
            <w:rPr>
              <w:rFonts w:cs="Arial"/>
              <w:sz w:val="20"/>
              <w:szCs w:val="20"/>
              <w:lang w:val="en-US"/>
            </w:rPr>
            <w:t>US</w:t>
          </w:r>
        </w:smartTag>
      </w:smartTag>
      <w:r>
        <w:rPr>
          <w:rFonts w:cs="Arial"/>
          <w:sz w:val="20"/>
          <w:szCs w:val="20"/>
          <w:lang w:val="en-US"/>
        </w:rPr>
        <w:t xml:space="preserve">: Towards patient-centered, proactive and coordinated systems of care, </w:t>
      </w:r>
      <w:smartTag w:uri="urn:schemas-microsoft-com:office:smarttags" w:element="country-region">
        <w:smartTag w:uri="urn:schemas-microsoft-com:office:smarttags" w:element="place">
          <w:r>
            <w:rPr>
              <w:rFonts w:cs="Arial"/>
              <w:sz w:val="20"/>
              <w:szCs w:val="20"/>
              <w:lang w:val="en-US"/>
            </w:rPr>
            <w:t>Italy</w:t>
          </w:r>
        </w:smartTag>
      </w:smartTag>
      <w:r>
        <w:rPr>
          <w:rFonts w:cs="Arial"/>
          <w:sz w:val="20"/>
          <w:szCs w:val="20"/>
          <w:lang w:val="en-US"/>
        </w:rPr>
        <w:t>.</w:t>
      </w:r>
    </w:p>
  </w:footnote>
  <w:footnote w:id="15">
    <w:p w:rsidR="0085625D" w:rsidRPr="00C2357E" w:rsidRDefault="0085625D" w:rsidP="00C2357E">
      <w:pPr>
        <w:spacing w:after="60" w:line="240" w:lineRule="auto"/>
        <w:rPr>
          <w:rFonts w:cs="Arial"/>
          <w:sz w:val="20"/>
          <w:szCs w:val="20"/>
          <w:lang w:val="en-US"/>
        </w:rPr>
      </w:pPr>
      <w:r>
        <w:rPr>
          <w:rStyle w:val="FootnoteReference"/>
          <w:rFonts w:cs="Arial"/>
        </w:rPr>
        <w:footnoteRef/>
      </w:r>
      <w:r w:rsidRPr="00C2357E">
        <w:rPr>
          <w:sz w:val="20"/>
          <w:szCs w:val="20"/>
        </w:rPr>
        <w:t xml:space="preserve">Goodwin et al; (2008) Country Case study </w:t>
      </w:r>
      <w:smartTag w:uri="urn:schemas-microsoft-com:office:smarttags" w:element="country-region">
        <w:smartTag w:uri="urn:schemas-microsoft-com:office:smarttags" w:element="place">
          <w:r w:rsidRPr="00C2357E">
            <w:rPr>
              <w:sz w:val="20"/>
              <w:szCs w:val="20"/>
            </w:rPr>
            <w:t>UK</w:t>
          </w:r>
        </w:smartTag>
      </w:smartTag>
      <w:r w:rsidRPr="00C2357E">
        <w:rPr>
          <w:sz w:val="20"/>
          <w:szCs w:val="20"/>
        </w:rPr>
        <w:t xml:space="preserve">. Primary Care in </w:t>
      </w:r>
      <w:smartTag w:uri="urn:schemas-microsoft-com:office:smarttags" w:element="country-region">
        <w:smartTag w:uri="urn:schemas-microsoft-com:office:smarttags" w:element="place">
          <w:r w:rsidRPr="00C2357E">
            <w:rPr>
              <w:sz w:val="20"/>
              <w:szCs w:val="20"/>
            </w:rPr>
            <w:t>England</w:t>
          </w:r>
        </w:smartTag>
      </w:smartTag>
      <w:r w:rsidRPr="00C2357E">
        <w:rPr>
          <w:sz w:val="20"/>
          <w:szCs w:val="20"/>
        </w:rPr>
        <w:t xml:space="preserve"> and </w:t>
      </w:r>
      <w:smartTag w:uri="urn:schemas-microsoft-com:office:smarttags" w:element="country-region">
        <w:smartTag w:uri="urn:schemas-microsoft-com:office:smarttags" w:element="place">
          <w:r w:rsidRPr="00C2357E">
            <w:rPr>
              <w:sz w:val="20"/>
              <w:szCs w:val="20"/>
            </w:rPr>
            <w:t>Scotland</w:t>
          </w:r>
        </w:smartTag>
      </w:smartTag>
      <w:r w:rsidRPr="00C2357E">
        <w:rPr>
          <w:sz w:val="20"/>
          <w:szCs w:val="20"/>
        </w:rPr>
        <w:t xml:space="preserve">. Paper presented at Conference on </w:t>
      </w:r>
      <w:r w:rsidRPr="00C2357E">
        <w:rPr>
          <w:sz w:val="20"/>
          <w:szCs w:val="20"/>
          <w:lang w:val="en-US"/>
        </w:rPr>
        <w:t xml:space="preserve">Improving primary care in </w:t>
      </w:r>
      <w:smartTag w:uri="urn:schemas-microsoft-com:office:smarttags" w:element="place">
        <w:r w:rsidRPr="00C2357E">
          <w:rPr>
            <w:sz w:val="20"/>
            <w:szCs w:val="20"/>
            <w:lang w:val="en-US"/>
          </w:rPr>
          <w:t>Europe</w:t>
        </w:r>
      </w:smartTag>
      <w:r w:rsidRPr="00C2357E">
        <w:rPr>
          <w:sz w:val="20"/>
          <w:szCs w:val="20"/>
          <w:lang w:val="en-US"/>
        </w:rPr>
        <w:t xml:space="preserve"> and the </w:t>
      </w:r>
      <w:smartTag w:uri="urn:schemas-microsoft-com:office:smarttags" w:element="country-region">
        <w:smartTag w:uri="urn:schemas-microsoft-com:office:smarttags" w:element="place">
          <w:r w:rsidRPr="00C2357E">
            <w:rPr>
              <w:sz w:val="20"/>
              <w:szCs w:val="20"/>
              <w:lang w:val="en-US"/>
            </w:rPr>
            <w:t>US</w:t>
          </w:r>
        </w:smartTag>
      </w:smartTag>
      <w:r w:rsidRPr="00C2357E">
        <w:rPr>
          <w:sz w:val="20"/>
          <w:szCs w:val="20"/>
          <w:lang w:val="en-US"/>
        </w:rPr>
        <w:t xml:space="preserve">: Towards patient-centered, proactive and coordinated systems of care, </w:t>
      </w:r>
      <w:smartTag w:uri="urn:schemas-microsoft-com:office:smarttags" w:element="country-region">
        <w:smartTag w:uri="urn:schemas-microsoft-com:office:smarttags" w:element="place">
          <w:r w:rsidRPr="00C2357E">
            <w:rPr>
              <w:sz w:val="20"/>
              <w:szCs w:val="20"/>
              <w:lang w:val="en-US"/>
            </w:rPr>
            <w:t>Italy</w:t>
          </w:r>
        </w:smartTag>
      </w:smartTag>
      <w:r w:rsidRPr="00C2357E">
        <w:rPr>
          <w:sz w:val="20"/>
          <w:szCs w:val="20"/>
          <w:lang w:val="en-US"/>
        </w:rPr>
        <w:t>.</w:t>
      </w:r>
    </w:p>
  </w:footnote>
  <w:footnote w:id="16">
    <w:p w:rsidR="0085625D" w:rsidRPr="000F5F06" w:rsidRDefault="0085625D" w:rsidP="00E92649">
      <w:pPr>
        <w:pStyle w:val="FootnoteText"/>
      </w:pPr>
      <w:r>
        <w:rPr>
          <w:rStyle w:val="FootnoteReference"/>
        </w:rPr>
        <w:footnoteRef/>
      </w:r>
      <w:r>
        <w:t xml:space="preserve"> </w:t>
      </w:r>
      <w:r w:rsidRPr="000F5F06">
        <w:t>ibid</w:t>
      </w:r>
    </w:p>
  </w:footnote>
  <w:footnote w:id="17">
    <w:p w:rsidR="0085625D" w:rsidRPr="00423DC1" w:rsidRDefault="0085625D">
      <w:pPr>
        <w:pStyle w:val="FootnoteText"/>
      </w:pPr>
      <w:r>
        <w:rPr>
          <w:rStyle w:val="FootnoteReference"/>
        </w:rPr>
        <w:footnoteRef/>
      </w:r>
      <w:r>
        <w:t xml:space="preserve"> Breakdown of CHP services</w:t>
      </w:r>
      <w:r w:rsidRPr="00423DC1">
        <w:t xml:space="preserve"> provided by </w:t>
      </w:r>
      <w:r>
        <w:t>key informant</w:t>
      </w:r>
    </w:p>
  </w:footnote>
  <w:footnote w:id="18">
    <w:p w:rsidR="0085625D" w:rsidRPr="001058C1" w:rsidRDefault="0085625D" w:rsidP="00376FFD">
      <w:pPr>
        <w:pStyle w:val="FootnoteText"/>
      </w:pPr>
      <w:r>
        <w:rPr>
          <w:rStyle w:val="FootnoteReference"/>
        </w:rPr>
        <w:footnoteRef/>
      </w:r>
      <w:r>
        <w:t xml:space="preserve"> </w:t>
      </w:r>
      <w:r w:rsidRPr="0041156B">
        <w:t>Scottish government Spending Review (2007)</w:t>
      </w:r>
      <w:r>
        <w:t xml:space="preserve"> </w:t>
      </w:r>
      <w:r w:rsidRPr="001058C1">
        <w:t>http://www.scotland.gov.uk/Publications/2007/11/13092240/9</w:t>
      </w:r>
    </w:p>
  </w:footnote>
  <w:footnote w:id="19">
    <w:p w:rsidR="0085625D" w:rsidRDefault="0085625D" w:rsidP="00376FFD">
      <w:pPr>
        <w:pStyle w:val="FootnoteText"/>
      </w:pPr>
      <w:r>
        <w:rPr>
          <w:rStyle w:val="FootnoteReference"/>
        </w:rPr>
        <w:footnoteRef/>
      </w:r>
      <w:r>
        <w:t xml:space="preserve"> </w:t>
      </w:r>
      <w:r w:rsidRPr="0041156B">
        <w:t>Improvement Services Website</w:t>
      </w:r>
      <w:r>
        <w:t xml:space="preserve"> </w:t>
      </w:r>
      <w:r w:rsidRPr="001058C1">
        <w:t>http://www.improvementservice.org.uk/single-outcome-agreements/</w:t>
      </w:r>
    </w:p>
  </w:footnote>
  <w:footnote w:id="20">
    <w:p w:rsidR="0085625D" w:rsidRPr="002A6514" w:rsidRDefault="0085625D">
      <w:pPr>
        <w:pStyle w:val="FootnoteText"/>
      </w:pPr>
      <w:r>
        <w:rPr>
          <w:rStyle w:val="FootnoteReference"/>
        </w:rPr>
        <w:footnoteRef/>
      </w:r>
      <w:r>
        <w:t xml:space="preserve"> </w:t>
      </w:r>
      <w:r w:rsidRPr="002A6514">
        <w:t>ibid</w:t>
      </w:r>
    </w:p>
  </w:footnote>
  <w:footnote w:id="21">
    <w:p w:rsidR="0085625D" w:rsidRPr="0041156B" w:rsidRDefault="0085625D" w:rsidP="00DB07CB">
      <w:pPr>
        <w:pStyle w:val="FootnoteText"/>
      </w:pPr>
      <w:r>
        <w:rPr>
          <w:rStyle w:val="FootnoteReference"/>
        </w:rPr>
        <w:footnoteRef/>
      </w:r>
      <w:r>
        <w:t xml:space="preserve"> Scottish government website : Community Planning section </w:t>
      </w:r>
      <w:r w:rsidRPr="0041156B">
        <w:t>http://www.scotland.gov.uk/Topics/Government/PublicServiceReform/community-planning</w:t>
      </w:r>
    </w:p>
  </w:footnote>
  <w:footnote w:id="22">
    <w:p w:rsidR="0085625D" w:rsidRPr="001058C1" w:rsidRDefault="0085625D" w:rsidP="002A6514">
      <w:pPr>
        <w:pStyle w:val="FootnoteText"/>
      </w:pPr>
      <w:r>
        <w:rPr>
          <w:rStyle w:val="FootnoteReference"/>
        </w:rPr>
        <w:footnoteRef/>
      </w:r>
      <w:r>
        <w:t xml:space="preserve"> </w:t>
      </w:r>
      <w:r w:rsidRPr="002C430F">
        <w:t>Improvement Services</w:t>
      </w:r>
      <w:r>
        <w:t xml:space="preserve"> </w:t>
      </w:r>
      <w:r w:rsidRPr="001058C1">
        <w:t>http://www.improvementservice.org.uk/single-outcome-agreements/</w:t>
      </w:r>
    </w:p>
  </w:footnote>
  <w:footnote w:id="23">
    <w:p w:rsidR="0085625D" w:rsidRDefault="0085625D" w:rsidP="000853D8">
      <w:pPr>
        <w:pStyle w:val="FootnoteText"/>
      </w:pPr>
      <w:r>
        <w:rPr>
          <w:rStyle w:val="FootnoteReference"/>
        </w:rPr>
        <w:footnoteRef/>
      </w:r>
      <w:r>
        <w:t xml:space="preserve"> </w:t>
      </w:r>
      <w:r w:rsidRPr="000F5F06">
        <w:t>Scottish government (2008) Disability Equality Scheme 2008-2011</w:t>
      </w:r>
    </w:p>
  </w:footnote>
  <w:footnote w:id="24">
    <w:p w:rsidR="0085625D" w:rsidRPr="0042524C" w:rsidRDefault="0085625D" w:rsidP="00BA7D05">
      <w:pPr>
        <w:pStyle w:val="FootnoteText"/>
      </w:pPr>
      <w:r w:rsidRPr="0042524C">
        <w:rPr>
          <w:rStyle w:val="FootnoteReference"/>
        </w:rPr>
        <w:footnoteRef/>
      </w:r>
      <w:r w:rsidRPr="0042524C">
        <w:t xml:space="preserve"> Scottish Government (2008) Reporting on Progress towards Equality of Opportunity between Disabled Persons and other persons made by Public Authorities in </w:t>
      </w:r>
      <w:smartTag w:uri="urn:schemas-microsoft-com:office:smarttags" w:element="country-region">
        <w:smartTag w:uri="urn:schemas-microsoft-com:office:smarttags" w:element="place">
          <w:r w:rsidRPr="0042524C">
            <w:t>Scotland</w:t>
          </w:r>
        </w:smartTag>
      </w:smartTag>
      <w:r w:rsidRPr="0042524C">
        <w:t>: The Scottish Minister’s Duties  Health and Well Being.</w:t>
      </w:r>
    </w:p>
  </w:footnote>
  <w:footnote w:id="25">
    <w:p w:rsidR="0085625D" w:rsidRPr="0042524C" w:rsidRDefault="0085625D" w:rsidP="00BA7D05">
      <w:pPr>
        <w:pStyle w:val="FootnoteText"/>
      </w:pPr>
      <w:r w:rsidRPr="0042524C">
        <w:rPr>
          <w:rStyle w:val="FootnoteReference"/>
        </w:rPr>
        <w:footnoteRef/>
      </w:r>
      <w:r w:rsidRPr="0042524C">
        <w:t xml:space="preserve"> ibid</w:t>
      </w:r>
    </w:p>
  </w:footnote>
  <w:footnote w:id="26">
    <w:p w:rsidR="0085625D" w:rsidRPr="00216C4B" w:rsidRDefault="0085625D" w:rsidP="00BA7D05">
      <w:pPr>
        <w:pStyle w:val="FootnoteText"/>
      </w:pPr>
      <w:r>
        <w:rPr>
          <w:rStyle w:val="FootnoteReference"/>
        </w:rPr>
        <w:footnoteRef/>
      </w:r>
      <w:r>
        <w:t xml:space="preserve"> Scottish G</w:t>
      </w:r>
      <w:r w:rsidRPr="00216C4B">
        <w:t>overnment (2008</w:t>
      </w:r>
      <w:r>
        <w:t>) Equally W</w:t>
      </w:r>
      <w:r w:rsidRPr="00216C4B">
        <w:t>ell</w:t>
      </w:r>
      <w:r>
        <w:t xml:space="preserve"> </w:t>
      </w:r>
      <w:r w:rsidRPr="00216C4B">
        <w:t>Implementation Plan</w:t>
      </w:r>
      <w:r>
        <w:t xml:space="preserve"> </w:t>
      </w:r>
      <w:r w:rsidRPr="00216C4B">
        <w:t>http://www.scotland.gov.uk</w:t>
      </w:r>
      <w:r>
        <w:t>/Publications/2008/12/10094101/5</w:t>
      </w:r>
    </w:p>
  </w:footnote>
  <w:footnote w:id="27">
    <w:p w:rsidR="0085625D" w:rsidRPr="00216C4B" w:rsidRDefault="0085625D" w:rsidP="00BA7D05">
      <w:pPr>
        <w:pStyle w:val="FootnoteText"/>
      </w:pPr>
      <w:r>
        <w:rPr>
          <w:rStyle w:val="FootnoteReference"/>
        </w:rPr>
        <w:footnoteRef/>
      </w:r>
      <w:r>
        <w:t xml:space="preserve"> </w:t>
      </w:r>
      <w:r w:rsidRPr="00B34181">
        <w:t>Employability Learning Network</w:t>
      </w:r>
      <w:r>
        <w:t xml:space="preserve"> </w:t>
      </w:r>
      <w:r w:rsidRPr="00216C4B">
        <w:t>http://www.employabilityinscotland.com/employabilitylearningnetwork_1.aspx</w:t>
      </w:r>
    </w:p>
  </w:footnote>
  <w:footnote w:id="28">
    <w:p w:rsidR="0085625D" w:rsidRPr="007C5A7B" w:rsidRDefault="0085625D" w:rsidP="007C5A7B">
      <w:pPr>
        <w:pStyle w:val="ListBullet"/>
        <w:numPr>
          <w:ilvl w:val="0"/>
          <w:numId w:val="0"/>
        </w:numPr>
        <w:rPr>
          <w:rStyle w:val="FootnoteTextChar"/>
          <w:sz w:val="20"/>
          <w:szCs w:val="20"/>
        </w:rPr>
      </w:pPr>
      <w:r>
        <w:rPr>
          <w:rStyle w:val="FootnoteReference"/>
        </w:rPr>
        <w:footnoteRef/>
      </w:r>
      <w:r>
        <w:t xml:space="preserve"> </w:t>
      </w:r>
      <w:r w:rsidRPr="007C5A7B">
        <w:rPr>
          <w:rStyle w:val="FootnoteTextChar"/>
          <w:sz w:val="20"/>
          <w:szCs w:val="20"/>
        </w:rPr>
        <w:t>The term learning disability as used in The Same as You? report is a broad term that includes autistic spectrum disorders but not people with dyslexia, or adults with acquired brain injuries. It is defined as a life long condition that reduced ability to understand new or complex information or to learn new skills, reduced ability to cope independently; a condition which started before adulthood (before the age of 18) with a lasting effect on the individual’s development. http://www.scotland.gov.uk/ldsr/docs/tsay-12.asp</w:t>
      </w:r>
    </w:p>
  </w:footnote>
  <w:footnote w:id="29">
    <w:p w:rsidR="0085625D" w:rsidRDefault="0085625D" w:rsidP="006B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rPr>
          <w:rFonts w:cs="Arial"/>
          <w:sz w:val="20"/>
          <w:szCs w:val="20"/>
        </w:rPr>
      </w:pPr>
      <w:r>
        <w:rPr>
          <w:rStyle w:val="FootnoteReference"/>
          <w:rFonts w:cs="Arial"/>
          <w:sz w:val="20"/>
          <w:szCs w:val="20"/>
        </w:rPr>
        <w:footnoteRef/>
      </w:r>
      <w:r>
        <w:rPr>
          <w:rFonts w:cs="Arial"/>
          <w:sz w:val="20"/>
          <w:szCs w:val="20"/>
        </w:rPr>
        <w:t xml:space="preserve"> </w:t>
      </w:r>
      <w:r>
        <w:rPr>
          <w:rFonts w:cs="Helvetica"/>
          <w:sz w:val="20"/>
          <w:lang w:val="en-US" w:bidi="en-US"/>
        </w:rPr>
        <w:t xml:space="preserve">Scottish Executive (2000b) The same as you? A review of services for people with learning disabilities http://www.scotland.gov.uk/ldsr/docs/tsay-00.asp </w:t>
      </w:r>
    </w:p>
  </w:footnote>
  <w:footnote w:id="30">
    <w:p w:rsidR="0085625D" w:rsidRPr="004A4EB9" w:rsidRDefault="0085625D" w:rsidP="004A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rPr>
          <w:rFonts w:cs="Arial"/>
          <w:sz w:val="20"/>
          <w:szCs w:val="20"/>
        </w:rPr>
      </w:pPr>
      <w:r>
        <w:rPr>
          <w:rStyle w:val="FootnoteReference"/>
        </w:rPr>
        <w:footnoteRef/>
      </w:r>
      <w:r>
        <w:t xml:space="preserve"> </w:t>
      </w:r>
      <w:r w:rsidRPr="004A4EB9">
        <w:rPr>
          <w:sz w:val="20"/>
          <w:szCs w:val="20"/>
        </w:rPr>
        <w:t xml:space="preserve">The 1913 Mental Deficiency Act led to setting up separate institutions/hospitals for people with learning disabilities in </w:t>
      </w:r>
      <w:smartTag w:uri="urn:schemas-microsoft-com:office:smarttags" w:element="country-region">
        <w:smartTag w:uri="urn:schemas-microsoft-com:office:smarttags" w:element="place">
          <w:r w:rsidRPr="004A4EB9">
            <w:rPr>
              <w:sz w:val="20"/>
              <w:szCs w:val="20"/>
            </w:rPr>
            <w:t>Scotland</w:t>
          </w:r>
        </w:smartTag>
      </w:smartTag>
      <w:r w:rsidRPr="004A4EB9">
        <w:rPr>
          <w:sz w:val="20"/>
          <w:szCs w:val="20"/>
        </w:rPr>
        <w:t>. The Home at Last? (2004) report notes that these "learning disability hospitals" were built and some accommodated over 1000 people and they "functioned as communities with their own education, work, leisure, he</w:t>
      </w:r>
      <w:r>
        <w:rPr>
          <w:sz w:val="20"/>
          <w:szCs w:val="20"/>
        </w:rPr>
        <w:t>alth and social care services."</w:t>
      </w:r>
      <w:r w:rsidRPr="004A4EB9">
        <w:rPr>
          <w:rFonts w:cs="Helvetica"/>
          <w:sz w:val="20"/>
          <w:lang w:val="en-US" w:bidi="en-US"/>
        </w:rPr>
        <w:t xml:space="preserve"> </w:t>
      </w:r>
      <w:r>
        <w:rPr>
          <w:rFonts w:cs="Helvetica"/>
          <w:sz w:val="20"/>
          <w:lang w:val="en-US" w:bidi="en-US"/>
        </w:rPr>
        <w:t xml:space="preserve">Scottish Executive (2004j) Home at last? The Same as you? National </w:t>
      </w:r>
      <w:r w:rsidRPr="004A4EB9">
        <w:rPr>
          <w:sz w:val="20"/>
          <w:szCs w:val="20"/>
          <w:lang w:val="en-US" w:bidi="en-US"/>
        </w:rPr>
        <w:t xml:space="preserve">Implementation Group Report of the short-life working group on Hospital Closure and Service </w:t>
      </w:r>
    </w:p>
  </w:footnote>
  <w:footnote w:id="31">
    <w:p w:rsidR="0085625D" w:rsidRPr="0071261C" w:rsidRDefault="0085625D">
      <w:pPr>
        <w:pStyle w:val="FootnoteText"/>
      </w:pPr>
      <w:r>
        <w:rPr>
          <w:rStyle w:val="FootnoteReference"/>
        </w:rPr>
        <w:footnoteRef/>
      </w:r>
      <w:r>
        <w:t xml:space="preserve"> </w:t>
      </w:r>
      <w:r w:rsidRPr="00CD2092">
        <w:t>Scottish government (2007)</w:t>
      </w:r>
      <w:r>
        <w:t xml:space="preserve"> </w:t>
      </w:r>
      <w:r w:rsidRPr="00212A47">
        <w:t>Statistics Release: Adults with Learning Disabilities Implementation of '</w:t>
      </w:r>
      <w:r>
        <w:t>The same as you?'</w:t>
      </w:r>
      <w:r w:rsidRPr="00212A47">
        <w:t xml:space="preserve"> available from http://www.scld.</w:t>
      </w:r>
      <w:r>
        <w:t>org.uk/scld-projects/esay.xhtml</w:t>
      </w:r>
    </w:p>
  </w:footnote>
  <w:footnote w:id="32">
    <w:p w:rsidR="0085625D" w:rsidRPr="007C5A7B" w:rsidRDefault="0085625D" w:rsidP="002104F6">
      <w:pPr>
        <w:pStyle w:val="FootnoteText"/>
      </w:pPr>
      <w:r>
        <w:rPr>
          <w:rStyle w:val="FootnoteReference"/>
        </w:rPr>
        <w:footnoteRef/>
      </w:r>
      <w:r>
        <w:t xml:space="preserve"> ibid</w:t>
      </w:r>
    </w:p>
  </w:footnote>
  <w:footnote w:id="33">
    <w:p w:rsidR="0085625D" w:rsidRPr="00345789" w:rsidRDefault="0085625D">
      <w:pPr>
        <w:pStyle w:val="FootnoteText"/>
      </w:pPr>
      <w:r>
        <w:rPr>
          <w:rStyle w:val="FootnoteReference"/>
        </w:rPr>
        <w:footnoteRef/>
      </w:r>
      <w:r>
        <w:t xml:space="preserve"> </w:t>
      </w:r>
      <w:r w:rsidRPr="00345789">
        <w:t>Part of the Department of Health and Wellbeing</w:t>
      </w:r>
      <w:r>
        <w:t xml:space="preserve"> </w:t>
      </w:r>
    </w:p>
  </w:footnote>
  <w:footnote w:id="34">
    <w:p w:rsidR="0085625D" w:rsidRPr="008B6DDA" w:rsidRDefault="0085625D">
      <w:pPr>
        <w:pStyle w:val="FootnoteText"/>
      </w:pPr>
      <w:r>
        <w:rPr>
          <w:rStyle w:val="FootnoteReference"/>
        </w:rPr>
        <w:footnoteRef/>
      </w:r>
      <w:r>
        <w:t xml:space="preserve"> </w:t>
      </w:r>
      <w:r w:rsidRPr="00F77C77">
        <w:t>http://www.scotland.gov.uk/News/Releases/2008/06/24132802</w:t>
      </w:r>
      <w:r w:rsidRPr="00F77C77" w:rsidDel="00F77C77">
        <w:t xml:space="preserve"> </w:t>
      </w:r>
    </w:p>
  </w:footnote>
  <w:footnote w:id="35">
    <w:p w:rsidR="0085625D" w:rsidRPr="00745B49" w:rsidRDefault="0085625D" w:rsidP="00345789">
      <w:pPr>
        <w:pStyle w:val="FootnoteText"/>
      </w:pPr>
      <w:r>
        <w:rPr>
          <w:rStyle w:val="FootnoteReference"/>
        </w:rPr>
        <w:footnoteRef/>
      </w:r>
      <w:r>
        <w:t xml:space="preserve"> </w:t>
      </w:r>
      <w:r w:rsidRPr="00193633">
        <w:t>Scottish government (</w:t>
      </w:r>
      <w:r>
        <w:t>2009</w:t>
      </w:r>
      <w:r w:rsidRPr="00193633">
        <w:t>)</w:t>
      </w:r>
      <w:r>
        <w:t xml:space="preserve"> </w:t>
      </w:r>
      <w:r w:rsidRPr="00E04D99">
        <w:t xml:space="preserve">Self Directed Support a  National Strategy for </w:t>
      </w:r>
      <w:smartTag w:uri="urn:schemas-microsoft-com:office:smarttags" w:element="country-region">
        <w:smartTag w:uri="urn:schemas-microsoft-com:office:smarttags" w:element="place">
          <w:r w:rsidRPr="00E04D99">
            <w:t>Scotland</w:t>
          </w:r>
        </w:smartTag>
      </w:smartTag>
      <w:r>
        <w:t xml:space="preserve"> </w:t>
      </w:r>
      <w:r w:rsidRPr="00E04D99">
        <w:t>http://www.scotland.gov.uk/Resource/Doc/301424/0094007.pdf</w:t>
      </w:r>
    </w:p>
  </w:footnote>
  <w:footnote w:id="36">
    <w:p w:rsidR="0085625D" w:rsidRPr="00372AC5" w:rsidRDefault="0085625D">
      <w:pPr>
        <w:pStyle w:val="FootnoteText"/>
      </w:pPr>
      <w:r>
        <w:rPr>
          <w:rStyle w:val="FootnoteReference"/>
        </w:rPr>
        <w:footnoteRef/>
      </w:r>
      <w:r>
        <w:t xml:space="preserve"> </w:t>
      </w:r>
      <w:r w:rsidRPr="00372AC5">
        <w:t>http://www.scotland.gov.uk/Resource/Doc/935/0093260.pdf</w:t>
      </w:r>
    </w:p>
  </w:footnote>
  <w:footnote w:id="37">
    <w:p w:rsidR="0085625D" w:rsidRPr="00662ED0" w:rsidRDefault="0085625D" w:rsidP="00B91B53">
      <w:pPr>
        <w:pStyle w:val="TableNote"/>
        <w:jc w:val="left"/>
        <w:rPr>
          <w:rStyle w:val="FootnoteTextChar"/>
        </w:rPr>
      </w:pPr>
      <w:r w:rsidRPr="00662ED0">
        <w:rPr>
          <w:rStyle w:val="FootnoteTextChar"/>
        </w:rPr>
        <w:footnoteRef/>
      </w:r>
      <w:r w:rsidRPr="00662ED0">
        <w:rPr>
          <w:rStyle w:val="FootnoteTextChar"/>
        </w:rPr>
        <w:t xml:space="preserve"> Scottish government (2008) Statistical Bulletin: Health Series: </w:t>
      </w:r>
      <w:smartTag w:uri="urn:schemas-microsoft-com:office:smarttags" w:element="place">
        <w:smartTag w:uri="urn:schemas-microsoft-com:office:smarttags" w:element="City">
          <w:r w:rsidRPr="00662ED0">
            <w:rPr>
              <w:rStyle w:val="FootnoteTextChar"/>
            </w:rPr>
            <w:t>Care Homes</w:t>
          </w:r>
        </w:smartTag>
        <w:r w:rsidRPr="00662ED0">
          <w:rPr>
            <w:rStyle w:val="FootnoteTextChar"/>
          </w:rPr>
          <w:t xml:space="preserve">, </w:t>
        </w:r>
        <w:smartTag w:uri="urn:schemas-microsoft-com:office:smarttags" w:element="country-region">
          <w:r w:rsidRPr="00662ED0">
            <w:rPr>
              <w:rStyle w:val="FootnoteTextChar"/>
            </w:rPr>
            <w:t>Scotland</w:t>
          </w:r>
        </w:smartTag>
      </w:smartTag>
      <w:r w:rsidRPr="00662ED0">
        <w:rPr>
          <w:rStyle w:val="FootnoteTextChar"/>
        </w:rPr>
        <w:t xml:space="preserve"> </w:t>
      </w:r>
    </w:p>
  </w:footnote>
  <w:footnote w:id="38">
    <w:p w:rsidR="0085625D" w:rsidRPr="00662ED0" w:rsidRDefault="0085625D" w:rsidP="00453CC6">
      <w:pPr>
        <w:pStyle w:val="TableNote"/>
        <w:jc w:val="left"/>
        <w:rPr>
          <w:rStyle w:val="FootnoteTextChar"/>
        </w:rPr>
      </w:pPr>
      <w:r w:rsidRPr="00662ED0">
        <w:rPr>
          <w:rStyle w:val="FootnoteTextChar"/>
        </w:rPr>
        <w:footnoteRef/>
      </w:r>
      <w:r w:rsidRPr="00662ED0">
        <w:rPr>
          <w:rStyle w:val="FootnoteTextChar"/>
        </w:rPr>
        <w:t xml:space="preserve"> Scottish government (2008) Statistical Bulletin: Health Series: </w:t>
      </w:r>
      <w:smartTag w:uri="urn:schemas-microsoft-com:office:smarttags" w:element="place">
        <w:smartTag w:uri="urn:schemas-microsoft-com:office:smarttags" w:element="City">
          <w:r w:rsidRPr="00662ED0">
            <w:rPr>
              <w:rStyle w:val="FootnoteTextChar"/>
            </w:rPr>
            <w:t>Care Homes</w:t>
          </w:r>
        </w:smartTag>
        <w:r w:rsidRPr="00662ED0">
          <w:rPr>
            <w:rStyle w:val="FootnoteTextChar"/>
          </w:rPr>
          <w:t xml:space="preserve">, </w:t>
        </w:r>
        <w:smartTag w:uri="urn:schemas-microsoft-com:office:smarttags" w:element="country-region">
          <w:r w:rsidRPr="00662ED0">
            <w:rPr>
              <w:rStyle w:val="FootnoteTextChar"/>
            </w:rPr>
            <w:t>Scotland</w:t>
          </w:r>
        </w:smartTag>
      </w:smartTag>
    </w:p>
  </w:footnote>
  <w:footnote w:id="39">
    <w:p w:rsidR="0085625D" w:rsidRDefault="0085625D" w:rsidP="00453CC6">
      <w:pPr>
        <w:pStyle w:val="FootnoteText"/>
      </w:pPr>
      <w:r>
        <w:rPr>
          <w:rStyle w:val="FootnoteReference"/>
        </w:rPr>
        <w:footnoteRef/>
      </w:r>
      <w:r>
        <w:t xml:space="preserve"> </w:t>
      </w:r>
      <w:r>
        <w:rPr>
          <w:rFonts w:cs="Helvetica"/>
          <w:lang w:val="en-US" w:bidi="en-US"/>
        </w:rPr>
        <w:t>Scottish Executive (2000b) The same as you? A review of services for people with learning disabilities http://www.scotland.gov.uk/ldsr/docs/tsay-00.asp</w:t>
      </w:r>
    </w:p>
  </w:footnote>
  <w:footnote w:id="40">
    <w:p w:rsidR="0085625D" w:rsidRPr="00CD2092" w:rsidRDefault="0085625D" w:rsidP="00453CC6">
      <w:pPr>
        <w:pStyle w:val="FootnoteText"/>
      </w:pPr>
      <w:r w:rsidRPr="00CD2092">
        <w:rPr>
          <w:rStyle w:val="FootnoteReference"/>
        </w:rPr>
        <w:footnoteRef/>
      </w:r>
      <w:r w:rsidRPr="00CD2092">
        <w:t xml:space="preserve"> NHS Quality Improvement </w:t>
      </w:r>
      <w:smartTag w:uri="urn:schemas-microsoft-com:office:smarttags" w:element="country-region">
        <w:smartTag w:uri="urn:schemas-microsoft-com:office:smarttags" w:element="place">
          <w:r w:rsidRPr="00CD2092">
            <w:t>Scotland</w:t>
          </w:r>
        </w:smartTag>
      </w:smartTag>
      <w:r w:rsidRPr="00CD2092">
        <w:t>(2006)</w:t>
      </w:r>
      <w:r>
        <w:t xml:space="preserve"> </w:t>
      </w:r>
      <w:r w:rsidRPr="00CD2092">
        <w:t>Nationa</w:t>
      </w:r>
      <w:r>
        <w:t>l Overview, February 2006 Learning Disability Services</w:t>
      </w:r>
      <w:r w:rsidRPr="008B6DDA">
        <w:t xml:space="preserve"> </w:t>
      </w:r>
    </w:p>
  </w:footnote>
  <w:footnote w:id="41">
    <w:p w:rsidR="0085625D" w:rsidRDefault="0085625D" w:rsidP="004D144A">
      <w:pPr>
        <w:pStyle w:val="FootnoteText"/>
      </w:pPr>
      <w:r>
        <w:rPr>
          <w:rStyle w:val="FootnoteReference"/>
        </w:rPr>
        <w:footnoteRef/>
      </w:r>
      <w:r>
        <w:t xml:space="preserve"> </w:t>
      </w:r>
      <w:r w:rsidRPr="000F5F06">
        <w:t>Scottish government (2008) Disability Equality Scheme 2008-2011</w:t>
      </w:r>
    </w:p>
    <w:p w:rsidR="0085625D" w:rsidRPr="00C90323" w:rsidRDefault="0085625D" w:rsidP="004D144A">
      <w:pPr>
        <w:pStyle w:val="FootnoteText"/>
      </w:pPr>
    </w:p>
  </w:footnote>
  <w:footnote w:id="42">
    <w:p w:rsidR="0085625D" w:rsidRDefault="0085625D" w:rsidP="00F77C77">
      <w:pPr>
        <w:pStyle w:val="FootnoteText"/>
        <w:spacing w:line="240" w:lineRule="atLeast"/>
      </w:pPr>
      <w:r>
        <w:rPr>
          <w:rStyle w:val="FootnoteReference"/>
        </w:rPr>
        <w:footnoteRef/>
      </w:r>
      <w:r>
        <w:t xml:space="preserve"> </w:t>
      </w:r>
      <w:r w:rsidRPr="00A07CBA">
        <w:rPr>
          <w:rFonts w:cs="Arial"/>
        </w:rPr>
        <w:t xml:space="preserve">Scottish Government (2009) </w:t>
      </w:r>
      <w:r w:rsidRPr="00A07CBA">
        <w:t xml:space="preserve">Housing </w:t>
      </w:r>
      <w:r w:rsidRPr="00A07CBA">
        <w:rPr>
          <w:rFonts w:cs="Arial"/>
        </w:rPr>
        <w:t>Statistics for Scotland 2009: Key Trends summary http://www.scotland.gov.uk/Publications/2009/08/26141508/1</w:t>
      </w:r>
    </w:p>
  </w:footnote>
  <w:footnote w:id="43">
    <w:p w:rsidR="0085625D" w:rsidRPr="00A07CBA" w:rsidRDefault="0085625D" w:rsidP="004D144A">
      <w:pPr>
        <w:pStyle w:val="FootnoteText"/>
        <w:rPr>
          <w:rFonts w:cs="Arial"/>
        </w:rPr>
      </w:pPr>
      <w:r>
        <w:rPr>
          <w:rStyle w:val="FootnoteReference"/>
        </w:rPr>
        <w:footnoteRef/>
      </w:r>
      <w:r w:rsidRPr="00A07CBA">
        <w:rPr>
          <w:rFonts w:cs="Arial"/>
        </w:rPr>
        <w:t>The Scottish Housing Regulator(2008) http://www.scottishhousingregulator.gov.uk/stellent/groups/public/documents/webpages/shr_homepage.hcsp</w:t>
      </w:r>
    </w:p>
  </w:footnote>
  <w:footnote w:id="44">
    <w:p w:rsidR="0085625D" w:rsidRPr="00212A47" w:rsidRDefault="0085625D" w:rsidP="004D144A">
      <w:pPr>
        <w:pStyle w:val="FootnoteText"/>
        <w:rPr>
          <w:rFonts w:cs="Arial"/>
        </w:rPr>
      </w:pPr>
      <w:r w:rsidRPr="0041360D">
        <w:rPr>
          <w:rFonts w:cs="Arial"/>
          <w:sz w:val="16"/>
          <w:szCs w:val="16"/>
        </w:rPr>
        <w:footnoteRef/>
      </w:r>
      <w:r>
        <w:rPr>
          <w:rFonts w:cs="Arial"/>
        </w:rPr>
        <w:t xml:space="preserve"> </w:t>
      </w:r>
      <w:r w:rsidRPr="00212A47">
        <w:rPr>
          <w:rFonts w:cs="Arial"/>
        </w:rPr>
        <w:t xml:space="preserve">The Statistics Release Adults with Learning Disabilities Implementation of 'Same as You?' Scotland 2007 (2008) is as a result of The Same as You? The aim of this report is to present the fifth set of national figures for services provided by local authorities in </w:t>
      </w:r>
      <w:smartTag w:uri="urn:schemas-microsoft-com:office:smarttags" w:element="country-region">
        <w:smartTag w:uri="urn:schemas-microsoft-com:office:smarttags" w:element="place">
          <w:r w:rsidRPr="00212A47">
            <w:rPr>
              <w:rFonts w:cs="Arial"/>
            </w:rPr>
            <w:t>Scotland</w:t>
          </w:r>
        </w:smartTag>
      </w:smartTag>
      <w:r w:rsidRPr="00212A47">
        <w:rPr>
          <w:rFonts w:cs="Arial"/>
        </w:rPr>
        <w:t xml:space="preserve"> for adults with learning disabilities. Please note the figures for 2007 are provisional and may be subject to change and the final figures published in future publications. Available from http://www.scotland.gov.uk/Publications/2008/03/20154612/0 </w:t>
      </w:r>
    </w:p>
  </w:footnote>
  <w:footnote w:id="45">
    <w:p w:rsidR="0085625D" w:rsidRPr="00400377" w:rsidRDefault="0085625D" w:rsidP="004D144A">
      <w:pPr>
        <w:autoSpaceDE w:val="0"/>
        <w:autoSpaceDN w:val="0"/>
        <w:adjustRightInd w:val="0"/>
        <w:spacing w:after="0" w:line="240" w:lineRule="auto"/>
        <w:rPr>
          <w:rFonts w:cs="Arial"/>
          <w:sz w:val="20"/>
          <w:szCs w:val="20"/>
          <w:lang w:eastAsia="en-IE"/>
        </w:rPr>
      </w:pPr>
      <w:r>
        <w:rPr>
          <w:rStyle w:val="FootnoteReference"/>
        </w:rPr>
        <w:footnoteRef/>
      </w:r>
      <w:r>
        <w:t xml:space="preserve"> </w:t>
      </w:r>
      <w:r w:rsidRPr="00FD2A25">
        <w:rPr>
          <w:sz w:val="20"/>
          <w:szCs w:val="20"/>
        </w:rPr>
        <w:t xml:space="preserve">Counsel + Care </w:t>
      </w:r>
      <w:r>
        <w:rPr>
          <w:sz w:val="20"/>
          <w:szCs w:val="20"/>
        </w:rPr>
        <w:t xml:space="preserve">guide. </w:t>
      </w:r>
      <w:r w:rsidRPr="00FD2A25">
        <w:rPr>
          <w:rFonts w:cs="Arial"/>
          <w:sz w:val="20"/>
          <w:szCs w:val="20"/>
          <w:lang w:eastAsia="en-IE"/>
        </w:rPr>
        <w:t>Assessment and services from</w:t>
      </w:r>
      <w:r>
        <w:rPr>
          <w:rFonts w:cs="Arial"/>
          <w:sz w:val="20"/>
          <w:szCs w:val="20"/>
          <w:lang w:eastAsia="en-IE"/>
        </w:rPr>
        <w:t xml:space="preserve"> </w:t>
      </w:r>
      <w:r w:rsidRPr="00400377">
        <w:rPr>
          <w:rFonts w:cs="Arial"/>
          <w:sz w:val="20"/>
          <w:szCs w:val="20"/>
          <w:lang w:eastAsia="en-IE"/>
        </w:rPr>
        <w:t xml:space="preserve">your local council in </w:t>
      </w:r>
      <w:smartTag w:uri="urn:schemas-microsoft-com:office:smarttags" w:element="country-region">
        <w:smartTag w:uri="urn:schemas-microsoft-com:office:smarttags" w:element="place">
          <w:r w:rsidRPr="00400377">
            <w:rPr>
              <w:rFonts w:cs="Arial"/>
              <w:sz w:val="20"/>
              <w:szCs w:val="20"/>
              <w:lang w:eastAsia="en-IE"/>
            </w:rPr>
            <w:t>Scotland</w:t>
          </w:r>
        </w:smartTag>
      </w:smartTag>
    </w:p>
    <w:p w:rsidR="0085625D" w:rsidRPr="00F11A7D" w:rsidRDefault="0085625D" w:rsidP="004D144A">
      <w:pPr>
        <w:pStyle w:val="FootnoteText"/>
      </w:pPr>
      <w:r w:rsidRPr="00F11A7D">
        <w:t>http://www.firststopcareadvice.org.uk/downloads/resources/2951.pdf</w:t>
      </w:r>
    </w:p>
  </w:footnote>
  <w:footnote w:id="46">
    <w:p w:rsidR="0085625D" w:rsidRPr="001C356A" w:rsidRDefault="0085625D" w:rsidP="004D1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lang w:eastAsia="en-IE"/>
        </w:rPr>
      </w:pPr>
      <w:r>
        <w:rPr>
          <w:rStyle w:val="FootnoteReference"/>
        </w:rPr>
        <w:footnoteRef/>
      </w:r>
      <w:r w:rsidRPr="001C356A">
        <w:rPr>
          <w:sz w:val="20"/>
          <w:szCs w:val="20"/>
        </w:rPr>
        <w:t>http://www.adviceguide.org.uk/scotland/your_money/benefits/benefits_for_people_who_are_sick_or_disabled.htm</w:t>
      </w:r>
    </w:p>
  </w:footnote>
  <w:footnote w:id="47">
    <w:p w:rsidR="0085625D" w:rsidRPr="00212A47" w:rsidRDefault="0085625D" w:rsidP="004D144A">
      <w:pPr>
        <w:pStyle w:val="FootnoteText"/>
      </w:pPr>
      <w:r w:rsidRPr="00212A47">
        <w:rPr>
          <w:rStyle w:val="FootnoteReference"/>
        </w:rPr>
        <w:footnoteRef/>
      </w:r>
      <w:r w:rsidRPr="00212A47">
        <w:t xml:space="preserve"> Learning Disability </w:t>
      </w:r>
      <w:smartTag w:uri="urn:schemas-microsoft-com:office:smarttags" w:element="City">
        <w:smartTag w:uri="urn:schemas-microsoft-com:office:smarttags" w:element="place">
          <w:r w:rsidRPr="00212A47">
            <w:t>Alliance</w:t>
          </w:r>
        </w:smartTag>
      </w:smartTag>
      <w:r w:rsidRPr="00212A47">
        <w:t xml:space="preserve"> </w:t>
      </w:r>
      <w:smartTag w:uri="urn:schemas-microsoft-com:office:smarttags" w:element="country-region">
        <w:smartTag w:uri="urn:schemas-microsoft-com:office:smarttags" w:element="place">
          <w:r w:rsidRPr="00212A47">
            <w:t>Scotland</w:t>
          </w:r>
        </w:smartTag>
      </w:smartTag>
      <w:r w:rsidRPr="00212A47">
        <w:t>. http://</w:t>
      </w:r>
      <w:r w:rsidRPr="00212A47">
        <w:rPr>
          <w:rFonts w:cs="Arial"/>
          <w:color w:val="000000"/>
          <w:lang w:eastAsia="en-IE"/>
        </w:rPr>
        <w:t xml:space="preserve">www.ldascotland.org  </w:t>
      </w:r>
    </w:p>
  </w:footnote>
  <w:footnote w:id="48">
    <w:p w:rsidR="0085625D" w:rsidRPr="001C356A" w:rsidRDefault="0085625D" w:rsidP="004D144A">
      <w:pPr>
        <w:pStyle w:val="FootnoteText"/>
      </w:pPr>
      <w:r>
        <w:rPr>
          <w:rStyle w:val="FootnoteReference"/>
        </w:rPr>
        <w:footnoteRef/>
      </w:r>
      <w:r>
        <w:t xml:space="preserve"> Report of the 21st Century Work Review </w:t>
      </w:r>
      <w:r w:rsidRPr="001C356A">
        <w:t>(2006)</w:t>
      </w:r>
      <w:r>
        <w:t xml:space="preserve"> Changing Lives</w:t>
      </w:r>
      <w:r w:rsidRPr="001C356A">
        <w:t xml:space="preserve"> http://scotland.gov.uk/Resource/Doc/91931/0021949.pdf</w:t>
      </w:r>
    </w:p>
  </w:footnote>
  <w:footnote w:id="49">
    <w:p w:rsidR="0085625D" w:rsidRPr="00E04D99" w:rsidRDefault="0085625D" w:rsidP="004D144A">
      <w:pPr>
        <w:pStyle w:val="FootnoteText"/>
      </w:pPr>
      <w:r>
        <w:rPr>
          <w:rStyle w:val="FootnoteReference"/>
        </w:rPr>
        <w:footnoteRef/>
      </w:r>
      <w:r>
        <w:t xml:space="preserve"> </w:t>
      </w:r>
      <w:r w:rsidRPr="00511D7C">
        <w:rPr>
          <w:lang w:eastAsia="en-IE"/>
        </w:rPr>
        <w:t xml:space="preserve">In the </w:t>
      </w:r>
      <w:smartTag w:uri="urn:schemas-microsoft-com:office:smarttags" w:element="country-region">
        <w:smartTag w:uri="urn:schemas-microsoft-com:office:smarttags" w:element="place">
          <w:r w:rsidRPr="00511D7C">
            <w:rPr>
              <w:lang w:eastAsia="en-IE"/>
            </w:rPr>
            <w:t>UK</w:t>
          </w:r>
        </w:smartTag>
      </w:smartTag>
      <w:r w:rsidRPr="00511D7C">
        <w:rPr>
          <w:lang w:eastAsia="en-IE"/>
        </w:rPr>
        <w:t>, the ADASS (Association of Directors of Adult Social Services) produced a report stating that self-assessment is not legal, and local authorities cannot legally contract out eligibility, resource allocation and support planning decisions.</w:t>
      </w:r>
      <w:r w:rsidRPr="00FC00C3">
        <w:rPr>
          <w:lang w:eastAsia="en-IE"/>
        </w:rPr>
        <w:t xml:space="preserve"> </w:t>
      </w:r>
      <w:r>
        <w:t>Scottish government (2009</w:t>
      </w:r>
      <w:r w:rsidRPr="00193633">
        <w:t>)</w:t>
      </w:r>
      <w:r>
        <w:t xml:space="preserve"> </w:t>
      </w:r>
      <w:r w:rsidRPr="00E04D99">
        <w:t xml:space="preserve">Self Directed Support a  National Strategy for </w:t>
      </w:r>
      <w:smartTag w:uri="urn:schemas-microsoft-com:office:smarttags" w:element="country-region">
        <w:smartTag w:uri="urn:schemas-microsoft-com:office:smarttags" w:element="place">
          <w:r w:rsidRPr="00E04D99">
            <w:t>Scotland</w:t>
          </w:r>
        </w:smartTag>
      </w:smartTag>
      <w:r>
        <w:t xml:space="preserve"> </w:t>
      </w:r>
      <w:r w:rsidRPr="00E04D99">
        <w:t>http://www.scotland.gov.uk/Resource/Doc/301424/0094007.pdf</w:t>
      </w:r>
    </w:p>
  </w:footnote>
  <w:footnote w:id="50">
    <w:p w:rsidR="0085625D" w:rsidRPr="00B91B53" w:rsidRDefault="0085625D" w:rsidP="004D144A">
      <w:pPr>
        <w:pStyle w:val="FootnoteText"/>
      </w:pPr>
      <w:r>
        <w:rPr>
          <w:rStyle w:val="FootnoteReference"/>
        </w:rPr>
        <w:footnoteRef/>
      </w:r>
      <w:r>
        <w:t xml:space="preserve"> </w:t>
      </w:r>
      <w:r w:rsidRPr="00B91B53">
        <w:t xml:space="preserve">In Control </w:t>
      </w:r>
      <w:smartTag w:uri="urn:schemas-microsoft-com:office:smarttags" w:element="country-region">
        <w:smartTag w:uri="urn:schemas-microsoft-com:office:smarttags" w:element="place">
          <w:r w:rsidRPr="00B91B53">
            <w:t>Scotland</w:t>
          </w:r>
        </w:smartTag>
      </w:smartTag>
      <w:r w:rsidRPr="00B91B53">
        <w:t xml:space="preserve"> </w:t>
      </w:r>
      <w:r>
        <w:t>http://www.in-</w:t>
      </w:r>
      <w:r w:rsidRPr="00B91B53">
        <w:t>contr</w:t>
      </w:r>
      <w:r>
        <w:t>ol.org.uk/</w:t>
      </w:r>
    </w:p>
  </w:footnote>
  <w:footnote w:id="51">
    <w:p w:rsidR="0085625D" w:rsidRPr="008F1582" w:rsidRDefault="0085625D" w:rsidP="004D144A">
      <w:pPr>
        <w:pStyle w:val="FootnoteText"/>
      </w:pPr>
      <w:r>
        <w:rPr>
          <w:rStyle w:val="FootnoteReference"/>
        </w:rPr>
        <w:footnoteRef/>
      </w:r>
      <w:r>
        <w:t xml:space="preserve"> Scottish Government (2009</w:t>
      </w:r>
      <w:r w:rsidRPr="00193633">
        <w:t>)</w:t>
      </w:r>
      <w:r>
        <w:t xml:space="preserve"> </w:t>
      </w:r>
      <w:r w:rsidRPr="00E04D99">
        <w:t xml:space="preserve">Self Directed Support a National Strategy for </w:t>
      </w:r>
      <w:smartTag w:uri="urn:schemas-microsoft-com:office:smarttags" w:element="country-region">
        <w:smartTag w:uri="urn:schemas-microsoft-com:office:smarttags" w:element="place">
          <w:r w:rsidRPr="00E04D99">
            <w:t>Scotland</w:t>
          </w:r>
        </w:smartTag>
      </w:smartTag>
      <w:r>
        <w:t xml:space="preserve"> </w:t>
      </w:r>
      <w:r w:rsidRPr="00E04D99">
        <w:t>http://www.scotland.gov.uk/Resource/Doc/301424/0094007.pd</w:t>
      </w:r>
      <w:r>
        <w:t>f</w:t>
      </w:r>
    </w:p>
  </w:footnote>
  <w:footnote w:id="52">
    <w:p w:rsidR="0085625D" w:rsidRPr="00C7681B" w:rsidRDefault="0085625D" w:rsidP="004D144A">
      <w:pPr>
        <w:pStyle w:val="FootnoteText"/>
      </w:pPr>
      <w:r>
        <w:rPr>
          <w:rStyle w:val="FootnoteReference"/>
        </w:rPr>
        <w:footnoteRef/>
      </w:r>
      <w:r>
        <w:t xml:space="preserve"> </w:t>
      </w:r>
      <w:r w:rsidRPr="00C7681B">
        <w:t>Ethertington</w:t>
      </w:r>
      <w:r>
        <w:t>,</w:t>
      </w:r>
      <w:r w:rsidRPr="00C7681B">
        <w:t xml:space="preserve"> K</w:t>
      </w:r>
      <w:r>
        <w:t xml:space="preserve">., Hatton, C., Water, J. (2009) Way Ahead. Our early experience in </w:t>
      </w:r>
      <w:smartTag w:uri="urn:schemas-microsoft-com:office:smarttags" w:element="place">
        <w:r>
          <w:t>North Lanarkshire</w:t>
        </w:r>
      </w:smartTag>
      <w:r>
        <w:t xml:space="preserve"> of demonstrating the impact of the In Control approach.  In Control </w:t>
      </w:r>
      <w:smartTag w:uri="urn:schemas-microsoft-com:office:smarttags" w:element="country-region">
        <w:smartTag w:uri="urn:schemas-microsoft-com:office:smarttags" w:element="place">
          <w:r>
            <w:t>Scotland</w:t>
          </w:r>
        </w:smartTag>
      </w:smartTag>
      <w:r>
        <w:t>.</w:t>
      </w:r>
    </w:p>
  </w:footnote>
  <w:footnote w:id="53">
    <w:p w:rsidR="0085625D" w:rsidRPr="00662ED0" w:rsidRDefault="0085625D" w:rsidP="00D177C7">
      <w:pPr>
        <w:rPr>
          <w:rStyle w:val="FootnoteTextChar"/>
          <w:sz w:val="20"/>
          <w:szCs w:val="20"/>
        </w:rPr>
      </w:pPr>
      <w:r w:rsidRPr="00662ED0">
        <w:rPr>
          <w:rStyle w:val="FootnoteTextChar"/>
          <w:sz w:val="20"/>
          <w:szCs w:val="20"/>
        </w:rPr>
        <w:footnoteRef/>
      </w:r>
      <w:r w:rsidRPr="00662ED0">
        <w:rPr>
          <w:rStyle w:val="FootnoteTextChar"/>
          <w:sz w:val="20"/>
          <w:szCs w:val="20"/>
        </w:rPr>
        <w:t xml:space="preserve"> Scottish government (2009) Home care services </w:t>
      </w:r>
      <w:smartTag w:uri="urn:schemas-microsoft-com:office:smarttags" w:element="country-region">
        <w:smartTag w:uri="urn:schemas-microsoft-com:office:smarttags" w:element="place">
          <w:r w:rsidRPr="00662ED0">
            <w:rPr>
              <w:rStyle w:val="FootnoteTextChar"/>
              <w:sz w:val="20"/>
              <w:szCs w:val="20"/>
            </w:rPr>
            <w:t>Scotland</w:t>
          </w:r>
        </w:smartTag>
      </w:smartTag>
      <w:r w:rsidRPr="00662ED0">
        <w:rPr>
          <w:rStyle w:val="FootnoteTextChar"/>
          <w:sz w:val="20"/>
          <w:szCs w:val="20"/>
        </w:rPr>
        <w:t>. http://www.scotland.gov.uk/Resource/Doc/293019/0090393.pdf</w:t>
      </w:r>
    </w:p>
  </w:footnote>
  <w:footnote w:id="54">
    <w:p w:rsidR="0085625D" w:rsidRPr="00662ED0" w:rsidRDefault="0085625D" w:rsidP="00D177C7">
      <w:pPr>
        <w:rPr>
          <w:rStyle w:val="FootnoteTextChar"/>
          <w:sz w:val="20"/>
          <w:szCs w:val="20"/>
        </w:rPr>
      </w:pPr>
      <w:r w:rsidRPr="00662ED0">
        <w:rPr>
          <w:rStyle w:val="FootnoteTextChar"/>
          <w:sz w:val="20"/>
          <w:szCs w:val="20"/>
        </w:rPr>
        <w:footnoteRef/>
      </w:r>
      <w:r w:rsidRPr="00662ED0">
        <w:rPr>
          <w:rStyle w:val="FootnoteTextChar"/>
          <w:sz w:val="20"/>
          <w:szCs w:val="20"/>
        </w:rPr>
        <w:t xml:space="preserve"> Scottish government (2009) Home care services </w:t>
      </w:r>
      <w:smartTag w:uri="urn:schemas-microsoft-com:office:smarttags" w:element="country-region">
        <w:smartTag w:uri="urn:schemas-microsoft-com:office:smarttags" w:element="place">
          <w:r w:rsidRPr="00662ED0">
            <w:rPr>
              <w:rStyle w:val="FootnoteTextChar"/>
              <w:sz w:val="20"/>
              <w:szCs w:val="20"/>
            </w:rPr>
            <w:t>Scotland</w:t>
          </w:r>
        </w:smartTag>
      </w:smartTag>
      <w:r w:rsidRPr="00662ED0">
        <w:rPr>
          <w:rStyle w:val="FootnoteTextChar"/>
          <w:sz w:val="20"/>
          <w:szCs w:val="20"/>
        </w:rPr>
        <w:t>. http://www.scotland.gov.uk/Resource/Doc/293019/0090393.pdf</w:t>
      </w:r>
    </w:p>
  </w:footnote>
  <w:footnote w:id="55">
    <w:p w:rsidR="0085625D" w:rsidRPr="00662ED0" w:rsidRDefault="0085625D" w:rsidP="00D177C7">
      <w:pPr>
        <w:spacing w:line="240" w:lineRule="atLeast"/>
        <w:rPr>
          <w:rStyle w:val="FootnoteTextChar"/>
          <w:sz w:val="20"/>
          <w:szCs w:val="20"/>
        </w:rPr>
      </w:pPr>
      <w:r w:rsidRPr="00662ED0">
        <w:rPr>
          <w:rStyle w:val="FootnoteTextChar"/>
          <w:sz w:val="20"/>
          <w:szCs w:val="20"/>
        </w:rPr>
        <w:footnoteRef/>
      </w:r>
      <w:r w:rsidRPr="00662ED0">
        <w:rPr>
          <w:rStyle w:val="FootnoteTextChar"/>
          <w:sz w:val="20"/>
          <w:szCs w:val="20"/>
        </w:rPr>
        <w:t xml:space="preserve"> ibid</w:t>
      </w:r>
    </w:p>
  </w:footnote>
  <w:footnote w:id="56">
    <w:p w:rsidR="0085625D" w:rsidRPr="00662ED0" w:rsidRDefault="0085625D" w:rsidP="00D177C7">
      <w:pPr>
        <w:spacing w:line="240" w:lineRule="atLeast"/>
        <w:rPr>
          <w:rStyle w:val="FootnoteTextChar"/>
          <w:sz w:val="20"/>
          <w:szCs w:val="20"/>
        </w:rPr>
      </w:pPr>
      <w:r w:rsidRPr="00662ED0">
        <w:rPr>
          <w:rStyle w:val="FootnoteTextChar"/>
          <w:sz w:val="20"/>
          <w:szCs w:val="20"/>
        </w:rPr>
        <w:footnoteRef/>
      </w:r>
      <w:r w:rsidRPr="00662ED0">
        <w:rPr>
          <w:rStyle w:val="FootnoteTextChar"/>
          <w:sz w:val="20"/>
          <w:szCs w:val="20"/>
        </w:rPr>
        <w:t xml:space="preserve"> Scottish Executive (2006c) High level su</w:t>
      </w:r>
      <w:r>
        <w:rPr>
          <w:rStyle w:val="FootnoteTextChar"/>
          <w:sz w:val="20"/>
          <w:szCs w:val="20"/>
        </w:rPr>
        <w:t xml:space="preserve">mmary of Statistics – Equality </w:t>
      </w:r>
      <w:r w:rsidRPr="00662ED0">
        <w:rPr>
          <w:rStyle w:val="FootnoteTextChar"/>
          <w:sz w:val="20"/>
          <w:szCs w:val="20"/>
        </w:rPr>
        <w:t xml:space="preserve">http://www.scotland.gov.uk/Publications/2006/11/20102424/11 </w:t>
      </w:r>
    </w:p>
  </w:footnote>
  <w:footnote w:id="57">
    <w:p w:rsidR="0085625D" w:rsidRPr="003931AF" w:rsidRDefault="0085625D" w:rsidP="00D177C7">
      <w:pPr>
        <w:pStyle w:val="FootnoteText"/>
      </w:pPr>
      <w:r>
        <w:rPr>
          <w:rStyle w:val="FootnoteReference"/>
        </w:rPr>
        <w:footnoteRef/>
      </w:r>
      <w:r>
        <w:t xml:space="preserve"> </w:t>
      </w:r>
      <w:r w:rsidRPr="00212A47">
        <w:t>Stalker,</w:t>
      </w:r>
      <w:r>
        <w:t xml:space="preserve"> </w:t>
      </w:r>
      <w:r w:rsidRPr="00212A47">
        <w:t xml:space="preserve">K.O., Malloch, M., Barry, M.A., Watson, J.A. (2008) Local area co-ordination: strengthening support for people with learning disabilities in </w:t>
      </w:r>
      <w:smartTag w:uri="urn:schemas-microsoft-com:office:smarttags" w:element="country-region">
        <w:smartTag w:uri="urn:schemas-microsoft-com:office:smarttags" w:element="place">
          <w:r w:rsidRPr="00212A47">
            <w:t>Scotland</w:t>
          </w:r>
        </w:smartTag>
      </w:smartTag>
      <w:r w:rsidRPr="00212A47">
        <w:t>. British Journal of Learning Disabilities. Blackwell Publishing Ltd</w:t>
      </w:r>
      <w:r>
        <w:t>.</w:t>
      </w:r>
    </w:p>
  </w:footnote>
  <w:footnote w:id="58">
    <w:p w:rsidR="0085625D" w:rsidRPr="003931AF" w:rsidRDefault="0085625D" w:rsidP="00D177C7">
      <w:pPr>
        <w:pStyle w:val="FootnoteText"/>
      </w:pPr>
      <w:r>
        <w:rPr>
          <w:rStyle w:val="FootnoteReference"/>
        </w:rPr>
        <w:footnoteRef/>
      </w:r>
      <w:r>
        <w:t xml:space="preserve"> </w:t>
      </w:r>
      <w:r w:rsidRPr="003931AF">
        <w:t>ibid</w:t>
      </w:r>
    </w:p>
  </w:footnote>
  <w:footnote w:id="59">
    <w:p w:rsidR="0085625D" w:rsidRPr="003931AF" w:rsidRDefault="0085625D" w:rsidP="00D177C7">
      <w:pPr>
        <w:pStyle w:val="FootnoteText"/>
      </w:pPr>
      <w:r>
        <w:rPr>
          <w:rStyle w:val="FootnoteReference"/>
        </w:rPr>
        <w:footnoteRef/>
      </w:r>
      <w:r>
        <w:t xml:space="preserve"> </w:t>
      </w:r>
      <w:r w:rsidRPr="00212A47">
        <w:t>Stalker,</w:t>
      </w:r>
      <w:r>
        <w:t xml:space="preserve"> </w:t>
      </w:r>
      <w:r w:rsidRPr="00212A47">
        <w:t xml:space="preserve">K.O., Malloch, M., Barry, M.A., Watson, J.A. (2008) Local area co-ordination: strengthening support for people with learning disabilities in </w:t>
      </w:r>
      <w:smartTag w:uri="urn:schemas-microsoft-com:office:smarttags" w:element="country-region">
        <w:smartTag w:uri="urn:schemas-microsoft-com:office:smarttags" w:element="place">
          <w:r w:rsidRPr="00212A47">
            <w:t>Scotland</w:t>
          </w:r>
        </w:smartTag>
      </w:smartTag>
      <w:r w:rsidRPr="00212A47">
        <w:t>. British Journal of Learning Disabilities. Blackwell Publishing Ltd</w:t>
      </w:r>
      <w:r>
        <w:t>.</w:t>
      </w:r>
    </w:p>
  </w:footnote>
  <w:footnote w:id="60">
    <w:p w:rsidR="0085625D" w:rsidRPr="00212A47" w:rsidRDefault="0085625D" w:rsidP="00D177C7">
      <w:pPr>
        <w:pStyle w:val="FootnoteText"/>
      </w:pPr>
      <w:r w:rsidRPr="00212A47">
        <w:rPr>
          <w:rStyle w:val="FootnoteReference"/>
        </w:rPr>
        <w:footnoteRef/>
      </w:r>
      <w:r>
        <w:t xml:space="preserve"> ibid</w:t>
      </w:r>
      <w:r w:rsidRPr="00212A47">
        <w:t>.</w:t>
      </w:r>
    </w:p>
  </w:footnote>
  <w:footnote w:id="61">
    <w:p w:rsidR="0085625D" w:rsidRPr="00D853B6" w:rsidRDefault="0085625D">
      <w:pPr>
        <w:pStyle w:val="FootnoteText"/>
        <w:rPr>
          <w:lang w:val="es-ES"/>
        </w:rPr>
      </w:pPr>
      <w:r>
        <w:rPr>
          <w:rStyle w:val="FootnoteReference"/>
        </w:rPr>
        <w:footnoteRef/>
      </w:r>
      <w:r>
        <w:t xml:space="preserve"> </w:t>
      </w:r>
      <w:r w:rsidRPr="00CA5A88">
        <w:t xml:space="preserve">Scottish government (2010) Respite Care </w:t>
      </w:r>
      <w:smartTag w:uri="urn:schemas-microsoft-com:office:smarttags" w:element="country-region">
        <w:smartTag w:uri="urn:schemas-microsoft-com:office:smarttags" w:element="place">
          <w:r w:rsidRPr="00CA5A88">
            <w:t>Scotland</w:t>
          </w:r>
        </w:smartTag>
      </w:smartTag>
      <w:r w:rsidRPr="00CA5A88">
        <w:t xml:space="preserve"> 2009. </w:t>
      </w:r>
      <w:r w:rsidRPr="00D853B6">
        <w:rPr>
          <w:lang w:val="es-ES"/>
        </w:rPr>
        <w:t>Final Figureshttp://www.scotland.gov.uk/Resource/Doc/924/0100863.pdf</w:t>
      </w:r>
    </w:p>
  </w:footnote>
  <w:footnote w:id="62">
    <w:p w:rsidR="0085625D" w:rsidRPr="00CA5A88" w:rsidRDefault="0085625D">
      <w:pPr>
        <w:pStyle w:val="FootnoteText"/>
      </w:pPr>
      <w:r>
        <w:rPr>
          <w:rStyle w:val="FootnoteReference"/>
        </w:rPr>
        <w:footnoteRef/>
      </w:r>
      <w:r w:rsidRPr="00CA5A88">
        <w:t>ibid</w:t>
      </w:r>
    </w:p>
  </w:footnote>
  <w:footnote w:id="63">
    <w:p w:rsidR="0085625D" w:rsidRPr="00D02462" w:rsidRDefault="0085625D">
      <w:pPr>
        <w:pStyle w:val="FootnoteText"/>
        <w:rPr>
          <w:rFonts w:cs="Arial"/>
          <w:lang w:val="en-GB"/>
        </w:rPr>
      </w:pPr>
      <w:r>
        <w:rPr>
          <w:rStyle w:val="FootnoteReference"/>
        </w:rPr>
        <w:footnoteRef/>
      </w:r>
      <w:r>
        <w:t xml:space="preserve"> </w:t>
      </w:r>
      <w:r w:rsidRPr="00D02462">
        <w:t>Scottish g</w:t>
      </w:r>
      <w:r>
        <w:t>overnment (2010)</w:t>
      </w:r>
      <w:r w:rsidRPr="00D02462">
        <w:rPr>
          <w:rStyle w:val="Heading3Char"/>
          <w:lang w:val="en-GB"/>
        </w:rPr>
        <w:t xml:space="preserve"> </w:t>
      </w:r>
      <w:r w:rsidRPr="00D02462">
        <w:rPr>
          <w:rFonts w:cs="Arial"/>
          <w:lang w:val="en-GB"/>
        </w:rPr>
        <w:t xml:space="preserve">Caring Together: The Carers Strategy for </w:t>
      </w:r>
      <w:smartTag w:uri="urn:schemas-microsoft-com:office:smarttags" w:element="country-region">
        <w:smartTag w:uri="urn:schemas-microsoft-com:office:smarttags" w:element="place">
          <w:r w:rsidRPr="00D02462">
            <w:rPr>
              <w:rFonts w:cs="Arial"/>
              <w:lang w:val="en-GB"/>
            </w:rPr>
            <w:t>Scotland</w:t>
          </w:r>
        </w:smartTag>
      </w:smartTag>
      <w:r w:rsidRPr="00D02462">
        <w:rPr>
          <w:rFonts w:cs="Arial"/>
          <w:lang w:val="en-GB"/>
        </w:rPr>
        <w:t xml:space="preserve"> 2010 - 2015</w:t>
      </w:r>
      <w:r>
        <w:rPr>
          <w:rFonts w:cs="Arial"/>
          <w:lang w:val="en-GB"/>
        </w:rPr>
        <w:t>.</w:t>
      </w:r>
      <w:r w:rsidRPr="00D02462">
        <w:t xml:space="preserve"> </w:t>
      </w:r>
      <w:r w:rsidRPr="00D02462">
        <w:rPr>
          <w:rFonts w:cs="Arial"/>
          <w:lang w:val="en-GB"/>
        </w:rPr>
        <w:t>http://www.scotland.gov.uk/Publications/2010/07/23153304/35</w:t>
      </w:r>
    </w:p>
  </w:footnote>
  <w:footnote w:id="64">
    <w:p w:rsidR="0085625D" w:rsidRPr="00212A47" w:rsidRDefault="0085625D" w:rsidP="00D177C7">
      <w:pPr>
        <w:pStyle w:val="FootnoteText"/>
      </w:pPr>
      <w:r w:rsidRPr="00212A47">
        <w:rPr>
          <w:rStyle w:val="FootnoteReference"/>
        </w:rPr>
        <w:footnoteRef/>
      </w:r>
      <w:r w:rsidRPr="00212A47">
        <w:t xml:space="preserve"> The Education Acts 2004 &amp; 2009: Consultation on Changes to the Secondary Legislation and Supporting children's Learning Code of Practice www.scotland.gov.uk/Publications/2009/11/03140104/12</w:t>
      </w:r>
    </w:p>
  </w:footnote>
  <w:footnote w:id="65">
    <w:p w:rsidR="0085625D" w:rsidRPr="00A726A0" w:rsidRDefault="0085625D" w:rsidP="00D177C7">
      <w:pPr>
        <w:pStyle w:val="FootnoteText"/>
      </w:pPr>
      <w:r>
        <w:rPr>
          <w:rStyle w:val="FootnoteReference"/>
        </w:rPr>
        <w:footnoteRef/>
      </w:r>
      <w:r>
        <w:t xml:space="preserve"> </w:t>
      </w:r>
      <w:r w:rsidRPr="00A07CBA">
        <w:t xml:space="preserve">The Scottish Government (2008) Reporting on Progress towards Equality of Opportunity between Disabled Persons and other persons made by Public Authorities in </w:t>
      </w:r>
      <w:smartTag w:uri="urn:schemas-microsoft-com:office:smarttags" w:element="country-region">
        <w:smartTag w:uri="urn:schemas-microsoft-com:office:smarttags" w:element="place">
          <w:r w:rsidRPr="00A07CBA">
            <w:t>Scotland</w:t>
          </w:r>
        </w:smartTag>
      </w:smartTag>
      <w:r w:rsidRPr="00A07CBA">
        <w:t xml:space="preserve">: </w:t>
      </w:r>
      <w:r>
        <w:t>Education and Lifelong Learning</w:t>
      </w:r>
    </w:p>
  </w:footnote>
  <w:footnote w:id="66">
    <w:p w:rsidR="0085625D" w:rsidRPr="00A07CBA" w:rsidRDefault="0085625D" w:rsidP="00D177C7">
      <w:pPr>
        <w:pStyle w:val="FootnoteText"/>
      </w:pPr>
      <w:r w:rsidRPr="00A07CBA">
        <w:rPr>
          <w:rStyle w:val="FootnoteReference"/>
        </w:rPr>
        <w:footnoteRef/>
      </w:r>
      <w:r>
        <w:t xml:space="preserve"> ibid</w:t>
      </w:r>
    </w:p>
  </w:footnote>
  <w:footnote w:id="67">
    <w:p w:rsidR="0085625D" w:rsidRPr="00E81A25" w:rsidRDefault="0085625D" w:rsidP="00D177C7">
      <w:pPr>
        <w:autoSpaceDE w:val="0"/>
        <w:autoSpaceDN w:val="0"/>
        <w:adjustRightInd w:val="0"/>
        <w:spacing w:after="0" w:line="240" w:lineRule="auto"/>
        <w:rPr>
          <w:rFonts w:cs="Arial"/>
          <w:sz w:val="20"/>
          <w:szCs w:val="20"/>
          <w:lang w:eastAsia="en-IE"/>
        </w:rPr>
      </w:pPr>
      <w:r>
        <w:rPr>
          <w:rStyle w:val="FootnoteReference"/>
        </w:rPr>
        <w:footnoteRef/>
      </w:r>
      <w:r>
        <w:t xml:space="preserve"> </w:t>
      </w:r>
      <w:r w:rsidRPr="00E81A25">
        <w:rPr>
          <w:sz w:val="20"/>
          <w:szCs w:val="20"/>
        </w:rPr>
        <w:t xml:space="preserve">Law, J.,McCann, D., O' May, F., Smart,C., Buchan, J. (2009) </w:t>
      </w:r>
      <w:r w:rsidRPr="00E81A25">
        <w:rPr>
          <w:sz w:val="20"/>
          <w:szCs w:val="20"/>
          <w:lang w:eastAsia="en-IE"/>
        </w:rPr>
        <w:t>Service Provision for Children and Young People with Complex Needs in a Community Setting from The Perspectives of Nursing and Allied Health Professionals</w:t>
      </w:r>
      <w:r>
        <w:rPr>
          <w:sz w:val="20"/>
          <w:szCs w:val="20"/>
          <w:lang w:eastAsia="en-IE"/>
        </w:rPr>
        <w:t>. Scottish Government</w:t>
      </w:r>
    </w:p>
  </w:footnote>
  <w:footnote w:id="68">
    <w:p w:rsidR="0085625D" w:rsidRPr="002635F6" w:rsidRDefault="0085625D" w:rsidP="00D177C7">
      <w:pPr>
        <w:autoSpaceDE w:val="0"/>
        <w:autoSpaceDN w:val="0"/>
        <w:adjustRightInd w:val="0"/>
        <w:spacing w:after="0" w:line="240" w:lineRule="auto"/>
        <w:rPr>
          <w:rFonts w:cs="Arial"/>
          <w:iCs/>
          <w:sz w:val="20"/>
          <w:szCs w:val="20"/>
          <w:lang w:eastAsia="en-IE"/>
        </w:rPr>
      </w:pPr>
      <w:r>
        <w:rPr>
          <w:rStyle w:val="FootnoteReference"/>
        </w:rPr>
        <w:footnoteRef/>
      </w:r>
      <w:r>
        <w:rPr>
          <w:rFonts w:cs="Arial"/>
          <w:iCs/>
          <w:sz w:val="20"/>
          <w:szCs w:val="20"/>
          <w:lang w:eastAsia="en-IE"/>
        </w:rPr>
        <w:t>ibid</w:t>
      </w:r>
    </w:p>
  </w:footnote>
  <w:footnote w:id="69">
    <w:p w:rsidR="0085625D" w:rsidRPr="00A07CBA" w:rsidRDefault="0085625D" w:rsidP="00D177C7">
      <w:pPr>
        <w:pStyle w:val="FootnoteText"/>
      </w:pPr>
      <w:r>
        <w:rPr>
          <w:rStyle w:val="FootnoteReference"/>
        </w:rPr>
        <w:footnoteRef/>
      </w:r>
      <w:r>
        <w:t xml:space="preserve"> </w:t>
      </w:r>
      <w:r w:rsidRPr="00A07CBA">
        <w:t xml:space="preserve">The Scottish Government (2008) Reporting on Progress towards Equality of Opportunity between Disabled Persons and other persons made by Public Authorities in </w:t>
      </w:r>
      <w:smartTag w:uri="urn:schemas-microsoft-com:office:smarttags" w:element="country-region">
        <w:smartTag w:uri="urn:schemas-microsoft-com:office:smarttags" w:element="place">
          <w:r w:rsidRPr="00A07CBA">
            <w:t>Scotland</w:t>
          </w:r>
        </w:smartTag>
      </w:smartTag>
      <w:r w:rsidRPr="00A07CBA">
        <w:t>: Education and Lifelong Learning</w:t>
      </w:r>
    </w:p>
  </w:footnote>
  <w:footnote w:id="70">
    <w:p w:rsidR="0085625D" w:rsidRPr="00A07CBA" w:rsidRDefault="0085625D" w:rsidP="00D177C7">
      <w:pPr>
        <w:pStyle w:val="FootnoteText"/>
      </w:pPr>
      <w:r w:rsidRPr="00A07CBA">
        <w:rPr>
          <w:rStyle w:val="FootnoteReference"/>
        </w:rPr>
        <w:footnoteRef/>
      </w:r>
      <w:r w:rsidRPr="00A07CBA">
        <w:t xml:space="preserve"> ibid</w:t>
      </w:r>
    </w:p>
  </w:footnote>
  <w:footnote w:id="71">
    <w:p w:rsidR="0085625D" w:rsidRPr="00A726A0" w:rsidRDefault="0085625D" w:rsidP="00D177C7">
      <w:pPr>
        <w:pStyle w:val="FootnoteText"/>
      </w:pPr>
      <w:r>
        <w:rPr>
          <w:rStyle w:val="FootnoteReference"/>
        </w:rPr>
        <w:footnoteRef/>
      </w:r>
      <w:r>
        <w:t xml:space="preserve"> </w:t>
      </w:r>
      <w:r w:rsidRPr="00A726A0">
        <w:t>ibid</w:t>
      </w:r>
    </w:p>
  </w:footnote>
  <w:footnote w:id="72">
    <w:p w:rsidR="0085625D" w:rsidRPr="00CD2092" w:rsidRDefault="0085625D">
      <w:pPr>
        <w:pStyle w:val="FootnoteText"/>
      </w:pPr>
      <w:r>
        <w:rPr>
          <w:rStyle w:val="FootnoteReference"/>
        </w:rPr>
        <w:footnoteRef/>
      </w:r>
      <w:r>
        <w:t xml:space="preserve"> Scottish G</w:t>
      </w:r>
      <w:r w:rsidRPr="00CD2092">
        <w:t>overnment (2007)</w:t>
      </w:r>
      <w:r>
        <w:t xml:space="preserve"> </w:t>
      </w:r>
      <w:r w:rsidRPr="00212A47">
        <w:t>Statistics Release: Adults with Learning Disabilities Implementation of '</w:t>
      </w:r>
      <w:r>
        <w:t>The same as you?'</w:t>
      </w:r>
      <w:r w:rsidRPr="00212A47">
        <w:t xml:space="preserve"> available from http://www.scld.</w:t>
      </w:r>
      <w:r>
        <w:t>org.uk/scld-projects/esay.xhtml</w:t>
      </w:r>
    </w:p>
  </w:footnote>
  <w:footnote w:id="73">
    <w:p w:rsidR="0085625D" w:rsidRPr="00DD5696" w:rsidRDefault="0085625D" w:rsidP="006B2928">
      <w:pPr>
        <w:pStyle w:val="FootnoteText"/>
      </w:pPr>
      <w:r>
        <w:rPr>
          <w:rStyle w:val="FootnoteReference"/>
        </w:rPr>
        <w:footnoteRef/>
      </w:r>
      <w:r>
        <w:t xml:space="preserve"> </w:t>
      </w:r>
      <w:r w:rsidRPr="00DD5696">
        <w:t>Scot</w:t>
      </w:r>
      <w:r>
        <w:t>tish Government (2007) Statistics Release Day Care Services, Scotland 2007</w:t>
      </w:r>
    </w:p>
  </w:footnote>
  <w:footnote w:id="74">
    <w:p w:rsidR="0085625D" w:rsidRPr="00EC255C" w:rsidRDefault="0085625D" w:rsidP="007F4905">
      <w:pPr>
        <w:pStyle w:val="FootnoteText"/>
      </w:pPr>
      <w:r>
        <w:rPr>
          <w:rStyle w:val="FootnoteReference"/>
        </w:rPr>
        <w:footnoteRef/>
      </w:r>
      <w:r>
        <w:t xml:space="preserve"> </w:t>
      </w:r>
      <w:r w:rsidRPr="002635F6">
        <w:t>R</w:t>
      </w:r>
      <w:r>
        <w:t>idley, J., Hunter, S.  &amp; Infusion Co-operative (2005) Go for it! Supporting People with Learning Disabilities and /or Autism Spectrum Disorder in Employment. Scottish Executive Social Research.</w:t>
      </w:r>
    </w:p>
  </w:footnote>
  <w:footnote w:id="75">
    <w:p w:rsidR="0085625D" w:rsidRPr="00B908BB" w:rsidRDefault="0085625D" w:rsidP="007F4905">
      <w:pPr>
        <w:pStyle w:val="FootnoteText"/>
      </w:pPr>
      <w:r>
        <w:rPr>
          <w:rStyle w:val="FootnoteReference"/>
        </w:rPr>
        <w:footnoteRef/>
      </w:r>
      <w:r>
        <w:t xml:space="preserve"> Scottish G</w:t>
      </w:r>
      <w:r w:rsidRPr="00B908BB">
        <w:t>overnment</w:t>
      </w:r>
      <w:r>
        <w:t xml:space="preserve"> &amp; COSLA</w:t>
      </w:r>
      <w:r w:rsidRPr="00B908BB">
        <w:t xml:space="preserve"> (2009) Supp</w:t>
      </w:r>
      <w:r>
        <w:t>orted E</w:t>
      </w:r>
      <w:r w:rsidRPr="00B908BB">
        <w:t>mpl</w:t>
      </w:r>
      <w:r>
        <w:t>oyment Scoping Exercise, Final R</w:t>
      </w:r>
      <w:r w:rsidRPr="00B908BB">
        <w:t>ep</w:t>
      </w:r>
      <w:r>
        <w:t>o</w:t>
      </w:r>
      <w:r w:rsidRPr="00B908BB">
        <w:t>rt</w:t>
      </w:r>
      <w:r>
        <w:t>,</w:t>
      </w:r>
      <w:r w:rsidRPr="00B908BB">
        <w:t xml:space="preserve"> March 2009</w:t>
      </w:r>
    </w:p>
  </w:footnote>
  <w:footnote w:id="76">
    <w:p w:rsidR="0085625D" w:rsidRPr="003C42A6" w:rsidRDefault="0085625D" w:rsidP="007F4905">
      <w:pPr>
        <w:pStyle w:val="FootnoteText"/>
      </w:pPr>
      <w:r>
        <w:rPr>
          <w:rStyle w:val="FootnoteReference"/>
        </w:rPr>
        <w:footnoteRef/>
      </w:r>
      <w:r>
        <w:t xml:space="preserve"> </w:t>
      </w:r>
      <w:r w:rsidRPr="003C42A6">
        <w:t>ibid</w:t>
      </w:r>
    </w:p>
  </w:footnote>
  <w:footnote w:id="77">
    <w:p w:rsidR="0085625D" w:rsidRDefault="0085625D" w:rsidP="007F4905">
      <w:pPr>
        <w:pStyle w:val="FootnoteText"/>
      </w:pPr>
      <w:r>
        <w:rPr>
          <w:rStyle w:val="FootnoteReference"/>
        </w:rPr>
        <w:footnoteRef/>
      </w:r>
      <w:r>
        <w:t xml:space="preserve"> </w:t>
      </w:r>
      <w:r w:rsidRPr="003C42A6">
        <w:t>ibid</w:t>
      </w:r>
    </w:p>
  </w:footnote>
  <w:footnote w:id="78">
    <w:p w:rsidR="0085625D" w:rsidRPr="003C42A6" w:rsidRDefault="0085625D" w:rsidP="007F4905">
      <w:pPr>
        <w:pStyle w:val="FootnoteText"/>
      </w:pPr>
      <w:r>
        <w:rPr>
          <w:rStyle w:val="FootnoteReference"/>
        </w:rPr>
        <w:footnoteRef/>
      </w:r>
      <w:r>
        <w:t xml:space="preserve"> </w:t>
      </w:r>
      <w:r w:rsidRPr="003C42A6">
        <w:t>ibid</w:t>
      </w:r>
    </w:p>
  </w:footnote>
  <w:footnote w:id="79">
    <w:p w:rsidR="0085625D" w:rsidRPr="00634D80" w:rsidRDefault="0085625D" w:rsidP="00634D80">
      <w:pPr>
        <w:rPr>
          <w:rFonts w:cs="Arial"/>
          <w:sz w:val="20"/>
          <w:szCs w:val="20"/>
        </w:rPr>
      </w:pPr>
      <w:r>
        <w:rPr>
          <w:rStyle w:val="FootnoteReference"/>
        </w:rPr>
        <w:footnoteRef/>
      </w:r>
      <w:r>
        <w:t xml:space="preserve"> </w:t>
      </w:r>
      <w:r w:rsidRPr="00634D80">
        <w:rPr>
          <w:rFonts w:cs="Arial"/>
          <w:sz w:val="20"/>
          <w:szCs w:val="20"/>
        </w:rPr>
        <w:t xml:space="preserve">Scottish Government &amp; COSLA (2009) Supported Employment Framework Scoping Report </w:t>
      </w:r>
      <w:r>
        <w:rPr>
          <w:rFonts w:cs="Arial"/>
          <w:sz w:val="20"/>
          <w:szCs w:val="20"/>
        </w:rPr>
        <w:t xml:space="preserve">                                                                                                                                                                </w:t>
      </w:r>
      <w:r w:rsidRPr="00634D80">
        <w:rPr>
          <w:rStyle w:val="FootnoteReference"/>
          <w:rFonts w:cs="Arial"/>
          <w:sz w:val="20"/>
          <w:szCs w:val="20"/>
        </w:rPr>
        <w:t>80</w:t>
      </w:r>
      <w:r>
        <w:rPr>
          <w:rFonts w:cs="Arial"/>
          <w:sz w:val="20"/>
          <w:szCs w:val="20"/>
        </w:rPr>
        <w:t xml:space="preserve"> </w:t>
      </w:r>
      <w:r w:rsidRPr="00634D80">
        <w:rPr>
          <w:rFonts w:cs="Arial"/>
          <w:sz w:val="20"/>
          <w:szCs w:val="20"/>
        </w:rPr>
        <w:t>Prime Minister's Strategy Unit (2005) Improving the Life Chances of Disabled People. http://www.cabinetoffice.gov.uk/media/cabinetoffice/strategy/assets/disability.pdf</w:t>
      </w:r>
    </w:p>
    <w:p w:rsidR="0085625D" w:rsidRPr="005D74B7" w:rsidRDefault="0085625D" w:rsidP="005D74B7">
      <w:pPr>
        <w:pStyle w:val="TableNote"/>
        <w:spacing w:line="240" w:lineRule="auto"/>
        <w:jc w:val="left"/>
      </w:pPr>
      <w:r>
        <w:t xml:space="preserve">                                    </w:t>
      </w:r>
    </w:p>
  </w:footnote>
  <w:footnote w:id="80">
    <w:p w:rsidR="0085625D" w:rsidRPr="00BC6DBA" w:rsidRDefault="0085625D" w:rsidP="005D74B7">
      <w:pPr>
        <w:pStyle w:val="Default"/>
        <w:rPr>
          <w:rFonts w:ascii="Frutiger 45 Light" w:hAnsi="Frutiger 45 Light" w:cs="Frutiger 45 Light"/>
          <w:sz w:val="20"/>
          <w:szCs w:val="20"/>
        </w:rPr>
      </w:pPr>
    </w:p>
  </w:footnote>
  <w:footnote w:id="81">
    <w:p w:rsidR="0085625D" w:rsidRPr="00C14C74" w:rsidRDefault="0085625D" w:rsidP="0004594A">
      <w:pPr>
        <w:pStyle w:val="Default"/>
        <w:rPr>
          <w:rFonts w:ascii="Arial" w:hAnsi="Arial" w:cs="Arial"/>
        </w:rPr>
      </w:pPr>
      <w:r w:rsidRPr="00C14C74">
        <w:rPr>
          <w:rStyle w:val="FootnoteReference"/>
          <w:rFonts w:ascii="Arial" w:hAnsi="Arial" w:cs="Arial"/>
        </w:rPr>
        <w:footnoteRef/>
      </w:r>
      <w:r w:rsidRPr="00C14C74">
        <w:rPr>
          <w:rFonts w:ascii="Arial" w:hAnsi="Arial" w:cs="Arial"/>
        </w:rPr>
        <w:t xml:space="preserve"> </w:t>
      </w:r>
      <w:r w:rsidRPr="00C14C74">
        <w:rPr>
          <w:rFonts w:ascii="Arial" w:hAnsi="Arial" w:cs="Arial"/>
          <w:sz w:val="20"/>
          <w:szCs w:val="20"/>
        </w:rPr>
        <w:t>Department of Health. HM Government (2009) Valuing Employment Now: real jobs for people with learning disabilities</w:t>
      </w:r>
    </w:p>
  </w:footnote>
  <w:footnote w:id="82">
    <w:p w:rsidR="0085625D" w:rsidRPr="00745B49" w:rsidRDefault="0085625D" w:rsidP="007F4905">
      <w:pPr>
        <w:pStyle w:val="FootnoteText"/>
        <w:rPr>
          <w:rFonts w:cs="Arial"/>
        </w:rPr>
      </w:pPr>
      <w:r>
        <w:rPr>
          <w:rStyle w:val="FootnoteReference"/>
        </w:rPr>
        <w:footnoteRef/>
      </w:r>
      <w:r>
        <w:t xml:space="preserve"> </w:t>
      </w:r>
      <w:r w:rsidRPr="00212A47">
        <w:rPr>
          <w:rFonts w:cs="Arial"/>
        </w:rPr>
        <w:t xml:space="preserve">Scottish Executive National Statistics Publication (2006) Statistics Release, Direct Payments Scotland 2006. </w:t>
      </w:r>
    </w:p>
  </w:footnote>
  <w:footnote w:id="83">
    <w:p w:rsidR="0085625D" w:rsidRPr="00212A47" w:rsidRDefault="0085625D" w:rsidP="00755BEF">
      <w:pPr>
        <w:pStyle w:val="FootnoteText"/>
      </w:pPr>
      <w:r w:rsidRPr="00212A47">
        <w:rPr>
          <w:rStyle w:val="FootnoteReference"/>
        </w:rPr>
        <w:footnoteRef/>
      </w:r>
      <w:r w:rsidRPr="00212A47">
        <w:t xml:space="preserve"> </w:t>
      </w:r>
      <w:r w:rsidRPr="00265EEC">
        <w:t xml:space="preserve">Scottish Government (2008) Reporting on Progress towards Equality of Opportunity between Disabled Persons and other persons made by Public Authorities in </w:t>
      </w:r>
      <w:smartTag w:uri="urn:schemas-microsoft-com:office:smarttags" w:element="country-region">
        <w:smartTag w:uri="urn:schemas-microsoft-com:office:smarttags" w:element="place">
          <w:r w:rsidRPr="00265EEC">
            <w:t>Scotland</w:t>
          </w:r>
        </w:smartTag>
      </w:smartTag>
      <w:r w:rsidRPr="00265EEC">
        <w:t>: The Scottish Minister’s Duties Health and Well Being.</w:t>
      </w:r>
      <w:r w:rsidRPr="00212A47">
        <w:t xml:space="preserve"> </w:t>
      </w:r>
    </w:p>
  </w:footnote>
  <w:footnote w:id="84">
    <w:p w:rsidR="0085625D" w:rsidRPr="0041156B" w:rsidRDefault="0085625D" w:rsidP="00755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Style w:val="FootnoteTextChar"/>
          <w:sz w:val="20"/>
          <w:szCs w:val="20"/>
        </w:rPr>
      </w:pPr>
    </w:p>
  </w:footnote>
  <w:footnote w:id="85">
    <w:p w:rsidR="0085625D" w:rsidRPr="00212A47" w:rsidRDefault="0085625D" w:rsidP="00755BEF">
      <w:pPr>
        <w:pStyle w:val="FootnoteText"/>
        <w:rPr>
          <w:rFonts w:cs="Arial"/>
        </w:rPr>
      </w:pPr>
      <w:r>
        <w:rPr>
          <w:rStyle w:val="FootnoteReference"/>
          <w:rFonts w:cs="Arial"/>
          <w:szCs w:val="22"/>
        </w:rPr>
        <w:t xml:space="preserve">84 </w:t>
      </w:r>
      <w:r w:rsidRPr="00EC4D07">
        <w:rPr>
          <w:rFonts w:cs="Arial"/>
        </w:rPr>
        <w:t xml:space="preserve">Woodin, S; Priestley, M and Prideaux, S (2009) </w:t>
      </w:r>
      <w:r w:rsidRPr="00EC4D07">
        <w:rPr>
          <w:rFonts w:cs="Arial"/>
          <w:lang w:val="en-US" w:bidi="en-US"/>
        </w:rPr>
        <w:t>ANED country report on the implementation of policies supporting independent living for disabled people</w:t>
      </w:r>
      <w:r>
        <w:rPr>
          <w:rStyle w:val="FootnoteReference"/>
          <w:rFonts w:cs="Arial"/>
        </w:rPr>
        <w:t xml:space="preserve">                             </w:t>
      </w:r>
      <w:r>
        <w:rPr>
          <w:rStyle w:val="FootnoteReference"/>
          <w:rFonts w:cs="Arial"/>
        </w:rPr>
        <w:footnoteRef/>
      </w:r>
      <w:r>
        <w:rPr>
          <w:rFonts w:cs="Arial"/>
        </w:rPr>
        <w:t xml:space="preserve"> </w:t>
      </w:r>
      <w:r w:rsidRPr="00212A47">
        <w:rPr>
          <w:rFonts w:cs="Arial"/>
        </w:rPr>
        <w:t>Witcher et al; 2000; Pearson,C.,2000 and Riddell et al; 2005 in Riddell et al; (2006) The Implementation of Direct Payments in Scotland for People who use Care Services, Centre for Research in Education Inclusion and Diversity.</w:t>
      </w:r>
    </w:p>
  </w:footnote>
  <w:footnote w:id="86">
    <w:p w:rsidR="0085625D" w:rsidRPr="00212A47" w:rsidRDefault="0085625D" w:rsidP="007F4905">
      <w:pPr>
        <w:pStyle w:val="FootnoteText"/>
      </w:pPr>
      <w:r w:rsidRPr="00212A47">
        <w:rPr>
          <w:rStyle w:val="FootnoteReference"/>
        </w:rPr>
        <w:footnoteRef/>
      </w:r>
      <w:r w:rsidRPr="00212A47">
        <w:t xml:space="preserve"> </w:t>
      </w:r>
      <w:r w:rsidRPr="00212A47">
        <w:rPr>
          <w:rFonts w:cs="Arial"/>
        </w:rPr>
        <w:t>Scottish Executive National Statistics Publication (2006) Statistics Release, Direct Payments Scotland 2006</w:t>
      </w:r>
    </w:p>
  </w:footnote>
  <w:footnote w:id="87">
    <w:p w:rsidR="0085625D" w:rsidRPr="008C7369" w:rsidRDefault="0085625D" w:rsidP="007F4905">
      <w:pPr>
        <w:autoSpaceDE w:val="0"/>
        <w:autoSpaceDN w:val="0"/>
        <w:adjustRightInd w:val="0"/>
        <w:spacing w:after="0" w:line="240" w:lineRule="auto"/>
        <w:rPr>
          <w:rFonts w:cs="Arial"/>
          <w:sz w:val="20"/>
          <w:szCs w:val="20"/>
          <w:lang w:eastAsia="en-IE"/>
        </w:rPr>
      </w:pPr>
      <w:r w:rsidRPr="00212A47">
        <w:rPr>
          <w:rStyle w:val="FootnoteReference"/>
          <w:sz w:val="20"/>
          <w:szCs w:val="20"/>
        </w:rPr>
        <w:footnoteRef/>
      </w:r>
      <w:r w:rsidRPr="00212A47">
        <w:rPr>
          <w:sz w:val="20"/>
          <w:szCs w:val="20"/>
        </w:rPr>
        <w:t xml:space="preserve"> </w:t>
      </w:r>
      <w:r>
        <w:rPr>
          <w:sz w:val="20"/>
          <w:szCs w:val="20"/>
        </w:rPr>
        <w:t xml:space="preserve">Scottish government (2009) </w:t>
      </w:r>
      <w:r w:rsidRPr="008C7369">
        <w:rPr>
          <w:rFonts w:cs="Arial"/>
          <w:sz w:val="20"/>
          <w:szCs w:val="20"/>
          <w:lang w:eastAsia="en-IE"/>
        </w:rPr>
        <w:t xml:space="preserve">Self-directed Support (Direct Payments), </w:t>
      </w:r>
      <w:smartTag w:uri="urn:schemas-microsoft-com:office:smarttags" w:element="country-region">
        <w:smartTag w:uri="urn:schemas-microsoft-com:office:smarttags" w:element="place">
          <w:r w:rsidRPr="008C7369">
            <w:rPr>
              <w:rFonts w:cs="Arial"/>
              <w:sz w:val="20"/>
              <w:szCs w:val="20"/>
              <w:lang w:eastAsia="en-IE"/>
            </w:rPr>
            <w:t>Scotland</w:t>
          </w:r>
        </w:smartTag>
      </w:smartTag>
      <w:r w:rsidRPr="008C7369">
        <w:rPr>
          <w:rFonts w:cs="Arial"/>
          <w:sz w:val="20"/>
          <w:szCs w:val="20"/>
          <w:lang w:eastAsia="en-IE"/>
        </w:rPr>
        <w:t>, 2009</w:t>
      </w:r>
      <w:r w:rsidRPr="008C7369">
        <w:t xml:space="preserve"> </w:t>
      </w:r>
      <w:r w:rsidRPr="008C7369">
        <w:rPr>
          <w:rFonts w:cs="Arial"/>
          <w:sz w:val="20"/>
          <w:szCs w:val="20"/>
          <w:lang w:eastAsia="en-IE"/>
        </w:rPr>
        <w:t>http://www.scotland.gov.uk/Resource/Doc/299811/0093457.pdf</w:t>
      </w:r>
    </w:p>
  </w:footnote>
  <w:footnote w:id="88">
    <w:p w:rsidR="0085625D" w:rsidRPr="00161CE0" w:rsidRDefault="0085625D" w:rsidP="007F4905">
      <w:pPr>
        <w:autoSpaceDE w:val="0"/>
        <w:autoSpaceDN w:val="0"/>
        <w:adjustRightInd w:val="0"/>
        <w:spacing w:after="0" w:line="240" w:lineRule="auto"/>
        <w:rPr>
          <w:rFonts w:cs="Arial"/>
          <w:sz w:val="20"/>
          <w:szCs w:val="20"/>
          <w:lang w:eastAsia="en-IE"/>
        </w:rPr>
      </w:pPr>
      <w:r>
        <w:rPr>
          <w:rStyle w:val="FootnoteReference"/>
        </w:rPr>
        <w:footnoteRef/>
      </w:r>
      <w:r>
        <w:t xml:space="preserve"> </w:t>
      </w:r>
      <w:r w:rsidRPr="00161CE0">
        <w:rPr>
          <w:sz w:val="20"/>
          <w:szCs w:val="20"/>
        </w:rPr>
        <w:t xml:space="preserve">Scottish government (2009) </w:t>
      </w:r>
      <w:r w:rsidRPr="00161CE0">
        <w:rPr>
          <w:sz w:val="20"/>
          <w:szCs w:val="20"/>
          <w:lang w:eastAsia="en-IE"/>
        </w:rPr>
        <w:t xml:space="preserve">Self-directed Support (Direct Payments), </w:t>
      </w:r>
      <w:smartTag w:uri="urn:schemas-microsoft-com:office:smarttags" w:element="country-region">
        <w:smartTag w:uri="urn:schemas-microsoft-com:office:smarttags" w:element="place">
          <w:r w:rsidRPr="00161CE0">
            <w:rPr>
              <w:sz w:val="20"/>
              <w:szCs w:val="20"/>
              <w:lang w:eastAsia="en-IE"/>
            </w:rPr>
            <w:t>Scotland</w:t>
          </w:r>
        </w:smartTag>
      </w:smartTag>
      <w:r w:rsidRPr="00161CE0">
        <w:rPr>
          <w:sz w:val="20"/>
          <w:szCs w:val="20"/>
          <w:lang w:eastAsia="en-IE"/>
        </w:rPr>
        <w:t>, 2009</w:t>
      </w:r>
      <w:r w:rsidRPr="008C7369">
        <w:t xml:space="preserve"> </w:t>
      </w:r>
      <w:r w:rsidRPr="00161CE0">
        <w:rPr>
          <w:sz w:val="20"/>
          <w:szCs w:val="20"/>
          <w:lang w:eastAsia="en-IE"/>
        </w:rPr>
        <w:t>http://www.scotland.gov.uk/Resource/Doc/299811/0093457.pdf</w:t>
      </w:r>
    </w:p>
  </w:footnote>
  <w:footnote w:id="89">
    <w:p w:rsidR="0085625D" w:rsidRPr="00161CE0" w:rsidRDefault="0085625D" w:rsidP="007F4905">
      <w:pPr>
        <w:pStyle w:val="FootnoteText"/>
      </w:pPr>
      <w:r>
        <w:rPr>
          <w:rStyle w:val="FootnoteReference"/>
        </w:rPr>
        <w:footnoteRef/>
      </w:r>
      <w:r>
        <w:t xml:space="preserve"> </w:t>
      </w:r>
      <w:r w:rsidRPr="00161CE0">
        <w:t>ibid</w:t>
      </w:r>
    </w:p>
  </w:footnote>
  <w:footnote w:id="90">
    <w:p w:rsidR="0085625D" w:rsidRDefault="0085625D" w:rsidP="007F4905">
      <w:pPr>
        <w:pStyle w:val="FootnoteText"/>
      </w:pPr>
      <w:r>
        <w:rPr>
          <w:rStyle w:val="FootnoteReference"/>
        </w:rPr>
        <w:footnoteRef/>
      </w:r>
      <w:r>
        <w:t xml:space="preserve"> </w:t>
      </w:r>
      <w:r w:rsidRPr="00212A47">
        <w:rPr>
          <w:rFonts w:cs="Arial"/>
        </w:rPr>
        <w:t>Scottish Executive National Statistics Publication (2006) Statistics Release, Direct Payments Scotland 2006</w:t>
      </w:r>
    </w:p>
  </w:footnote>
  <w:footnote w:id="91">
    <w:p w:rsidR="0085625D" w:rsidRPr="00A726A0" w:rsidRDefault="0085625D" w:rsidP="007F4905">
      <w:pPr>
        <w:pStyle w:val="FootnoteText"/>
      </w:pPr>
      <w:r>
        <w:rPr>
          <w:rStyle w:val="FootnoteReference"/>
        </w:rPr>
        <w:footnoteRef/>
      </w:r>
      <w:r>
        <w:t xml:space="preserve"> </w:t>
      </w:r>
      <w:r w:rsidRPr="00A726A0">
        <w:t>ibid</w:t>
      </w:r>
    </w:p>
  </w:footnote>
  <w:footnote w:id="92">
    <w:p w:rsidR="0085625D" w:rsidRPr="00A726A0" w:rsidRDefault="0085625D" w:rsidP="007F4905">
      <w:pPr>
        <w:autoSpaceDE w:val="0"/>
        <w:autoSpaceDN w:val="0"/>
        <w:adjustRightInd w:val="0"/>
        <w:spacing w:after="0" w:line="240" w:lineRule="auto"/>
        <w:rPr>
          <w:rFonts w:cs="Arial"/>
          <w:sz w:val="20"/>
          <w:szCs w:val="20"/>
          <w:lang w:eastAsia="en-IE"/>
        </w:rPr>
      </w:pPr>
      <w:r>
        <w:rPr>
          <w:rStyle w:val="FootnoteReference"/>
        </w:rPr>
        <w:footnoteRef/>
      </w:r>
      <w:r>
        <w:t xml:space="preserve"> </w:t>
      </w:r>
      <w:r w:rsidRPr="00A726A0">
        <w:rPr>
          <w:sz w:val="20"/>
          <w:szCs w:val="20"/>
        </w:rPr>
        <w:t xml:space="preserve">Scottish government (2009) </w:t>
      </w:r>
      <w:r w:rsidRPr="00A726A0">
        <w:rPr>
          <w:sz w:val="20"/>
          <w:szCs w:val="20"/>
          <w:lang w:eastAsia="en-IE"/>
        </w:rPr>
        <w:t xml:space="preserve">Self-directed Support (Direct Payments), </w:t>
      </w:r>
      <w:smartTag w:uri="urn:schemas-microsoft-com:office:smarttags" w:element="country-region">
        <w:smartTag w:uri="urn:schemas-microsoft-com:office:smarttags" w:element="place">
          <w:r w:rsidRPr="00A726A0">
            <w:rPr>
              <w:sz w:val="20"/>
              <w:szCs w:val="20"/>
              <w:lang w:eastAsia="en-IE"/>
            </w:rPr>
            <w:t>Scotland</w:t>
          </w:r>
        </w:smartTag>
      </w:smartTag>
      <w:r w:rsidRPr="00A726A0">
        <w:rPr>
          <w:sz w:val="20"/>
          <w:szCs w:val="20"/>
          <w:lang w:eastAsia="en-IE"/>
        </w:rPr>
        <w:t>, 2009</w:t>
      </w:r>
      <w:r w:rsidRPr="00A726A0">
        <w:rPr>
          <w:sz w:val="20"/>
          <w:szCs w:val="20"/>
        </w:rPr>
        <w:t xml:space="preserve"> </w:t>
      </w:r>
      <w:r w:rsidRPr="00A726A0">
        <w:rPr>
          <w:sz w:val="20"/>
          <w:szCs w:val="20"/>
          <w:lang w:eastAsia="en-IE"/>
        </w:rPr>
        <w:t>http://www.scotland.gov.uk/Resource/Doc/299811/0093457.pdf</w:t>
      </w:r>
    </w:p>
  </w:footnote>
  <w:footnote w:id="93">
    <w:p w:rsidR="0085625D" w:rsidRPr="00161CE0" w:rsidRDefault="0085625D" w:rsidP="007F4905">
      <w:pPr>
        <w:pStyle w:val="FootnoteText"/>
      </w:pPr>
      <w:r>
        <w:rPr>
          <w:rStyle w:val="FootnoteReference"/>
        </w:rPr>
        <w:footnoteRef/>
      </w:r>
      <w:r>
        <w:t xml:space="preserve"> </w:t>
      </w:r>
      <w:r w:rsidRPr="00161CE0">
        <w:t>ibid</w:t>
      </w:r>
    </w:p>
  </w:footnote>
  <w:footnote w:id="94">
    <w:p w:rsidR="0085625D" w:rsidRPr="007630FF" w:rsidRDefault="0085625D" w:rsidP="007F4905">
      <w:pPr>
        <w:pStyle w:val="FootnoteText"/>
      </w:pPr>
      <w:r>
        <w:rPr>
          <w:rStyle w:val="FootnoteReference"/>
        </w:rPr>
        <w:footnoteRef/>
      </w:r>
      <w:r>
        <w:t>ibid</w:t>
      </w:r>
    </w:p>
  </w:footnote>
  <w:footnote w:id="95">
    <w:p w:rsidR="0085625D" w:rsidRPr="00A723D9" w:rsidRDefault="0085625D" w:rsidP="00A723D9">
      <w:pPr>
        <w:autoSpaceDE w:val="0"/>
        <w:autoSpaceDN w:val="0"/>
        <w:adjustRightInd w:val="0"/>
        <w:spacing w:after="0" w:line="240" w:lineRule="auto"/>
        <w:rPr>
          <w:rFonts w:cs="Arial"/>
          <w:sz w:val="20"/>
          <w:szCs w:val="20"/>
          <w:lang w:eastAsia="en-IE"/>
        </w:rPr>
      </w:pPr>
      <w:r>
        <w:rPr>
          <w:rStyle w:val="FootnoteReference"/>
        </w:rPr>
        <w:footnoteRef/>
      </w:r>
      <w:r>
        <w:t xml:space="preserve"> </w:t>
      </w:r>
      <w:r w:rsidRPr="00A723D9">
        <w:rPr>
          <w:sz w:val="20"/>
          <w:szCs w:val="20"/>
        </w:rPr>
        <w:t xml:space="preserve">Scottish government (2009) </w:t>
      </w:r>
      <w:r w:rsidRPr="00A723D9">
        <w:rPr>
          <w:sz w:val="20"/>
          <w:szCs w:val="20"/>
          <w:lang w:eastAsia="en-IE"/>
        </w:rPr>
        <w:t xml:space="preserve">Self-directed Support (Direct Payments), </w:t>
      </w:r>
      <w:smartTag w:uri="urn:schemas-microsoft-com:office:smarttags" w:element="country-region">
        <w:smartTag w:uri="urn:schemas-microsoft-com:office:smarttags" w:element="place">
          <w:r w:rsidRPr="00A723D9">
            <w:rPr>
              <w:sz w:val="20"/>
              <w:szCs w:val="20"/>
              <w:lang w:eastAsia="en-IE"/>
            </w:rPr>
            <w:t>Scotland</w:t>
          </w:r>
        </w:smartTag>
      </w:smartTag>
      <w:r w:rsidRPr="00A723D9">
        <w:rPr>
          <w:sz w:val="20"/>
          <w:szCs w:val="20"/>
          <w:lang w:eastAsia="en-IE"/>
        </w:rPr>
        <w:t>, 2009</w:t>
      </w:r>
      <w:r w:rsidRPr="00A723D9">
        <w:rPr>
          <w:sz w:val="20"/>
          <w:szCs w:val="20"/>
        </w:rPr>
        <w:t xml:space="preserve"> </w:t>
      </w:r>
      <w:r w:rsidRPr="00A723D9">
        <w:rPr>
          <w:sz w:val="20"/>
          <w:szCs w:val="20"/>
          <w:lang w:eastAsia="en-IE"/>
        </w:rPr>
        <w:t>http://www.scotland.gov.uk/Resource/Doc/299811/0093457.pdf</w:t>
      </w:r>
    </w:p>
  </w:footnote>
  <w:footnote w:id="96">
    <w:p w:rsidR="0085625D" w:rsidRPr="004A4EB9" w:rsidRDefault="0085625D" w:rsidP="007F4905">
      <w:pPr>
        <w:pStyle w:val="FootnoteText"/>
      </w:pPr>
      <w:r>
        <w:rPr>
          <w:rStyle w:val="FootnoteReference"/>
        </w:rPr>
        <w:footnoteRef/>
      </w:r>
      <w:r>
        <w:t xml:space="preserve"> </w:t>
      </w:r>
      <w:r w:rsidRPr="004A4EB9">
        <w:t>ibid</w:t>
      </w:r>
    </w:p>
  </w:footnote>
  <w:footnote w:id="97">
    <w:p w:rsidR="0085625D" w:rsidRPr="00212A47" w:rsidRDefault="0085625D" w:rsidP="007F4905">
      <w:pPr>
        <w:pStyle w:val="FootnoteText"/>
        <w:rPr>
          <w:rFonts w:cs="Arial"/>
        </w:rPr>
      </w:pPr>
      <w:r w:rsidRPr="00212A47">
        <w:rPr>
          <w:rStyle w:val="FootnoteReference"/>
          <w:rFonts w:cs="Arial"/>
        </w:rPr>
        <w:footnoteRef/>
      </w:r>
      <w:r>
        <w:rPr>
          <w:rFonts w:cs="Arial"/>
        </w:rPr>
        <w:t xml:space="preserve"> </w:t>
      </w:r>
      <w:r w:rsidRPr="00212A47">
        <w:rPr>
          <w:rFonts w:cs="Arial"/>
        </w:rPr>
        <w:t xml:space="preserve">Riddell et al; (2006) The Implementation of direct payments in </w:t>
      </w:r>
      <w:smartTag w:uri="urn:schemas-microsoft-com:office:smarttags" w:element="country-region">
        <w:smartTag w:uri="urn:schemas-microsoft-com:office:smarttags" w:element="place">
          <w:r w:rsidRPr="00212A47">
            <w:rPr>
              <w:rFonts w:cs="Arial"/>
            </w:rPr>
            <w:t>Scotland</w:t>
          </w:r>
        </w:smartTag>
      </w:smartTag>
      <w:r w:rsidRPr="00212A47">
        <w:rPr>
          <w:rFonts w:cs="Arial"/>
        </w:rPr>
        <w:t xml:space="preserve"> for people who use care services. Centre for Research in Education, Inclusion and Diversit</w:t>
      </w:r>
      <w:r>
        <w:rPr>
          <w:rFonts w:cs="Arial"/>
        </w:rPr>
        <w:t>y</w:t>
      </w:r>
    </w:p>
  </w:footnote>
  <w:footnote w:id="98">
    <w:p w:rsidR="0085625D" w:rsidRPr="00212A47" w:rsidRDefault="0085625D" w:rsidP="007F4905">
      <w:pPr>
        <w:pStyle w:val="FootnoteText"/>
      </w:pPr>
      <w:r w:rsidRPr="00212A47">
        <w:rPr>
          <w:rStyle w:val="FootnoteReference"/>
        </w:rPr>
        <w:footnoteRef/>
      </w:r>
      <w:r w:rsidRPr="00212A47">
        <w:t xml:space="preserve"> </w:t>
      </w:r>
      <w:r w:rsidRPr="00212A47">
        <w:rPr>
          <w:rFonts w:cs="Arial"/>
        </w:rPr>
        <w:t>ibid</w:t>
      </w:r>
    </w:p>
  </w:footnote>
  <w:footnote w:id="99">
    <w:p w:rsidR="0085625D" w:rsidRPr="003931AF" w:rsidRDefault="0085625D" w:rsidP="007F4905">
      <w:pPr>
        <w:pStyle w:val="FootnoteText"/>
        <w:rPr>
          <w:rFonts w:cs="Arial"/>
        </w:rPr>
      </w:pPr>
      <w:r w:rsidRPr="00212A47">
        <w:rPr>
          <w:rStyle w:val="FootnoteReference"/>
        </w:rPr>
        <w:footnoteRef/>
      </w:r>
      <w:r w:rsidRPr="00212A47">
        <w:t xml:space="preserve"> </w:t>
      </w:r>
      <w:r w:rsidRPr="00212A47">
        <w:rPr>
          <w:rFonts w:cs="Arial"/>
        </w:rPr>
        <w:t xml:space="preserve">Riddell et al; (2006) The Implementation of direct payments in </w:t>
      </w:r>
      <w:smartTag w:uri="urn:schemas-microsoft-com:office:smarttags" w:element="country-region">
        <w:smartTag w:uri="urn:schemas-microsoft-com:office:smarttags" w:element="place">
          <w:r w:rsidRPr="00212A47">
            <w:rPr>
              <w:rFonts w:cs="Arial"/>
            </w:rPr>
            <w:t>Scotland</w:t>
          </w:r>
        </w:smartTag>
      </w:smartTag>
      <w:r w:rsidRPr="00212A47">
        <w:rPr>
          <w:rFonts w:cs="Arial"/>
        </w:rPr>
        <w:t xml:space="preserve"> for people who use care services. Centre for Research in Education, Inclusion and Diversit</w:t>
      </w:r>
      <w:r>
        <w:rPr>
          <w:rFonts w:cs="Arial"/>
        </w:rPr>
        <w:t>y</w:t>
      </w:r>
    </w:p>
  </w:footnote>
  <w:footnote w:id="100">
    <w:p w:rsidR="0085625D" w:rsidRPr="00212A47" w:rsidRDefault="0085625D" w:rsidP="007F4905">
      <w:pPr>
        <w:pStyle w:val="FootnoteText"/>
      </w:pPr>
      <w:r w:rsidRPr="00212A47">
        <w:rPr>
          <w:rStyle w:val="FootnoteReference"/>
        </w:rPr>
        <w:footnoteRef/>
      </w:r>
      <w:r w:rsidRPr="00212A47">
        <w:t xml:space="preserve"> </w:t>
      </w:r>
      <w:r>
        <w:rPr>
          <w:rFonts w:cs="Arial"/>
        </w:rPr>
        <w:t>ibid</w:t>
      </w:r>
    </w:p>
  </w:footnote>
  <w:footnote w:id="101">
    <w:p w:rsidR="0085625D" w:rsidRDefault="0085625D">
      <w:pPr>
        <w:pStyle w:val="FootnoteText"/>
      </w:pPr>
      <w:r>
        <w:rPr>
          <w:rStyle w:val="FootnoteReference"/>
        </w:rPr>
        <w:footnoteRef/>
      </w:r>
      <w:r>
        <w:t xml:space="preserve"> </w:t>
      </w:r>
      <w:r w:rsidRPr="000F5F06">
        <w:t>Scottish government (2008) Disability Equality Scheme 2008-2011</w:t>
      </w:r>
    </w:p>
  </w:footnote>
  <w:footnote w:id="102">
    <w:p w:rsidR="0085625D" w:rsidRPr="00212A47" w:rsidRDefault="0085625D" w:rsidP="0053233C">
      <w:pPr>
        <w:pStyle w:val="FootnoteText"/>
      </w:pPr>
      <w:r>
        <w:rPr>
          <w:rStyle w:val="FootnoteReference"/>
        </w:rPr>
        <w:footnoteRef/>
      </w:r>
      <w:r>
        <w:t xml:space="preserve"> </w:t>
      </w:r>
      <w:r w:rsidRPr="00212A47">
        <w:t xml:space="preserve">Independent Living in </w:t>
      </w:r>
      <w:smartTag w:uri="urn:schemas-microsoft-com:office:smarttags" w:element="country-region">
        <w:smartTag w:uri="urn:schemas-microsoft-com:office:smarttags" w:element="place">
          <w:r w:rsidRPr="00212A47">
            <w:t>Scotland</w:t>
          </w:r>
        </w:smartTag>
      </w:smartTag>
      <w:r w:rsidRPr="00212A47">
        <w:t xml:space="preserve"> website http://www.ilis.co.uk/about.aspx</w:t>
      </w:r>
    </w:p>
  </w:footnote>
  <w:footnote w:id="103">
    <w:p w:rsidR="0085625D" w:rsidRPr="00212A47" w:rsidRDefault="0085625D" w:rsidP="0053233C">
      <w:pPr>
        <w:pStyle w:val="FootnoteText"/>
      </w:pPr>
      <w:r w:rsidRPr="00212A47">
        <w:rPr>
          <w:rStyle w:val="FootnoteReference"/>
        </w:rPr>
        <w:footnoteRef/>
      </w:r>
      <w:r>
        <w:t xml:space="preserve"> ibid</w:t>
      </w:r>
    </w:p>
  </w:footnote>
  <w:footnote w:id="104">
    <w:p w:rsidR="0085625D" w:rsidRPr="00212A47" w:rsidRDefault="0085625D" w:rsidP="0053233C">
      <w:pPr>
        <w:pStyle w:val="FootnoteText"/>
      </w:pPr>
      <w:r w:rsidRPr="00212A47">
        <w:rPr>
          <w:rStyle w:val="FootnoteReference"/>
        </w:rPr>
        <w:footnoteRef/>
      </w:r>
      <w:r>
        <w:t xml:space="preserve"> </w:t>
      </w:r>
      <w:r w:rsidRPr="00212A47">
        <w:t xml:space="preserve">Reid Howe Associates (2009) Ready for Action. Key issues and disabled people's priorities for independent living. Independent Living in </w:t>
      </w:r>
      <w:smartTag w:uri="urn:schemas-microsoft-com:office:smarttags" w:element="country-region">
        <w:smartTag w:uri="urn:schemas-microsoft-com:office:smarttags" w:element="place">
          <w:r w:rsidRPr="00212A47">
            <w:t>Scotland</w:t>
          </w:r>
        </w:smartTag>
      </w:smartTag>
    </w:p>
    <w:p w:rsidR="0085625D" w:rsidRPr="009813BF" w:rsidRDefault="0085625D" w:rsidP="0053233C">
      <w:pPr>
        <w:pStyle w:val="FootnoteText"/>
      </w:pPr>
      <w:r w:rsidRPr="009813BF">
        <w:rPr>
          <w:rStyle w:val="FootnoteReference"/>
          <w:vertAlign w:val="baseline"/>
        </w:rPr>
        <w:t>92 ibid</w:t>
      </w:r>
    </w:p>
  </w:footnote>
  <w:footnote w:id="105">
    <w:p w:rsidR="0085625D" w:rsidRPr="00745B49" w:rsidRDefault="0085625D" w:rsidP="007F4905">
      <w:pPr>
        <w:pStyle w:val="FootnoteText"/>
      </w:pPr>
      <w:r>
        <w:rPr>
          <w:rStyle w:val="FootnoteReference"/>
        </w:rPr>
        <w:footnoteRef/>
      </w:r>
      <w:r>
        <w:t xml:space="preserve"> </w:t>
      </w:r>
      <w:r w:rsidRPr="00745B49">
        <w:t>SPAEN website</w:t>
      </w:r>
      <w:r>
        <w:t xml:space="preserve"> </w:t>
      </w:r>
      <w:r w:rsidRPr="00745B49">
        <w:t>http://www.spaen.co.uk/</w:t>
      </w:r>
    </w:p>
  </w:footnote>
  <w:footnote w:id="106">
    <w:p w:rsidR="0085625D" w:rsidRDefault="0085625D" w:rsidP="007F4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rPr>
          <w:rFonts w:cs="Arial"/>
          <w:sz w:val="20"/>
          <w:szCs w:val="20"/>
        </w:rPr>
      </w:pPr>
      <w:r>
        <w:rPr>
          <w:rStyle w:val="FootnoteReference"/>
          <w:rFonts w:cs="Arial"/>
          <w:sz w:val="20"/>
          <w:szCs w:val="20"/>
        </w:rPr>
        <w:footnoteRef/>
      </w:r>
      <w:r>
        <w:rPr>
          <w:rFonts w:cs="Arial"/>
          <w:sz w:val="20"/>
          <w:szCs w:val="20"/>
        </w:rPr>
        <w:t xml:space="preserve"> Woodin, S; Priestley, M and Prideaux, S (2009) </w:t>
      </w:r>
      <w:r>
        <w:rPr>
          <w:rFonts w:cs="Helvetica"/>
          <w:sz w:val="20"/>
          <w:szCs w:val="22"/>
          <w:lang w:val="en-US" w:bidi="en-US"/>
        </w:rPr>
        <w:t xml:space="preserve">ANED country report on the implementation of policies supporting independent living for disabled people </w:t>
      </w:r>
    </w:p>
  </w:footnote>
  <w:footnote w:id="107">
    <w:p w:rsidR="0085625D" w:rsidRPr="00212A47" w:rsidRDefault="0085625D" w:rsidP="007F4905">
      <w:pPr>
        <w:pStyle w:val="FootnoteText"/>
      </w:pPr>
      <w:r w:rsidRPr="00212A47">
        <w:rPr>
          <w:rStyle w:val="FootnoteReference"/>
          <w:rFonts w:cs="Arial"/>
        </w:rPr>
        <w:footnoteRef/>
      </w:r>
      <w:r w:rsidRPr="00212A47">
        <w:t xml:space="preserve"> ibid</w:t>
      </w:r>
    </w:p>
  </w:footnote>
  <w:footnote w:id="108">
    <w:p w:rsidR="0085625D" w:rsidRPr="004A6C24" w:rsidRDefault="0085625D" w:rsidP="007F4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rPr>
          <w:rFonts w:cs="Arial"/>
          <w:sz w:val="20"/>
          <w:szCs w:val="20"/>
        </w:rPr>
      </w:pPr>
      <w:r w:rsidRPr="00265EEC">
        <w:rPr>
          <w:rStyle w:val="FootnoteReference"/>
          <w:rFonts w:cs="Arial"/>
          <w:sz w:val="20"/>
          <w:szCs w:val="20"/>
        </w:rPr>
        <w:footnoteRef/>
      </w:r>
      <w:r w:rsidRPr="00265EEC">
        <w:rPr>
          <w:rFonts w:cs="Arial"/>
          <w:szCs w:val="20"/>
        </w:rPr>
        <w:t xml:space="preserve"> </w:t>
      </w:r>
      <w:r w:rsidRPr="004A6C24">
        <w:rPr>
          <w:rFonts w:cs="Arial"/>
          <w:sz w:val="20"/>
          <w:szCs w:val="20"/>
        </w:rPr>
        <w:t xml:space="preserve">Woodin, S; Priestley, M and Prideaux, S (2009) </w:t>
      </w:r>
      <w:r w:rsidRPr="004A6C24">
        <w:rPr>
          <w:sz w:val="20"/>
          <w:szCs w:val="20"/>
          <w:lang w:val="en-US" w:bidi="en-US"/>
        </w:rPr>
        <w:t>ANED country report on the implementation of policies supporting independent living for disabled people</w:t>
      </w:r>
      <w:r>
        <w:rPr>
          <w:lang w:val="en-US" w:bidi="en-US"/>
        </w:rPr>
        <w:t xml:space="preserve"> </w:t>
      </w:r>
    </w:p>
  </w:footnote>
  <w:footnote w:id="109">
    <w:p w:rsidR="0085625D" w:rsidRPr="00265EEC" w:rsidRDefault="0085625D" w:rsidP="007F4905">
      <w:pPr>
        <w:pStyle w:val="FootnoteText"/>
        <w:rPr>
          <w:rFonts w:cs="Arial"/>
        </w:rPr>
      </w:pPr>
      <w:r w:rsidRPr="00265EEC">
        <w:rPr>
          <w:rStyle w:val="FootnoteReference"/>
          <w:rFonts w:cs="Arial"/>
        </w:rPr>
        <w:footnoteRef/>
      </w:r>
      <w:r w:rsidRPr="00265EEC">
        <w:t xml:space="preserve">Scottish Government (2008) Reporting on Progress towards Equality of Opportunity between Disabled Persons and other persons made by Public Authorities in </w:t>
      </w:r>
      <w:smartTag w:uri="urn:schemas-microsoft-com:office:smarttags" w:element="country-region">
        <w:smartTag w:uri="urn:schemas-microsoft-com:office:smarttags" w:element="place">
          <w:r w:rsidRPr="00265EEC">
            <w:t>Scotland</w:t>
          </w:r>
        </w:smartTag>
      </w:smartTag>
      <w:r w:rsidRPr="00265EEC">
        <w:t>: The Scottish Minister’s Duties Health and Well Being.</w:t>
      </w:r>
    </w:p>
  </w:footnote>
  <w:footnote w:id="110">
    <w:p w:rsidR="0085625D" w:rsidRPr="00265EEC" w:rsidRDefault="0085625D" w:rsidP="007F4905">
      <w:pPr>
        <w:pStyle w:val="FootnoteText"/>
        <w:rPr>
          <w:rFonts w:cs="Arial"/>
        </w:rPr>
      </w:pPr>
      <w:r w:rsidRPr="00265EEC">
        <w:rPr>
          <w:rStyle w:val="FootnoteReference"/>
          <w:rFonts w:cs="Arial"/>
        </w:rPr>
        <w:footnoteRef/>
      </w:r>
      <w:r w:rsidRPr="00265EEC">
        <w:rPr>
          <w:rFonts w:cs="Arial"/>
        </w:rPr>
        <w:t xml:space="preserve"> </w:t>
      </w:r>
      <w:r w:rsidRPr="00265EEC">
        <w:t>ibid</w:t>
      </w:r>
    </w:p>
  </w:footnote>
  <w:footnote w:id="111">
    <w:p w:rsidR="0085625D" w:rsidRPr="00C47353" w:rsidRDefault="0085625D" w:rsidP="00623FE7">
      <w:pPr>
        <w:pStyle w:val="FootnoteText"/>
      </w:pPr>
      <w:r>
        <w:rPr>
          <w:rStyle w:val="FootnoteReference"/>
        </w:rPr>
        <w:footnoteRef/>
      </w:r>
      <w:r>
        <w:t xml:space="preserve"> </w:t>
      </w:r>
      <w:r w:rsidRPr="00C47353">
        <w:t>Scottish government's website</w:t>
      </w:r>
      <w:r>
        <w:t xml:space="preserve">. About </w:t>
      </w:r>
      <w:smartTag w:uri="urn:schemas-microsoft-com:office:smarttags" w:element="country-region">
        <w:smartTag w:uri="urn:schemas-microsoft-com:office:smarttags" w:element="place">
          <w:r>
            <w:t>Scotland</w:t>
          </w:r>
        </w:smartTag>
      </w:smartTag>
      <w:r>
        <w:t xml:space="preserve">'s Public Bodies. </w:t>
      </w:r>
      <w:r w:rsidRPr="00C47353">
        <w:t>http://www.scotland.gov.uk/Topics/Government/public-bodies/about</w:t>
      </w:r>
    </w:p>
  </w:footnote>
  <w:footnote w:id="112">
    <w:p w:rsidR="0085625D" w:rsidRPr="007A2569" w:rsidRDefault="0085625D" w:rsidP="00623FE7">
      <w:pPr>
        <w:pStyle w:val="FootnoteText"/>
        <w:rPr>
          <w:rFonts w:ascii="Gill Sans" w:hAnsi="Gill Sans"/>
        </w:rPr>
      </w:pPr>
      <w:r>
        <w:rPr>
          <w:rStyle w:val="FootnoteReference"/>
        </w:rPr>
        <w:footnoteRef/>
      </w:r>
      <w:r>
        <w:t xml:space="preserve"> </w:t>
      </w:r>
      <w:r w:rsidRPr="009F1C95">
        <w:rPr>
          <w:rFonts w:cs="Arial"/>
        </w:rPr>
        <w:t>Scottish Executive, 2010, Guidance on procurement of social care for consultation; http://www.scotland.gov.uk/Publications/2010/01/13125045/0</w:t>
      </w:r>
    </w:p>
  </w:footnote>
  <w:footnote w:id="113">
    <w:p w:rsidR="0085625D" w:rsidRPr="00836EA0" w:rsidRDefault="0085625D">
      <w:pPr>
        <w:pStyle w:val="FootnoteText"/>
        <w:rPr>
          <w:rFonts w:ascii="Gill Sans" w:hAnsi="Gill Sans"/>
        </w:rPr>
      </w:pPr>
      <w:r>
        <w:rPr>
          <w:rStyle w:val="FootnoteReference"/>
        </w:rPr>
        <w:footnoteRef/>
      </w:r>
      <w:r>
        <w:t xml:space="preserve"> </w:t>
      </w:r>
      <w:r w:rsidRPr="009F1C95">
        <w:rPr>
          <w:rFonts w:cs="Arial"/>
        </w:rPr>
        <w:t>Scottish Executive, 2010, Guidance on procurement of social care for consultation; http://www.scotland.gov.uk/Publications/2010/01/13125045/0</w:t>
      </w:r>
    </w:p>
  </w:footnote>
  <w:footnote w:id="114">
    <w:p w:rsidR="0085625D" w:rsidRPr="007D02C1" w:rsidRDefault="0085625D" w:rsidP="007D02C1">
      <w:pPr>
        <w:spacing w:after="180"/>
        <w:rPr>
          <w:rFonts w:cs="Arial"/>
          <w:sz w:val="20"/>
          <w:szCs w:val="20"/>
          <w:lang w:val="en-US"/>
        </w:rPr>
      </w:pPr>
      <w:r>
        <w:rPr>
          <w:rStyle w:val="FootnoteReference"/>
        </w:rPr>
        <w:footnoteRef/>
      </w:r>
      <w:r>
        <w:t xml:space="preserve"> </w:t>
      </w:r>
      <w:r w:rsidRPr="007D02C1">
        <w:rPr>
          <w:sz w:val="20"/>
          <w:szCs w:val="20"/>
          <w:lang w:val="en-US"/>
        </w:rPr>
        <w:t xml:space="preserve">Curtice, L. and Fraser, F. (2002) The Domiciliary Care Market in </w:t>
      </w:r>
      <w:smartTag w:uri="urn:schemas-microsoft-com:office:smarttags" w:element="country-region">
        <w:smartTag w:uri="urn:schemas-microsoft-com:office:smarttags" w:element="place">
          <w:r w:rsidRPr="007D02C1">
            <w:rPr>
              <w:sz w:val="20"/>
              <w:szCs w:val="20"/>
              <w:lang w:val="en-US"/>
            </w:rPr>
            <w:t>Scotland</w:t>
          </w:r>
        </w:smartTag>
      </w:smartTag>
      <w:r w:rsidRPr="007D02C1">
        <w:rPr>
          <w:sz w:val="20"/>
          <w:szCs w:val="20"/>
          <w:lang w:val="en-US"/>
        </w:rPr>
        <w:t xml:space="preserve"> Quazi-markets revisited, Health and Social Care in the Community 8 (4) 260-268</w:t>
      </w:r>
    </w:p>
  </w:footnote>
  <w:footnote w:id="115">
    <w:p w:rsidR="0085625D" w:rsidRPr="003931AF" w:rsidRDefault="0085625D" w:rsidP="00DF3827">
      <w:pPr>
        <w:pStyle w:val="FootnoteText"/>
      </w:pPr>
      <w:r>
        <w:rPr>
          <w:rStyle w:val="FootnoteReference"/>
        </w:rPr>
        <w:footnoteRef/>
      </w:r>
      <w:r>
        <w:t xml:space="preserve"> </w:t>
      </w:r>
      <w:r w:rsidRPr="00212A47">
        <w:t>Stalker,</w:t>
      </w:r>
      <w:r>
        <w:t xml:space="preserve"> </w:t>
      </w:r>
      <w:r w:rsidRPr="00212A47">
        <w:t xml:space="preserve">K.O., Malloch, M., Barry, M.A., Watson, J.A. (2008) Local area co-ordination: strengthening support for people with learning disabilities in </w:t>
      </w:r>
      <w:smartTag w:uri="urn:schemas-microsoft-com:office:smarttags" w:element="country-region">
        <w:smartTag w:uri="urn:schemas-microsoft-com:office:smarttags" w:element="place">
          <w:r w:rsidRPr="00212A47">
            <w:t>Scotland</w:t>
          </w:r>
        </w:smartTag>
      </w:smartTag>
      <w:r w:rsidRPr="00212A47">
        <w:t>. British Journal of Learning Disabilities. Blackwell Publishing Ltd</w:t>
      </w:r>
      <w:r>
        <w:t>.</w:t>
      </w:r>
    </w:p>
  </w:footnote>
  <w:footnote w:id="116">
    <w:p w:rsidR="0085625D" w:rsidRPr="00465E57" w:rsidRDefault="0085625D" w:rsidP="00DF3827">
      <w:pPr>
        <w:pStyle w:val="FootnoteText"/>
      </w:pPr>
      <w:r>
        <w:rPr>
          <w:rStyle w:val="FootnoteReference"/>
        </w:rPr>
        <w:footnoteRef/>
      </w:r>
      <w:r>
        <w:t xml:space="preserve"> </w:t>
      </w:r>
      <w:r w:rsidRPr="00465E57">
        <w:t>ibid</w:t>
      </w:r>
    </w:p>
  </w:footnote>
  <w:footnote w:id="117">
    <w:p w:rsidR="0085625D" w:rsidRPr="00212A47" w:rsidRDefault="0085625D" w:rsidP="0097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rPr>
          <w:sz w:val="20"/>
          <w:szCs w:val="20"/>
        </w:rPr>
      </w:pPr>
      <w:r w:rsidRPr="00212A47">
        <w:rPr>
          <w:rStyle w:val="FootnoteReference"/>
          <w:sz w:val="20"/>
          <w:szCs w:val="20"/>
        </w:rPr>
        <w:footnoteRef/>
      </w:r>
      <w:r w:rsidRPr="00212A47">
        <w:rPr>
          <w:sz w:val="20"/>
          <w:szCs w:val="20"/>
        </w:rPr>
        <w:t xml:space="preserve"> </w:t>
      </w:r>
      <w:r w:rsidRPr="00212A47">
        <w:rPr>
          <w:rFonts w:cs="Helvetica"/>
          <w:sz w:val="20"/>
          <w:szCs w:val="20"/>
          <w:lang w:val="en-US" w:bidi="en-US"/>
        </w:rPr>
        <w:t xml:space="preserve">Scottish Executive (2004g) A Map of independent Advocacy Across Scotland </w:t>
      </w:r>
    </w:p>
  </w:footnote>
  <w:footnote w:id="118">
    <w:p w:rsidR="0085625D" w:rsidRPr="007A5EDD" w:rsidRDefault="0085625D" w:rsidP="0097317F">
      <w:pPr>
        <w:pStyle w:val="FootnoteText"/>
      </w:pPr>
      <w:r w:rsidRPr="0041360D">
        <w:rPr>
          <w:rStyle w:val="FootnoteReference"/>
        </w:rPr>
        <w:footnoteRef/>
      </w:r>
      <w:r w:rsidRPr="0041360D">
        <w:t xml:space="preserve"> </w:t>
      </w:r>
      <w:r w:rsidRPr="007A5EDD">
        <w:t xml:space="preserve">Scottish Government (2008) Reporting on Progress towards Equality of Opportunity between Disabled Persons and other persons made by Public Authorities in </w:t>
      </w:r>
      <w:smartTag w:uri="urn:schemas-microsoft-com:office:smarttags" w:element="country-region">
        <w:smartTag w:uri="urn:schemas-microsoft-com:office:smarttags" w:element="place">
          <w:r w:rsidRPr="007A5EDD">
            <w:t>Scotland</w:t>
          </w:r>
        </w:smartTag>
      </w:smartTag>
      <w:r w:rsidRPr="007A5EDD">
        <w:t>: The Scottish Minister’s Duties Health and Well Being.</w:t>
      </w:r>
    </w:p>
  </w:footnote>
  <w:footnote w:id="119">
    <w:p w:rsidR="0085625D" w:rsidRPr="001C356A" w:rsidRDefault="0085625D" w:rsidP="0097317F">
      <w:pPr>
        <w:pStyle w:val="FootnoteText"/>
      </w:pPr>
      <w:r w:rsidRPr="009453DD">
        <w:rPr>
          <w:rStyle w:val="FootnoteReference"/>
        </w:rPr>
        <w:footnoteRef/>
      </w:r>
      <w:r w:rsidRPr="009453DD">
        <w:t xml:space="preserve"> </w:t>
      </w:r>
      <w:r w:rsidRPr="001C356A">
        <w:t>NHS Scotland website http://www.show.scot.nhs.uk/introduction.aspx</w:t>
      </w:r>
    </w:p>
  </w:footnote>
  <w:footnote w:id="120">
    <w:p w:rsidR="0085625D" w:rsidRDefault="0085625D" w:rsidP="0097317F"/>
    <w:p w:rsidR="0085625D" w:rsidRDefault="0085625D" w:rsidP="0097317F">
      <w:pPr>
        <w:pStyle w:val="FootnoteText"/>
        <w:rPr>
          <w:color w:val="000000"/>
        </w:rPr>
      </w:pPr>
    </w:p>
  </w:footnote>
  <w:footnote w:id="121">
    <w:p w:rsidR="0085625D" w:rsidRPr="00745C93" w:rsidRDefault="0085625D" w:rsidP="0097317F">
      <w:pPr>
        <w:pStyle w:val="FootnoteText"/>
        <w:rPr>
          <w:rFonts w:cs="Arial"/>
        </w:rPr>
      </w:pPr>
      <w:r>
        <w:rPr>
          <w:rStyle w:val="FootnoteReference"/>
          <w:rFonts w:cs="Arial"/>
        </w:rPr>
        <w:footnoteRef/>
      </w:r>
      <w:r w:rsidRPr="00745C93">
        <w:rPr>
          <w:rFonts w:cs="Arial"/>
          <w:color w:val="000000"/>
        </w:rPr>
        <w:t>http://www.direct.gov.uk/en/DisabledPeople/FinancialSupport/AttendanceAllowance/DG_10012442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FFFFFF7C"/>
    <w:multiLevelType w:val="singleLevel"/>
    <w:tmpl w:val="B4B4EB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EB9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A810E6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D09F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C0669C6"/>
    <w:multiLevelType w:val="multilevel"/>
    <w:tmpl w:val="33DE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6B5BED"/>
    <w:multiLevelType w:val="multilevel"/>
    <w:tmpl w:val="BD2E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22A9C"/>
    <w:multiLevelType w:val="multilevel"/>
    <w:tmpl w:val="B4769B0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555FB"/>
    <w:multiLevelType w:val="multilevel"/>
    <w:tmpl w:val="AA04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B7085"/>
    <w:multiLevelType w:val="multilevel"/>
    <w:tmpl w:val="F0D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92B62"/>
    <w:multiLevelType w:val="hybridMultilevel"/>
    <w:tmpl w:val="3648DDC0"/>
    <w:lvl w:ilvl="0" w:tplc="1A52F00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0114B"/>
    <w:multiLevelType w:val="multilevel"/>
    <w:tmpl w:val="5DD6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52F3D"/>
    <w:multiLevelType w:val="multilevel"/>
    <w:tmpl w:val="FBDA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8C255C"/>
    <w:multiLevelType w:val="multilevel"/>
    <w:tmpl w:val="FDA6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9040EC"/>
    <w:multiLevelType w:val="hybridMultilevel"/>
    <w:tmpl w:val="9EACA22A"/>
    <w:lvl w:ilvl="0" w:tplc="A3989AF6">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Wingdings"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Wingdings"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Wingdings"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BA779A"/>
    <w:multiLevelType w:val="hybridMultilevel"/>
    <w:tmpl w:val="99C496AE"/>
    <w:lvl w:ilvl="0" w:tplc="8CD0B064">
      <w:start w:val="1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53D5443"/>
    <w:multiLevelType w:val="multilevel"/>
    <w:tmpl w:val="CF2C582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C93952"/>
    <w:multiLevelType w:val="hybridMultilevel"/>
    <w:tmpl w:val="582C0D2A"/>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663192"/>
    <w:multiLevelType w:val="hybridMultilevel"/>
    <w:tmpl w:val="CF2C582A"/>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Wingdings"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Wingdings"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Wingdings"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755BF3"/>
    <w:multiLevelType w:val="hybridMultilevel"/>
    <w:tmpl w:val="E496F35A"/>
    <w:lvl w:ilvl="0" w:tplc="18090001">
      <w:start w:val="1"/>
      <w:numFmt w:val="bullet"/>
      <w:lvlText w:val=""/>
      <w:lvlJc w:val="left"/>
      <w:pPr>
        <w:tabs>
          <w:tab w:val="num" w:pos="720"/>
        </w:tabs>
        <w:ind w:left="720" w:hanging="360"/>
      </w:pPr>
      <w:rPr>
        <w:rFonts w:ascii="Symbol" w:hAnsi="Symbol" w:hint="default"/>
      </w:rPr>
    </w:lvl>
    <w:lvl w:ilvl="1" w:tplc="1A52F002">
      <w:start w:val="1"/>
      <w:numFmt w:val="bullet"/>
      <w:lvlText w:val=""/>
      <w:lvlJc w:val="left"/>
      <w:pPr>
        <w:tabs>
          <w:tab w:val="num" w:pos="1440"/>
        </w:tabs>
        <w:ind w:left="1440" w:hanging="360"/>
      </w:pPr>
      <w:rPr>
        <w:rFonts w:ascii="Symbol" w:hAnsi="Symbol" w:hint="default"/>
        <w:color w:val="auto"/>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Wingdings"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Wingdings"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373407"/>
    <w:multiLevelType w:val="multilevel"/>
    <w:tmpl w:val="79DE9E2C"/>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239A8"/>
    <w:multiLevelType w:val="hybridMultilevel"/>
    <w:tmpl w:val="290AD71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12"/>
  </w:num>
  <w:num w:numId="14">
    <w:abstractNumId w:val="25"/>
  </w:num>
  <w:num w:numId="15">
    <w:abstractNumId w:val="5"/>
  </w:num>
  <w:num w:numId="16">
    <w:abstractNumId w:val="4"/>
  </w:num>
  <w:num w:numId="17">
    <w:abstractNumId w:val="1"/>
  </w:num>
  <w:num w:numId="18">
    <w:abstractNumId w:val="0"/>
  </w:num>
  <w:num w:numId="19">
    <w:abstractNumId w:val="14"/>
  </w:num>
  <w:num w:numId="20">
    <w:abstractNumId w:val="13"/>
  </w:num>
  <w:num w:numId="21">
    <w:abstractNumId w:val="10"/>
  </w:num>
  <w:num w:numId="22">
    <w:abstractNumId w:val="9"/>
  </w:num>
  <w:num w:numId="23">
    <w:abstractNumId w:val="9"/>
  </w:num>
  <w:num w:numId="24">
    <w:abstractNumId w:val="9"/>
  </w:num>
  <w:num w:numId="25">
    <w:abstractNumId w:val="23"/>
  </w:num>
  <w:num w:numId="26">
    <w:abstractNumId w:val="21"/>
  </w:num>
  <w:num w:numId="27">
    <w:abstractNumId w:val="19"/>
  </w:num>
  <w:num w:numId="28">
    <w:abstractNumId w:val="20"/>
  </w:num>
  <w:num w:numId="29">
    <w:abstractNumId w:val="17"/>
  </w:num>
  <w:num w:numId="30">
    <w:abstractNumId w:val="24"/>
  </w:num>
  <w:num w:numId="31">
    <w:abstractNumId w:val="26"/>
  </w:num>
  <w:num w:numId="32">
    <w:abstractNumId w:val="15"/>
  </w:num>
  <w:num w:numId="33">
    <w:abstractNumId w:val="11"/>
  </w:num>
  <w:num w:numId="34">
    <w:abstractNumId w:val="18"/>
  </w:num>
  <w:num w:numId="35">
    <w:abstractNumId w:val="1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C9"/>
    <w:rsid w:val="00001E72"/>
    <w:rsid w:val="00003BDB"/>
    <w:rsid w:val="00003D25"/>
    <w:rsid w:val="0000415D"/>
    <w:rsid w:val="00004B55"/>
    <w:rsid w:val="00007543"/>
    <w:rsid w:val="00015405"/>
    <w:rsid w:val="00025989"/>
    <w:rsid w:val="00034973"/>
    <w:rsid w:val="000375FD"/>
    <w:rsid w:val="00041699"/>
    <w:rsid w:val="0004594A"/>
    <w:rsid w:val="00047196"/>
    <w:rsid w:val="0006113E"/>
    <w:rsid w:val="00065B32"/>
    <w:rsid w:val="00071A3D"/>
    <w:rsid w:val="00076E2F"/>
    <w:rsid w:val="00080A61"/>
    <w:rsid w:val="000853D8"/>
    <w:rsid w:val="000A17CA"/>
    <w:rsid w:val="000A2353"/>
    <w:rsid w:val="000B278F"/>
    <w:rsid w:val="000B2938"/>
    <w:rsid w:val="000B3205"/>
    <w:rsid w:val="000B5B7B"/>
    <w:rsid w:val="000C0F23"/>
    <w:rsid w:val="000C46D7"/>
    <w:rsid w:val="000C5E0F"/>
    <w:rsid w:val="000E39ED"/>
    <w:rsid w:val="000E675A"/>
    <w:rsid w:val="000F2A8B"/>
    <w:rsid w:val="000F5416"/>
    <w:rsid w:val="000F673C"/>
    <w:rsid w:val="000F679D"/>
    <w:rsid w:val="00102A81"/>
    <w:rsid w:val="001058C1"/>
    <w:rsid w:val="00115CF3"/>
    <w:rsid w:val="00117ED3"/>
    <w:rsid w:val="00124297"/>
    <w:rsid w:val="00124568"/>
    <w:rsid w:val="001273A0"/>
    <w:rsid w:val="00130D1C"/>
    <w:rsid w:val="00135A9B"/>
    <w:rsid w:val="00137A09"/>
    <w:rsid w:val="001412DE"/>
    <w:rsid w:val="00143FD5"/>
    <w:rsid w:val="00144D47"/>
    <w:rsid w:val="00150B73"/>
    <w:rsid w:val="00152EF0"/>
    <w:rsid w:val="00161CE0"/>
    <w:rsid w:val="001633ED"/>
    <w:rsid w:val="00164F0D"/>
    <w:rsid w:val="0018146F"/>
    <w:rsid w:val="001849D5"/>
    <w:rsid w:val="001911E6"/>
    <w:rsid w:val="00193EF3"/>
    <w:rsid w:val="001A05DA"/>
    <w:rsid w:val="001A4BBC"/>
    <w:rsid w:val="001A5B18"/>
    <w:rsid w:val="001A69A3"/>
    <w:rsid w:val="001A7427"/>
    <w:rsid w:val="001B1948"/>
    <w:rsid w:val="001B6F64"/>
    <w:rsid w:val="001C05DF"/>
    <w:rsid w:val="001C15BC"/>
    <w:rsid w:val="001C356A"/>
    <w:rsid w:val="001C6C99"/>
    <w:rsid w:val="001C6D69"/>
    <w:rsid w:val="001D2571"/>
    <w:rsid w:val="001D5CA5"/>
    <w:rsid w:val="001E03FA"/>
    <w:rsid w:val="001E07DB"/>
    <w:rsid w:val="001E4FE8"/>
    <w:rsid w:val="001F3B2D"/>
    <w:rsid w:val="00200921"/>
    <w:rsid w:val="00204056"/>
    <w:rsid w:val="002104F6"/>
    <w:rsid w:val="00213750"/>
    <w:rsid w:val="00216C4B"/>
    <w:rsid w:val="002249A8"/>
    <w:rsid w:val="00230B20"/>
    <w:rsid w:val="00231C4A"/>
    <w:rsid w:val="00236866"/>
    <w:rsid w:val="00240724"/>
    <w:rsid w:val="00252BCF"/>
    <w:rsid w:val="00257990"/>
    <w:rsid w:val="00261D72"/>
    <w:rsid w:val="002635F6"/>
    <w:rsid w:val="00263EAB"/>
    <w:rsid w:val="00271B9A"/>
    <w:rsid w:val="00275120"/>
    <w:rsid w:val="00276341"/>
    <w:rsid w:val="002802D8"/>
    <w:rsid w:val="002808E9"/>
    <w:rsid w:val="00292D40"/>
    <w:rsid w:val="00296C1F"/>
    <w:rsid w:val="00296CF9"/>
    <w:rsid w:val="002A1FE1"/>
    <w:rsid w:val="002A6514"/>
    <w:rsid w:val="002B3466"/>
    <w:rsid w:val="002B6C12"/>
    <w:rsid w:val="002C20F7"/>
    <w:rsid w:val="002C430F"/>
    <w:rsid w:val="002E015B"/>
    <w:rsid w:val="002E681C"/>
    <w:rsid w:val="002F4702"/>
    <w:rsid w:val="0030362C"/>
    <w:rsid w:val="0030388C"/>
    <w:rsid w:val="0030576C"/>
    <w:rsid w:val="0030689D"/>
    <w:rsid w:val="00311E6B"/>
    <w:rsid w:val="00316C9B"/>
    <w:rsid w:val="00321B84"/>
    <w:rsid w:val="003271DD"/>
    <w:rsid w:val="00345789"/>
    <w:rsid w:val="00350C08"/>
    <w:rsid w:val="00353E0B"/>
    <w:rsid w:val="00362101"/>
    <w:rsid w:val="00372AC5"/>
    <w:rsid w:val="00376FFD"/>
    <w:rsid w:val="003776B4"/>
    <w:rsid w:val="0038152F"/>
    <w:rsid w:val="003931AF"/>
    <w:rsid w:val="00394B42"/>
    <w:rsid w:val="0039615F"/>
    <w:rsid w:val="003A3BAC"/>
    <w:rsid w:val="003A4352"/>
    <w:rsid w:val="003A48FC"/>
    <w:rsid w:val="003B00CD"/>
    <w:rsid w:val="003B2C62"/>
    <w:rsid w:val="003B67FA"/>
    <w:rsid w:val="003C28D2"/>
    <w:rsid w:val="003C42A6"/>
    <w:rsid w:val="003E1C87"/>
    <w:rsid w:val="003E2406"/>
    <w:rsid w:val="003E31F7"/>
    <w:rsid w:val="003E642C"/>
    <w:rsid w:val="003F2A13"/>
    <w:rsid w:val="003F4DC4"/>
    <w:rsid w:val="00400377"/>
    <w:rsid w:val="004074DD"/>
    <w:rsid w:val="0041156B"/>
    <w:rsid w:val="00412C0F"/>
    <w:rsid w:val="0041652C"/>
    <w:rsid w:val="00422D06"/>
    <w:rsid w:val="00423DC1"/>
    <w:rsid w:val="0042521C"/>
    <w:rsid w:val="0042690E"/>
    <w:rsid w:val="00431025"/>
    <w:rsid w:val="00431E68"/>
    <w:rsid w:val="0044240D"/>
    <w:rsid w:val="0044671B"/>
    <w:rsid w:val="00447FB4"/>
    <w:rsid w:val="00453CC6"/>
    <w:rsid w:val="0045664D"/>
    <w:rsid w:val="00465E57"/>
    <w:rsid w:val="004750AE"/>
    <w:rsid w:val="00486A40"/>
    <w:rsid w:val="004924E2"/>
    <w:rsid w:val="004A14A2"/>
    <w:rsid w:val="004A4A84"/>
    <w:rsid w:val="004A4EB9"/>
    <w:rsid w:val="004A672F"/>
    <w:rsid w:val="004B47E1"/>
    <w:rsid w:val="004C40A5"/>
    <w:rsid w:val="004C6F63"/>
    <w:rsid w:val="004D144A"/>
    <w:rsid w:val="004D2B77"/>
    <w:rsid w:val="004D463A"/>
    <w:rsid w:val="004D60A9"/>
    <w:rsid w:val="004F1BF1"/>
    <w:rsid w:val="004F71B7"/>
    <w:rsid w:val="00501C05"/>
    <w:rsid w:val="005025C8"/>
    <w:rsid w:val="00505D12"/>
    <w:rsid w:val="00505D5C"/>
    <w:rsid w:val="00511D7C"/>
    <w:rsid w:val="00512F86"/>
    <w:rsid w:val="005151B4"/>
    <w:rsid w:val="00524E01"/>
    <w:rsid w:val="00525037"/>
    <w:rsid w:val="0053233C"/>
    <w:rsid w:val="00532E37"/>
    <w:rsid w:val="00534FD1"/>
    <w:rsid w:val="00535AC5"/>
    <w:rsid w:val="00537B73"/>
    <w:rsid w:val="005517F6"/>
    <w:rsid w:val="0056021E"/>
    <w:rsid w:val="005705D8"/>
    <w:rsid w:val="00581844"/>
    <w:rsid w:val="00592967"/>
    <w:rsid w:val="00592C76"/>
    <w:rsid w:val="00594642"/>
    <w:rsid w:val="00594A89"/>
    <w:rsid w:val="005A5DC0"/>
    <w:rsid w:val="005B4381"/>
    <w:rsid w:val="005C1BEE"/>
    <w:rsid w:val="005C41B2"/>
    <w:rsid w:val="005D5ABC"/>
    <w:rsid w:val="005D74B7"/>
    <w:rsid w:val="00600BC3"/>
    <w:rsid w:val="00600FC5"/>
    <w:rsid w:val="0061027B"/>
    <w:rsid w:val="00611774"/>
    <w:rsid w:val="0062305F"/>
    <w:rsid w:val="006234BE"/>
    <w:rsid w:val="00623FE7"/>
    <w:rsid w:val="00634B7B"/>
    <w:rsid w:val="00634D80"/>
    <w:rsid w:val="00637A3C"/>
    <w:rsid w:val="00643205"/>
    <w:rsid w:val="006531B0"/>
    <w:rsid w:val="00653E0A"/>
    <w:rsid w:val="00662ED0"/>
    <w:rsid w:val="00663E8C"/>
    <w:rsid w:val="006645B5"/>
    <w:rsid w:val="0066774A"/>
    <w:rsid w:val="0068682D"/>
    <w:rsid w:val="00686FCF"/>
    <w:rsid w:val="006A0A6D"/>
    <w:rsid w:val="006A166D"/>
    <w:rsid w:val="006A7A33"/>
    <w:rsid w:val="006B1DFB"/>
    <w:rsid w:val="006B2928"/>
    <w:rsid w:val="006B5802"/>
    <w:rsid w:val="006C7976"/>
    <w:rsid w:val="006E1A49"/>
    <w:rsid w:val="006E6AF1"/>
    <w:rsid w:val="006F2875"/>
    <w:rsid w:val="006F6445"/>
    <w:rsid w:val="00701037"/>
    <w:rsid w:val="0070353F"/>
    <w:rsid w:val="00705D6F"/>
    <w:rsid w:val="007147D6"/>
    <w:rsid w:val="00714F94"/>
    <w:rsid w:val="007163DE"/>
    <w:rsid w:val="00717D79"/>
    <w:rsid w:val="0072630B"/>
    <w:rsid w:val="007375D0"/>
    <w:rsid w:val="0074206C"/>
    <w:rsid w:val="00745C93"/>
    <w:rsid w:val="0075402B"/>
    <w:rsid w:val="00755BEF"/>
    <w:rsid w:val="007630FF"/>
    <w:rsid w:val="00765653"/>
    <w:rsid w:val="007717C5"/>
    <w:rsid w:val="00772643"/>
    <w:rsid w:val="00780ED2"/>
    <w:rsid w:val="00784F06"/>
    <w:rsid w:val="00792A02"/>
    <w:rsid w:val="007948BF"/>
    <w:rsid w:val="007A22D5"/>
    <w:rsid w:val="007A2569"/>
    <w:rsid w:val="007A431F"/>
    <w:rsid w:val="007B3F3B"/>
    <w:rsid w:val="007C0735"/>
    <w:rsid w:val="007C33AB"/>
    <w:rsid w:val="007C3650"/>
    <w:rsid w:val="007C5A7B"/>
    <w:rsid w:val="007D02C1"/>
    <w:rsid w:val="007D2125"/>
    <w:rsid w:val="007E45E2"/>
    <w:rsid w:val="007F2D3B"/>
    <w:rsid w:val="007F2DF3"/>
    <w:rsid w:val="007F4905"/>
    <w:rsid w:val="007F734F"/>
    <w:rsid w:val="008112B5"/>
    <w:rsid w:val="00821B9B"/>
    <w:rsid w:val="008249A4"/>
    <w:rsid w:val="00832DBE"/>
    <w:rsid w:val="00836EA0"/>
    <w:rsid w:val="008403DA"/>
    <w:rsid w:val="0084798E"/>
    <w:rsid w:val="00855620"/>
    <w:rsid w:val="0085625D"/>
    <w:rsid w:val="008744C5"/>
    <w:rsid w:val="00874816"/>
    <w:rsid w:val="00874CFA"/>
    <w:rsid w:val="00875A61"/>
    <w:rsid w:val="00885C71"/>
    <w:rsid w:val="008945CF"/>
    <w:rsid w:val="00894ADD"/>
    <w:rsid w:val="00895F44"/>
    <w:rsid w:val="008A1464"/>
    <w:rsid w:val="008A38C4"/>
    <w:rsid w:val="008B4C33"/>
    <w:rsid w:val="008B6DDA"/>
    <w:rsid w:val="008B7848"/>
    <w:rsid w:val="008D1475"/>
    <w:rsid w:val="008D3732"/>
    <w:rsid w:val="008D48D9"/>
    <w:rsid w:val="008E08DD"/>
    <w:rsid w:val="008E7D9D"/>
    <w:rsid w:val="008F1582"/>
    <w:rsid w:val="008F6427"/>
    <w:rsid w:val="00902E4F"/>
    <w:rsid w:val="0090325B"/>
    <w:rsid w:val="009059E4"/>
    <w:rsid w:val="00911F4C"/>
    <w:rsid w:val="00920208"/>
    <w:rsid w:val="00924807"/>
    <w:rsid w:val="00927090"/>
    <w:rsid w:val="00927F82"/>
    <w:rsid w:val="00935ED5"/>
    <w:rsid w:val="00937C7A"/>
    <w:rsid w:val="00944418"/>
    <w:rsid w:val="00945BC7"/>
    <w:rsid w:val="00950C00"/>
    <w:rsid w:val="0095545E"/>
    <w:rsid w:val="00955F11"/>
    <w:rsid w:val="009600E6"/>
    <w:rsid w:val="0096102A"/>
    <w:rsid w:val="00970133"/>
    <w:rsid w:val="00970560"/>
    <w:rsid w:val="009723D6"/>
    <w:rsid w:val="009726E6"/>
    <w:rsid w:val="0097289F"/>
    <w:rsid w:val="00972CF8"/>
    <w:rsid w:val="0097317F"/>
    <w:rsid w:val="009743B3"/>
    <w:rsid w:val="00975ADD"/>
    <w:rsid w:val="00981DD8"/>
    <w:rsid w:val="009822E0"/>
    <w:rsid w:val="00993EEA"/>
    <w:rsid w:val="009A6EB3"/>
    <w:rsid w:val="009B5126"/>
    <w:rsid w:val="009C2AD8"/>
    <w:rsid w:val="009C59C0"/>
    <w:rsid w:val="009D0D18"/>
    <w:rsid w:val="009D10FD"/>
    <w:rsid w:val="009D494C"/>
    <w:rsid w:val="009E1136"/>
    <w:rsid w:val="009E115F"/>
    <w:rsid w:val="009E24C2"/>
    <w:rsid w:val="009E2974"/>
    <w:rsid w:val="009E6C30"/>
    <w:rsid w:val="009F1060"/>
    <w:rsid w:val="009F1C95"/>
    <w:rsid w:val="00A01722"/>
    <w:rsid w:val="00A01F19"/>
    <w:rsid w:val="00A102A6"/>
    <w:rsid w:val="00A17EBC"/>
    <w:rsid w:val="00A22355"/>
    <w:rsid w:val="00A27E29"/>
    <w:rsid w:val="00A32266"/>
    <w:rsid w:val="00A334D3"/>
    <w:rsid w:val="00A35E06"/>
    <w:rsid w:val="00A40DDF"/>
    <w:rsid w:val="00A42FD4"/>
    <w:rsid w:val="00A45841"/>
    <w:rsid w:val="00A51311"/>
    <w:rsid w:val="00A535F7"/>
    <w:rsid w:val="00A70663"/>
    <w:rsid w:val="00A723D9"/>
    <w:rsid w:val="00A726A0"/>
    <w:rsid w:val="00A73700"/>
    <w:rsid w:val="00A73950"/>
    <w:rsid w:val="00A77FFD"/>
    <w:rsid w:val="00A91D7A"/>
    <w:rsid w:val="00A92CA3"/>
    <w:rsid w:val="00A95454"/>
    <w:rsid w:val="00AA3DD3"/>
    <w:rsid w:val="00AC1519"/>
    <w:rsid w:val="00AC3D13"/>
    <w:rsid w:val="00AC66CB"/>
    <w:rsid w:val="00AD2055"/>
    <w:rsid w:val="00AD4D17"/>
    <w:rsid w:val="00AE7950"/>
    <w:rsid w:val="00AF0D08"/>
    <w:rsid w:val="00AF54CF"/>
    <w:rsid w:val="00B15C22"/>
    <w:rsid w:val="00B20331"/>
    <w:rsid w:val="00B2282D"/>
    <w:rsid w:val="00B270FD"/>
    <w:rsid w:val="00B32A9A"/>
    <w:rsid w:val="00B33DF7"/>
    <w:rsid w:val="00B34181"/>
    <w:rsid w:val="00B3514B"/>
    <w:rsid w:val="00B35222"/>
    <w:rsid w:val="00B3527D"/>
    <w:rsid w:val="00B41855"/>
    <w:rsid w:val="00B478FE"/>
    <w:rsid w:val="00B5186C"/>
    <w:rsid w:val="00B534D1"/>
    <w:rsid w:val="00B57FBE"/>
    <w:rsid w:val="00B61A38"/>
    <w:rsid w:val="00B669A3"/>
    <w:rsid w:val="00B747C5"/>
    <w:rsid w:val="00B91B53"/>
    <w:rsid w:val="00B9390E"/>
    <w:rsid w:val="00BA7D05"/>
    <w:rsid w:val="00BB0B4E"/>
    <w:rsid w:val="00BB281F"/>
    <w:rsid w:val="00BB3334"/>
    <w:rsid w:val="00BC6DBA"/>
    <w:rsid w:val="00BD01BF"/>
    <w:rsid w:val="00BE0012"/>
    <w:rsid w:val="00C129D2"/>
    <w:rsid w:val="00C13CE0"/>
    <w:rsid w:val="00C14B4A"/>
    <w:rsid w:val="00C14C74"/>
    <w:rsid w:val="00C15EDD"/>
    <w:rsid w:val="00C17158"/>
    <w:rsid w:val="00C2357E"/>
    <w:rsid w:val="00C36CA2"/>
    <w:rsid w:val="00C4028F"/>
    <w:rsid w:val="00C43D76"/>
    <w:rsid w:val="00C47353"/>
    <w:rsid w:val="00C529DC"/>
    <w:rsid w:val="00C53985"/>
    <w:rsid w:val="00C666F6"/>
    <w:rsid w:val="00C6712F"/>
    <w:rsid w:val="00C730D2"/>
    <w:rsid w:val="00C75E72"/>
    <w:rsid w:val="00C7681B"/>
    <w:rsid w:val="00C856F2"/>
    <w:rsid w:val="00C85E9F"/>
    <w:rsid w:val="00C91126"/>
    <w:rsid w:val="00CA5A88"/>
    <w:rsid w:val="00CC2C7E"/>
    <w:rsid w:val="00CC6E2D"/>
    <w:rsid w:val="00CF0287"/>
    <w:rsid w:val="00CF1F96"/>
    <w:rsid w:val="00CF5837"/>
    <w:rsid w:val="00CF6519"/>
    <w:rsid w:val="00D02462"/>
    <w:rsid w:val="00D0614D"/>
    <w:rsid w:val="00D07FD0"/>
    <w:rsid w:val="00D14D3A"/>
    <w:rsid w:val="00D177C7"/>
    <w:rsid w:val="00D17EAB"/>
    <w:rsid w:val="00D208D5"/>
    <w:rsid w:val="00D2437B"/>
    <w:rsid w:val="00D278FA"/>
    <w:rsid w:val="00D31957"/>
    <w:rsid w:val="00D31F22"/>
    <w:rsid w:val="00D379F1"/>
    <w:rsid w:val="00D42FBF"/>
    <w:rsid w:val="00D43502"/>
    <w:rsid w:val="00D46F2B"/>
    <w:rsid w:val="00D51EB4"/>
    <w:rsid w:val="00D60690"/>
    <w:rsid w:val="00D6650B"/>
    <w:rsid w:val="00D806E8"/>
    <w:rsid w:val="00D84295"/>
    <w:rsid w:val="00D853B6"/>
    <w:rsid w:val="00D961E0"/>
    <w:rsid w:val="00DA4D0B"/>
    <w:rsid w:val="00DB07CB"/>
    <w:rsid w:val="00DB2039"/>
    <w:rsid w:val="00DB3935"/>
    <w:rsid w:val="00DB7DE4"/>
    <w:rsid w:val="00DC3B26"/>
    <w:rsid w:val="00DC3CDD"/>
    <w:rsid w:val="00DC3EF7"/>
    <w:rsid w:val="00DD4CFC"/>
    <w:rsid w:val="00DD6132"/>
    <w:rsid w:val="00DE345C"/>
    <w:rsid w:val="00DE6B83"/>
    <w:rsid w:val="00DE7306"/>
    <w:rsid w:val="00DF3827"/>
    <w:rsid w:val="00DF3DF4"/>
    <w:rsid w:val="00E02081"/>
    <w:rsid w:val="00E079A0"/>
    <w:rsid w:val="00E17DC6"/>
    <w:rsid w:val="00E311AB"/>
    <w:rsid w:val="00E351F7"/>
    <w:rsid w:val="00E4403C"/>
    <w:rsid w:val="00E46A5E"/>
    <w:rsid w:val="00E5333E"/>
    <w:rsid w:val="00E54E3F"/>
    <w:rsid w:val="00E57511"/>
    <w:rsid w:val="00E57C81"/>
    <w:rsid w:val="00E752B4"/>
    <w:rsid w:val="00E75B7A"/>
    <w:rsid w:val="00E81A25"/>
    <w:rsid w:val="00E9055D"/>
    <w:rsid w:val="00E92649"/>
    <w:rsid w:val="00E932D9"/>
    <w:rsid w:val="00E93D2C"/>
    <w:rsid w:val="00E96AA7"/>
    <w:rsid w:val="00EA167B"/>
    <w:rsid w:val="00EB3EB9"/>
    <w:rsid w:val="00EB6E7B"/>
    <w:rsid w:val="00EB771E"/>
    <w:rsid w:val="00EC1708"/>
    <w:rsid w:val="00EC255C"/>
    <w:rsid w:val="00EC4D07"/>
    <w:rsid w:val="00EC7DAD"/>
    <w:rsid w:val="00ED02DE"/>
    <w:rsid w:val="00ED1D85"/>
    <w:rsid w:val="00ED562D"/>
    <w:rsid w:val="00ED5B3A"/>
    <w:rsid w:val="00EE236E"/>
    <w:rsid w:val="00F000E1"/>
    <w:rsid w:val="00F02C6F"/>
    <w:rsid w:val="00F06AE8"/>
    <w:rsid w:val="00F10D5B"/>
    <w:rsid w:val="00F2465C"/>
    <w:rsid w:val="00F26D44"/>
    <w:rsid w:val="00F36880"/>
    <w:rsid w:val="00F41836"/>
    <w:rsid w:val="00F515CC"/>
    <w:rsid w:val="00F55A8C"/>
    <w:rsid w:val="00F57DE2"/>
    <w:rsid w:val="00F62647"/>
    <w:rsid w:val="00F77C77"/>
    <w:rsid w:val="00F81998"/>
    <w:rsid w:val="00F84DB5"/>
    <w:rsid w:val="00F85BDE"/>
    <w:rsid w:val="00F864A3"/>
    <w:rsid w:val="00F90DB9"/>
    <w:rsid w:val="00F9417C"/>
    <w:rsid w:val="00F96F93"/>
    <w:rsid w:val="00FA01AE"/>
    <w:rsid w:val="00FA20A3"/>
    <w:rsid w:val="00FA473E"/>
    <w:rsid w:val="00FC4635"/>
    <w:rsid w:val="00FC4C0C"/>
    <w:rsid w:val="00FC59F5"/>
    <w:rsid w:val="00FC5BA5"/>
    <w:rsid w:val="00FD2A25"/>
    <w:rsid w:val="00FD6F23"/>
    <w:rsid w:val="00FE347F"/>
    <w:rsid w:val="00FF0431"/>
    <w:rsid w:val="00FF2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colormenu v:ext="edit" fillcolor="none"/>
    </o:shapedefaults>
    <o:shapelayout v:ext="edit">
      <o:idmap v:ext="edit" data="1"/>
    </o:shapelayout>
  </w:shapeDefaults>
  <w:decimalSymbol w:val="."/>
  <w:listSeparator w:val=","/>
  <w14:docId w14:val="5872779F"/>
  <w15:chartTrackingRefBased/>
  <w15:docId w15:val="{3BFE6267-623F-497E-8BB3-8CA01CD4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6B"/>
    <w:pPr>
      <w:spacing w:after="300" w:line="294" w:lineRule="exact"/>
    </w:pPr>
    <w:rPr>
      <w:rFonts w:ascii="Arial" w:eastAsia="Times New Roman" w:hAnsi="Arial"/>
      <w:sz w:val="24"/>
      <w:szCs w:val="24"/>
      <w:lang w:eastAsia="en-US"/>
    </w:rPr>
  </w:style>
  <w:style w:type="paragraph" w:styleId="Heading1">
    <w:name w:val="heading 1"/>
    <w:aliases w:val="Attribute Heading 1"/>
    <w:basedOn w:val="Normal"/>
    <w:next w:val="Normal"/>
    <w:link w:val="Heading1Char"/>
    <w:qFormat/>
    <w:rsid w:val="00311E6B"/>
    <w:pPr>
      <w:keepNext/>
      <w:spacing w:before="360" w:after="60"/>
      <w:ind w:left="-284"/>
      <w:outlineLvl w:val="0"/>
    </w:pPr>
    <w:rPr>
      <w:rFonts w:cs="Arial"/>
      <w:b/>
      <w:bCs/>
      <w:kern w:val="32"/>
      <w:sz w:val="32"/>
      <w:szCs w:val="32"/>
    </w:rPr>
  </w:style>
  <w:style w:type="paragraph" w:styleId="Heading2">
    <w:name w:val="heading 2"/>
    <w:aliases w:val="Sanyo 2 Char,Heading 2 Char"/>
    <w:basedOn w:val="Normal"/>
    <w:next w:val="Normal"/>
    <w:qFormat/>
    <w:rsid w:val="00311E6B"/>
    <w:pPr>
      <w:keepNext/>
      <w:spacing w:before="240" w:after="60"/>
      <w:outlineLvl w:val="1"/>
    </w:pPr>
    <w:rPr>
      <w:rFonts w:ascii="Arial Bold" w:hAnsi="Arial Bold" w:cs="Arial"/>
      <w:b/>
      <w:bCs/>
      <w:iCs/>
      <w:sz w:val="28"/>
      <w:szCs w:val="28"/>
    </w:rPr>
  </w:style>
  <w:style w:type="paragraph" w:styleId="Heading3">
    <w:name w:val="heading 3"/>
    <w:basedOn w:val="Normal"/>
    <w:next w:val="Normal"/>
    <w:link w:val="Heading3Char"/>
    <w:qFormat/>
    <w:rsid w:val="00311E6B"/>
    <w:pPr>
      <w:keepNext/>
      <w:spacing w:before="240" w:after="0"/>
      <w:outlineLvl w:val="2"/>
    </w:pPr>
    <w:rPr>
      <w:rFonts w:ascii="Arial Bold" w:hAnsi="Arial Bold" w:cs="Arial"/>
      <w:b/>
      <w:bCs/>
    </w:rPr>
  </w:style>
  <w:style w:type="paragraph" w:styleId="Heading4">
    <w:name w:val="heading 4"/>
    <w:basedOn w:val="Normal"/>
    <w:next w:val="Normal"/>
    <w:qFormat/>
    <w:rsid w:val="00311E6B"/>
    <w:pPr>
      <w:keepNext/>
      <w:spacing w:before="240" w:after="60"/>
      <w:outlineLvl w:val="3"/>
    </w:pPr>
    <w:rPr>
      <w:rFonts w:ascii="Arial Bold" w:hAnsi="Arial Bold"/>
      <w:b/>
      <w:bCs/>
      <w:color w:val="333333"/>
    </w:rPr>
  </w:style>
  <w:style w:type="paragraph" w:styleId="Heading5">
    <w:name w:val="heading 5"/>
    <w:basedOn w:val="Normal"/>
    <w:next w:val="Normal"/>
    <w:qFormat/>
    <w:rsid w:val="00311E6B"/>
    <w:pPr>
      <w:spacing w:before="240"/>
      <w:outlineLvl w:val="4"/>
    </w:pPr>
    <w:rPr>
      <w:b/>
      <w:bCs/>
      <w:i/>
      <w:iCs/>
      <w:sz w:val="26"/>
      <w:szCs w:val="26"/>
    </w:rPr>
  </w:style>
  <w:style w:type="paragraph" w:styleId="Heading6">
    <w:name w:val="heading 6"/>
    <w:basedOn w:val="Normal"/>
    <w:next w:val="Normal"/>
    <w:qFormat/>
    <w:rsid w:val="00311E6B"/>
    <w:pPr>
      <w:spacing w:before="240"/>
      <w:outlineLvl w:val="5"/>
    </w:pPr>
    <w:rPr>
      <w:rFonts w:ascii="Times New Roman" w:hAnsi="Times New Roman"/>
      <w:b/>
      <w:bCs/>
      <w:sz w:val="22"/>
      <w:szCs w:val="22"/>
    </w:rPr>
  </w:style>
  <w:style w:type="paragraph" w:styleId="Heading7">
    <w:name w:val="heading 7"/>
    <w:basedOn w:val="Normal"/>
    <w:next w:val="Normal"/>
    <w:qFormat/>
    <w:rsid w:val="00311E6B"/>
    <w:pPr>
      <w:keepNext/>
      <w:spacing w:before="240"/>
      <w:jc w:val="center"/>
      <w:outlineLvl w:val="6"/>
    </w:pPr>
    <w:rPr>
      <w:rFonts w:cs="Arial"/>
      <w:b/>
      <w:sz w:val="48"/>
      <w:szCs w:val="40"/>
    </w:rPr>
  </w:style>
  <w:style w:type="paragraph" w:styleId="Heading8">
    <w:name w:val="heading 8"/>
    <w:basedOn w:val="Normal"/>
    <w:next w:val="Normal"/>
    <w:qFormat/>
    <w:rsid w:val="00311E6B"/>
    <w:pPr>
      <w:keepNext/>
      <w:outlineLvl w:val="7"/>
    </w:pPr>
    <w:rPr>
      <w:sz w:val="32"/>
    </w:rPr>
  </w:style>
  <w:style w:type="paragraph" w:styleId="Heading9">
    <w:name w:val="heading 9"/>
    <w:basedOn w:val="Normal"/>
    <w:next w:val="Normal"/>
    <w:qFormat/>
    <w:rsid w:val="00311E6B"/>
    <w:pPr>
      <w:keepNext/>
      <w:spacing w:before="240"/>
      <w:outlineLvl w:val="8"/>
    </w:pPr>
    <w:rPr>
      <w:rFonts w:cs="Arial"/>
      <w:b/>
      <w:sz w:val="40"/>
      <w:szCs w:val="32"/>
    </w:rPr>
  </w:style>
  <w:style w:type="character" w:default="1" w:styleId="DefaultParagraphFont">
    <w:name w:val="Default Paragraph Font"/>
    <w:semiHidden/>
    <w:rsid w:val="00311E6B"/>
  </w:style>
  <w:style w:type="table" w:default="1" w:styleId="TableNormal">
    <w:name w:val="Normal Table"/>
    <w:semiHidden/>
    <w:rsid w:val="00532E37"/>
    <w:tblPr>
      <w:tblInd w:w="0" w:type="dxa"/>
      <w:tblCellMar>
        <w:top w:w="0" w:type="dxa"/>
        <w:left w:w="108" w:type="dxa"/>
        <w:bottom w:w="0" w:type="dxa"/>
        <w:right w:w="108" w:type="dxa"/>
      </w:tblCellMar>
    </w:tblPr>
  </w:style>
  <w:style w:type="numbering" w:default="1" w:styleId="NoList">
    <w:name w:val="No List"/>
    <w:semiHidden/>
    <w:rsid w:val="00311E6B"/>
  </w:style>
  <w:style w:type="character" w:customStyle="1" w:styleId="Heading3Char">
    <w:name w:val="Heading 3 Char"/>
    <w:basedOn w:val="DefaultParagraphFont"/>
    <w:link w:val="Heading3"/>
    <w:rsid w:val="009453DD"/>
    <w:rPr>
      <w:rFonts w:ascii="Arial Bold" w:eastAsia="Times New Roman" w:hAnsi="Arial Bold" w:cs="Arial"/>
      <w:b/>
      <w:bCs/>
      <w:sz w:val="24"/>
      <w:szCs w:val="24"/>
      <w:lang w:eastAsia="en-US"/>
    </w:rPr>
  </w:style>
  <w:style w:type="paragraph" w:styleId="CommentText">
    <w:name w:val="annotation text"/>
    <w:basedOn w:val="Normal"/>
    <w:semiHidden/>
    <w:rsid w:val="00311E6B"/>
    <w:rPr>
      <w:sz w:val="20"/>
    </w:rPr>
  </w:style>
  <w:style w:type="paragraph" w:styleId="BlockText">
    <w:name w:val="Block Text"/>
    <w:basedOn w:val="Normal"/>
    <w:rsid w:val="00311E6B"/>
    <w:pPr>
      <w:spacing w:after="120"/>
      <w:ind w:left="1440" w:right="1440"/>
    </w:pPr>
  </w:style>
  <w:style w:type="paragraph" w:styleId="BodyText">
    <w:name w:val="Body Text"/>
    <w:basedOn w:val="Normal"/>
    <w:rsid w:val="00311E6B"/>
    <w:pPr>
      <w:spacing w:after="120"/>
    </w:pPr>
  </w:style>
  <w:style w:type="paragraph" w:styleId="BodyTextIndent">
    <w:name w:val="Body Text Indent"/>
    <w:basedOn w:val="Normal"/>
    <w:rsid w:val="00311E6B"/>
    <w:pPr>
      <w:spacing w:after="120"/>
      <w:ind w:left="283"/>
    </w:pPr>
  </w:style>
  <w:style w:type="paragraph" w:styleId="Caption">
    <w:name w:val="caption"/>
    <w:basedOn w:val="Normal"/>
    <w:next w:val="Normal"/>
    <w:qFormat/>
    <w:rsid w:val="00311E6B"/>
    <w:pPr>
      <w:spacing w:after="120" w:line="240" w:lineRule="auto"/>
      <w:jc w:val="center"/>
    </w:pPr>
    <w:rPr>
      <w:b/>
      <w:bCs/>
    </w:rPr>
  </w:style>
  <w:style w:type="paragraph" w:styleId="Date">
    <w:name w:val="Date"/>
    <w:basedOn w:val="Normal"/>
    <w:next w:val="Normal"/>
    <w:rsid w:val="00311E6B"/>
    <w:rPr>
      <w:i/>
    </w:rPr>
  </w:style>
  <w:style w:type="paragraph" w:styleId="DocumentMap">
    <w:name w:val="Document Map"/>
    <w:basedOn w:val="Normal"/>
    <w:semiHidden/>
    <w:rsid w:val="00311E6B"/>
    <w:pPr>
      <w:shd w:val="clear" w:color="auto" w:fill="000080"/>
    </w:pPr>
    <w:rPr>
      <w:rFonts w:ascii="Tahoma" w:hAnsi="Tahoma" w:cs="Tahoma"/>
      <w:sz w:val="20"/>
    </w:rPr>
  </w:style>
  <w:style w:type="character" w:styleId="Emphasis">
    <w:name w:val="Emphasis"/>
    <w:basedOn w:val="DefaultParagraphFont"/>
    <w:qFormat/>
    <w:rsid w:val="00311E6B"/>
    <w:rPr>
      <w:i/>
    </w:rPr>
  </w:style>
  <w:style w:type="character" w:styleId="FollowedHyperlink">
    <w:name w:val="FollowedHyperlink"/>
    <w:basedOn w:val="DefaultParagraphFont"/>
    <w:rsid w:val="00311E6B"/>
    <w:rPr>
      <w:color w:val="800080"/>
      <w:u w:val="single"/>
    </w:rPr>
  </w:style>
  <w:style w:type="paragraph" w:styleId="Footer">
    <w:name w:val="footer"/>
    <w:basedOn w:val="Normal"/>
    <w:rsid w:val="00311E6B"/>
    <w:pPr>
      <w:tabs>
        <w:tab w:val="center" w:pos="4153"/>
        <w:tab w:val="right" w:pos="8306"/>
      </w:tabs>
      <w:spacing w:before="60" w:after="60" w:line="240" w:lineRule="auto"/>
    </w:pPr>
    <w:rPr>
      <w:color w:val="323232"/>
      <w:sz w:val="20"/>
      <w:szCs w:val="20"/>
    </w:rPr>
  </w:style>
  <w:style w:type="paragraph" w:styleId="Header">
    <w:name w:val="header"/>
    <w:basedOn w:val="Normal"/>
    <w:rsid w:val="00311E6B"/>
    <w:pPr>
      <w:tabs>
        <w:tab w:val="center" w:pos="4320"/>
        <w:tab w:val="right" w:pos="8640"/>
      </w:tabs>
      <w:spacing w:after="0" w:line="240" w:lineRule="auto"/>
    </w:pPr>
    <w:rPr>
      <w:color w:val="333333"/>
      <w:sz w:val="20"/>
      <w:szCs w:val="20"/>
    </w:rPr>
  </w:style>
  <w:style w:type="character" w:styleId="Hyperlink">
    <w:name w:val="Hyperlink"/>
    <w:basedOn w:val="DefaultParagraphFont"/>
    <w:rsid w:val="00311E6B"/>
    <w:rPr>
      <w:color w:val="0000FF"/>
      <w:u w:val="single"/>
    </w:rPr>
  </w:style>
  <w:style w:type="paragraph" w:styleId="ListBullet">
    <w:name w:val="List Bullet"/>
    <w:basedOn w:val="Normal"/>
    <w:link w:val="ListBulletChar1"/>
    <w:rsid w:val="00311E6B"/>
    <w:pPr>
      <w:numPr>
        <w:numId w:val="1"/>
      </w:numPr>
      <w:spacing w:before="120" w:after="120" w:line="240" w:lineRule="auto"/>
    </w:pPr>
  </w:style>
  <w:style w:type="character" w:customStyle="1" w:styleId="ListBulletChar1">
    <w:name w:val="List Bullet Char1"/>
    <w:basedOn w:val="DefaultParagraphFont"/>
    <w:link w:val="ListBullet"/>
    <w:rsid w:val="00807F99"/>
    <w:rPr>
      <w:rFonts w:ascii="Arial" w:eastAsia="Times New Roman" w:hAnsi="Arial"/>
      <w:sz w:val="24"/>
      <w:szCs w:val="24"/>
      <w:lang w:eastAsia="en-US"/>
    </w:rPr>
  </w:style>
  <w:style w:type="paragraph" w:styleId="ListBullet2">
    <w:name w:val="List Bullet 2"/>
    <w:basedOn w:val="Normal"/>
    <w:rsid w:val="00311E6B"/>
    <w:pPr>
      <w:numPr>
        <w:numId w:val="3"/>
      </w:numPr>
      <w:spacing w:before="60" w:after="60"/>
    </w:pPr>
  </w:style>
  <w:style w:type="paragraph" w:styleId="ListBullet3">
    <w:name w:val="List Bullet 3"/>
    <w:basedOn w:val="Normal"/>
    <w:rsid w:val="00311E6B"/>
    <w:pPr>
      <w:numPr>
        <w:numId w:val="5"/>
      </w:numPr>
      <w:spacing w:before="60" w:after="60"/>
    </w:pPr>
  </w:style>
  <w:style w:type="paragraph" w:styleId="ListContinue">
    <w:name w:val="List Continue"/>
    <w:basedOn w:val="Normal"/>
    <w:rsid w:val="00311E6B"/>
    <w:pPr>
      <w:spacing w:before="120" w:after="120"/>
      <w:ind w:left="357"/>
    </w:pPr>
  </w:style>
  <w:style w:type="paragraph" w:styleId="ListContinue2">
    <w:name w:val="List Continue 2"/>
    <w:basedOn w:val="Normal"/>
    <w:rsid w:val="00311E6B"/>
    <w:pPr>
      <w:spacing w:before="60" w:after="60"/>
      <w:ind w:left="641"/>
    </w:pPr>
  </w:style>
  <w:style w:type="paragraph" w:styleId="ListContinue3">
    <w:name w:val="List Continue 3"/>
    <w:basedOn w:val="Normal"/>
    <w:rsid w:val="00311E6B"/>
    <w:pPr>
      <w:spacing w:before="60" w:after="60"/>
      <w:ind w:left="924"/>
    </w:pPr>
  </w:style>
  <w:style w:type="paragraph" w:styleId="ListNumber">
    <w:name w:val="List Number"/>
    <w:basedOn w:val="Normal"/>
    <w:rsid w:val="00311E6B"/>
    <w:pPr>
      <w:numPr>
        <w:numId w:val="7"/>
      </w:numPr>
      <w:tabs>
        <w:tab w:val="clear" w:pos="360"/>
      </w:tabs>
      <w:spacing w:after="120" w:line="240" w:lineRule="auto"/>
    </w:pPr>
  </w:style>
  <w:style w:type="paragraph" w:styleId="ListNumber2">
    <w:name w:val="List Number 2"/>
    <w:basedOn w:val="Normal"/>
    <w:rsid w:val="00311E6B"/>
    <w:pPr>
      <w:numPr>
        <w:numId w:val="9"/>
      </w:numPr>
      <w:tabs>
        <w:tab w:val="clear" w:pos="641"/>
        <w:tab w:val="num" w:pos="643"/>
      </w:tabs>
      <w:spacing w:before="60" w:after="60"/>
    </w:pPr>
  </w:style>
  <w:style w:type="paragraph" w:styleId="ListNumber3">
    <w:name w:val="List Number 3"/>
    <w:basedOn w:val="Normal"/>
    <w:rsid w:val="00311E6B"/>
    <w:pPr>
      <w:numPr>
        <w:numId w:val="11"/>
      </w:numPr>
      <w:tabs>
        <w:tab w:val="clear" w:pos="926"/>
        <w:tab w:val="num" w:pos="360"/>
      </w:tabs>
      <w:spacing w:before="60" w:after="60"/>
      <w:ind w:left="357" w:hanging="357"/>
    </w:pPr>
  </w:style>
  <w:style w:type="paragraph" w:styleId="MacroText">
    <w:name w:val="macro"/>
    <w:semiHidden/>
    <w:rsid w:val="00311E6B"/>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311E6B"/>
    <w:pPr>
      <w:ind w:left="720"/>
    </w:pPr>
  </w:style>
  <w:style w:type="character" w:styleId="PageNumber">
    <w:name w:val="page number"/>
    <w:basedOn w:val="DefaultParagraphFont"/>
    <w:rsid w:val="00311E6B"/>
  </w:style>
  <w:style w:type="paragraph" w:styleId="Subtitle">
    <w:name w:val="Subtitle"/>
    <w:basedOn w:val="Normal"/>
    <w:next w:val="Normal"/>
    <w:qFormat/>
    <w:rsid w:val="00311E6B"/>
    <w:pPr>
      <w:jc w:val="center"/>
      <w:outlineLvl w:val="1"/>
    </w:pPr>
    <w:rPr>
      <w:sz w:val="28"/>
    </w:rPr>
  </w:style>
  <w:style w:type="paragraph" w:styleId="Title">
    <w:name w:val="Title"/>
    <w:basedOn w:val="Normal"/>
    <w:next w:val="Normal"/>
    <w:qFormat/>
    <w:rsid w:val="00311E6B"/>
    <w:pPr>
      <w:spacing w:before="240" w:after="60"/>
      <w:jc w:val="center"/>
      <w:outlineLvl w:val="0"/>
    </w:pPr>
    <w:rPr>
      <w:rFonts w:ascii="Arial Bold" w:hAnsi="Arial Bold" w:cs="Arial"/>
      <w:b/>
      <w:bCs/>
      <w:kern w:val="28"/>
      <w:sz w:val="32"/>
      <w:szCs w:val="32"/>
    </w:rPr>
  </w:style>
  <w:style w:type="character" w:styleId="FootnoteReference">
    <w:name w:val="footnote reference"/>
    <w:basedOn w:val="DefaultParagraphFont"/>
    <w:semiHidden/>
    <w:rsid w:val="00352CD3"/>
    <w:rPr>
      <w:vertAlign w:val="superscript"/>
    </w:rPr>
  </w:style>
  <w:style w:type="paragraph" w:styleId="FootnoteText">
    <w:name w:val="footnote text"/>
    <w:basedOn w:val="Normal"/>
    <w:link w:val="FootnoteTextChar1"/>
    <w:semiHidden/>
    <w:rsid w:val="00311E6B"/>
    <w:pPr>
      <w:spacing w:after="60" w:line="240" w:lineRule="auto"/>
    </w:pPr>
    <w:rPr>
      <w:sz w:val="20"/>
      <w:szCs w:val="20"/>
    </w:rPr>
  </w:style>
  <w:style w:type="character" w:customStyle="1" w:styleId="FootnoteTextChar1">
    <w:name w:val="Footnote Text Char1"/>
    <w:basedOn w:val="DefaultParagraphFont"/>
    <w:link w:val="FootnoteText"/>
    <w:semiHidden/>
    <w:rsid w:val="00947625"/>
    <w:rPr>
      <w:rFonts w:ascii="Arial" w:eastAsia="Times New Roman" w:hAnsi="Arial"/>
      <w:lang w:eastAsia="en-US"/>
    </w:rPr>
  </w:style>
  <w:style w:type="character" w:styleId="HTMLAcronym">
    <w:name w:val="HTML Acronym"/>
    <w:basedOn w:val="DefaultParagraphFont"/>
    <w:rsid w:val="00352CD3"/>
  </w:style>
  <w:style w:type="paragraph" w:styleId="TOC1">
    <w:name w:val="toc 1"/>
    <w:basedOn w:val="Normal"/>
    <w:next w:val="Normal"/>
    <w:autoRedefine/>
    <w:semiHidden/>
    <w:rsid w:val="002B0716"/>
  </w:style>
  <w:style w:type="paragraph" w:styleId="TOC2">
    <w:name w:val="toc 2"/>
    <w:basedOn w:val="Normal"/>
    <w:next w:val="Normal"/>
    <w:autoRedefine/>
    <w:semiHidden/>
    <w:rsid w:val="002B0716"/>
    <w:pPr>
      <w:ind w:left="240"/>
    </w:pPr>
  </w:style>
  <w:style w:type="paragraph" w:styleId="TOC3">
    <w:name w:val="toc 3"/>
    <w:basedOn w:val="Normal"/>
    <w:next w:val="Normal"/>
    <w:autoRedefine/>
    <w:semiHidden/>
    <w:rsid w:val="002B0716"/>
    <w:pPr>
      <w:ind w:left="480"/>
    </w:pPr>
  </w:style>
  <w:style w:type="character" w:customStyle="1" w:styleId="Abbreviation">
    <w:name w:val="Abbreviation"/>
    <w:basedOn w:val="DefaultParagraphFont"/>
    <w:rsid w:val="00311E6B"/>
    <w:rPr>
      <w:u w:val="dottedHeavy"/>
    </w:rPr>
  </w:style>
  <w:style w:type="character" w:customStyle="1" w:styleId="Acronym">
    <w:name w:val="Acronym"/>
    <w:basedOn w:val="DefaultParagraphFont"/>
    <w:rsid w:val="00311E6B"/>
    <w:rPr>
      <w:u w:val="dotted"/>
    </w:rPr>
  </w:style>
  <w:style w:type="character" w:customStyle="1" w:styleId="attribute-value">
    <w:name w:val="attribute-value"/>
    <w:basedOn w:val="DefaultParagraphFont"/>
    <w:rsid w:val="00311E6B"/>
  </w:style>
  <w:style w:type="paragraph" w:customStyle="1" w:styleId="BlockQuote">
    <w:name w:val="Block Quote"/>
    <w:basedOn w:val="CommentText"/>
    <w:rsid w:val="00311E6B"/>
    <w:pPr>
      <w:ind w:left="1134"/>
    </w:pPr>
    <w:rPr>
      <w:sz w:val="24"/>
    </w:rPr>
  </w:style>
  <w:style w:type="paragraph" w:customStyle="1" w:styleId="Byline">
    <w:name w:val="Byline"/>
    <w:basedOn w:val="Normal"/>
    <w:next w:val="Normal"/>
    <w:rsid w:val="00311E6B"/>
    <w:pPr>
      <w:spacing w:after="0"/>
    </w:pPr>
    <w:rPr>
      <w:rFonts w:ascii="Times New Roman" w:hAnsi="Times New Roman"/>
      <w:i/>
      <w:iCs/>
      <w:lang w:val="en-GB" w:eastAsia="en-GB"/>
    </w:rPr>
  </w:style>
  <w:style w:type="paragraph" w:customStyle="1" w:styleId="DefinitionDescription">
    <w:name w:val="Definition Description"/>
    <w:basedOn w:val="Normal"/>
    <w:next w:val="Normal"/>
    <w:rsid w:val="00311E6B"/>
    <w:pPr>
      <w:ind w:left="1077"/>
    </w:pPr>
  </w:style>
  <w:style w:type="paragraph" w:customStyle="1" w:styleId="DefinitionTerm">
    <w:name w:val="Definition Term"/>
    <w:basedOn w:val="Normal"/>
    <w:next w:val="DefinitionDescription"/>
    <w:rsid w:val="00311E6B"/>
    <w:rPr>
      <w:b/>
    </w:rPr>
  </w:style>
  <w:style w:type="paragraph" w:customStyle="1" w:styleId="GraphCaption">
    <w:name w:val="GraphCaption"/>
    <w:basedOn w:val="Normal"/>
    <w:rsid w:val="00311E6B"/>
    <w:pPr>
      <w:keepNext/>
      <w:spacing w:after="120" w:line="240" w:lineRule="auto"/>
      <w:jc w:val="center"/>
    </w:pPr>
    <w:rPr>
      <w:rFonts w:ascii="Arial Bold" w:hAnsi="Arial Bold"/>
      <w:b/>
    </w:rPr>
  </w:style>
  <w:style w:type="paragraph" w:customStyle="1" w:styleId="Note">
    <w:name w:val="Note"/>
    <w:basedOn w:val="BodyText"/>
    <w:rsid w:val="00311E6B"/>
    <w:pPr>
      <w:pBdr>
        <w:top w:val="single" w:sz="12" w:space="1" w:color="808080"/>
        <w:bottom w:val="single" w:sz="12" w:space="1" w:color="808080"/>
      </w:pBdr>
    </w:pPr>
    <w:rPr>
      <w:rFonts w:ascii="Charlotte Sans" w:hAnsi="Charlotte Sans"/>
      <w:lang w:val="en-GB"/>
    </w:rPr>
  </w:style>
  <w:style w:type="character" w:customStyle="1" w:styleId="Quote1">
    <w:name w:val="Quote1"/>
    <w:basedOn w:val="DefaultParagraphFont"/>
    <w:rsid w:val="00311E6B"/>
    <w:rPr>
      <w:i/>
    </w:rPr>
  </w:style>
  <w:style w:type="paragraph" w:customStyle="1" w:styleId="TableCell">
    <w:name w:val="Table Cell"/>
    <w:basedOn w:val="Normal"/>
    <w:rsid w:val="00311E6B"/>
    <w:pPr>
      <w:spacing w:after="0" w:line="240" w:lineRule="auto"/>
    </w:pPr>
  </w:style>
  <w:style w:type="paragraph" w:customStyle="1" w:styleId="TableHead">
    <w:name w:val="Table Head"/>
    <w:basedOn w:val="Normal"/>
    <w:next w:val="Normal"/>
    <w:rsid w:val="00311E6B"/>
    <w:pPr>
      <w:spacing w:after="0"/>
    </w:pPr>
    <w:rPr>
      <w:b/>
    </w:rPr>
  </w:style>
  <w:style w:type="paragraph" w:customStyle="1" w:styleId="TableNote">
    <w:name w:val="Table Note"/>
    <w:basedOn w:val="Normal"/>
    <w:next w:val="Normal"/>
    <w:rsid w:val="00311E6B"/>
    <w:pPr>
      <w:spacing w:before="120"/>
      <w:jc w:val="center"/>
    </w:pPr>
    <w:rPr>
      <w:sz w:val="20"/>
      <w:szCs w:val="20"/>
    </w:rPr>
  </w:style>
  <w:style w:type="paragraph" w:customStyle="1" w:styleId="TableRowHead">
    <w:name w:val="Table Row Head"/>
    <w:basedOn w:val="Normal"/>
    <w:rsid w:val="00311E6B"/>
    <w:pPr>
      <w:keepNext/>
      <w:spacing w:after="0" w:line="240" w:lineRule="auto"/>
    </w:pPr>
    <w:rPr>
      <w:rFonts w:ascii="Arial Bold" w:hAnsi="Arial Bold"/>
      <w:b/>
    </w:rPr>
  </w:style>
  <w:style w:type="paragraph" w:customStyle="1" w:styleId="TableSummary">
    <w:name w:val="Table Summary"/>
    <w:basedOn w:val="Normal"/>
    <w:next w:val="TableHead"/>
    <w:rsid w:val="00311E6B"/>
    <w:pPr>
      <w:ind w:left="567" w:right="567"/>
      <w:jc w:val="center"/>
    </w:pPr>
    <w:rPr>
      <w:i/>
    </w:rPr>
  </w:style>
  <w:style w:type="paragraph" w:customStyle="1" w:styleId="TableTitle">
    <w:name w:val="Table Title"/>
    <w:basedOn w:val="Normal"/>
    <w:next w:val="TableSummary"/>
    <w:rsid w:val="00311E6B"/>
    <w:pPr>
      <w:keepNext/>
      <w:spacing w:before="240"/>
      <w:jc w:val="center"/>
    </w:pPr>
    <w:rPr>
      <w:b/>
    </w:rPr>
  </w:style>
  <w:style w:type="paragraph" w:customStyle="1" w:styleId="TaggedText">
    <w:name w:val="Tagged Text"/>
    <w:basedOn w:val="Normal"/>
    <w:rsid w:val="00311E6B"/>
    <w:pPr>
      <w:suppressAutoHyphens/>
      <w:spacing w:after="0"/>
    </w:pPr>
    <w:rPr>
      <w:rFonts w:ascii="Courier New" w:hAnsi="Courier New"/>
      <w:color w:val="FF0000"/>
    </w:rPr>
  </w:style>
  <w:style w:type="paragraph" w:customStyle="1" w:styleId="TableHeadRight">
    <w:name w:val="Table Head Right"/>
    <w:basedOn w:val="TableHead"/>
    <w:rsid w:val="00311E6B"/>
    <w:pPr>
      <w:spacing w:line="240" w:lineRule="auto"/>
      <w:jc w:val="right"/>
    </w:pPr>
  </w:style>
  <w:style w:type="paragraph" w:customStyle="1" w:styleId="TableCellLeft">
    <w:name w:val="Table Cell Left"/>
    <w:basedOn w:val="TableCell"/>
    <w:rsid w:val="00311E6B"/>
  </w:style>
  <w:style w:type="character" w:styleId="HTMLCite">
    <w:name w:val="HTML Cite"/>
    <w:basedOn w:val="DefaultParagraphFont"/>
    <w:rsid w:val="00CE7DE5"/>
    <w:rPr>
      <w:i/>
      <w:iCs/>
    </w:rPr>
  </w:style>
  <w:style w:type="paragraph" w:customStyle="1" w:styleId="Default">
    <w:name w:val="Default"/>
    <w:rsid w:val="00CA2066"/>
    <w:pPr>
      <w:autoSpaceDE w:val="0"/>
      <w:autoSpaceDN w:val="0"/>
      <w:adjustRightInd w:val="0"/>
    </w:pPr>
    <w:rPr>
      <w:rFonts w:ascii="Myriad Pro" w:eastAsia="Times New Roman" w:hAnsi="Myriad Pro" w:cs="Myriad Pro"/>
      <w:color w:val="000000"/>
      <w:sz w:val="24"/>
      <w:szCs w:val="24"/>
    </w:rPr>
  </w:style>
  <w:style w:type="paragraph" w:styleId="NormalWeb">
    <w:name w:val="Normal (Web)"/>
    <w:basedOn w:val="Normal"/>
    <w:rsid w:val="00B11939"/>
    <w:pPr>
      <w:spacing w:before="100" w:beforeAutospacing="1" w:after="100" w:afterAutospacing="1" w:line="240" w:lineRule="auto"/>
    </w:pPr>
    <w:rPr>
      <w:rFonts w:ascii="Times New Roman" w:hAnsi="Times New Roman"/>
      <w:lang w:eastAsia="en-IE"/>
    </w:rPr>
  </w:style>
  <w:style w:type="character" w:styleId="Strong">
    <w:name w:val="Strong"/>
    <w:basedOn w:val="DefaultParagraphFont"/>
    <w:qFormat/>
    <w:rsid w:val="00B11939"/>
    <w:rPr>
      <w:b/>
      <w:bCs/>
    </w:rPr>
  </w:style>
  <w:style w:type="character" w:customStyle="1" w:styleId="searchword">
    <w:name w:val="searchword"/>
    <w:basedOn w:val="DefaultParagraphFont"/>
    <w:rsid w:val="002F0CA2"/>
  </w:style>
  <w:style w:type="paragraph" w:styleId="List">
    <w:name w:val="List"/>
    <w:basedOn w:val="Normal"/>
    <w:rsid w:val="00172854"/>
    <w:pPr>
      <w:ind w:left="283" w:hanging="283"/>
    </w:pPr>
  </w:style>
  <w:style w:type="character" w:styleId="CommentReference">
    <w:name w:val="annotation reference"/>
    <w:basedOn w:val="DefaultParagraphFont"/>
    <w:semiHidden/>
    <w:rsid w:val="00A544E2"/>
    <w:rPr>
      <w:sz w:val="16"/>
      <w:szCs w:val="16"/>
    </w:rPr>
  </w:style>
  <w:style w:type="paragraph" w:styleId="CommentSubject">
    <w:name w:val="annotation subject"/>
    <w:basedOn w:val="CommentText"/>
    <w:next w:val="CommentText"/>
    <w:semiHidden/>
    <w:rsid w:val="00A544E2"/>
    <w:rPr>
      <w:b/>
      <w:bCs/>
      <w:szCs w:val="20"/>
    </w:rPr>
  </w:style>
  <w:style w:type="paragraph" w:styleId="BalloonText">
    <w:name w:val="Balloon Text"/>
    <w:basedOn w:val="Normal"/>
    <w:semiHidden/>
    <w:rsid w:val="00A544E2"/>
    <w:rPr>
      <w:rFonts w:ascii="Tahoma" w:hAnsi="Tahoma" w:cs="Tahoma"/>
      <w:sz w:val="16"/>
      <w:szCs w:val="16"/>
    </w:rPr>
  </w:style>
  <w:style w:type="paragraph" w:customStyle="1" w:styleId="Footnitereference">
    <w:name w:val="Footnite reference"/>
    <w:basedOn w:val="ListBullet"/>
    <w:link w:val="FootnitereferenceChar"/>
    <w:rsid w:val="00807F99"/>
    <w:pPr>
      <w:numPr>
        <w:numId w:val="0"/>
      </w:numPr>
      <w:tabs>
        <w:tab w:val="num" w:pos="720"/>
      </w:tabs>
      <w:ind w:left="720" w:hanging="360"/>
    </w:pPr>
    <w:rPr>
      <w:lang w:eastAsia="en-IE"/>
    </w:rPr>
  </w:style>
  <w:style w:type="character" w:customStyle="1" w:styleId="FootnitereferenceChar">
    <w:name w:val="Footnite reference Char"/>
    <w:basedOn w:val="ListBulletChar1"/>
    <w:link w:val="Footnitereference"/>
    <w:rsid w:val="00807F99"/>
    <w:rPr>
      <w:rFonts w:ascii="Arial" w:eastAsia="Times New Roman" w:hAnsi="Arial"/>
      <w:sz w:val="24"/>
      <w:szCs w:val="24"/>
      <w:lang w:eastAsia="en-IE"/>
    </w:rPr>
  </w:style>
  <w:style w:type="character" w:customStyle="1" w:styleId="ListBulletChar">
    <w:name w:val="List Bullet Char"/>
    <w:basedOn w:val="DefaultParagraphFont"/>
    <w:rsid w:val="00707BC5"/>
    <w:rPr>
      <w:rFonts w:ascii="Arial" w:hAnsi="Arial"/>
      <w:sz w:val="24"/>
      <w:szCs w:val="24"/>
      <w:lang w:val="en-IE" w:eastAsia="en-US" w:bidi="ar-SA"/>
    </w:rPr>
  </w:style>
  <w:style w:type="character" w:customStyle="1" w:styleId="FootnoteTextChar">
    <w:name w:val="Footnote Text Char"/>
    <w:basedOn w:val="DefaultParagraphFont"/>
    <w:rsid w:val="00707BC5"/>
    <w:rPr>
      <w:rFonts w:ascii="Arial" w:hAnsi="Arial"/>
      <w:lang w:val="en-IE" w:eastAsia="en-US" w:bidi="ar-SA"/>
    </w:rPr>
  </w:style>
  <w:style w:type="paragraph" w:customStyle="1" w:styleId="CharCharCharCharChar1CharCharCharCharCharCharCharCharCharCharCharCharCharCharCharCharCharChar">
    <w:name w:val=" Char Char Char Char Char1 Char Char Char Char Char Char Char Char Char Char Char Char Char Char Char Char Char Char"/>
    <w:basedOn w:val="Normal"/>
    <w:rsid w:val="00161CE0"/>
    <w:pPr>
      <w:spacing w:after="160" w:line="240" w:lineRule="exact"/>
    </w:pPr>
    <w:rPr>
      <w:rFonts w:ascii="Verdana" w:hAnsi="Verdana"/>
      <w:sz w:val="20"/>
      <w:szCs w:val="20"/>
      <w:lang w:val="en-US"/>
    </w:rPr>
  </w:style>
  <w:style w:type="character" w:customStyle="1" w:styleId="f1">
    <w:name w:val="f1"/>
    <w:basedOn w:val="DefaultParagraphFont"/>
    <w:rsid w:val="00EC255C"/>
    <w:rPr>
      <w:b w:val="0"/>
      <w:bCs w:val="0"/>
      <w:color w:val="767676"/>
      <w:sz w:val="27"/>
      <w:szCs w:val="27"/>
    </w:rPr>
  </w:style>
  <w:style w:type="paragraph" w:customStyle="1" w:styleId="DefaultParagraphFontCharChar">
    <w:name w:val="Default Paragraph Font Char Char"/>
    <w:aliases w:val="Char Char Char Char Char Char Char Char Char Char Char Char Char,Char Char Char Char Char Char Char Char Char Char Char"/>
    <w:basedOn w:val="Normal"/>
    <w:rsid w:val="0075402B"/>
    <w:pPr>
      <w:spacing w:after="240" w:line="240" w:lineRule="auto"/>
    </w:pPr>
    <w:rPr>
      <w:szCs w:val="20"/>
      <w:lang w:val="en-GB"/>
    </w:rPr>
  </w:style>
  <w:style w:type="character" w:customStyle="1" w:styleId="Heading1Char">
    <w:name w:val="Heading 1 Char"/>
    <w:aliases w:val="Attribute Heading 1 Char"/>
    <w:basedOn w:val="DefaultParagraphFont"/>
    <w:link w:val="Heading1"/>
    <w:rsid w:val="00D14D3A"/>
    <w:rPr>
      <w:rFonts w:ascii="Arial" w:eastAsia="Times New Roman" w:hAnsi="Arial" w:cs="Arial"/>
      <w:b/>
      <w:bCs/>
      <w:kern w:val="32"/>
      <w:sz w:val="32"/>
      <w:szCs w:val="32"/>
      <w:lang w:eastAsia="en-US"/>
    </w:rPr>
  </w:style>
  <w:style w:type="paragraph" w:customStyle="1" w:styleId="CM63">
    <w:name w:val="CM63"/>
    <w:basedOn w:val="Default"/>
    <w:next w:val="Default"/>
    <w:rsid w:val="00BC6DBA"/>
    <w:rPr>
      <w:rFonts w:ascii="Frutiger 45 Light" w:hAnsi="Frutiger 45 Light" w:cs="Times New Roman"/>
      <w:color w:val="auto"/>
    </w:rPr>
  </w:style>
  <w:style w:type="paragraph" w:customStyle="1" w:styleId="CM67">
    <w:name w:val="CM67"/>
    <w:basedOn w:val="Default"/>
    <w:next w:val="Default"/>
    <w:rsid w:val="00BC6DBA"/>
    <w:rPr>
      <w:rFonts w:ascii="Frutiger 45 Light" w:hAnsi="Frutiger 45 Light" w:cs="Times New Roman"/>
      <w:color w:val="auto"/>
    </w:rPr>
  </w:style>
  <w:style w:type="paragraph" w:customStyle="1" w:styleId="CM71">
    <w:name w:val="CM71"/>
    <w:basedOn w:val="Default"/>
    <w:next w:val="Default"/>
    <w:rsid w:val="00BC6DBA"/>
    <w:rPr>
      <w:rFonts w:ascii="Frutiger 45 Light" w:hAnsi="Frutiger 45 Light" w:cs="Times New Roman"/>
      <w:color w:val="auto"/>
    </w:rPr>
  </w:style>
  <w:style w:type="paragraph" w:customStyle="1" w:styleId="CM8">
    <w:name w:val="CM8"/>
    <w:basedOn w:val="Default"/>
    <w:next w:val="Default"/>
    <w:rsid w:val="00BC6DBA"/>
    <w:rPr>
      <w:rFonts w:ascii="Frutiger 45 Light" w:hAnsi="Frutiger 45 Light" w:cs="Times New Roman"/>
      <w:color w:val="auto"/>
    </w:rPr>
  </w:style>
  <w:style w:type="paragraph" w:customStyle="1" w:styleId="CM14">
    <w:name w:val="CM14"/>
    <w:basedOn w:val="Default"/>
    <w:next w:val="Default"/>
    <w:rsid w:val="00BC6DBA"/>
    <w:rPr>
      <w:rFonts w:ascii="Frutiger 45 Light" w:hAnsi="Frutiger 45 Light" w:cs="Times New Roman"/>
      <w:color w:val="auto"/>
    </w:rPr>
  </w:style>
  <w:style w:type="paragraph" w:customStyle="1" w:styleId="CM65">
    <w:name w:val="CM65"/>
    <w:basedOn w:val="Default"/>
    <w:next w:val="Default"/>
    <w:rsid w:val="00BC6DBA"/>
    <w:rPr>
      <w:rFonts w:ascii="Frutiger 45 Light" w:hAnsi="Frutiger 45 Light" w:cs="Times New Roman"/>
      <w:color w:val="auto"/>
    </w:rPr>
  </w:style>
  <w:style w:type="paragraph" w:customStyle="1" w:styleId="CM66">
    <w:name w:val="CM66"/>
    <w:basedOn w:val="Default"/>
    <w:next w:val="Default"/>
    <w:rsid w:val="00BC6DBA"/>
    <w:rPr>
      <w:rFonts w:ascii="Frutiger 45 Light" w:hAnsi="Frutiger 45 Light" w:cs="Times New Roman"/>
      <w:color w:val="auto"/>
    </w:rPr>
  </w:style>
  <w:style w:type="paragraph" w:customStyle="1" w:styleId="CM22">
    <w:name w:val="CM22"/>
    <w:basedOn w:val="Default"/>
    <w:next w:val="Default"/>
    <w:rsid w:val="00BC6DBA"/>
    <w:pPr>
      <w:spacing w:line="320" w:lineRule="atLeast"/>
    </w:pPr>
    <w:rPr>
      <w:rFonts w:ascii="Frutiger 45 Light" w:hAnsi="Frutiger 45 Light" w:cs="Times New Roman"/>
      <w:color w:val="auto"/>
    </w:rPr>
  </w:style>
  <w:style w:type="paragraph" w:customStyle="1" w:styleId="1">
    <w:name w:val="1"/>
    <w:basedOn w:val="Normal"/>
    <w:rsid w:val="00AD4D17"/>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237087">
      <w:bodyDiv w:val="1"/>
      <w:marLeft w:val="0"/>
      <w:marRight w:val="0"/>
      <w:marTop w:val="0"/>
      <w:marBottom w:val="0"/>
      <w:divBdr>
        <w:top w:val="none" w:sz="0" w:space="0" w:color="auto"/>
        <w:left w:val="none" w:sz="0" w:space="0" w:color="auto"/>
        <w:bottom w:val="none" w:sz="0" w:space="0" w:color="auto"/>
        <w:right w:val="none" w:sz="0" w:space="0" w:color="auto"/>
      </w:divBdr>
      <w:divsChild>
        <w:div w:id="75173848">
          <w:marLeft w:val="0"/>
          <w:marRight w:val="0"/>
          <w:marTop w:val="0"/>
          <w:marBottom w:val="0"/>
          <w:divBdr>
            <w:top w:val="none" w:sz="0" w:space="0" w:color="auto"/>
            <w:left w:val="none" w:sz="0" w:space="0" w:color="auto"/>
            <w:bottom w:val="none" w:sz="0" w:space="0" w:color="auto"/>
            <w:right w:val="none" w:sz="0" w:space="0" w:color="auto"/>
          </w:divBdr>
          <w:divsChild>
            <w:div w:id="1425110141">
              <w:marLeft w:val="0"/>
              <w:marRight w:val="0"/>
              <w:marTop w:val="0"/>
              <w:marBottom w:val="0"/>
              <w:divBdr>
                <w:top w:val="none" w:sz="0" w:space="0" w:color="auto"/>
                <w:left w:val="none" w:sz="0" w:space="0" w:color="auto"/>
                <w:bottom w:val="none" w:sz="0" w:space="0" w:color="auto"/>
                <w:right w:val="none" w:sz="0" w:space="0" w:color="auto"/>
              </w:divBdr>
              <w:divsChild>
                <w:div w:id="1761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7875">
          <w:marLeft w:val="0"/>
          <w:marRight w:val="0"/>
          <w:marTop w:val="0"/>
          <w:marBottom w:val="0"/>
          <w:divBdr>
            <w:top w:val="none" w:sz="0" w:space="0" w:color="auto"/>
            <w:left w:val="none" w:sz="0" w:space="0" w:color="auto"/>
            <w:bottom w:val="none" w:sz="0" w:space="0" w:color="auto"/>
            <w:right w:val="none" w:sz="0" w:space="0" w:color="auto"/>
          </w:divBdr>
        </w:div>
      </w:divsChild>
    </w:div>
    <w:div w:id="1966426391">
      <w:bodyDiv w:val="1"/>
      <w:marLeft w:val="0"/>
      <w:marRight w:val="0"/>
      <w:marTop w:val="0"/>
      <w:marBottom w:val="0"/>
      <w:divBdr>
        <w:top w:val="none" w:sz="0" w:space="0" w:color="auto"/>
        <w:left w:val="none" w:sz="0" w:space="0" w:color="auto"/>
        <w:bottom w:val="none" w:sz="0" w:space="0" w:color="auto"/>
        <w:right w:val="none" w:sz="0" w:space="0" w:color="auto"/>
      </w:divBdr>
      <w:divsChild>
        <w:div w:id="1619532882">
          <w:marLeft w:val="0"/>
          <w:marRight w:val="0"/>
          <w:marTop w:val="0"/>
          <w:marBottom w:val="0"/>
          <w:divBdr>
            <w:top w:val="none" w:sz="0" w:space="0" w:color="auto"/>
            <w:left w:val="none" w:sz="0" w:space="0" w:color="auto"/>
            <w:bottom w:val="none" w:sz="0" w:space="0" w:color="auto"/>
            <w:right w:val="none" w:sz="0" w:space="0" w:color="auto"/>
          </w:divBdr>
          <w:divsChild>
            <w:div w:id="249392758">
              <w:marLeft w:val="0"/>
              <w:marRight w:val="0"/>
              <w:marTop w:val="0"/>
              <w:marBottom w:val="0"/>
              <w:divBdr>
                <w:top w:val="none" w:sz="0" w:space="0" w:color="auto"/>
                <w:left w:val="none" w:sz="0" w:space="0" w:color="auto"/>
                <w:bottom w:val="none" w:sz="0" w:space="0" w:color="auto"/>
                <w:right w:val="none" w:sz="0" w:space="0" w:color="auto"/>
              </w:divBdr>
              <w:divsChild>
                <w:div w:id="433090431">
                  <w:marLeft w:val="0"/>
                  <w:marRight w:val="0"/>
                  <w:marTop w:val="0"/>
                  <w:marBottom w:val="0"/>
                  <w:divBdr>
                    <w:top w:val="none" w:sz="0" w:space="0" w:color="auto"/>
                    <w:left w:val="none" w:sz="0" w:space="0" w:color="auto"/>
                    <w:bottom w:val="none" w:sz="0" w:space="0" w:color="auto"/>
                    <w:right w:val="none" w:sz="0" w:space="0" w:color="auto"/>
                  </w:divBdr>
                  <w:divsChild>
                    <w:div w:id="9914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2881">
      <w:bodyDiv w:val="1"/>
      <w:marLeft w:val="0"/>
      <w:marRight w:val="0"/>
      <w:marTop w:val="0"/>
      <w:marBottom w:val="0"/>
      <w:divBdr>
        <w:top w:val="none" w:sz="0" w:space="0" w:color="auto"/>
        <w:left w:val="none" w:sz="0" w:space="0" w:color="auto"/>
        <w:bottom w:val="none" w:sz="0" w:space="0" w:color="auto"/>
        <w:right w:val="none" w:sz="0" w:space="0" w:color="auto"/>
      </w:divBdr>
      <w:divsChild>
        <w:div w:id="794493628">
          <w:marLeft w:val="0"/>
          <w:marRight w:val="0"/>
          <w:marTop w:val="0"/>
          <w:marBottom w:val="0"/>
          <w:divBdr>
            <w:top w:val="none" w:sz="0" w:space="0" w:color="auto"/>
            <w:left w:val="none" w:sz="0" w:space="0" w:color="auto"/>
            <w:bottom w:val="none" w:sz="0" w:space="0" w:color="auto"/>
            <w:right w:val="none" w:sz="0" w:space="0" w:color="auto"/>
          </w:divBdr>
          <w:divsChild>
            <w:div w:id="2006858123">
              <w:marLeft w:val="0"/>
              <w:marRight w:val="0"/>
              <w:marTop w:val="0"/>
              <w:marBottom w:val="0"/>
              <w:divBdr>
                <w:top w:val="none" w:sz="0" w:space="0" w:color="auto"/>
                <w:left w:val="none" w:sz="0" w:space="0" w:color="auto"/>
                <w:bottom w:val="none" w:sz="0" w:space="0" w:color="auto"/>
                <w:right w:val="none" w:sz="0" w:space="0" w:color="auto"/>
              </w:divBdr>
              <w:divsChild>
                <w:div w:id="926962513">
                  <w:marLeft w:val="0"/>
                  <w:marRight w:val="0"/>
                  <w:marTop w:val="0"/>
                  <w:marBottom w:val="0"/>
                  <w:divBdr>
                    <w:top w:val="none" w:sz="0" w:space="0" w:color="auto"/>
                    <w:left w:val="none" w:sz="0" w:space="0" w:color="auto"/>
                    <w:bottom w:val="none" w:sz="0" w:space="0" w:color="auto"/>
                    <w:right w:val="none" w:sz="0" w:space="0" w:color="auto"/>
                  </w:divBdr>
                  <w:divsChild>
                    <w:div w:id="3565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ottishambulance.com/" TargetMode="External"/><Relationship Id="rId18" Type="http://schemas.openxmlformats.org/officeDocument/2006/relationships/hyperlink" Target="http://www.nhsnss.org/home/index.php" TargetMode="External"/><Relationship Id="rId3" Type="http://schemas.openxmlformats.org/officeDocument/2006/relationships/settings" Target="settings.xml"/><Relationship Id="rId21" Type="http://schemas.openxmlformats.org/officeDocument/2006/relationships/hyperlink" Target="http://www.nhsgoldenjubilee.co.uk/home/" TargetMode="External"/><Relationship Id="rId7" Type="http://schemas.openxmlformats.org/officeDocument/2006/relationships/image" Target="media/image1.jpeg"/><Relationship Id="rId12" Type="http://schemas.openxmlformats.org/officeDocument/2006/relationships/hyperlink" Target="http://www.nhsnss.org/home/index.php" TargetMode="External"/><Relationship Id="rId17" Type="http://schemas.openxmlformats.org/officeDocument/2006/relationships/hyperlink" Target="http://www.nhshealthquality.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ebs.scot.nhs.uk/" TargetMode="External"/><Relationship Id="rId20" Type="http://schemas.openxmlformats.org/officeDocument/2006/relationships/hyperlink" Target="http://www.nes.scot.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sh.scot.nhs.uk" TargetMode="External"/><Relationship Id="rId23"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http://www.nhsnss.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nhs24.com/" TargetMode="Externa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hollandc\Application%20Data\Microsoft\Templates\NDA%20Style%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2008</Template>
  <TotalTime>5</TotalTime>
  <Pages>51</Pages>
  <Words>11771</Words>
  <Characters>71757</Characters>
  <Application>Microsoft Office Word</Application>
  <DocSecurity>0</DocSecurity>
  <Lines>597</Lines>
  <Paragraphs>166</Paragraphs>
  <ScaleCrop>false</ScaleCrop>
  <HeadingPairs>
    <vt:vector size="2" baseType="variant">
      <vt:variant>
        <vt:lpstr>Title</vt:lpstr>
      </vt:variant>
      <vt:variant>
        <vt:i4>1</vt:i4>
      </vt:variant>
    </vt:vector>
  </HeadingPairs>
  <TitlesOfParts>
    <vt:vector size="1" baseType="lpstr">
      <vt:lpstr>Health and Personal Social Services for People with Disabilities: Scotland</vt:lpstr>
    </vt:vector>
  </TitlesOfParts>
  <Company>National Disability Authority</Company>
  <LinksUpToDate>false</LinksUpToDate>
  <CharactersWithSpaces>83362</CharactersWithSpaces>
  <SharedDoc>false</SharedDoc>
  <HLinks>
    <vt:vector size="252" baseType="variant">
      <vt:variant>
        <vt:i4>3866740</vt:i4>
      </vt:variant>
      <vt:variant>
        <vt:i4>222</vt:i4>
      </vt:variant>
      <vt:variant>
        <vt:i4>0</vt:i4>
      </vt:variant>
      <vt:variant>
        <vt:i4>5</vt:i4>
      </vt:variant>
      <vt:variant>
        <vt:lpwstr>http://www.nhsgoldenjubilee.co.uk/home/</vt:lpwstr>
      </vt:variant>
      <vt:variant>
        <vt:lpwstr/>
      </vt:variant>
      <vt:variant>
        <vt:i4>2687076</vt:i4>
      </vt:variant>
      <vt:variant>
        <vt:i4>219</vt:i4>
      </vt:variant>
      <vt:variant>
        <vt:i4>0</vt:i4>
      </vt:variant>
      <vt:variant>
        <vt:i4>5</vt:i4>
      </vt:variant>
      <vt:variant>
        <vt:lpwstr>http://www.nes.scot.nhs.uk/</vt:lpwstr>
      </vt:variant>
      <vt:variant>
        <vt:lpwstr/>
      </vt:variant>
      <vt:variant>
        <vt:i4>3538989</vt:i4>
      </vt:variant>
      <vt:variant>
        <vt:i4>216</vt:i4>
      </vt:variant>
      <vt:variant>
        <vt:i4>0</vt:i4>
      </vt:variant>
      <vt:variant>
        <vt:i4>5</vt:i4>
      </vt:variant>
      <vt:variant>
        <vt:lpwstr>http://www.nhsnss.org/</vt:lpwstr>
      </vt:variant>
      <vt:variant>
        <vt:lpwstr/>
      </vt:variant>
      <vt:variant>
        <vt:i4>4784202</vt:i4>
      </vt:variant>
      <vt:variant>
        <vt:i4>213</vt:i4>
      </vt:variant>
      <vt:variant>
        <vt:i4>0</vt:i4>
      </vt:variant>
      <vt:variant>
        <vt:i4>5</vt:i4>
      </vt:variant>
      <vt:variant>
        <vt:lpwstr>http://www.nhsnss.org/home/index.php</vt:lpwstr>
      </vt:variant>
      <vt:variant>
        <vt:lpwstr/>
      </vt:variant>
      <vt:variant>
        <vt:i4>4784205</vt:i4>
      </vt:variant>
      <vt:variant>
        <vt:i4>210</vt:i4>
      </vt:variant>
      <vt:variant>
        <vt:i4>0</vt:i4>
      </vt:variant>
      <vt:variant>
        <vt:i4>5</vt:i4>
      </vt:variant>
      <vt:variant>
        <vt:lpwstr>http://www.nhshealthquality.org/</vt:lpwstr>
      </vt:variant>
      <vt:variant>
        <vt:lpwstr/>
      </vt:variant>
      <vt:variant>
        <vt:i4>6226009</vt:i4>
      </vt:variant>
      <vt:variant>
        <vt:i4>207</vt:i4>
      </vt:variant>
      <vt:variant>
        <vt:i4>0</vt:i4>
      </vt:variant>
      <vt:variant>
        <vt:i4>5</vt:i4>
      </vt:variant>
      <vt:variant>
        <vt:lpwstr>http://www.hebs.scot.nhs.uk/</vt:lpwstr>
      </vt:variant>
      <vt:variant>
        <vt:lpwstr/>
      </vt:variant>
      <vt:variant>
        <vt:i4>2621554</vt:i4>
      </vt:variant>
      <vt:variant>
        <vt:i4>204</vt:i4>
      </vt:variant>
      <vt:variant>
        <vt:i4>0</vt:i4>
      </vt:variant>
      <vt:variant>
        <vt:i4>5</vt:i4>
      </vt:variant>
      <vt:variant>
        <vt:lpwstr>http://www.tsh.scot.nhs.uk/</vt:lpwstr>
      </vt:variant>
      <vt:variant>
        <vt:lpwstr/>
      </vt:variant>
      <vt:variant>
        <vt:i4>786507</vt:i4>
      </vt:variant>
      <vt:variant>
        <vt:i4>201</vt:i4>
      </vt:variant>
      <vt:variant>
        <vt:i4>0</vt:i4>
      </vt:variant>
      <vt:variant>
        <vt:i4>5</vt:i4>
      </vt:variant>
      <vt:variant>
        <vt:lpwstr>http://www.nhs24.com/</vt:lpwstr>
      </vt:variant>
      <vt:variant>
        <vt:lpwstr/>
      </vt:variant>
      <vt:variant>
        <vt:i4>5898269</vt:i4>
      </vt:variant>
      <vt:variant>
        <vt:i4>198</vt:i4>
      </vt:variant>
      <vt:variant>
        <vt:i4>0</vt:i4>
      </vt:variant>
      <vt:variant>
        <vt:i4>5</vt:i4>
      </vt:variant>
      <vt:variant>
        <vt:lpwstr>http://www.scottishambulance.com/</vt:lpwstr>
      </vt:variant>
      <vt:variant>
        <vt:lpwstr/>
      </vt:variant>
      <vt:variant>
        <vt:i4>4784202</vt:i4>
      </vt:variant>
      <vt:variant>
        <vt:i4>195</vt:i4>
      </vt:variant>
      <vt:variant>
        <vt:i4>0</vt:i4>
      </vt:variant>
      <vt:variant>
        <vt:i4>5</vt:i4>
      </vt:variant>
      <vt:variant>
        <vt:lpwstr>http://www.nhsnss.org/home/index.php</vt:lpwstr>
      </vt:variant>
      <vt:variant>
        <vt:lpwstr/>
      </vt:variant>
      <vt:variant>
        <vt:i4>1310769</vt:i4>
      </vt:variant>
      <vt:variant>
        <vt:i4>188</vt:i4>
      </vt:variant>
      <vt:variant>
        <vt:i4>0</vt:i4>
      </vt:variant>
      <vt:variant>
        <vt:i4>5</vt:i4>
      </vt:variant>
      <vt:variant>
        <vt:lpwstr/>
      </vt:variant>
      <vt:variant>
        <vt:lpwstr>_Toc279136935</vt:lpwstr>
      </vt:variant>
      <vt:variant>
        <vt:i4>1310769</vt:i4>
      </vt:variant>
      <vt:variant>
        <vt:i4>182</vt:i4>
      </vt:variant>
      <vt:variant>
        <vt:i4>0</vt:i4>
      </vt:variant>
      <vt:variant>
        <vt:i4>5</vt:i4>
      </vt:variant>
      <vt:variant>
        <vt:lpwstr/>
      </vt:variant>
      <vt:variant>
        <vt:lpwstr>_Toc279136934</vt:lpwstr>
      </vt:variant>
      <vt:variant>
        <vt:i4>1376305</vt:i4>
      </vt:variant>
      <vt:variant>
        <vt:i4>176</vt:i4>
      </vt:variant>
      <vt:variant>
        <vt:i4>0</vt:i4>
      </vt:variant>
      <vt:variant>
        <vt:i4>5</vt:i4>
      </vt:variant>
      <vt:variant>
        <vt:lpwstr/>
      </vt:variant>
      <vt:variant>
        <vt:lpwstr>_Toc279136925</vt:lpwstr>
      </vt:variant>
      <vt:variant>
        <vt:i4>1376305</vt:i4>
      </vt:variant>
      <vt:variant>
        <vt:i4>170</vt:i4>
      </vt:variant>
      <vt:variant>
        <vt:i4>0</vt:i4>
      </vt:variant>
      <vt:variant>
        <vt:i4>5</vt:i4>
      </vt:variant>
      <vt:variant>
        <vt:lpwstr/>
      </vt:variant>
      <vt:variant>
        <vt:lpwstr>_Toc279136924</vt:lpwstr>
      </vt:variant>
      <vt:variant>
        <vt:i4>1376305</vt:i4>
      </vt:variant>
      <vt:variant>
        <vt:i4>164</vt:i4>
      </vt:variant>
      <vt:variant>
        <vt:i4>0</vt:i4>
      </vt:variant>
      <vt:variant>
        <vt:i4>5</vt:i4>
      </vt:variant>
      <vt:variant>
        <vt:lpwstr/>
      </vt:variant>
      <vt:variant>
        <vt:lpwstr>_Toc279136923</vt:lpwstr>
      </vt:variant>
      <vt:variant>
        <vt:i4>1376305</vt:i4>
      </vt:variant>
      <vt:variant>
        <vt:i4>158</vt:i4>
      </vt:variant>
      <vt:variant>
        <vt:i4>0</vt:i4>
      </vt:variant>
      <vt:variant>
        <vt:i4>5</vt:i4>
      </vt:variant>
      <vt:variant>
        <vt:lpwstr/>
      </vt:variant>
      <vt:variant>
        <vt:lpwstr>_Toc279136922</vt:lpwstr>
      </vt:variant>
      <vt:variant>
        <vt:i4>1376305</vt:i4>
      </vt:variant>
      <vt:variant>
        <vt:i4>152</vt:i4>
      </vt:variant>
      <vt:variant>
        <vt:i4>0</vt:i4>
      </vt:variant>
      <vt:variant>
        <vt:i4>5</vt:i4>
      </vt:variant>
      <vt:variant>
        <vt:lpwstr/>
      </vt:variant>
      <vt:variant>
        <vt:lpwstr>_Toc279136921</vt:lpwstr>
      </vt:variant>
      <vt:variant>
        <vt:i4>1376305</vt:i4>
      </vt:variant>
      <vt:variant>
        <vt:i4>146</vt:i4>
      </vt:variant>
      <vt:variant>
        <vt:i4>0</vt:i4>
      </vt:variant>
      <vt:variant>
        <vt:i4>5</vt:i4>
      </vt:variant>
      <vt:variant>
        <vt:lpwstr/>
      </vt:variant>
      <vt:variant>
        <vt:lpwstr>_Toc279136920</vt:lpwstr>
      </vt:variant>
      <vt:variant>
        <vt:i4>1441841</vt:i4>
      </vt:variant>
      <vt:variant>
        <vt:i4>140</vt:i4>
      </vt:variant>
      <vt:variant>
        <vt:i4>0</vt:i4>
      </vt:variant>
      <vt:variant>
        <vt:i4>5</vt:i4>
      </vt:variant>
      <vt:variant>
        <vt:lpwstr/>
      </vt:variant>
      <vt:variant>
        <vt:lpwstr>_Toc279136919</vt:lpwstr>
      </vt:variant>
      <vt:variant>
        <vt:i4>1441841</vt:i4>
      </vt:variant>
      <vt:variant>
        <vt:i4>134</vt:i4>
      </vt:variant>
      <vt:variant>
        <vt:i4>0</vt:i4>
      </vt:variant>
      <vt:variant>
        <vt:i4>5</vt:i4>
      </vt:variant>
      <vt:variant>
        <vt:lpwstr/>
      </vt:variant>
      <vt:variant>
        <vt:lpwstr>_Toc279136918</vt:lpwstr>
      </vt:variant>
      <vt:variant>
        <vt:i4>1441841</vt:i4>
      </vt:variant>
      <vt:variant>
        <vt:i4>128</vt:i4>
      </vt:variant>
      <vt:variant>
        <vt:i4>0</vt:i4>
      </vt:variant>
      <vt:variant>
        <vt:i4>5</vt:i4>
      </vt:variant>
      <vt:variant>
        <vt:lpwstr/>
      </vt:variant>
      <vt:variant>
        <vt:lpwstr>_Toc279136917</vt:lpwstr>
      </vt:variant>
      <vt:variant>
        <vt:i4>1441841</vt:i4>
      </vt:variant>
      <vt:variant>
        <vt:i4>122</vt:i4>
      </vt:variant>
      <vt:variant>
        <vt:i4>0</vt:i4>
      </vt:variant>
      <vt:variant>
        <vt:i4>5</vt:i4>
      </vt:variant>
      <vt:variant>
        <vt:lpwstr/>
      </vt:variant>
      <vt:variant>
        <vt:lpwstr>_Toc279136916</vt:lpwstr>
      </vt:variant>
      <vt:variant>
        <vt:i4>1441841</vt:i4>
      </vt:variant>
      <vt:variant>
        <vt:i4>116</vt:i4>
      </vt:variant>
      <vt:variant>
        <vt:i4>0</vt:i4>
      </vt:variant>
      <vt:variant>
        <vt:i4>5</vt:i4>
      </vt:variant>
      <vt:variant>
        <vt:lpwstr/>
      </vt:variant>
      <vt:variant>
        <vt:lpwstr>_Toc279136915</vt:lpwstr>
      </vt:variant>
      <vt:variant>
        <vt:i4>1441841</vt:i4>
      </vt:variant>
      <vt:variant>
        <vt:i4>110</vt:i4>
      </vt:variant>
      <vt:variant>
        <vt:i4>0</vt:i4>
      </vt:variant>
      <vt:variant>
        <vt:i4>5</vt:i4>
      </vt:variant>
      <vt:variant>
        <vt:lpwstr/>
      </vt:variant>
      <vt:variant>
        <vt:lpwstr>_Toc279136914</vt:lpwstr>
      </vt:variant>
      <vt:variant>
        <vt:i4>1441841</vt:i4>
      </vt:variant>
      <vt:variant>
        <vt:i4>104</vt:i4>
      </vt:variant>
      <vt:variant>
        <vt:i4>0</vt:i4>
      </vt:variant>
      <vt:variant>
        <vt:i4>5</vt:i4>
      </vt:variant>
      <vt:variant>
        <vt:lpwstr/>
      </vt:variant>
      <vt:variant>
        <vt:lpwstr>_Toc279136913</vt:lpwstr>
      </vt:variant>
      <vt:variant>
        <vt:i4>1441841</vt:i4>
      </vt:variant>
      <vt:variant>
        <vt:i4>98</vt:i4>
      </vt:variant>
      <vt:variant>
        <vt:i4>0</vt:i4>
      </vt:variant>
      <vt:variant>
        <vt:i4>5</vt:i4>
      </vt:variant>
      <vt:variant>
        <vt:lpwstr/>
      </vt:variant>
      <vt:variant>
        <vt:lpwstr>_Toc279136912</vt:lpwstr>
      </vt:variant>
      <vt:variant>
        <vt:i4>1441841</vt:i4>
      </vt:variant>
      <vt:variant>
        <vt:i4>92</vt:i4>
      </vt:variant>
      <vt:variant>
        <vt:i4>0</vt:i4>
      </vt:variant>
      <vt:variant>
        <vt:i4>5</vt:i4>
      </vt:variant>
      <vt:variant>
        <vt:lpwstr/>
      </vt:variant>
      <vt:variant>
        <vt:lpwstr>_Toc279136911</vt:lpwstr>
      </vt:variant>
      <vt:variant>
        <vt:i4>1441841</vt:i4>
      </vt:variant>
      <vt:variant>
        <vt:i4>86</vt:i4>
      </vt:variant>
      <vt:variant>
        <vt:i4>0</vt:i4>
      </vt:variant>
      <vt:variant>
        <vt:i4>5</vt:i4>
      </vt:variant>
      <vt:variant>
        <vt:lpwstr/>
      </vt:variant>
      <vt:variant>
        <vt:lpwstr>_Toc279136910</vt:lpwstr>
      </vt:variant>
      <vt:variant>
        <vt:i4>1507377</vt:i4>
      </vt:variant>
      <vt:variant>
        <vt:i4>80</vt:i4>
      </vt:variant>
      <vt:variant>
        <vt:i4>0</vt:i4>
      </vt:variant>
      <vt:variant>
        <vt:i4>5</vt:i4>
      </vt:variant>
      <vt:variant>
        <vt:lpwstr/>
      </vt:variant>
      <vt:variant>
        <vt:lpwstr>_Toc279136909</vt:lpwstr>
      </vt:variant>
      <vt:variant>
        <vt:i4>1507377</vt:i4>
      </vt:variant>
      <vt:variant>
        <vt:i4>74</vt:i4>
      </vt:variant>
      <vt:variant>
        <vt:i4>0</vt:i4>
      </vt:variant>
      <vt:variant>
        <vt:i4>5</vt:i4>
      </vt:variant>
      <vt:variant>
        <vt:lpwstr/>
      </vt:variant>
      <vt:variant>
        <vt:lpwstr>_Toc279136908</vt:lpwstr>
      </vt:variant>
      <vt:variant>
        <vt:i4>1507377</vt:i4>
      </vt:variant>
      <vt:variant>
        <vt:i4>68</vt:i4>
      </vt:variant>
      <vt:variant>
        <vt:i4>0</vt:i4>
      </vt:variant>
      <vt:variant>
        <vt:i4>5</vt:i4>
      </vt:variant>
      <vt:variant>
        <vt:lpwstr/>
      </vt:variant>
      <vt:variant>
        <vt:lpwstr>_Toc279136907</vt:lpwstr>
      </vt:variant>
      <vt:variant>
        <vt:i4>1507377</vt:i4>
      </vt:variant>
      <vt:variant>
        <vt:i4>62</vt:i4>
      </vt:variant>
      <vt:variant>
        <vt:i4>0</vt:i4>
      </vt:variant>
      <vt:variant>
        <vt:i4>5</vt:i4>
      </vt:variant>
      <vt:variant>
        <vt:lpwstr/>
      </vt:variant>
      <vt:variant>
        <vt:lpwstr>_Toc279136906</vt:lpwstr>
      </vt:variant>
      <vt:variant>
        <vt:i4>1507377</vt:i4>
      </vt:variant>
      <vt:variant>
        <vt:i4>56</vt:i4>
      </vt:variant>
      <vt:variant>
        <vt:i4>0</vt:i4>
      </vt:variant>
      <vt:variant>
        <vt:i4>5</vt:i4>
      </vt:variant>
      <vt:variant>
        <vt:lpwstr/>
      </vt:variant>
      <vt:variant>
        <vt:lpwstr>_Toc279136905</vt:lpwstr>
      </vt:variant>
      <vt:variant>
        <vt:i4>1507377</vt:i4>
      </vt:variant>
      <vt:variant>
        <vt:i4>50</vt:i4>
      </vt:variant>
      <vt:variant>
        <vt:i4>0</vt:i4>
      </vt:variant>
      <vt:variant>
        <vt:i4>5</vt:i4>
      </vt:variant>
      <vt:variant>
        <vt:lpwstr/>
      </vt:variant>
      <vt:variant>
        <vt:lpwstr>_Toc279136904</vt:lpwstr>
      </vt:variant>
      <vt:variant>
        <vt:i4>1507377</vt:i4>
      </vt:variant>
      <vt:variant>
        <vt:i4>44</vt:i4>
      </vt:variant>
      <vt:variant>
        <vt:i4>0</vt:i4>
      </vt:variant>
      <vt:variant>
        <vt:i4>5</vt:i4>
      </vt:variant>
      <vt:variant>
        <vt:lpwstr/>
      </vt:variant>
      <vt:variant>
        <vt:lpwstr>_Toc279136903</vt:lpwstr>
      </vt:variant>
      <vt:variant>
        <vt:i4>1507377</vt:i4>
      </vt:variant>
      <vt:variant>
        <vt:i4>38</vt:i4>
      </vt:variant>
      <vt:variant>
        <vt:i4>0</vt:i4>
      </vt:variant>
      <vt:variant>
        <vt:i4>5</vt:i4>
      </vt:variant>
      <vt:variant>
        <vt:lpwstr/>
      </vt:variant>
      <vt:variant>
        <vt:lpwstr>_Toc279136902</vt:lpwstr>
      </vt:variant>
      <vt:variant>
        <vt:i4>1507377</vt:i4>
      </vt:variant>
      <vt:variant>
        <vt:i4>32</vt:i4>
      </vt:variant>
      <vt:variant>
        <vt:i4>0</vt:i4>
      </vt:variant>
      <vt:variant>
        <vt:i4>5</vt:i4>
      </vt:variant>
      <vt:variant>
        <vt:lpwstr/>
      </vt:variant>
      <vt:variant>
        <vt:lpwstr>_Toc279136901</vt:lpwstr>
      </vt:variant>
      <vt:variant>
        <vt:i4>1507377</vt:i4>
      </vt:variant>
      <vt:variant>
        <vt:i4>26</vt:i4>
      </vt:variant>
      <vt:variant>
        <vt:i4>0</vt:i4>
      </vt:variant>
      <vt:variant>
        <vt:i4>5</vt:i4>
      </vt:variant>
      <vt:variant>
        <vt:lpwstr/>
      </vt:variant>
      <vt:variant>
        <vt:lpwstr>_Toc279136900</vt:lpwstr>
      </vt:variant>
      <vt:variant>
        <vt:i4>1966128</vt:i4>
      </vt:variant>
      <vt:variant>
        <vt:i4>20</vt:i4>
      </vt:variant>
      <vt:variant>
        <vt:i4>0</vt:i4>
      </vt:variant>
      <vt:variant>
        <vt:i4>5</vt:i4>
      </vt:variant>
      <vt:variant>
        <vt:lpwstr/>
      </vt:variant>
      <vt:variant>
        <vt:lpwstr>_Toc279136899</vt:lpwstr>
      </vt:variant>
      <vt:variant>
        <vt:i4>1966128</vt:i4>
      </vt:variant>
      <vt:variant>
        <vt:i4>14</vt:i4>
      </vt:variant>
      <vt:variant>
        <vt:i4>0</vt:i4>
      </vt:variant>
      <vt:variant>
        <vt:i4>5</vt:i4>
      </vt:variant>
      <vt:variant>
        <vt:lpwstr/>
      </vt:variant>
      <vt:variant>
        <vt:lpwstr>_Toc279136898</vt:lpwstr>
      </vt:variant>
      <vt:variant>
        <vt:i4>1966128</vt:i4>
      </vt:variant>
      <vt:variant>
        <vt:i4>8</vt:i4>
      </vt:variant>
      <vt:variant>
        <vt:i4>0</vt:i4>
      </vt:variant>
      <vt:variant>
        <vt:i4>5</vt:i4>
      </vt:variant>
      <vt:variant>
        <vt:lpwstr/>
      </vt:variant>
      <vt:variant>
        <vt:lpwstr>_Toc279136897</vt:lpwstr>
      </vt:variant>
      <vt:variant>
        <vt:i4>1966128</vt:i4>
      </vt:variant>
      <vt:variant>
        <vt:i4>2</vt:i4>
      </vt:variant>
      <vt:variant>
        <vt:i4>0</vt:i4>
      </vt:variant>
      <vt:variant>
        <vt:i4>5</vt:i4>
      </vt:variant>
      <vt:variant>
        <vt:lpwstr/>
      </vt:variant>
      <vt:variant>
        <vt:lpwstr>_Toc279136896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Personal Social Services for People with Disabilities: Scotland</dc:title>
  <dc:subject/>
  <dc:creator>Cathleen M. Mulholland</dc:creator>
  <cp:keywords/>
  <dc:description/>
  <cp:lastModifiedBy>Damhnait M. O' Malley</cp:lastModifiedBy>
  <cp:revision>3</cp:revision>
  <cp:lastPrinted>2010-10-28T09:38:00Z</cp:lastPrinted>
  <dcterms:created xsi:type="dcterms:W3CDTF">2022-06-15T10:09:00Z</dcterms:created>
  <dcterms:modified xsi:type="dcterms:W3CDTF">2022-06-15T10:14:00Z</dcterms:modified>
</cp:coreProperties>
</file>