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9C7" w:rsidRPr="008862FE" w:rsidRDefault="00E97C35" w:rsidP="00E00EE8">
      <w:pPr>
        <w:rPr>
          <w:rFonts w:cs="Arial"/>
        </w:rPr>
      </w:pPr>
      <w:bookmarkStart w:id="0" w:name="_GoBack"/>
      <w:bookmarkEnd w:id="0"/>
      <w:r w:rsidRPr="00143C07">
        <w:rPr>
          <w:rFonts w:cs="Arial"/>
          <w:noProof/>
          <w:lang w:eastAsia="en-IE"/>
        </w:rPr>
        <mc:AlternateContent>
          <mc:Choice Requires="wps">
            <w:drawing>
              <wp:anchor distT="0" distB="0" distL="114300" distR="114300" simplePos="0" relativeHeight="251658240" behindDoc="1" locked="0" layoutInCell="1" allowOverlap="1">
                <wp:simplePos x="0" y="0"/>
                <wp:positionH relativeFrom="column">
                  <wp:posOffset>-1257300</wp:posOffset>
                </wp:positionH>
                <wp:positionV relativeFrom="paragraph">
                  <wp:posOffset>-228600</wp:posOffset>
                </wp:positionV>
                <wp:extent cx="7658100" cy="4457700"/>
                <wp:effectExtent l="0" t="0" r="0" b="0"/>
                <wp:wrapTight wrapText="bothSides">
                  <wp:wrapPolygon edited="0">
                    <wp:start x="-27" y="0"/>
                    <wp:lineTo x="-27" y="21511"/>
                    <wp:lineTo x="21600" y="21511"/>
                    <wp:lineTo x="21600" y="0"/>
                    <wp:lineTo x="-27" y="0"/>
                  </wp:wrapPolygon>
                </wp:wrapTight>
                <wp:docPr id="2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4577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79C7" w:rsidRDefault="008779C7" w:rsidP="008779C7">
                            <w:pPr>
                              <w:ind w:left="1560"/>
                              <w:rPr>
                                <w:sz w:val="52"/>
                                <w:szCs w:val="52"/>
                              </w:rPr>
                            </w:pPr>
                          </w:p>
                          <w:p w:rsidR="008779C7" w:rsidRDefault="008779C7" w:rsidP="008779C7">
                            <w:pPr>
                              <w:spacing w:line="360" w:lineRule="auto"/>
                              <w:ind w:left="1559"/>
                              <w:rPr>
                                <w:rFonts w:ascii="Arial Bold" w:hAnsi="Arial Bold"/>
                                <w:b/>
                                <w:bCs/>
                                <w:sz w:val="52"/>
                                <w:szCs w:val="52"/>
                              </w:rPr>
                            </w:pPr>
                            <w:r>
                              <w:rPr>
                                <w:rFonts w:ascii="Arial Bold" w:hAnsi="Arial Bold"/>
                                <w:b/>
                                <w:bCs/>
                                <w:sz w:val="52"/>
                                <w:szCs w:val="52"/>
                              </w:rPr>
                              <w:t xml:space="preserve">The Netherlands: </w:t>
                            </w:r>
                            <w:r w:rsidRPr="008779C7">
                              <w:rPr>
                                <w:rFonts w:ascii="Arial Bold" w:hAnsi="Arial Bold"/>
                                <w:b/>
                                <w:bCs/>
                                <w:sz w:val="52"/>
                                <w:szCs w:val="52"/>
                              </w:rPr>
                              <w:t>Health and Pers</w:t>
                            </w:r>
                            <w:r>
                              <w:rPr>
                                <w:rFonts w:ascii="Arial Bold" w:hAnsi="Arial Bold"/>
                                <w:b/>
                                <w:bCs/>
                                <w:sz w:val="52"/>
                                <w:szCs w:val="52"/>
                              </w:rPr>
                              <w:t>onal Social Services for People</w:t>
                            </w:r>
                          </w:p>
                          <w:p w:rsidR="008779C7" w:rsidRPr="008779C7" w:rsidRDefault="008779C7" w:rsidP="008779C7">
                            <w:pPr>
                              <w:spacing w:line="360" w:lineRule="auto"/>
                              <w:ind w:left="1559"/>
                              <w:rPr>
                                <w:rFonts w:ascii="Arial Bold" w:hAnsi="Arial Bold"/>
                                <w:b/>
                                <w:bCs/>
                                <w:sz w:val="52"/>
                                <w:szCs w:val="52"/>
                              </w:rPr>
                            </w:pPr>
                            <w:r>
                              <w:rPr>
                                <w:rFonts w:ascii="Arial Bold" w:hAnsi="Arial Bold"/>
                                <w:b/>
                                <w:bCs/>
                                <w:sz w:val="52"/>
                                <w:szCs w:val="52"/>
                              </w:rPr>
                              <w:t>with Disabilities State Report</w:t>
                            </w:r>
                          </w:p>
                          <w:p w:rsidR="008779C7" w:rsidRDefault="008779C7" w:rsidP="00E00EE8">
                            <w:pPr>
                              <w:pStyle w:val="Heading1"/>
                              <w:tabs>
                                <w:tab w:val="right" w:pos="10800"/>
                              </w:tabs>
                              <w:spacing w:line="240" w:lineRule="auto"/>
                              <w:ind w:left="0" w:right="960"/>
                              <w:rPr>
                                <w:rFonts w:ascii="Helv" w:hAnsi="Helv" w:cs="Helv"/>
                                <w:color w:val="FFFFFF"/>
                                <w:sz w:val="44"/>
                                <w:szCs w:val="44"/>
                                <w:lang w:eastAsia="en-IE"/>
                              </w:rPr>
                            </w:pPr>
                          </w:p>
                          <w:p w:rsidR="008779C7" w:rsidRPr="000F45BF" w:rsidRDefault="008779C7" w:rsidP="00E00EE8"/>
                          <w:p w:rsidR="008779C7" w:rsidRPr="00194A24" w:rsidRDefault="008779C7" w:rsidP="008779C7">
                            <w:pPr>
                              <w:pStyle w:val="Heading1"/>
                              <w:tabs>
                                <w:tab w:val="right" w:pos="10800"/>
                              </w:tabs>
                              <w:spacing w:line="240" w:lineRule="auto"/>
                              <w:ind w:left="156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p w:rsidR="008779C7" w:rsidRPr="00194A24" w:rsidRDefault="008779C7" w:rsidP="00E00EE8">
                            <w:pPr>
                              <w:pStyle w:val="Heading1"/>
                              <w:ind w:left="0"/>
                              <w:jc w:val="center"/>
                              <w:rPr>
                                <w:color w:val="FFFFFF"/>
                              </w:rPr>
                            </w:pPr>
                          </w:p>
                          <w:p w:rsidR="008779C7" w:rsidRPr="00194A24" w:rsidRDefault="008779C7" w:rsidP="00E00EE8">
                            <w:pPr>
                              <w:pStyle w:val="Heading1"/>
                              <w:ind w:left="0"/>
                              <w:rPr>
                                <w:color w:val="FFFFFF"/>
                              </w:rPr>
                            </w:pPr>
                            <w:r>
                              <w:rPr>
                                <w:color w:val="FFFFFF"/>
                              </w:rPr>
                              <w:tab/>
                            </w:r>
                            <w:r>
                              <w:rPr>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margin-left:-99pt;margin-top:-18pt;width:603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" fillcolor="fuchsia" stroked="f">
                <v:textbox>
                  <w:txbxContent>
                    <w:p w:rsidR="008779C7" w:rsidRDefault="008779C7" w:rsidP="008779C7">
                      <w:pPr>
                        <w:ind w:left="1560"/>
                        <w:rPr>
                          <w:sz w:val="52"/>
                          <w:szCs w:val="52"/>
                        </w:rPr>
                      </w:pPr>
                    </w:p>
                    <w:p w:rsidR="008779C7" w:rsidRDefault="008779C7" w:rsidP="008779C7">
                      <w:pPr>
                        <w:spacing w:line="360" w:lineRule="auto"/>
                        <w:ind w:left="1559"/>
                        <w:rPr>
                          <w:rFonts w:ascii="Arial Bold" w:hAnsi="Arial Bold"/>
                          <w:b/>
                          <w:bCs/>
                          <w:sz w:val="52"/>
                          <w:szCs w:val="52"/>
                        </w:rPr>
                      </w:pPr>
                      <w:r>
                        <w:rPr>
                          <w:rFonts w:ascii="Arial Bold" w:hAnsi="Arial Bold"/>
                          <w:b/>
                          <w:bCs/>
                          <w:sz w:val="52"/>
                          <w:szCs w:val="52"/>
                        </w:rPr>
                        <w:t xml:space="preserve">The Netherlands: </w:t>
                      </w:r>
                      <w:r w:rsidRPr="008779C7">
                        <w:rPr>
                          <w:rFonts w:ascii="Arial Bold" w:hAnsi="Arial Bold"/>
                          <w:b/>
                          <w:bCs/>
                          <w:sz w:val="52"/>
                          <w:szCs w:val="52"/>
                        </w:rPr>
                        <w:t>Health and Pers</w:t>
                      </w:r>
                      <w:r>
                        <w:rPr>
                          <w:rFonts w:ascii="Arial Bold" w:hAnsi="Arial Bold"/>
                          <w:b/>
                          <w:bCs/>
                          <w:sz w:val="52"/>
                          <w:szCs w:val="52"/>
                        </w:rPr>
                        <w:t>onal Social Services for People</w:t>
                      </w:r>
                    </w:p>
                    <w:p w:rsidR="008779C7" w:rsidRPr="008779C7" w:rsidRDefault="008779C7" w:rsidP="008779C7">
                      <w:pPr>
                        <w:spacing w:line="360" w:lineRule="auto"/>
                        <w:ind w:left="1559"/>
                        <w:rPr>
                          <w:rFonts w:ascii="Arial Bold" w:hAnsi="Arial Bold"/>
                          <w:b/>
                          <w:bCs/>
                          <w:sz w:val="52"/>
                          <w:szCs w:val="52"/>
                        </w:rPr>
                      </w:pPr>
                      <w:r>
                        <w:rPr>
                          <w:rFonts w:ascii="Arial Bold" w:hAnsi="Arial Bold"/>
                          <w:b/>
                          <w:bCs/>
                          <w:sz w:val="52"/>
                          <w:szCs w:val="52"/>
                        </w:rPr>
                        <w:t>with Disabilities State Report</w:t>
                      </w:r>
                    </w:p>
                    <w:p w:rsidR="008779C7" w:rsidRDefault="008779C7" w:rsidP="00E00EE8">
                      <w:pPr>
                        <w:pStyle w:val="Heading1"/>
                        <w:tabs>
                          <w:tab w:val="right" w:pos="10800"/>
                        </w:tabs>
                        <w:spacing w:line="240" w:lineRule="auto"/>
                        <w:ind w:left="0" w:right="960"/>
                        <w:rPr>
                          <w:rFonts w:ascii="Helv" w:hAnsi="Helv" w:cs="Helv"/>
                          <w:color w:val="FFFFFF"/>
                          <w:sz w:val="44"/>
                          <w:szCs w:val="44"/>
                          <w:lang w:eastAsia="en-IE"/>
                        </w:rPr>
                      </w:pPr>
                    </w:p>
                    <w:p w:rsidR="008779C7" w:rsidRPr="000F45BF" w:rsidRDefault="008779C7" w:rsidP="00E00EE8"/>
                    <w:p w:rsidR="008779C7" w:rsidRPr="00194A24" w:rsidRDefault="008779C7" w:rsidP="008779C7">
                      <w:pPr>
                        <w:pStyle w:val="Heading1"/>
                        <w:tabs>
                          <w:tab w:val="right" w:pos="10800"/>
                        </w:tabs>
                        <w:spacing w:line="240" w:lineRule="auto"/>
                        <w:ind w:left="156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p w:rsidR="008779C7" w:rsidRPr="00194A24" w:rsidRDefault="008779C7" w:rsidP="00E00EE8">
                      <w:pPr>
                        <w:pStyle w:val="Heading1"/>
                        <w:ind w:left="0"/>
                        <w:jc w:val="center"/>
                        <w:rPr>
                          <w:color w:val="FFFFFF"/>
                        </w:rPr>
                      </w:pPr>
                    </w:p>
                    <w:p w:rsidR="008779C7" w:rsidRPr="00194A24" w:rsidRDefault="008779C7" w:rsidP="00E00EE8">
                      <w:pPr>
                        <w:pStyle w:val="Heading1"/>
                        <w:ind w:left="0"/>
                        <w:rPr>
                          <w:color w:val="FFFFFF"/>
                        </w:rPr>
                      </w:pPr>
                      <w:r>
                        <w:rPr>
                          <w:color w:val="FFFFFF"/>
                        </w:rPr>
                        <w:tab/>
                      </w:r>
                      <w:r>
                        <w:rPr>
                          <w:color w:val="FFFFFF"/>
                        </w:rPr>
                        <w:tab/>
                      </w:r>
                    </w:p>
                  </w:txbxContent>
                </v:textbox>
                <w10:wrap type="tight"/>
              </v:shape>
            </w:pict>
          </mc:Fallback>
        </mc:AlternateContent>
      </w:r>
    </w:p>
    <w:p w:rsidR="008779C7" w:rsidRDefault="008779C7" w:rsidP="00E00EE8">
      <w:pPr>
        <w:rPr>
          <w:rFonts w:cs="Arial"/>
        </w:rPr>
      </w:pPr>
      <w:r>
        <w:t>This paper is one of a series of background papers describing how disability services are</w:t>
      </w:r>
      <w:r w:rsidRPr="007A370E">
        <w:rPr>
          <w:lang w:val="en-GB"/>
        </w:rPr>
        <w:t xml:space="preserve"> organised</w:t>
      </w:r>
      <w:r>
        <w:t xml:space="preserve"> and delivered in selected jurisdictions, to help inform how such services might be</w:t>
      </w:r>
      <w:r w:rsidRPr="007A370E">
        <w:t xml:space="preserve"> organised</w:t>
      </w:r>
      <w:r>
        <w:t xml:space="preserve"> and delivered in Ireland. </w:t>
      </w:r>
    </w:p>
    <w:p w:rsidR="008779C7" w:rsidRDefault="008779C7" w:rsidP="00E00EE8">
      <w:pPr>
        <w:rPr>
          <w:rFonts w:cs="Arial"/>
        </w:rPr>
      </w:pPr>
    </w:p>
    <w:p w:rsidR="008779C7" w:rsidRDefault="008779C7" w:rsidP="00E00EE8">
      <w:pPr>
        <w:rPr>
          <w:rFonts w:cs="Arial"/>
        </w:rPr>
      </w:pPr>
    </w:p>
    <w:p w:rsidR="008779C7" w:rsidRDefault="008779C7" w:rsidP="00E00EE8">
      <w:pPr>
        <w:rPr>
          <w:rFonts w:cs="Arial"/>
        </w:rPr>
      </w:pPr>
    </w:p>
    <w:p w:rsidR="008779C7" w:rsidRDefault="00E97C35" w:rsidP="00E00EE8">
      <w:pPr>
        <w:rPr>
          <w:rFonts w:cs="Arial"/>
        </w:rPr>
      </w:pPr>
      <w:r w:rsidRPr="00143C07">
        <w:rPr>
          <w:rFonts w:cs="Arial"/>
          <w:noProof/>
          <w:lang w:eastAsia="en-IE"/>
        </w:rPr>
        <w:drawing>
          <wp:anchor distT="0" distB="0" distL="114300" distR="114300" simplePos="0" relativeHeight="251659264" behindDoc="1" locked="0" layoutInCell="1" allowOverlap="1">
            <wp:simplePos x="0" y="0"/>
            <wp:positionH relativeFrom="column">
              <wp:posOffset>4280535</wp:posOffset>
            </wp:positionH>
            <wp:positionV relativeFrom="paragraph">
              <wp:posOffset>220980</wp:posOffset>
            </wp:positionV>
            <wp:extent cx="1485900" cy="1000125"/>
            <wp:effectExtent l="0" t="0" r="0" b="0"/>
            <wp:wrapTight wrapText="bothSides">
              <wp:wrapPolygon edited="0">
                <wp:start x="0" y="0"/>
                <wp:lineTo x="0" y="21394"/>
                <wp:lineTo x="21323" y="21394"/>
                <wp:lineTo x="21323" y="0"/>
                <wp:lineTo x="0" y="0"/>
              </wp:wrapPolygon>
            </wp:wrapTight>
            <wp:docPr id="184" name="Picture 184"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9C7" w:rsidRPr="008779C7" w:rsidRDefault="008779C7" w:rsidP="00E00EE8">
      <w:pPr>
        <w:rPr>
          <w:rFonts w:cs="Arial"/>
          <w:b/>
        </w:rPr>
      </w:pPr>
      <w:r w:rsidRPr="008779C7">
        <w:rPr>
          <w:rFonts w:cs="Arial"/>
          <w:b/>
        </w:rPr>
        <w:t>January 2011</w:t>
      </w:r>
    </w:p>
    <w:p w:rsidR="008779C7" w:rsidRPr="000B5E29" w:rsidRDefault="008779C7"/>
    <w:p w:rsidR="002E1546" w:rsidRDefault="002E1546" w:rsidP="002E1546">
      <w:pPr>
        <w:pStyle w:val="Title"/>
      </w:pPr>
    </w:p>
    <w:p w:rsidR="008779C7" w:rsidRDefault="008779C7" w:rsidP="008779C7">
      <w:r>
        <w:br w:type="page"/>
      </w:r>
    </w:p>
    <w:p w:rsidR="008779C7" w:rsidRPr="008779C7" w:rsidRDefault="008779C7" w:rsidP="008779C7"/>
    <w:p w:rsidR="002E1546" w:rsidRDefault="002E1546" w:rsidP="002E1546">
      <w:pPr>
        <w:pStyle w:val="Title"/>
        <w:rPr>
          <w:lang w:val="en-US"/>
        </w:rPr>
      </w:pPr>
      <w:bookmarkStart w:id="1" w:name="_Toc250627429"/>
      <w:bookmarkStart w:id="2" w:name="_Toc250627740"/>
      <w:bookmarkStart w:id="3" w:name="_Toc250627918"/>
      <w:bookmarkStart w:id="4" w:name="_Toc253999745"/>
      <w:bookmarkStart w:id="5" w:name="_Toc268689529"/>
      <w:bookmarkStart w:id="6" w:name="_Toc269401683"/>
      <w:bookmarkStart w:id="7" w:name="_Toc269743622"/>
      <w:bookmarkStart w:id="8" w:name="_Toc271286253"/>
      <w:bookmarkStart w:id="9" w:name="_Toc271287116"/>
      <w:bookmarkStart w:id="10" w:name="_Toc271287662"/>
      <w:bookmarkStart w:id="11" w:name="_Toc272825542"/>
      <w:bookmarkStart w:id="12" w:name="_Toc272906691"/>
      <w:bookmarkStart w:id="13" w:name="_Toc272907319"/>
      <w:bookmarkStart w:id="14" w:name="_Toc272907923"/>
      <w:bookmarkStart w:id="15" w:name="_Toc272907995"/>
      <w:bookmarkStart w:id="16" w:name="_Toc272908071"/>
      <w:bookmarkStart w:id="17" w:name="_Toc272911865"/>
      <w:bookmarkStart w:id="18" w:name="_Toc276032573"/>
      <w:bookmarkStart w:id="19" w:name="_Toc279581048"/>
      <w:bookmarkStart w:id="20" w:name="_Toc282001516"/>
      <w:bookmarkStart w:id="21" w:name="_Toc283910403"/>
      <w:bookmarkStart w:id="22" w:name="_Toc286159967"/>
      <w:r>
        <w:rPr>
          <w:rFonts w:ascii="Arial" w:hAnsi="Arial" w:cs="Times New Roman"/>
          <w:kern w:val="0"/>
        </w:rPr>
        <w:t>The Netherlands</w:t>
      </w:r>
      <w:r>
        <w:t>: Health and Personal Social Services for People with Disabilities Country Background Paper</w:t>
      </w:r>
      <w:bookmarkEnd w:id="11"/>
      <w:bookmarkEnd w:id="12"/>
      <w:bookmarkEnd w:id="13"/>
      <w:bookmarkEnd w:id="14"/>
      <w:bookmarkEnd w:id="15"/>
      <w:bookmarkEnd w:id="16"/>
      <w:bookmarkEnd w:id="17"/>
      <w:bookmarkEnd w:id="18"/>
      <w:bookmarkEnd w:id="19"/>
      <w:bookmarkEnd w:id="20"/>
      <w:bookmarkEnd w:id="21"/>
      <w:bookmarkEnd w:id="22"/>
      <w:r>
        <w:t xml:space="preserve"> </w:t>
      </w:r>
      <w:bookmarkEnd w:id="1"/>
      <w:bookmarkEnd w:id="2"/>
      <w:bookmarkEnd w:id="3"/>
      <w:bookmarkEnd w:id="4"/>
      <w:bookmarkEnd w:id="5"/>
      <w:bookmarkEnd w:id="6"/>
      <w:bookmarkEnd w:id="7"/>
      <w:bookmarkEnd w:id="8"/>
      <w:bookmarkEnd w:id="9"/>
      <w:bookmarkEnd w:id="10"/>
    </w:p>
    <w:p w:rsidR="002E1546" w:rsidRDefault="002E1546" w:rsidP="002E1546">
      <w:pPr>
        <w:pStyle w:val="Heading3"/>
        <w:rPr>
          <w:lang w:val="en-US"/>
        </w:rPr>
      </w:pPr>
      <w:bookmarkStart w:id="23" w:name="_Toc269401684"/>
      <w:bookmarkStart w:id="24" w:name="_Toc269743623"/>
    </w:p>
    <w:p w:rsidR="002E1546" w:rsidRDefault="002E1546" w:rsidP="002E1546">
      <w:pPr>
        <w:pStyle w:val="Heading3"/>
        <w:rPr>
          <w:lang w:val="en-US"/>
        </w:rPr>
      </w:pPr>
    </w:p>
    <w:p w:rsidR="002E1546" w:rsidRDefault="002E1546" w:rsidP="002E1546">
      <w:pPr>
        <w:pStyle w:val="Heading3"/>
        <w:rPr>
          <w:lang w:val="en-US"/>
        </w:rPr>
      </w:pPr>
    </w:p>
    <w:p w:rsidR="002E1546" w:rsidRDefault="002E1546" w:rsidP="002E1546">
      <w:pPr>
        <w:pStyle w:val="Heading3"/>
        <w:rPr>
          <w:lang w:val="en-US"/>
        </w:rPr>
      </w:pPr>
    </w:p>
    <w:p w:rsidR="002E1546" w:rsidRDefault="002E1546" w:rsidP="002E1546">
      <w:pPr>
        <w:pStyle w:val="Heading3"/>
        <w:rPr>
          <w:lang w:val="en-US"/>
        </w:rPr>
      </w:pPr>
    </w:p>
    <w:p w:rsidR="002E1546" w:rsidRDefault="002E1546" w:rsidP="002E1546">
      <w:pPr>
        <w:pStyle w:val="Heading3"/>
        <w:rPr>
          <w:lang w:val="en-US"/>
        </w:rPr>
      </w:pPr>
    </w:p>
    <w:p w:rsidR="002E1546" w:rsidRDefault="002E1546" w:rsidP="002E1546">
      <w:pPr>
        <w:pStyle w:val="Heading3"/>
        <w:rPr>
          <w:lang w:val="en-US"/>
        </w:rPr>
      </w:pPr>
    </w:p>
    <w:p w:rsidR="002E1546" w:rsidRPr="004C03C2" w:rsidRDefault="0067213A" w:rsidP="002E1546">
      <w:pPr>
        <w:pStyle w:val="Heading3"/>
        <w:rPr>
          <w:lang w:val="en-US"/>
        </w:rPr>
        <w:sectPr w:rsidR="002E1546" w:rsidRPr="004C03C2" w:rsidSect="002E1546">
          <w:footerReference w:type="even" r:id="rId8"/>
          <w:footerReference w:type="default" r:id="rId9"/>
          <w:footnotePr>
            <w:pos w:val="beneathText"/>
          </w:footnotePr>
          <w:pgSz w:w="11900" w:h="16840"/>
          <w:pgMar w:top="1440" w:right="1800" w:bottom="1440" w:left="1800" w:header="708" w:footer="708" w:gutter="0"/>
          <w:cols w:space="708"/>
        </w:sectPr>
      </w:pPr>
      <w:bookmarkStart w:id="25" w:name="_Toc271286254"/>
      <w:bookmarkStart w:id="26" w:name="_Toc271287117"/>
      <w:bookmarkStart w:id="27" w:name="_Toc271287663"/>
      <w:bookmarkStart w:id="28" w:name="_Toc272825543"/>
      <w:bookmarkStart w:id="29" w:name="_Toc272906692"/>
      <w:bookmarkStart w:id="30" w:name="_Toc272907320"/>
      <w:bookmarkStart w:id="31" w:name="_Toc272907924"/>
      <w:bookmarkStart w:id="32" w:name="_Toc272907996"/>
      <w:bookmarkStart w:id="33" w:name="_Toc272908072"/>
      <w:bookmarkStart w:id="34" w:name="_Toc272911866"/>
      <w:bookmarkStart w:id="35" w:name="_Toc276032574"/>
      <w:bookmarkStart w:id="36" w:name="_Toc279581049"/>
      <w:bookmarkStart w:id="37" w:name="_Toc282001517"/>
      <w:bookmarkStart w:id="38" w:name="_Toc283910404"/>
      <w:bookmarkStart w:id="39" w:name="_Toc286159968"/>
      <w:r>
        <w:rPr>
          <w:lang w:val="en-US"/>
        </w:rPr>
        <w:t>January 2011</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bookmarkStart w:id="40" w:name="_Toc268689530"/>
    <w:bookmarkStart w:id="41" w:name="_Toc269743624"/>
    <w:p w:rsidR="00287EEC" w:rsidRDefault="002E1546">
      <w:pPr>
        <w:pStyle w:val="TOC1"/>
        <w:rPr>
          <w:rFonts w:ascii="Times New Roman" w:hAnsi="Times New Roman"/>
          <w:noProof/>
          <w:lang w:eastAsia="en-IE"/>
        </w:rPr>
      </w:pPr>
      <w:r>
        <w:rPr>
          <w:lang w:val="en-US" w:bidi="en-US"/>
        </w:rPr>
        <w:lastRenderedPageBreak/>
        <w:fldChar w:fldCharType="begin"/>
      </w:r>
      <w:r>
        <w:rPr>
          <w:lang w:val="en-US" w:bidi="en-US"/>
        </w:rPr>
        <w:instrText xml:space="preserve"> TOC \o "1-3" \h \z \u </w:instrText>
      </w:r>
      <w:r>
        <w:rPr>
          <w:lang w:val="en-US" w:bidi="en-US"/>
        </w:rPr>
        <w:fldChar w:fldCharType="separate"/>
      </w:r>
      <w:hyperlink w:anchor="_Toc286159970" w:history="1">
        <w:r w:rsidR="00287EEC" w:rsidRPr="00FA385B">
          <w:rPr>
            <w:rStyle w:val="Hyperlink"/>
            <w:noProof/>
            <w:lang w:val="en-US" w:bidi="en-US"/>
          </w:rPr>
          <w:t>1. Introduction</w:t>
        </w:r>
        <w:r w:rsidR="00287EEC">
          <w:rPr>
            <w:noProof/>
            <w:webHidden/>
          </w:rPr>
          <w:tab/>
        </w:r>
        <w:r w:rsidR="00287EEC">
          <w:rPr>
            <w:noProof/>
            <w:webHidden/>
          </w:rPr>
          <w:fldChar w:fldCharType="begin"/>
        </w:r>
        <w:r w:rsidR="00287EEC">
          <w:rPr>
            <w:noProof/>
            <w:webHidden/>
          </w:rPr>
          <w:instrText xml:space="preserve"> PAGEREF _Toc286159970 \h </w:instrText>
        </w:r>
        <w:r w:rsidR="00200B96">
          <w:rPr>
            <w:noProof/>
          </w:rPr>
        </w:r>
        <w:r w:rsidR="00287EEC">
          <w:rPr>
            <w:noProof/>
            <w:webHidden/>
          </w:rPr>
          <w:fldChar w:fldCharType="separate"/>
        </w:r>
        <w:r w:rsidR="00584E23">
          <w:rPr>
            <w:noProof/>
            <w:webHidden/>
          </w:rPr>
          <w:t>6</w:t>
        </w:r>
        <w:r w:rsidR="00287EEC">
          <w:rPr>
            <w:noProof/>
            <w:webHidden/>
          </w:rPr>
          <w:fldChar w:fldCharType="end"/>
        </w:r>
      </w:hyperlink>
    </w:p>
    <w:p w:rsidR="00287EEC" w:rsidRDefault="00287EEC">
      <w:pPr>
        <w:pStyle w:val="TOC1"/>
        <w:rPr>
          <w:rFonts w:ascii="Times New Roman" w:hAnsi="Times New Roman"/>
          <w:noProof/>
          <w:lang w:eastAsia="en-IE"/>
        </w:rPr>
      </w:pPr>
      <w:hyperlink w:anchor="_Toc286159971" w:history="1">
        <w:r w:rsidRPr="00FA385B">
          <w:rPr>
            <w:rStyle w:val="Hyperlink"/>
            <w:noProof/>
            <w:lang w:val="en-US"/>
          </w:rPr>
          <w:t>2. Population</w:t>
        </w:r>
        <w:r>
          <w:rPr>
            <w:noProof/>
            <w:webHidden/>
          </w:rPr>
          <w:tab/>
        </w:r>
        <w:r>
          <w:rPr>
            <w:noProof/>
            <w:webHidden/>
          </w:rPr>
          <w:fldChar w:fldCharType="begin"/>
        </w:r>
        <w:r>
          <w:rPr>
            <w:noProof/>
            <w:webHidden/>
          </w:rPr>
          <w:instrText xml:space="preserve"> PAGEREF _Toc286159971 \h </w:instrText>
        </w:r>
        <w:r w:rsidR="00200B96">
          <w:rPr>
            <w:noProof/>
          </w:rPr>
        </w:r>
        <w:r>
          <w:rPr>
            <w:noProof/>
            <w:webHidden/>
          </w:rPr>
          <w:fldChar w:fldCharType="separate"/>
        </w:r>
        <w:r w:rsidR="00584E23">
          <w:rPr>
            <w:noProof/>
            <w:webHidden/>
          </w:rPr>
          <w:t>8</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72" w:history="1">
        <w:r w:rsidRPr="00FA385B">
          <w:rPr>
            <w:rStyle w:val="Hyperlink"/>
            <w:lang w:val="en-US"/>
          </w:rPr>
          <w:t>2.1 Population with a disability</w:t>
        </w:r>
        <w:r>
          <w:rPr>
            <w:webHidden/>
          </w:rPr>
          <w:tab/>
        </w:r>
        <w:r>
          <w:rPr>
            <w:webHidden/>
          </w:rPr>
          <w:fldChar w:fldCharType="begin"/>
        </w:r>
        <w:r>
          <w:rPr>
            <w:webHidden/>
          </w:rPr>
          <w:instrText xml:space="preserve"> PAGEREF _Toc286159972 \h </w:instrText>
        </w:r>
        <w:r>
          <w:rPr>
            <w:webHidden/>
          </w:rPr>
          <w:fldChar w:fldCharType="separate"/>
        </w:r>
        <w:r w:rsidR="00584E23">
          <w:rPr>
            <w:webHidden/>
          </w:rPr>
          <w:t>8</w:t>
        </w:r>
        <w:r>
          <w:rPr>
            <w:webHidden/>
          </w:rPr>
          <w:fldChar w:fldCharType="end"/>
        </w:r>
      </w:hyperlink>
    </w:p>
    <w:p w:rsidR="00287EEC" w:rsidRDefault="00287EEC">
      <w:pPr>
        <w:pStyle w:val="TOC1"/>
        <w:rPr>
          <w:rFonts w:ascii="Times New Roman" w:hAnsi="Times New Roman"/>
          <w:noProof/>
          <w:lang w:eastAsia="en-IE"/>
        </w:rPr>
      </w:pPr>
      <w:hyperlink w:anchor="_Toc286159973" w:history="1">
        <w:r w:rsidRPr="00FA385B">
          <w:rPr>
            <w:rStyle w:val="Hyperlink"/>
            <w:noProof/>
            <w:lang w:val="en-US"/>
          </w:rPr>
          <w:t>3. Provision of Health and Disability Services for people with disabilities</w:t>
        </w:r>
        <w:r>
          <w:rPr>
            <w:noProof/>
            <w:webHidden/>
          </w:rPr>
          <w:tab/>
        </w:r>
        <w:r>
          <w:rPr>
            <w:noProof/>
            <w:webHidden/>
          </w:rPr>
          <w:fldChar w:fldCharType="begin"/>
        </w:r>
        <w:r>
          <w:rPr>
            <w:noProof/>
            <w:webHidden/>
          </w:rPr>
          <w:instrText xml:space="preserve"> PAGEREF _Toc286159973 \h </w:instrText>
        </w:r>
        <w:r w:rsidR="00200B96">
          <w:rPr>
            <w:noProof/>
          </w:rPr>
        </w:r>
        <w:r>
          <w:rPr>
            <w:noProof/>
            <w:webHidden/>
          </w:rPr>
          <w:fldChar w:fldCharType="separate"/>
        </w:r>
        <w:r w:rsidR="00584E23">
          <w:rPr>
            <w:noProof/>
            <w:webHidden/>
          </w:rPr>
          <w:t>9</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74" w:history="1">
        <w:r w:rsidRPr="00FA385B">
          <w:rPr>
            <w:rStyle w:val="Hyperlink"/>
            <w:lang w:eastAsia="en-IE"/>
          </w:rPr>
          <w:t>3.1 Overview of Service Provision System</w:t>
        </w:r>
        <w:r>
          <w:rPr>
            <w:webHidden/>
          </w:rPr>
          <w:tab/>
        </w:r>
        <w:r>
          <w:rPr>
            <w:webHidden/>
          </w:rPr>
          <w:fldChar w:fldCharType="begin"/>
        </w:r>
        <w:r>
          <w:rPr>
            <w:webHidden/>
          </w:rPr>
          <w:instrText xml:space="preserve"> PAGEREF _Toc286159974 \h </w:instrText>
        </w:r>
        <w:r>
          <w:rPr>
            <w:webHidden/>
          </w:rPr>
          <w:fldChar w:fldCharType="separate"/>
        </w:r>
        <w:r w:rsidR="00584E23">
          <w:rPr>
            <w:webHidden/>
          </w:rPr>
          <w:t>9</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75" w:history="1">
        <w:r w:rsidRPr="00FA385B">
          <w:rPr>
            <w:rStyle w:val="Hyperlink"/>
          </w:rPr>
          <w:t>3.2 Reform of the Health Care System</w:t>
        </w:r>
        <w:r>
          <w:rPr>
            <w:webHidden/>
          </w:rPr>
          <w:tab/>
        </w:r>
        <w:r>
          <w:rPr>
            <w:webHidden/>
          </w:rPr>
          <w:fldChar w:fldCharType="begin"/>
        </w:r>
        <w:r>
          <w:rPr>
            <w:webHidden/>
          </w:rPr>
          <w:instrText xml:space="preserve"> PAGEREF _Toc286159975 \h </w:instrText>
        </w:r>
        <w:r>
          <w:rPr>
            <w:webHidden/>
          </w:rPr>
          <w:fldChar w:fldCharType="separate"/>
        </w:r>
        <w:r w:rsidR="00584E23">
          <w:rPr>
            <w:webHidden/>
          </w:rPr>
          <w:t>10</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76" w:history="1">
        <w:r w:rsidRPr="00FA385B">
          <w:rPr>
            <w:rStyle w:val="Hyperlink"/>
            <w:lang w:eastAsia="en-IE"/>
          </w:rPr>
          <w:t>3.3 Public Long Term Care Insurance</w:t>
        </w:r>
        <w:r>
          <w:rPr>
            <w:webHidden/>
          </w:rPr>
          <w:tab/>
        </w:r>
        <w:r>
          <w:rPr>
            <w:webHidden/>
          </w:rPr>
          <w:fldChar w:fldCharType="begin"/>
        </w:r>
        <w:r>
          <w:rPr>
            <w:webHidden/>
          </w:rPr>
          <w:instrText xml:space="preserve"> PAGEREF _Toc286159976 \h </w:instrText>
        </w:r>
        <w:r>
          <w:rPr>
            <w:webHidden/>
          </w:rPr>
          <w:fldChar w:fldCharType="separate"/>
        </w:r>
        <w:r w:rsidR="00584E23">
          <w:rPr>
            <w:webHidden/>
          </w:rPr>
          <w:t>11</w:t>
        </w:r>
        <w:r>
          <w:rPr>
            <w:webHidden/>
          </w:rPr>
          <w:fldChar w:fldCharType="end"/>
        </w:r>
      </w:hyperlink>
    </w:p>
    <w:p w:rsidR="00287EEC" w:rsidRDefault="00287EEC" w:rsidP="00287EEC">
      <w:pPr>
        <w:pStyle w:val="TOC3"/>
        <w:rPr>
          <w:rFonts w:ascii="Times New Roman" w:hAnsi="Times New Roman"/>
          <w:noProof/>
          <w:lang w:eastAsia="en-IE"/>
        </w:rPr>
      </w:pPr>
      <w:hyperlink w:anchor="_Toc286159977" w:history="1">
        <w:r w:rsidRPr="00FA385B">
          <w:rPr>
            <w:rStyle w:val="Hyperlink"/>
            <w:noProof/>
            <w:lang w:val="en-US" w:bidi="en-US"/>
          </w:rPr>
          <w:t>Exceptional Medical Expenses Insurance/</w:t>
        </w:r>
        <w:r>
          <w:rPr>
            <w:rStyle w:val="Hyperlink"/>
            <w:noProof/>
            <w:lang w:val="en-US" w:bidi="en-US"/>
          </w:rPr>
          <w:t xml:space="preserve"> </w:t>
        </w:r>
        <w:r w:rsidRPr="00FA385B">
          <w:rPr>
            <w:rStyle w:val="Hyperlink"/>
            <w:noProof/>
            <w:lang w:val="en-US" w:bidi="en-US"/>
          </w:rPr>
          <w:t>Long Term Care Insurance (A</w:t>
        </w:r>
        <w:r w:rsidRPr="00FA385B">
          <w:rPr>
            <w:rStyle w:val="Hyperlink"/>
            <w:noProof/>
            <w:lang w:val="en-US" w:bidi="en-US"/>
          </w:rPr>
          <w:t>WBZ)</w:t>
        </w:r>
        <w:r>
          <w:rPr>
            <w:noProof/>
            <w:webHidden/>
          </w:rPr>
          <w:tab/>
        </w:r>
        <w:r>
          <w:rPr>
            <w:noProof/>
            <w:webHidden/>
          </w:rPr>
          <w:fldChar w:fldCharType="begin"/>
        </w:r>
        <w:r>
          <w:rPr>
            <w:noProof/>
            <w:webHidden/>
          </w:rPr>
          <w:instrText xml:space="preserve"> PAGEREF _Toc286159977 \h </w:instrText>
        </w:r>
        <w:r w:rsidR="00200B96">
          <w:rPr>
            <w:noProof/>
          </w:rPr>
        </w:r>
        <w:r>
          <w:rPr>
            <w:noProof/>
            <w:webHidden/>
          </w:rPr>
          <w:fldChar w:fldCharType="separate"/>
        </w:r>
        <w:r w:rsidR="00584E23">
          <w:rPr>
            <w:noProof/>
            <w:webHidden/>
          </w:rPr>
          <w:t>12</w:t>
        </w:r>
        <w:r>
          <w:rPr>
            <w:noProof/>
            <w:webHidden/>
          </w:rPr>
          <w:fldChar w:fldCharType="end"/>
        </w:r>
      </w:hyperlink>
    </w:p>
    <w:p w:rsidR="00287EEC" w:rsidRDefault="00287EEC" w:rsidP="00287EEC">
      <w:pPr>
        <w:pStyle w:val="TOC3"/>
        <w:rPr>
          <w:rFonts w:ascii="Times New Roman" w:hAnsi="Times New Roman"/>
          <w:noProof/>
          <w:lang w:eastAsia="en-IE"/>
        </w:rPr>
      </w:pPr>
      <w:hyperlink w:anchor="_Toc286159978" w:history="1">
        <w:r w:rsidRPr="00FA385B">
          <w:rPr>
            <w:rStyle w:val="Hyperlink"/>
            <w:noProof/>
            <w:lang w:val="en-US" w:bidi="en-US"/>
          </w:rPr>
          <w:t>Social Support Insurance (WMO)</w:t>
        </w:r>
        <w:r>
          <w:rPr>
            <w:noProof/>
            <w:webHidden/>
          </w:rPr>
          <w:tab/>
        </w:r>
        <w:r>
          <w:rPr>
            <w:noProof/>
            <w:webHidden/>
          </w:rPr>
          <w:fldChar w:fldCharType="begin"/>
        </w:r>
        <w:r>
          <w:rPr>
            <w:noProof/>
            <w:webHidden/>
          </w:rPr>
          <w:instrText xml:space="preserve"> PAGEREF _Toc286159978 \h </w:instrText>
        </w:r>
        <w:r w:rsidR="00200B96">
          <w:rPr>
            <w:noProof/>
          </w:rPr>
        </w:r>
        <w:r>
          <w:rPr>
            <w:noProof/>
            <w:webHidden/>
          </w:rPr>
          <w:fldChar w:fldCharType="separate"/>
        </w:r>
        <w:r w:rsidR="00584E23">
          <w:rPr>
            <w:noProof/>
            <w:webHidden/>
          </w:rPr>
          <w:t>16</w:t>
        </w:r>
        <w:r>
          <w:rPr>
            <w:noProof/>
            <w:webHidden/>
          </w:rPr>
          <w:fldChar w:fldCharType="end"/>
        </w:r>
      </w:hyperlink>
    </w:p>
    <w:p w:rsidR="00287EEC" w:rsidRPr="00287EEC" w:rsidRDefault="00287EEC">
      <w:pPr>
        <w:pStyle w:val="TOC2"/>
        <w:rPr>
          <w:color w:val="0000FF"/>
          <w:u w:val="single"/>
          <w:lang w:val="en-US"/>
        </w:rPr>
      </w:pPr>
      <w:hyperlink w:anchor="_Toc286159979" w:history="1">
        <w:r w:rsidRPr="00FA385B">
          <w:rPr>
            <w:rStyle w:val="Hyperlink"/>
            <w:lang w:val="en-US"/>
          </w:rPr>
          <w:t xml:space="preserve">3.4 Policy framework for independence and </w:t>
        </w:r>
        <w:r>
          <w:rPr>
            <w:rStyle w:val="Hyperlink"/>
            <w:lang w:val="en-US"/>
          </w:rPr>
          <w:t>comm</w:t>
        </w:r>
        <w:r w:rsidRPr="00FA385B">
          <w:rPr>
            <w:rStyle w:val="Hyperlink"/>
            <w:lang w:val="en-US"/>
          </w:rPr>
          <w:t>unity living</w:t>
        </w:r>
        <w:r>
          <w:rPr>
            <w:rStyle w:val="Hyperlink"/>
            <w:lang w:val="en-US"/>
          </w:rPr>
          <w:t xml:space="preserve"> </w:t>
        </w:r>
        <w:r w:rsidRPr="00FA385B">
          <w:rPr>
            <w:rStyle w:val="Hyperlink"/>
            <w:lang w:val="en-US"/>
          </w:rPr>
          <w:t xml:space="preserve"> in the Netherlands</w:t>
        </w:r>
        <w:r>
          <w:rPr>
            <w:webHidden/>
          </w:rPr>
          <w:tab/>
        </w:r>
        <w:r>
          <w:rPr>
            <w:webHidden/>
          </w:rPr>
          <w:fldChar w:fldCharType="begin"/>
        </w:r>
        <w:r>
          <w:rPr>
            <w:webHidden/>
          </w:rPr>
          <w:instrText xml:space="preserve"> PAGEREF _Toc286159979 \h </w:instrText>
        </w:r>
        <w:r>
          <w:rPr>
            <w:webHidden/>
          </w:rPr>
          <w:fldChar w:fldCharType="separate"/>
        </w:r>
        <w:r w:rsidR="00584E23">
          <w:rPr>
            <w:webHidden/>
          </w:rPr>
          <w:t>16</w:t>
        </w:r>
        <w:r>
          <w:rPr>
            <w:webHidden/>
          </w:rPr>
          <w:fldChar w:fldCharType="end"/>
        </w:r>
      </w:hyperlink>
    </w:p>
    <w:p w:rsidR="00287EEC" w:rsidRDefault="00287EEC">
      <w:pPr>
        <w:pStyle w:val="TOC1"/>
        <w:rPr>
          <w:rFonts w:ascii="Times New Roman" w:hAnsi="Times New Roman"/>
          <w:noProof/>
          <w:lang w:eastAsia="en-IE"/>
        </w:rPr>
      </w:pPr>
      <w:hyperlink w:anchor="_Toc286159980" w:history="1">
        <w:r w:rsidRPr="00FA385B">
          <w:rPr>
            <w:rStyle w:val="Hyperlink"/>
            <w:noProof/>
            <w:lang w:val="en-US" w:bidi="en-US"/>
          </w:rPr>
          <w:t>4. Housing, Accommodation and Day Services for People with Disabilities</w:t>
        </w:r>
        <w:r>
          <w:rPr>
            <w:noProof/>
            <w:webHidden/>
          </w:rPr>
          <w:tab/>
        </w:r>
        <w:r>
          <w:rPr>
            <w:noProof/>
            <w:webHidden/>
          </w:rPr>
          <w:fldChar w:fldCharType="begin"/>
        </w:r>
        <w:r>
          <w:rPr>
            <w:noProof/>
            <w:webHidden/>
          </w:rPr>
          <w:instrText xml:space="preserve"> PAGEREF _Toc286159980 \h </w:instrText>
        </w:r>
        <w:r w:rsidR="00200B96">
          <w:rPr>
            <w:noProof/>
          </w:rPr>
        </w:r>
        <w:r>
          <w:rPr>
            <w:noProof/>
            <w:webHidden/>
          </w:rPr>
          <w:fldChar w:fldCharType="separate"/>
        </w:r>
        <w:r w:rsidR="00584E23">
          <w:rPr>
            <w:noProof/>
            <w:webHidden/>
          </w:rPr>
          <w:t>18</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81" w:history="1">
        <w:r w:rsidRPr="00FA385B">
          <w:rPr>
            <w:rStyle w:val="Hyperlink"/>
            <w:lang w:val="en-US"/>
          </w:rPr>
          <w:t>4.1 Residential Services</w:t>
        </w:r>
        <w:r>
          <w:rPr>
            <w:webHidden/>
          </w:rPr>
          <w:tab/>
        </w:r>
        <w:r>
          <w:rPr>
            <w:webHidden/>
          </w:rPr>
          <w:fldChar w:fldCharType="begin"/>
        </w:r>
        <w:r>
          <w:rPr>
            <w:webHidden/>
          </w:rPr>
          <w:instrText xml:space="preserve"> PAGEREF _Toc286159981 \h </w:instrText>
        </w:r>
        <w:r>
          <w:rPr>
            <w:webHidden/>
          </w:rPr>
          <w:fldChar w:fldCharType="separate"/>
        </w:r>
        <w:r w:rsidR="00584E23">
          <w:rPr>
            <w:webHidden/>
          </w:rPr>
          <w:t>18</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82" w:history="1">
        <w:r w:rsidRPr="00FA385B">
          <w:rPr>
            <w:rStyle w:val="Hyperlink"/>
            <w:lang w:eastAsia="en-IE"/>
          </w:rPr>
          <w:t>4.2 Housing</w:t>
        </w:r>
        <w:r>
          <w:rPr>
            <w:webHidden/>
          </w:rPr>
          <w:tab/>
        </w:r>
        <w:r>
          <w:rPr>
            <w:webHidden/>
          </w:rPr>
          <w:fldChar w:fldCharType="begin"/>
        </w:r>
        <w:r>
          <w:rPr>
            <w:webHidden/>
          </w:rPr>
          <w:instrText xml:space="preserve"> PAGEREF _Toc286159982 \h </w:instrText>
        </w:r>
        <w:r>
          <w:rPr>
            <w:webHidden/>
          </w:rPr>
          <w:fldChar w:fldCharType="separate"/>
        </w:r>
        <w:r w:rsidR="00584E23">
          <w:rPr>
            <w:webHidden/>
          </w:rPr>
          <w:t>19</w:t>
        </w:r>
        <w:r>
          <w:rPr>
            <w:webHidden/>
          </w:rPr>
          <w:fldChar w:fldCharType="end"/>
        </w:r>
      </w:hyperlink>
    </w:p>
    <w:p w:rsidR="00287EEC" w:rsidRDefault="00287EEC" w:rsidP="00287EEC">
      <w:pPr>
        <w:pStyle w:val="TOC3"/>
        <w:rPr>
          <w:rFonts w:ascii="Times New Roman" w:hAnsi="Times New Roman"/>
          <w:noProof/>
          <w:lang w:eastAsia="en-IE"/>
        </w:rPr>
      </w:pPr>
      <w:hyperlink w:anchor="_Toc286159983" w:history="1">
        <w:r w:rsidRPr="00FA385B">
          <w:rPr>
            <w:rStyle w:val="Hyperlink"/>
            <w:noProof/>
          </w:rPr>
          <w:t>Types of accommodation for people with disabilities</w:t>
        </w:r>
        <w:r>
          <w:rPr>
            <w:noProof/>
            <w:webHidden/>
          </w:rPr>
          <w:tab/>
        </w:r>
        <w:r>
          <w:rPr>
            <w:noProof/>
            <w:webHidden/>
          </w:rPr>
          <w:fldChar w:fldCharType="begin"/>
        </w:r>
        <w:r>
          <w:rPr>
            <w:noProof/>
            <w:webHidden/>
          </w:rPr>
          <w:instrText xml:space="preserve"> PAGEREF _Toc286159983 \h </w:instrText>
        </w:r>
        <w:r w:rsidR="00200B96">
          <w:rPr>
            <w:noProof/>
          </w:rPr>
        </w:r>
        <w:r>
          <w:rPr>
            <w:noProof/>
            <w:webHidden/>
          </w:rPr>
          <w:fldChar w:fldCharType="separate"/>
        </w:r>
        <w:r w:rsidR="00584E23">
          <w:rPr>
            <w:noProof/>
            <w:webHidden/>
          </w:rPr>
          <w:t>19</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84" w:history="1">
        <w:r w:rsidRPr="00FA385B">
          <w:rPr>
            <w:rStyle w:val="Hyperlink"/>
            <w:lang w:eastAsia="en-IE"/>
          </w:rPr>
          <w:t>4.3 Care Support for people with disabilities</w:t>
        </w:r>
        <w:r>
          <w:rPr>
            <w:webHidden/>
          </w:rPr>
          <w:tab/>
        </w:r>
        <w:r>
          <w:rPr>
            <w:webHidden/>
          </w:rPr>
          <w:fldChar w:fldCharType="begin"/>
        </w:r>
        <w:r>
          <w:rPr>
            <w:webHidden/>
          </w:rPr>
          <w:instrText xml:space="preserve"> PAGEREF _Toc286159984 \h </w:instrText>
        </w:r>
        <w:r>
          <w:rPr>
            <w:webHidden/>
          </w:rPr>
          <w:fldChar w:fldCharType="separate"/>
        </w:r>
        <w:r w:rsidR="00584E23">
          <w:rPr>
            <w:webHidden/>
          </w:rPr>
          <w:t>21</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85" w:history="1">
        <w:r w:rsidRPr="00FA385B">
          <w:rPr>
            <w:rStyle w:val="Hyperlink"/>
            <w:lang w:eastAsia="en-IE"/>
          </w:rPr>
          <w:t>4.4 Respite and Carer Supports</w:t>
        </w:r>
        <w:r>
          <w:rPr>
            <w:webHidden/>
          </w:rPr>
          <w:tab/>
        </w:r>
        <w:r>
          <w:rPr>
            <w:webHidden/>
          </w:rPr>
          <w:fldChar w:fldCharType="begin"/>
        </w:r>
        <w:r>
          <w:rPr>
            <w:webHidden/>
          </w:rPr>
          <w:instrText xml:space="preserve"> PAGEREF _Toc286159985 \h </w:instrText>
        </w:r>
        <w:r>
          <w:rPr>
            <w:webHidden/>
          </w:rPr>
          <w:fldChar w:fldCharType="separate"/>
        </w:r>
        <w:r w:rsidR="00584E23">
          <w:rPr>
            <w:webHidden/>
          </w:rPr>
          <w:t>21</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86" w:history="1">
        <w:r w:rsidRPr="00FA385B">
          <w:rPr>
            <w:rStyle w:val="Hyperlink"/>
            <w:lang w:val="en-US"/>
          </w:rPr>
          <w:t>4.5 Preschool for children with disabilities</w:t>
        </w:r>
        <w:r>
          <w:rPr>
            <w:webHidden/>
          </w:rPr>
          <w:tab/>
        </w:r>
        <w:r>
          <w:rPr>
            <w:webHidden/>
          </w:rPr>
          <w:fldChar w:fldCharType="begin"/>
        </w:r>
        <w:r>
          <w:rPr>
            <w:webHidden/>
          </w:rPr>
          <w:instrText xml:space="preserve"> PAGEREF _Toc286159986 \h </w:instrText>
        </w:r>
        <w:r>
          <w:rPr>
            <w:webHidden/>
          </w:rPr>
          <w:fldChar w:fldCharType="separate"/>
        </w:r>
        <w:r w:rsidR="00584E23">
          <w:rPr>
            <w:webHidden/>
          </w:rPr>
          <w:t>22</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87" w:history="1">
        <w:r w:rsidRPr="00FA385B">
          <w:rPr>
            <w:rStyle w:val="Hyperlink"/>
          </w:rPr>
          <w:t>4.6 Care supports in education for children with disabilities</w:t>
        </w:r>
        <w:r>
          <w:rPr>
            <w:webHidden/>
          </w:rPr>
          <w:tab/>
        </w:r>
        <w:r>
          <w:rPr>
            <w:webHidden/>
          </w:rPr>
          <w:fldChar w:fldCharType="begin"/>
        </w:r>
        <w:r>
          <w:rPr>
            <w:webHidden/>
          </w:rPr>
          <w:instrText xml:space="preserve"> PAGEREF _Toc286159987 \h </w:instrText>
        </w:r>
        <w:r>
          <w:rPr>
            <w:webHidden/>
          </w:rPr>
          <w:fldChar w:fldCharType="separate"/>
        </w:r>
        <w:r w:rsidR="00584E23">
          <w:rPr>
            <w:webHidden/>
          </w:rPr>
          <w:t>23</w:t>
        </w:r>
        <w:r>
          <w:rPr>
            <w:webHidden/>
          </w:rPr>
          <w:fldChar w:fldCharType="end"/>
        </w:r>
      </w:hyperlink>
    </w:p>
    <w:p w:rsidR="00287EEC" w:rsidRDefault="00287EEC" w:rsidP="00287EEC">
      <w:pPr>
        <w:pStyle w:val="TOC3"/>
        <w:rPr>
          <w:rFonts w:ascii="Times New Roman" w:hAnsi="Times New Roman"/>
          <w:noProof/>
          <w:lang w:eastAsia="en-IE"/>
        </w:rPr>
      </w:pPr>
      <w:hyperlink w:anchor="_Toc286159988" w:history="1">
        <w:r w:rsidRPr="00FA385B">
          <w:rPr>
            <w:rStyle w:val="Hyperlink"/>
            <w:noProof/>
            <w:lang w:eastAsia="en-IE"/>
          </w:rPr>
          <w:t>Transition from education to employment</w:t>
        </w:r>
        <w:r>
          <w:rPr>
            <w:noProof/>
            <w:webHidden/>
          </w:rPr>
          <w:tab/>
        </w:r>
        <w:r>
          <w:rPr>
            <w:noProof/>
            <w:webHidden/>
          </w:rPr>
          <w:fldChar w:fldCharType="begin"/>
        </w:r>
        <w:r>
          <w:rPr>
            <w:noProof/>
            <w:webHidden/>
          </w:rPr>
          <w:instrText xml:space="preserve"> PAGEREF _Toc286159988 \h </w:instrText>
        </w:r>
        <w:r w:rsidR="00200B96">
          <w:rPr>
            <w:noProof/>
          </w:rPr>
        </w:r>
        <w:r>
          <w:rPr>
            <w:noProof/>
            <w:webHidden/>
          </w:rPr>
          <w:fldChar w:fldCharType="separate"/>
        </w:r>
        <w:r w:rsidR="00584E23">
          <w:rPr>
            <w:noProof/>
            <w:webHidden/>
          </w:rPr>
          <w:t>26</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89" w:history="1">
        <w:r w:rsidRPr="00FA385B">
          <w:rPr>
            <w:rStyle w:val="Hyperlink"/>
            <w:lang w:val="en-US"/>
          </w:rPr>
          <w:t>4.7 Transport to Disability Services</w:t>
        </w:r>
        <w:r>
          <w:rPr>
            <w:webHidden/>
          </w:rPr>
          <w:tab/>
        </w:r>
        <w:r>
          <w:rPr>
            <w:webHidden/>
          </w:rPr>
          <w:fldChar w:fldCharType="begin"/>
        </w:r>
        <w:r>
          <w:rPr>
            <w:webHidden/>
          </w:rPr>
          <w:instrText xml:space="preserve"> PAGEREF _Toc286159989 \h </w:instrText>
        </w:r>
        <w:r>
          <w:rPr>
            <w:webHidden/>
          </w:rPr>
          <w:fldChar w:fldCharType="separate"/>
        </w:r>
        <w:r w:rsidR="00584E23">
          <w:rPr>
            <w:webHidden/>
          </w:rPr>
          <w:t>27</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90" w:history="1">
        <w:r w:rsidRPr="00FA385B">
          <w:rPr>
            <w:rStyle w:val="Hyperlink"/>
            <w:lang w:val="en-US"/>
          </w:rPr>
          <w:t>4.8 Day &amp; Employment Services</w:t>
        </w:r>
        <w:r>
          <w:rPr>
            <w:webHidden/>
          </w:rPr>
          <w:tab/>
        </w:r>
        <w:r>
          <w:rPr>
            <w:webHidden/>
          </w:rPr>
          <w:fldChar w:fldCharType="begin"/>
        </w:r>
        <w:r>
          <w:rPr>
            <w:webHidden/>
          </w:rPr>
          <w:instrText xml:space="preserve"> PAGEREF _Toc286159990 \h </w:instrText>
        </w:r>
        <w:r>
          <w:rPr>
            <w:webHidden/>
          </w:rPr>
          <w:fldChar w:fldCharType="separate"/>
        </w:r>
        <w:r w:rsidR="00584E23">
          <w:rPr>
            <w:webHidden/>
          </w:rPr>
          <w:t>27</w:t>
        </w:r>
        <w:r>
          <w:rPr>
            <w:webHidden/>
          </w:rPr>
          <w:fldChar w:fldCharType="end"/>
        </w:r>
      </w:hyperlink>
    </w:p>
    <w:p w:rsidR="00287EEC" w:rsidRDefault="00287EEC" w:rsidP="00287EEC">
      <w:pPr>
        <w:pStyle w:val="TOC3"/>
        <w:rPr>
          <w:rFonts w:ascii="Times New Roman" w:hAnsi="Times New Roman"/>
          <w:noProof/>
          <w:lang w:eastAsia="en-IE"/>
        </w:rPr>
      </w:pPr>
      <w:hyperlink w:anchor="_Toc286159991" w:history="1">
        <w:r w:rsidRPr="00FA385B">
          <w:rPr>
            <w:rStyle w:val="Hyperlink"/>
            <w:noProof/>
            <w:lang w:val="en-US"/>
          </w:rPr>
          <w:t>Day care services</w:t>
        </w:r>
        <w:r>
          <w:rPr>
            <w:noProof/>
            <w:webHidden/>
          </w:rPr>
          <w:tab/>
        </w:r>
        <w:r>
          <w:rPr>
            <w:noProof/>
            <w:webHidden/>
          </w:rPr>
          <w:fldChar w:fldCharType="begin"/>
        </w:r>
        <w:r>
          <w:rPr>
            <w:noProof/>
            <w:webHidden/>
          </w:rPr>
          <w:instrText xml:space="preserve"> PAGEREF _Toc286159991 \h </w:instrText>
        </w:r>
        <w:r w:rsidR="00200B96">
          <w:rPr>
            <w:noProof/>
          </w:rPr>
        </w:r>
        <w:r>
          <w:rPr>
            <w:noProof/>
            <w:webHidden/>
          </w:rPr>
          <w:fldChar w:fldCharType="separate"/>
        </w:r>
        <w:r w:rsidR="00584E23">
          <w:rPr>
            <w:noProof/>
            <w:webHidden/>
          </w:rPr>
          <w:t>27</w:t>
        </w:r>
        <w:r>
          <w:rPr>
            <w:noProof/>
            <w:webHidden/>
          </w:rPr>
          <w:fldChar w:fldCharType="end"/>
        </w:r>
      </w:hyperlink>
    </w:p>
    <w:p w:rsidR="00287EEC" w:rsidRDefault="00287EEC" w:rsidP="00287EEC">
      <w:pPr>
        <w:pStyle w:val="TOC3"/>
        <w:rPr>
          <w:rFonts w:ascii="Times New Roman" w:hAnsi="Times New Roman"/>
          <w:noProof/>
          <w:lang w:eastAsia="en-IE"/>
        </w:rPr>
      </w:pPr>
      <w:hyperlink w:anchor="_Toc286159992" w:history="1">
        <w:r w:rsidRPr="00FA385B">
          <w:rPr>
            <w:rStyle w:val="Hyperlink"/>
            <w:noProof/>
            <w:lang w:eastAsia="en-IE"/>
          </w:rPr>
          <w:t>Employment services</w:t>
        </w:r>
        <w:r>
          <w:rPr>
            <w:noProof/>
            <w:webHidden/>
          </w:rPr>
          <w:tab/>
        </w:r>
        <w:r>
          <w:rPr>
            <w:noProof/>
            <w:webHidden/>
          </w:rPr>
          <w:fldChar w:fldCharType="begin"/>
        </w:r>
        <w:r>
          <w:rPr>
            <w:noProof/>
            <w:webHidden/>
          </w:rPr>
          <w:instrText xml:space="preserve"> PAGEREF _Toc286159992 \h </w:instrText>
        </w:r>
        <w:r w:rsidR="00200B96">
          <w:rPr>
            <w:noProof/>
          </w:rPr>
        </w:r>
        <w:r>
          <w:rPr>
            <w:noProof/>
            <w:webHidden/>
          </w:rPr>
          <w:fldChar w:fldCharType="separate"/>
        </w:r>
        <w:r w:rsidR="00584E23">
          <w:rPr>
            <w:noProof/>
            <w:webHidden/>
          </w:rPr>
          <w:t>28</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93" w:history="1">
        <w:r w:rsidRPr="00FA385B">
          <w:rPr>
            <w:rStyle w:val="Hyperlink"/>
          </w:rPr>
          <w:t>4.9 Supports to Independent Living</w:t>
        </w:r>
        <w:r>
          <w:rPr>
            <w:webHidden/>
          </w:rPr>
          <w:tab/>
        </w:r>
        <w:r>
          <w:rPr>
            <w:webHidden/>
          </w:rPr>
          <w:fldChar w:fldCharType="begin"/>
        </w:r>
        <w:r>
          <w:rPr>
            <w:webHidden/>
          </w:rPr>
          <w:instrText xml:space="preserve"> PAGEREF _Toc286159993 \h </w:instrText>
        </w:r>
        <w:r>
          <w:rPr>
            <w:webHidden/>
          </w:rPr>
          <w:fldChar w:fldCharType="separate"/>
        </w:r>
        <w:r w:rsidR="00584E23">
          <w:rPr>
            <w:webHidden/>
          </w:rPr>
          <w:t>30</w:t>
        </w:r>
        <w:r>
          <w:rPr>
            <w:webHidden/>
          </w:rPr>
          <w:fldChar w:fldCharType="end"/>
        </w:r>
      </w:hyperlink>
    </w:p>
    <w:p w:rsidR="00287EEC" w:rsidRDefault="00287EEC">
      <w:pPr>
        <w:pStyle w:val="TOC1"/>
        <w:rPr>
          <w:rFonts w:ascii="Times New Roman" w:hAnsi="Times New Roman"/>
          <w:noProof/>
          <w:lang w:eastAsia="en-IE"/>
        </w:rPr>
      </w:pPr>
      <w:hyperlink w:anchor="_Toc286159994" w:history="1">
        <w:r w:rsidRPr="00FA385B">
          <w:rPr>
            <w:rStyle w:val="Hyperlink"/>
            <w:noProof/>
            <w:lang w:eastAsia="en-IE"/>
          </w:rPr>
          <w:t>5. Entitlement, Choice and User Involvement</w:t>
        </w:r>
        <w:r>
          <w:rPr>
            <w:noProof/>
            <w:webHidden/>
          </w:rPr>
          <w:tab/>
        </w:r>
        <w:r>
          <w:rPr>
            <w:noProof/>
            <w:webHidden/>
          </w:rPr>
          <w:fldChar w:fldCharType="begin"/>
        </w:r>
        <w:r>
          <w:rPr>
            <w:noProof/>
            <w:webHidden/>
          </w:rPr>
          <w:instrText xml:space="preserve"> PAGEREF _Toc286159994 \h </w:instrText>
        </w:r>
        <w:r w:rsidR="00200B96">
          <w:rPr>
            <w:noProof/>
          </w:rPr>
        </w:r>
        <w:r>
          <w:rPr>
            <w:noProof/>
            <w:webHidden/>
          </w:rPr>
          <w:fldChar w:fldCharType="separate"/>
        </w:r>
        <w:r w:rsidR="00584E23">
          <w:rPr>
            <w:noProof/>
            <w:webHidden/>
          </w:rPr>
          <w:t>31</w:t>
        </w:r>
        <w:r>
          <w:rPr>
            <w:noProof/>
            <w:webHidden/>
          </w:rPr>
          <w:fldChar w:fldCharType="end"/>
        </w:r>
      </w:hyperlink>
    </w:p>
    <w:p w:rsidR="00287EEC" w:rsidRDefault="00287EEC">
      <w:pPr>
        <w:pStyle w:val="TOC2"/>
        <w:rPr>
          <w:rFonts w:ascii="Times New Roman" w:hAnsi="Times New Roman" w:cs="Times New Roman"/>
          <w:bCs w:val="0"/>
          <w:lang w:eastAsia="en-IE" w:bidi="ar-SA"/>
        </w:rPr>
      </w:pPr>
      <w:hyperlink w:anchor="_Toc286159995" w:history="1">
        <w:r w:rsidRPr="00FA385B">
          <w:rPr>
            <w:rStyle w:val="Hyperlink"/>
            <w:lang w:eastAsia="en-IE"/>
          </w:rPr>
          <w:t>5.1 Entitlement</w:t>
        </w:r>
        <w:r>
          <w:rPr>
            <w:webHidden/>
          </w:rPr>
          <w:tab/>
        </w:r>
        <w:r>
          <w:rPr>
            <w:webHidden/>
          </w:rPr>
          <w:fldChar w:fldCharType="begin"/>
        </w:r>
        <w:r>
          <w:rPr>
            <w:webHidden/>
          </w:rPr>
          <w:instrText xml:space="preserve"> PAGEREF _Toc286159995 \h </w:instrText>
        </w:r>
        <w:r>
          <w:rPr>
            <w:webHidden/>
          </w:rPr>
          <w:fldChar w:fldCharType="separate"/>
        </w:r>
        <w:r w:rsidR="00584E23">
          <w:rPr>
            <w:webHidden/>
          </w:rPr>
          <w:t>31</w:t>
        </w:r>
        <w:r>
          <w:rPr>
            <w:webHidden/>
          </w:rPr>
          <w:fldChar w:fldCharType="end"/>
        </w:r>
      </w:hyperlink>
    </w:p>
    <w:p w:rsidR="00287EEC" w:rsidRDefault="00287EEC">
      <w:pPr>
        <w:pStyle w:val="TOC2"/>
        <w:rPr>
          <w:rFonts w:ascii="Times New Roman" w:hAnsi="Times New Roman" w:cs="Times New Roman"/>
          <w:bCs w:val="0"/>
          <w:lang w:eastAsia="en-IE" w:bidi="ar-SA"/>
        </w:rPr>
      </w:pPr>
      <w:hyperlink w:anchor="_Toc286159996" w:history="1">
        <w:r w:rsidRPr="00FA385B">
          <w:rPr>
            <w:rStyle w:val="Hyperlink"/>
            <w:lang w:val="en-US"/>
          </w:rPr>
          <w:t>5.2 Personal Care Budgets</w:t>
        </w:r>
        <w:r>
          <w:rPr>
            <w:webHidden/>
          </w:rPr>
          <w:tab/>
        </w:r>
        <w:r>
          <w:rPr>
            <w:webHidden/>
          </w:rPr>
          <w:fldChar w:fldCharType="begin"/>
        </w:r>
        <w:r>
          <w:rPr>
            <w:webHidden/>
          </w:rPr>
          <w:instrText xml:space="preserve"> PAGEREF _Toc286159996 \h </w:instrText>
        </w:r>
        <w:r>
          <w:rPr>
            <w:webHidden/>
          </w:rPr>
          <w:fldChar w:fldCharType="separate"/>
        </w:r>
        <w:r w:rsidR="00584E23">
          <w:rPr>
            <w:webHidden/>
          </w:rPr>
          <w:t>32</w:t>
        </w:r>
        <w:r>
          <w:rPr>
            <w:webHidden/>
          </w:rPr>
          <w:fldChar w:fldCharType="end"/>
        </w:r>
      </w:hyperlink>
    </w:p>
    <w:p w:rsidR="00287EEC" w:rsidRDefault="00287EEC">
      <w:pPr>
        <w:pStyle w:val="TOC1"/>
        <w:rPr>
          <w:rFonts w:ascii="Times New Roman" w:hAnsi="Times New Roman"/>
          <w:noProof/>
          <w:lang w:eastAsia="en-IE"/>
        </w:rPr>
      </w:pPr>
      <w:hyperlink w:anchor="_Toc286159997" w:history="1">
        <w:r w:rsidRPr="00FA385B">
          <w:rPr>
            <w:rStyle w:val="Hyperlink"/>
            <w:noProof/>
            <w:lang w:eastAsia="en-IE"/>
          </w:rPr>
          <w:t>5.3 User Involvement</w:t>
        </w:r>
        <w:r>
          <w:rPr>
            <w:noProof/>
            <w:webHidden/>
          </w:rPr>
          <w:tab/>
        </w:r>
        <w:r>
          <w:rPr>
            <w:noProof/>
            <w:webHidden/>
          </w:rPr>
          <w:fldChar w:fldCharType="begin"/>
        </w:r>
        <w:r>
          <w:rPr>
            <w:noProof/>
            <w:webHidden/>
          </w:rPr>
          <w:instrText xml:space="preserve"> PAGEREF _Toc286159997 \h </w:instrText>
        </w:r>
        <w:r w:rsidR="00200B96">
          <w:rPr>
            <w:noProof/>
          </w:rPr>
        </w:r>
        <w:r>
          <w:rPr>
            <w:noProof/>
            <w:webHidden/>
          </w:rPr>
          <w:fldChar w:fldCharType="separate"/>
        </w:r>
        <w:r w:rsidR="00584E23">
          <w:rPr>
            <w:noProof/>
            <w:webHidden/>
          </w:rPr>
          <w:t>35</w:t>
        </w:r>
        <w:r>
          <w:rPr>
            <w:noProof/>
            <w:webHidden/>
          </w:rPr>
          <w:fldChar w:fldCharType="end"/>
        </w:r>
      </w:hyperlink>
    </w:p>
    <w:p w:rsidR="00287EEC" w:rsidRDefault="00287EEC">
      <w:pPr>
        <w:pStyle w:val="TOC1"/>
        <w:rPr>
          <w:rFonts w:ascii="Times New Roman" w:hAnsi="Times New Roman"/>
          <w:noProof/>
          <w:lang w:eastAsia="en-IE"/>
        </w:rPr>
      </w:pPr>
      <w:hyperlink w:anchor="_Toc286159998" w:history="1">
        <w:r w:rsidRPr="00FA385B">
          <w:rPr>
            <w:rStyle w:val="Hyperlink"/>
            <w:noProof/>
            <w:lang w:val="en-US" w:bidi="en-US"/>
          </w:rPr>
          <w:t>6. Summary of Key Learning Points</w:t>
        </w:r>
        <w:r>
          <w:rPr>
            <w:noProof/>
            <w:webHidden/>
          </w:rPr>
          <w:tab/>
        </w:r>
        <w:r>
          <w:rPr>
            <w:noProof/>
            <w:webHidden/>
          </w:rPr>
          <w:fldChar w:fldCharType="begin"/>
        </w:r>
        <w:r>
          <w:rPr>
            <w:noProof/>
            <w:webHidden/>
          </w:rPr>
          <w:instrText xml:space="preserve"> PAGEREF _Toc286159998 \h </w:instrText>
        </w:r>
        <w:r w:rsidR="00200B96">
          <w:rPr>
            <w:noProof/>
          </w:rPr>
        </w:r>
        <w:r>
          <w:rPr>
            <w:noProof/>
            <w:webHidden/>
          </w:rPr>
          <w:fldChar w:fldCharType="separate"/>
        </w:r>
        <w:r w:rsidR="00584E23">
          <w:rPr>
            <w:noProof/>
            <w:webHidden/>
          </w:rPr>
          <w:t>36</w:t>
        </w:r>
        <w:r>
          <w:rPr>
            <w:noProof/>
            <w:webHidden/>
          </w:rPr>
          <w:fldChar w:fldCharType="end"/>
        </w:r>
      </w:hyperlink>
    </w:p>
    <w:p w:rsidR="00287EEC" w:rsidRDefault="00287EEC">
      <w:pPr>
        <w:pStyle w:val="TOC1"/>
        <w:rPr>
          <w:rFonts w:ascii="Times New Roman" w:hAnsi="Times New Roman"/>
          <w:noProof/>
          <w:lang w:eastAsia="en-IE"/>
        </w:rPr>
      </w:pPr>
      <w:hyperlink w:anchor="_Toc286159999" w:history="1">
        <w:r w:rsidRPr="00FA385B">
          <w:rPr>
            <w:rStyle w:val="Hyperlink"/>
            <w:noProof/>
            <w:lang w:val="en-US" w:bidi="en-US"/>
          </w:rPr>
          <w:t>References</w:t>
        </w:r>
        <w:r>
          <w:rPr>
            <w:noProof/>
            <w:webHidden/>
          </w:rPr>
          <w:tab/>
        </w:r>
        <w:r>
          <w:rPr>
            <w:noProof/>
            <w:webHidden/>
          </w:rPr>
          <w:fldChar w:fldCharType="begin"/>
        </w:r>
        <w:r>
          <w:rPr>
            <w:noProof/>
            <w:webHidden/>
          </w:rPr>
          <w:instrText xml:space="preserve"> PAGEREF _Toc286159999 \h </w:instrText>
        </w:r>
        <w:r w:rsidR="00200B96">
          <w:rPr>
            <w:noProof/>
          </w:rPr>
        </w:r>
        <w:r>
          <w:rPr>
            <w:noProof/>
            <w:webHidden/>
          </w:rPr>
          <w:fldChar w:fldCharType="separate"/>
        </w:r>
        <w:r w:rsidR="00584E23">
          <w:rPr>
            <w:noProof/>
            <w:webHidden/>
          </w:rPr>
          <w:t>37</w:t>
        </w:r>
        <w:r>
          <w:rPr>
            <w:noProof/>
            <w:webHidden/>
          </w:rPr>
          <w:fldChar w:fldCharType="end"/>
        </w:r>
      </w:hyperlink>
    </w:p>
    <w:p w:rsidR="00287EEC" w:rsidRDefault="00287EEC">
      <w:pPr>
        <w:pStyle w:val="TOC1"/>
        <w:rPr>
          <w:rFonts w:ascii="Times New Roman" w:hAnsi="Times New Roman"/>
          <w:noProof/>
          <w:lang w:eastAsia="en-IE"/>
        </w:rPr>
      </w:pPr>
      <w:hyperlink w:anchor="_Toc286160000" w:history="1">
        <w:r w:rsidRPr="00FA385B">
          <w:rPr>
            <w:rStyle w:val="Hyperlink"/>
            <w:noProof/>
          </w:rPr>
          <w:t>APPENDIX A: List of Key informants</w:t>
        </w:r>
        <w:r>
          <w:rPr>
            <w:noProof/>
            <w:webHidden/>
          </w:rPr>
          <w:tab/>
        </w:r>
        <w:r>
          <w:rPr>
            <w:noProof/>
            <w:webHidden/>
          </w:rPr>
          <w:fldChar w:fldCharType="begin"/>
        </w:r>
        <w:r>
          <w:rPr>
            <w:noProof/>
            <w:webHidden/>
          </w:rPr>
          <w:instrText xml:space="preserve"> PAGEREF _Toc286160000 \h </w:instrText>
        </w:r>
        <w:r w:rsidR="00200B96">
          <w:rPr>
            <w:noProof/>
          </w:rPr>
        </w:r>
        <w:r>
          <w:rPr>
            <w:noProof/>
            <w:webHidden/>
          </w:rPr>
          <w:fldChar w:fldCharType="separate"/>
        </w:r>
        <w:r w:rsidR="00584E23">
          <w:rPr>
            <w:noProof/>
            <w:webHidden/>
          </w:rPr>
          <w:t>40</w:t>
        </w:r>
        <w:r>
          <w:rPr>
            <w:noProof/>
            <w:webHidden/>
          </w:rPr>
          <w:fldChar w:fldCharType="end"/>
        </w:r>
      </w:hyperlink>
    </w:p>
    <w:p w:rsidR="00287EEC" w:rsidRDefault="00287EEC">
      <w:pPr>
        <w:pStyle w:val="TOC1"/>
        <w:rPr>
          <w:rFonts w:ascii="Times New Roman" w:hAnsi="Times New Roman"/>
          <w:noProof/>
          <w:lang w:eastAsia="en-IE"/>
        </w:rPr>
      </w:pPr>
      <w:hyperlink w:anchor="_Toc286160001" w:history="1">
        <w:r w:rsidRPr="00FA385B">
          <w:rPr>
            <w:rStyle w:val="Hyperlink"/>
            <w:noProof/>
          </w:rPr>
          <w:t>Appendix B: How health and personal services are overseen and monitored in the Netherlands</w:t>
        </w:r>
        <w:r>
          <w:rPr>
            <w:noProof/>
            <w:webHidden/>
          </w:rPr>
          <w:tab/>
        </w:r>
        <w:r>
          <w:rPr>
            <w:noProof/>
            <w:webHidden/>
          </w:rPr>
          <w:fldChar w:fldCharType="begin"/>
        </w:r>
        <w:r>
          <w:rPr>
            <w:noProof/>
            <w:webHidden/>
          </w:rPr>
          <w:instrText xml:space="preserve"> PAGEREF _Toc286160001 \h </w:instrText>
        </w:r>
        <w:r w:rsidR="00200B96">
          <w:rPr>
            <w:noProof/>
          </w:rPr>
        </w:r>
        <w:r>
          <w:rPr>
            <w:noProof/>
            <w:webHidden/>
          </w:rPr>
          <w:fldChar w:fldCharType="separate"/>
        </w:r>
        <w:r w:rsidR="00584E23">
          <w:rPr>
            <w:noProof/>
            <w:webHidden/>
          </w:rPr>
          <w:t>41</w:t>
        </w:r>
        <w:r>
          <w:rPr>
            <w:noProof/>
            <w:webHidden/>
          </w:rPr>
          <w:fldChar w:fldCharType="end"/>
        </w:r>
      </w:hyperlink>
    </w:p>
    <w:p w:rsidR="00287EEC" w:rsidRDefault="00287EEC">
      <w:pPr>
        <w:pStyle w:val="TOC1"/>
        <w:rPr>
          <w:rFonts w:ascii="Times New Roman" w:hAnsi="Times New Roman"/>
          <w:noProof/>
          <w:lang w:eastAsia="en-IE"/>
        </w:rPr>
      </w:pPr>
      <w:hyperlink w:anchor="_Toc286160002" w:history="1">
        <w:r w:rsidRPr="00FA385B">
          <w:rPr>
            <w:rStyle w:val="Hyperlink"/>
            <w:noProof/>
            <w:lang w:val="en-US" w:bidi="en-US"/>
          </w:rPr>
          <w:t>Appendix C: Services covered by Dutch health insurance</w:t>
        </w:r>
        <w:r>
          <w:rPr>
            <w:noProof/>
            <w:webHidden/>
          </w:rPr>
          <w:tab/>
        </w:r>
        <w:r>
          <w:rPr>
            <w:noProof/>
            <w:webHidden/>
          </w:rPr>
          <w:fldChar w:fldCharType="begin"/>
        </w:r>
        <w:r>
          <w:rPr>
            <w:noProof/>
            <w:webHidden/>
          </w:rPr>
          <w:instrText xml:space="preserve"> PAGEREF _Toc286160002 \h </w:instrText>
        </w:r>
        <w:r w:rsidR="00200B96">
          <w:rPr>
            <w:noProof/>
          </w:rPr>
        </w:r>
        <w:r>
          <w:rPr>
            <w:noProof/>
            <w:webHidden/>
          </w:rPr>
          <w:fldChar w:fldCharType="separate"/>
        </w:r>
        <w:r w:rsidR="00584E23">
          <w:rPr>
            <w:noProof/>
            <w:webHidden/>
          </w:rPr>
          <w:t>48</w:t>
        </w:r>
        <w:r>
          <w:rPr>
            <w:noProof/>
            <w:webHidden/>
          </w:rPr>
          <w:fldChar w:fldCharType="end"/>
        </w:r>
      </w:hyperlink>
    </w:p>
    <w:p w:rsidR="002E1546" w:rsidRDefault="002E1546" w:rsidP="002E1546">
      <w:pPr>
        <w:pStyle w:val="Heading1"/>
        <w:tabs>
          <w:tab w:val="right" w:leader="dot" w:pos="8290"/>
        </w:tabs>
        <w:rPr>
          <w:lang w:val="en-US" w:bidi="en-US"/>
        </w:rPr>
        <w:sectPr w:rsidR="002E1546" w:rsidSect="00287EEC">
          <w:footnotePr>
            <w:pos w:val="beneathText"/>
          </w:footnotePr>
          <w:pgSz w:w="11900" w:h="16840"/>
          <w:pgMar w:top="1440" w:right="1552" w:bottom="1440" w:left="1800" w:header="708" w:footer="708" w:gutter="0"/>
          <w:cols w:space="708"/>
        </w:sectPr>
      </w:pPr>
      <w:r>
        <w:rPr>
          <w:lang w:val="en-US" w:bidi="en-US"/>
        </w:rPr>
        <w:fldChar w:fldCharType="end"/>
      </w:r>
    </w:p>
    <w:p w:rsidR="002E1546" w:rsidRDefault="002E1546" w:rsidP="002E1546">
      <w:pPr>
        <w:pStyle w:val="Heading1"/>
        <w:rPr>
          <w:lang w:val="en-US" w:bidi="en-US"/>
        </w:rPr>
      </w:pPr>
      <w:bookmarkStart w:id="42" w:name="_Toc283910405"/>
      <w:bookmarkStart w:id="43" w:name="_Toc286159969"/>
      <w:r>
        <w:rPr>
          <w:lang w:val="en-US" w:bidi="en-US"/>
        </w:rPr>
        <w:t>Abbreviated Terms</w:t>
      </w:r>
      <w:bookmarkEnd w:id="42"/>
      <w:bookmarkEnd w:id="43"/>
    </w:p>
    <w:p w:rsidR="002E1546" w:rsidRDefault="002E1546" w:rsidP="002E1546">
      <w:pPr>
        <w:rPr>
          <w:rFonts w:ascii="Verdana" w:hAnsi="Verdana"/>
          <w:lang w:val="en-US"/>
        </w:rPr>
      </w:pPr>
    </w:p>
    <w:p w:rsidR="002E1546" w:rsidRDefault="002E1546" w:rsidP="002E1546">
      <w:pPr>
        <w:rPr>
          <w:lang w:val="en-US"/>
        </w:rPr>
      </w:pPr>
      <w:r>
        <w:rPr>
          <w:lang w:val="en-US"/>
        </w:rPr>
        <w:t xml:space="preserve">AWBZ  </w:t>
      </w:r>
      <w:r w:rsidR="0028238E">
        <w:rPr>
          <w:lang w:val="en-US"/>
        </w:rPr>
        <w:tab/>
      </w:r>
      <w:r>
        <w:rPr>
          <w:lang w:val="en-US"/>
        </w:rPr>
        <w:t>Exceptional Medical Expenses Insurance Act  for long term care</w:t>
      </w:r>
    </w:p>
    <w:p w:rsidR="002E1546" w:rsidRDefault="002E1546" w:rsidP="002E1546">
      <w:pPr>
        <w:rPr>
          <w:lang w:val="en-US"/>
        </w:rPr>
      </w:pPr>
      <w:r>
        <w:rPr>
          <w:lang w:val="en-US"/>
        </w:rPr>
        <w:t>SER</w:t>
      </w:r>
      <w:r>
        <w:rPr>
          <w:lang w:val="en-US"/>
        </w:rPr>
        <w:tab/>
      </w:r>
      <w:r w:rsidR="0028238E">
        <w:rPr>
          <w:lang w:val="en-US"/>
        </w:rPr>
        <w:tab/>
      </w:r>
      <w:r w:rsidR="00287EEC">
        <w:rPr>
          <w:lang w:val="en-US"/>
        </w:rPr>
        <w:t xml:space="preserve">Social and Economic Council </w:t>
      </w:r>
      <w:r>
        <w:rPr>
          <w:lang w:val="en-US"/>
        </w:rPr>
        <w:t>of the Dutch government</w:t>
      </w:r>
    </w:p>
    <w:p w:rsidR="002E1546" w:rsidRDefault="002E1546" w:rsidP="0028238E">
      <w:pPr>
        <w:rPr>
          <w:lang w:val="en-US"/>
        </w:rPr>
      </w:pPr>
      <w:r>
        <w:rPr>
          <w:lang w:val="en-US"/>
        </w:rPr>
        <w:t xml:space="preserve">WMO  </w:t>
      </w:r>
      <w:r w:rsidR="0028238E">
        <w:rPr>
          <w:lang w:val="en-US"/>
        </w:rPr>
        <w:tab/>
      </w:r>
      <w:r w:rsidR="00287EEC">
        <w:rPr>
          <w:lang w:val="en-US"/>
        </w:rPr>
        <w:t xml:space="preserve">Social Support Insurance Act </w:t>
      </w:r>
      <w:r>
        <w:rPr>
          <w:lang w:val="en-US"/>
        </w:rPr>
        <w:t xml:space="preserve">to promote independent living for </w:t>
      </w:r>
      <w:r w:rsidR="0028238E">
        <w:rPr>
          <w:lang w:val="en-US"/>
        </w:rPr>
        <w:tab/>
      </w:r>
      <w:r w:rsidR="0028238E">
        <w:rPr>
          <w:lang w:val="en-US"/>
        </w:rPr>
        <w:tab/>
      </w:r>
      <w:r>
        <w:rPr>
          <w:lang w:val="en-US"/>
        </w:rPr>
        <w:t>people</w:t>
      </w:r>
      <w:r w:rsidR="0028238E">
        <w:rPr>
          <w:lang w:val="en-US"/>
        </w:rPr>
        <w:t xml:space="preserve"> </w:t>
      </w:r>
      <w:r>
        <w:rPr>
          <w:lang w:val="en-US"/>
        </w:rPr>
        <w:t>with disabilities</w:t>
      </w:r>
    </w:p>
    <w:p w:rsidR="0028238E" w:rsidRDefault="0028238E" w:rsidP="002E1546">
      <w:pPr>
        <w:rPr>
          <w:lang w:val="en-US"/>
        </w:rPr>
      </w:pPr>
      <w:r>
        <w:rPr>
          <w:lang w:val="en-US"/>
        </w:rPr>
        <w:t>ZZPs</w:t>
      </w:r>
      <w:r>
        <w:rPr>
          <w:lang w:val="en-US"/>
        </w:rPr>
        <w:tab/>
      </w:r>
      <w:r>
        <w:rPr>
          <w:lang w:val="en-US"/>
        </w:rPr>
        <w:tab/>
        <w:t>Care Service Packages</w:t>
      </w:r>
    </w:p>
    <w:p w:rsidR="0028238E" w:rsidRDefault="0028238E" w:rsidP="002E1546">
      <w:pPr>
        <w:rPr>
          <w:lang w:val="en-US"/>
        </w:rPr>
      </w:pPr>
      <w:r>
        <w:rPr>
          <w:lang w:val="en-US"/>
        </w:rPr>
        <w:t>CIZ</w:t>
      </w:r>
      <w:r>
        <w:rPr>
          <w:lang w:val="en-US"/>
        </w:rPr>
        <w:tab/>
      </w:r>
      <w:r>
        <w:rPr>
          <w:lang w:val="en-US"/>
        </w:rPr>
        <w:tab/>
        <w:t>Centre for Needs Assessment</w:t>
      </w:r>
    </w:p>
    <w:p w:rsidR="0028238E" w:rsidRDefault="0028238E" w:rsidP="002E1546">
      <w:pPr>
        <w:rPr>
          <w:lang w:val="en-US"/>
        </w:rPr>
      </w:pPr>
      <w:r>
        <w:rPr>
          <w:lang w:val="en-US"/>
        </w:rPr>
        <w:t>RIVM</w:t>
      </w:r>
      <w:r>
        <w:rPr>
          <w:lang w:val="en-US"/>
        </w:rPr>
        <w:tab/>
      </w:r>
      <w:r>
        <w:rPr>
          <w:lang w:val="en-US"/>
        </w:rPr>
        <w:tab/>
        <w:t>Dutch National Institution for Public Health and the Environment</w:t>
      </w:r>
    </w:p>
    <w:p w:rsidR="0028238E" w:rsidRDefault="0028238E" w:rsidP="002E1546">
      <w:pPr>
        <w:rPr>
          <w:lang w:val="en-US"/>
        </w:rPr>
      </w:pPr>
      <w:r>
        <w:rPr>
          <w:lang w:val="en-US"/>
        </w:rPr>
        <w:t>NZa</w:t>
      </w:r>
      <w:r>
        <w:rPr>
          <w:lang w:val="en-US"/>
        </w:rPr>
        <w:tab/>
      </w:r>
      <w:r>
        <w:rPr>
          <w:lang w:val="en-US"/>
        </w:rPr>
        <w:tab/>
        <w:t>Dutch Health Care Authority</w:t>
      </w:r>
    </w:p>
    <w:p w:rsidR="0028238E" w:rsidRDefault="0028238E" w:rsidP="002E1546">
      <w:pPr>
        <w:rPr>
          <w:lang w:val="en-US"/>
        </w:rPr>
      </w:pPr>
      <w:r>
        <w:rPr>
          <w:lang w:val="en-US"/>
        </w:rPr>
        <w:t>CVZ</w:t>
      </w:r>
      <w:r>
        <w:rPr>
          <w:lang w:val="en-US"/>
        </w:rPr>
        <w:tab/>
      </w:r>
      <w:r>
        <w:rPr>
          <w:lang w:val="en-US"/>
        </w:rPr>
        <w:tab/>
        <w:t>Health Care Insurance Board</w:t>
      </w:r>
    </w:p>
    <w:p w:rsidR="0028238E" w:rsidRDefault="0028238E" w:rsidP="002E1546">
      <w:pPr>
        <w:rPr>
          <w:lang w:val="en-US"/>
        </w:rPr>
      </w:pPr>
      <w:r>
        <w:rPr>
          <w:lang w:val="en-US"/>
        </w:rPr>
        <w:t>Zwv</w:t>
      </w:r>
      <w:r>
        <w:rPr>
          <w:lang w:val="en-US"/>
        </w:rPr>
        <w:tab/>
      </w:r>
      <w:r>
        <w:rPr>
          <w:lang w:val="en-US"/>
        </w:rPr>
        <w:tab/>
        <w:t>2006 Health Insurance Act</w:t>
      </w:r>
    </w:p>
    <w:p w:rsidR="0028238E" w:rsidRDefault="0028238E" w:rsidP="002E1546">
      <w:pPr>
        <w:rPr>
          <w:lang w:val="en-US"/>
        </w:rPr>
      </w:pPr>
      <w:r>
        <w:rPr>
          <w:lang w:val="en-US"/>
        </w:rPr>
        <w:t>SKGZ</w:t>
      </w:r>
      <w:r>
        <w:rPr>
          <w:lang w:val="en-US"/>
        </w:rPr>
        <w:tab/>
      </w:r>
      <w:r>
        <w:rPr>
          <w:lang w:val="en-US"/>
        </w:rPr>
        <w:tab/>
        <w:t>Dutch Foundation for Complaints and Disputes</w:t>
      </w:r>
    </w:p>
    <w:p w:rsidR="0028238E" w:rsidRDefault="0028238E" w:rsidP="002E1546">
      <w:pPr>
        <w:rPr>
          <w:lang w:val="en-US"/>
        </w:rPr>
      </w:pPr>
      <w:r>
        <w:rPr>
          <w:lang w:val="en-US"/>
        </w:rPr>
        <w:t>VGPN</w:t>
      </w:r>
      <w:r>
        <w:rPr>
          <w:lang w:val="en-US"/>
        </w:rPr>
        <w:tab/>
      </w:r>
      <w:r>
        <w:rPr>
          <w:lang w:val="en-US"/>
        </w:rPr>
        <w:tab/>
        <w:t>Dutch National Disability Council</w:t>
      </w:r>
    </w:p>
    <w:p w:rsidR="002E1546" w:rsidRPr="002B6C2C" w:rsidRDefault="002E1546" w:rsidP="002E1546">
      <w:pPr>
        <w:rPr>
          <w:lang w:val="en-US"/>
        </w:rPr>
      </w:pPr>
    </w:p>
    <w:p w:rsidR="002E1546" w:rsidRPr="002B6C2C" w:rsidRDefault="002E1546" w:rsidP="002E1546">
      <w:pPr>
        <w:rPr>
          <w:rFonts w:ascii="Verdana" w:hAnsi="Verdana"/>
          <w:lang w:val="en-US"/>
        </w:rPr>
      </w:pPr>
    </w:p>
    <w:p w:rsidR="00E37689" w:rsidRDefault="00E37689" w:rsidP="002E1546">
      <w:pPr>
        <w:pStyle w:val="Heading1"/>
        <w:rPr>
          <w:lang w:val="en-US" w:bidi="en-US"/>
        </w:rPr>
      </w:pPr>
    </w:p>
    <w:p w:rsidR="00E37689" w:rsidRDefault="00E37689" w:rsidP="002E1546">
      <w:pPr>
        <w:pStyle w:val="Heading1"/>
        <w:rPr>
          <w:lang w:val="en-US" w:bidi="en-US"/>
        </w:rPr>
        <w:sectPr w:rsidR="00E37689">
          <w:footnotePr>
            <w:pos w:val="beneathText"/>
          </w:footnotePr>
          <w:pgSz w:w="11900" w:h="16840"/>
          <w:pgMar w:top="1440" w:right="1800" w:bottom="1440" w:left="1800" w:header="708" w:footer="708" w:gutter="0"/>
          <w:cols w:space="708"/>
        </w:sectPr>
      </w:pPr>
    </w:p>
    <w:p w:rsidR="002E1546" w:rsidRDefault="002E1546" w:rsidP="002E1546">
      <w:pPr>
        <w:pStyle w:val="Heading1"/>
        <w:rPr>
          <w:lang w:val="en-US" w:bidi="en-US"/>
        </w:rPr>
      </w:pPr>
      <w:bookmarkStart w:id="44" w:name="_Toc286159970"/>
      <w:r>
        <w:rPr>
          <w:lang w:val="en-US" w:bidi="en-US"/>
        </w:rPr>
        <w:t>1. Introduction</w:t>
      </w:r>
      <w:bookmarkEnd w:id="40"/>
      <w:bookmarkEnd w:id="41"/>
      <w:bookmarkEnd w:id="44"/>
    </w:p>
    <w:p w:rsidR="002E1546" w:rsidRPr="00FE31FE" w:rsidRDefault="002E1546" w:rsidP="002E1546">
      <w:pPr>
        <w:rPr>
          <w:lang w:val="en-US"/>
        </w:rPr>
      </w:pPr>
      <w:r w:rsidRPr="00FE31FE">
        <w:rPr>
          <w:lang w:val="en-US"/>
        </w:rPr>
        <w:t>This paper is one of a series of background papers describing how disability services are</w:t>
      </w:r>
      <w:r w:rsidRPr="004F3158">
        <w:rPr>
          <w:lang w:val="en-GB"/>
        </w:rPr>
        <w:t xml:space="preserve"> organised</w:t>
      </w:r>
      <w:r w:rsidRPr="00FE31FE">
        <w:rPr>
          <w:lang w:val="en-US"/>
        </w:rPr>
        <w:t xml:space="preserve"> and delivered in selected jurisdictions</w:t>
      </w:r>
      <w:r>
        <w:rPr>
          <w:lang w:val="en-US"/>
        </w:rPr>
        <w:t>. The objective of these background papers is</w:t>
      </w:r>
      <w:r w:rsidRPr="00FE31FE">
        <w:rPr>
          <w:lang w:val="en-US"/>
        </w:rPr>
        <w:t xml:space="preserve"> to help inform how such services might be organised and delivered in Ireland. A composite report setting out key learning from across the six jurisdictions is also available (hyperlink). This composite report also draws on additional literature from the US and the National Disability Authority's (NDA) broader programme of work in the area of independent living for people with disabilities. </w:t>
      </w:r>
    </w:p>
    <w:p w:rsidR="002E1546" w:rsidRDefault="002E1546" w:rsidP="002E1546">
      <w:pPr>
        <w:rPr>
          <w:lang w:val="en-US"/>
        </w:rPr>
        <w:sectPr w:rsidR="002E1546">
          <w:footnotePr>
            <w:pos w:val="beneathText"/>
          </w:footnotePr>
          <w:pgSz w:w="11900" w:h="16840"/>
          <w:pgMar w:top="1440" w:right="1800" w:bottom="1440" w:left="1800" w:header="708" w:footer="708" w:gutter="0"/>
          <w:cols w:space="708"/>
        </w:sectPr>
      </w:pPr>
      <w:r w:rsidRPr="00FE31FE">
        <w:rPr>
          <w:lang w:val="en-US"/>
        </w:rPr>
        <w:t>The jurisdictions were chosen after canvassing expert opinion on where there were opportunities for learning due to innovations in service procurement, design or delivery or evidence of quality. Data was collected for each jurisdiction under a common framework, although information was not always readily available across all elements of the framework for each jurisdiction.  The sources of information included published and web sources, as well as interviews with three key informants, with different roles, in each jurisdiction. The draft paper was checked for accuracy and completeness with a national expert in each of the countries studied. 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w:t>
      </w:r>
      <w:r w:rsidR="00287EEC">
        <w:rPr>
          <w:lang w:val="en-US"/>
        </w:rPr>
        <w:t xml:space="preserve">hance these background papers. </w:t>
      </w:r>
      <w:r w:rsidRPr="00FE31FE">
        <w:rPr>
          <w:lang w:val="en-US"/>
        </w:rPr>
        <w:t>The jurisdictions investigated include those set out b</w:t>
      </w:r>
      <w:r w:rsidR="00BA129D">
        <w:rPr>
          <w:lang w:val="en-US"/>
        </w:rPr>
        <w:t>elow and can be found at www.nda.ie.</w:t>
      </w:r>
    </w:p>
    <w:p w:rsidR="002E1546" w:rsidRDefault="002E1546" w:rsidP="002E1546">
      <w:pPr>
        <w:rPr>
          <w:lang w:val="en-US"/>
        </w:rPr>
      </w:pPr>
    </w:p>
    <w:p w:rsidR="002E1546" w:rsidRDefault="002E1546" w:rsidP="002E1546">
      <w:pPr>
        <w:pStyle w:val="TableTitle"/>
        <w:rPr>
          <w:lang w:val="en-US"/>
        </w:rPr>
      </w:pPr>
      <w:r>
        <w:rPr>
          <w:lang w:val="en-US"/>
        </w:rPr>
        <w:t>Table 1.  Population of selected jurisdictions</w:t>
      </w: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368"/>
        <w:gridCol w:w="1080"/>
        <w:gridCol w:w="1204"/>
        <w:gridCol w:w="1134"/>
        <w:gridCol w:w="1418"/>
        <w:gridCol w:w="992"/>
        <w:gridCol w:w="992"/>
        <w:gridCol w:w="1276"/>
      </w:tblGrid>
      <w:tr w:rsidR="002E1546" w:rsidRPr="00FE31FE">
        <w:tblPrEx>
          <w:tblCellMar>
            <w:top w:w="0" w:type="dxa"/>
            <w:bottom w:w="0" w:type="dxa"/>
          </w:tblCellMar>
        </w:tblPrEx>
        <w:trPr>
          <w:tblHeader/>
        </w:trPr>
        <w:tc>
          <w:tcPr>
            <w:tcW w:w="1368" w:type="dxa"/>
            <w:tcBorders>
              <w:bottom w:val="single" w:sz="12" w:space="0" w:color="000000"/>
            </w:tcBorders>
            <w:shd w:val="clear" w:color="auto" w:fill="auto"/>
          </w:tcPr>
          <w:p w:rsidR="002E1546" w:rsidRPr="00FE31FE" w:rsidRDefault="002E1546" w:rsidP="002E1546">
            <w:pPr>
              <w:pStyle w:val="TableHead"/>
              <w:jc w:val="right"/>
              <w:rPr>
                <w:sz w:val="20"/>
                <w:szCs w:val="20"/>
                <w:lang w:val="en-US"/>
              </w:rPr>
            </w:pPr>
          </w:p>
        </w:tc>
        <w:tc>
          <w:tcPr>
            <w:tcW w:w="1080" w:type="dxa"/>
            <w:tcBorders>
              <w:bottom w:val="single" w:sz="12" w:space="0" w:color="000000"/>
            </w:tcBorders>
            <w:shd w:val="clear" w:color="auto" w:fill="auto"/>
          </w:tcPr>
          <w:p w:rsidR="002E1546" w:rsidRPr="00FE31FE" w:rsidRDefault="002E1546" w:rsidP="002E1546">
            <w:pPr>
              <w:pStyle w:val="TableHead"/>
              <w:jc w:val="right"/>
              <w:rPr>
                <w:sz w:val="20"/>
                <w:szCs w:val="20"/>
                <w:lang w:val="en-US"/>
              </w:rPr>
            </w:pPr>
            <w:r>
              <w:rPr>
                <w:sz w:val="20"/>
                <w:szCs w:val="20"/>
                <w:lang w:val="en-US"/>
              </w:rPr>
              <w:t>Ireland</w:t>
            </w:r>
            <w:r>
              <w:rPr>
                <w:rStyle w:val="FootnoteReference"/>
                <w:sz w:val="20"/>
                <w:szCs w:val="20"/>
              </w:rPr>
              <w:footnoteReference w:id="1"/>
            </w:r>
          </w:p>
        </w:tc>
        <w:tc>
          <w:tcPr>
            <w:tcW w:w="1204" w:type="dxa"/>
            <w:tcBorders>
              <w:bottom w:val="single" w:sz="12" w:space="0" w:color="000000"/>
            </w:tcBorders>
            <w:shd w:val="clear" w:color="auto" w:fill="auto"/>
          </w:tcPr>
          <w:p w:rsidR="002E1546" w:rsidRPr="00FE31FE" w:rsidRDefault="002E1546" w:rsidP="002E1546">
            <w:pPr>
              <w:pStyle w:val="TableHead"/>
              <w:rPr>
                <w:sz w:val="20"/>
                <w:szCs w:val="20"/>
                <w:lang w:val="en-US"/>
              </w:rPr>
            </w:pPr>
            <w:r>
              <w:rPr>
                <w:sz w:val="20"/>
                <w:szCs w:val="20"/>
                <w:lang w:val="en-US"/>
              </w:rPr>
              <w:t>England</w:t>
            </w:r>
            <w:r>
              <w:rPr>
                <w:rStyle w:val="FootnoteReference"/>
                <w:sz w:val="20"/>
                <w:szCs w:val="20"/>
              </w:rPr>
              <w:footnoteReference w:id="2"/>
            </w:r>
          </w:p>
        </w:tc>
        <w:tc>
          <w:tcPr>
            <w:tcW w:w="1134" w:type="dxa"/>
            <w:tcBorders>
              <w:bottom w:val="single" w:sz="12" w:space="0" w:color="000000"/>
            </w:tcBorders>
            <w:shd w:val="clear" w:color="auto" w:fill="auto"/>
          </w:tcPr>
          <w:p w:rsidR="002E1546" w:rsidRPr="00FE31FE" w:rsidRDefault="002E1546" w:rsidP="002E1546">
            <w:pPr>
              <w:pStyle w:val="TableHead"/>
              <w:rPr>
                <w:sz w:val="20"/>
                <w:szCs w:val="20"/>
                <w:lang w:val="en-US"/>
              </w:rPr>
            </w:pPr>
            <w:r>
              <w:rPr>
                <w:sz w:val="20"/>
                <w:szCs w:val="20"/>
                <w:lang w:val="en-US"/>
              </w:rPr>
              <w:t>Scotland</w:t>
            </w:r>
            <w:r>
              <w:rPr>
                <w:rStyle w:val="FootnoteReference"/>
                <w:sz w:val="20"/>
                <w:szCs w:val="20"/>
              </w:rPr>
              <w:footnoteReference w:id="3"/>
            </w:r>
          </w:p>
        </w:tc>
        <w:tc>
          <w:tcPr>
            <w:tcW w:w="1418" w:type="dxa"/>
            <w:tcBorders>
              <w:bottom w:val="single" w:sz="12" w:space="0" w:color="000000"/>
            </w:tcBorders>
            <w:shd w:val="clear" w:color="auto" w:fill="auto"/>
          </w:tcPr>
          <w:p w:rsidR="002E1546" w:rsidRPr="00FE31FE" w:rsidRDefault="002E1546" w:rsidP="002E1546">
            <w:pPr>
              <w:pStyle w:val="TableHead"/>
              <w:rPr>
                <w:sz w:val="20"/>
                <w:szCs w:val="20"/>
                <w:lang w:val="en-US"/>
              </w:rPr>
            </w:pPr>
            <w:r>
              <w:rPr>
                <w:sz w:val="20"/>
                <w:szCs w:val="20"/>
                <w:lang w:val="en-US"/>
              </w:rPr>
              <w:t>Netherlands</w:t>
            </w:r>
            <w:r>
              <w:rPr>
                <w:rStyle w:val="FootnoteReference"/>
                <w:sz w:val="20"/>
                <w:szCs w:val="20"/>
              </w:rPr>
              <w:footnoteReference w:id="4"/>
            </w:r>
          </w:p>
        </w:tc>
        <w:tc>
          <w:tcPr>
            <w:tcW w:w="992" w:type="dxa"/>
            <w:tcBorders>
              <w:bottom w:val="single" w:sz="12" w:space="0" w:color="000000"/>
            </w:tcBorders>
            <w:shd w:val="clear" w:color="auto" w:fill="auto"/>
          </w:tcPr>
          <w:p w:rsidR="002E1546" w:rsidRPr="00FE31FE" w:rsidRDefault="002E1546" w:rsidP="002E1546">
            <w:pPr>
              <w:pStyle w:val="TableHead"/>
              <w:rPr>
                <w:sz w:val="20"/>
                <w:szCs w:val="20"/>
                <w:lang w:val="en-US"/>
              </w:rPr>
            </w:pPr>
            <w:r>
              <w:rPr>
                <w:sz w:val="20"/>
                <w:szCs w:val="20"/>
                <w:lang w:val="en-US"/>
              </w:rPr>
              <w:t>Norway</w:t>
            </w:r>
            <w:r>
              <w:rPr>
                <w:rStyle w:val="FootnoteReference"/>
                <w:sz w:val="20"/>
                <w:szCs w:val="20"/>
              </w:rPr>
              <w:footnoteReference w:id="5"/>
            </w:r>
          </w:p>
        </w:tc>
        <w:tc>
          <w:tcPr>
            <w:tcW w:w="992" w:type="dxa"/>
            <w:tcBorders>
              <w:bottom w:val="single" w:sz="12" w:space="0" w:color="000000"/>
            </w:tcBorders>
            <w:shd w:val="clear" w:color="auto" w:fill="auto"/>
          </w:tcPr>
          <w:p w:rsidR="002E1546" w:rsidRPr="00FE31FE" w:rsidRDefault="002E1546" w:rsidP="002E1546">
            <w:pPr>
              <w:pStyle w:val="TableHead"/>
              <w:rPr>
                <w:sz w:val="20"/>
                <w:szCs w:val="20"/>
                <w:lang w:val="en-US"/>
              </w:rPr>
            </w:pPr>
            <w:r>
              <w:rPr>
                <w:sz w:val="20"/>
                <w:szCs w:val="20"/>
                <w:lang w:val="en-US"/>
              </w:rPr>
              <w:t>Victoria</w:t>
            </w:r>
            <w:r>
              <w:rPr>
                <w:rStyle w:val="FootnoteReference"/>
                <w:sz w:val="20"/>
                <w:szCs w:val="20"/>
              </w:rPr>
              <w:footnoteReference w:id="6"/>
            </w:r>
          </w:p>
        </w:tc>
        <w:tc>
          <w:tcPr>
            <w:tcW w:w="1276" w:type="dxa"/>
            <w:tcBorders>
              <w:bottom w:val="single" w:sz="12" w:space="0" w:color="000000"/>
            </w:tcBorders>
            <w:shd w:val="clear" w:color="auto" w:fill="auto"/>
          </w:tcPr>
          <w:p w:rsidR="002E1546" w:rsidRPr="00FE31FE" w:rsidRDefault="002E1546" w:rsidP="002E1546">
            <w:pPr>
              <w:pStyle w:val="TableHead"/>
              <w:rPr>
                <w:sz w:val="20"/>
                <w:szCs w:val="20"/>
                <w:lang w:val="en-US"/>
              </w:rPr>
            </w:pPr>
            <w:r>
              <w:rPr>
                <w:sz w:val="20"/>
                <w:szCs w:val="20"/>
                <w:lang w:val="en-US"/>
              </w:rPr>
              <w:t>N. Zealand</w:t>
            </w:r>
            <w:r>
              <w:rPr>
                <w:rStyle w:val="FootnoteReference"/>
                <w:sz w:val="20"/>
                <w:szCs w:val="20"/>
              </w:rPr>
              <w:footnoteReference w:id="7"/>
            </w:r>
          </w:p>
        </w:tc>
      </w:tr>
      <w:tr w:rsidR="002E1546" w:rsidRPr="00FE31FE">
        <w:tblPrEx>
          <w:tblCellMar>
            <w:top w:w="0" w:type="dxa"/>
            <w:bottom w:w="0" w:type="dxa"/>
          </w:tblCellMar>
        </w:tblPrEx>
        <w:tc>
          <w:tcPr>
            <w:tcW w:w="1368" w:type="dxa"/>
            <w:shd w:val="clear" w:color="auto" w:fill="auto"/>
          </w:tcPr>
          <w:p w:rsidR="002E1546" w:rsidRDefault="002E1546" w:rsidP="002E1546">
            <w:pPr>
              <w:pStyle w:val="TableRowHead"/>
              <w:rPr>
                <w:sz w:val="20"/>
                <w:szCs w:val="20"/>
                <w:lang w:val="en-US"/>
              </w:rPr>
            </w:pPr>
            <w:r>
              <w:rPr>
                <w:sz w:val="20"/>
                <w:szCs w:val="20"/>
                <w:lang w:val="en-US"/>
              </w:rPr>
              <w:t xml:space="preserve">Total </w:t>
            </w:r>
          </w:p>
          <w:p w:rsidR="002E1546" w:rsidRPr="00FE31FE" w:rsidRDefault="002E1546" w:rsidP="002E1546">
            <w:pPr>
              <w:pStyle w:val="TableRowHead"/>
              <w:rPr>
                <w:sz w:val="20"/>
                <w:szCs w:val="20"/>
                <w:lang w:val="en-US"/>
              </w:rPr>
            </w:pPr>
            <w:r>
              <w:rPr>
                <w:sz w:val="20"/>
                <w:szCs w:val="20"/>
                <w:lang w:val="en-US"/>
              </w:rPr>
              <w:t xml:space="preserve">Population 2009 </w:t>
            </w:r>
          </w:p>
        </w:tc>
        <w:tc>
          <w:tcPr>
            <w:tcW w:w="1080" w:type="dxa"/>
            <w:shd w:val="clear" w:color="auto" w:fill="auto"/>
          </w:tcPr>
          <w:p w:rsidR="002E1546" w:rsidRPr="00FE31FE" w:rsidRDefault="002E1546" w:rsidP="002E1546">
            <w:pPr>
              <w:pStyle w:val="TableCell"/>
              <w:jc w:val="right"/>
              <w:rPr>
                <w:sz w:val="20"/>
                <w:szCs w:val="20"/>
                <w:lang w:val="en-US"/>
              </w:rPr>
            </w:pPr>
            <w:r>
              <w:rPr>
                <w:sz w:val="20"/>
                <w:szCs w:val="20"/>
                <w:lang w:val="en-US"/>
              </w:rPr>
              <w:t>4.45m</w:t>
            </w:r>
          </w:p>
        </w:tc>
        <w:tc>
          <w:tcPr>
            <w:tcW w:w="1204" w:type="dxa"/>
            <w:shd w:val="clear" w:color="auto" w:fill="auto"/>
          </w:tcPr>
          <w:p w:rsidR="002E1546" w:rsidRPr="00FE31FE" w:rsidRDefault="002E1546" w:rsidP="002E1546">
            <w:pPr>
              <w:pStyle w:val="TableCell"/>
              <w:rPr>
                <w:sz w:val="20"/>
                <w:szCs w:val="20"/>
                <w:lang w:val="en-US"/>
              </w:rPr>
            </w:pPr>
            <w:r>
              <w:rPr>
                <w:sz w:val="20"/>
                <w:szCs w:val="20"/>
                <w:lang w:val="en-US"/>
              </w:rPr>
              <w:t>51.81m</w:t>
            </w:r>
          </w:p>
        </w:tc>
        <w:tc>
          <w:tcPr>
            <w:tcW w:w="1134" w:type="dxa"/>
            <w:shd w:val="clear" w:color="auto" w:fill="auto"/>
          </w:tcPr>
          <w:p w:rsidR="002E1546" w:rsidRPr="00FE31FE" w:rsidRDefault="002E1546" w:rsidP="002E1546">
            <w:pPr>
              <w:pStyle w:val="TableCell"/>
              <w:rPr>
                <w:sz w:val="20"/>
                <w:szCs w:val="20"/>
                <w:lang w:val="en-US"/>
              </w:rPr>
            </w:pPr>
            <w:r>
              <w:rPr>
                <w:sz w:val="20"/>
                <w:szCs w:val="20"/>
                <w:lang w:val="en-US"/>
              </w:rPr>
              <w:t>5.19m</w:t>
            </w:r>
          </w:p>
        </w:tc>
        <w:tc>
          <w:tcPr>
            <w:tcW w:w="1418" w:type="dxa"/>
            <w:shd w:val="clear" w:color="auto" w:fill="auto"/>
          </w:tcPr>
          <w:p w:rsidR="002E1546" w:rsidRPr="00FE31FE" w:rsidRDefault="002E1546" w:rsidP="002E1546">
            <w:pPr>
              <w:pStyle w:val="TableCell"/>
              <w:rPr>
                <w:sz w:val="20"/>
                <w:szCs w:val="20"/>
                <w:lang w:val="en-US"/>
              </w:rPr>
            </w:pPr>
            <w:r>
              <w:rPr>
                <w:sz w:val="20"/>
                <w:szCs w:val="20"/>
                <w:lang w:val="en-US"/>
              </w:rPr>
              <w:t>16.48m</w:t>
            </w:r>
          </w:p>
        </w:tc>
        <w:tc>
          <w:tcPr>
            <w:tcW w:w="992" w:type="dxa"/>
            <w:shd w:val="clear" w:color="auto" w:fill="auto"/>
          </w:tcPr>
          <w:p w:rsidR="002E1546" w:rsidRPr="00FE31FE" w:rsidRDefault="002E1546" w:rsidP="002E1546">
            <w:pPr>
              <w:pStyle w:val="TableCell"/>
              <w:rPr>
                <w:sz w:val="20"/>
                <w:szCs w:val="20"/>
                <w:lang w:val="en-US"/>
              </w:rPr>
            </w:pPr>
            <w:r>
              <w:rPr>
                <w:sz w:val="20"/>
                <w:szCs w:val="20"/>
                <w:lang w:val="en-US"/>
              </w:rPr>
              <w:t>4.78m</w:t>
            </w:r>
          </w:p>
        </w:tc>
        <w:tc>
          <w:tcPr>
            <w:tcW w:w="992" w:type="dxa"/>
            <w:shd w:val="clear" w:color="auto" w:fill="auto"/>
          </w:tcPr>
          <w:p w:rsidR="002E1546" w:rsidRPr="00FE31FE" w:rsidRDefault="002E1546" w:rsidP="002E1546">
            <w:pPr>
              <w:pStyle w:val="TableCell"/>
              <w:rPr>
                <w:sz w:val="20"/>
                <w:szCs w:val="20"/>
                <w:lang w:val="en-US"/>
              </w:rPr>
            </w:pPr>
            <w:r>
              <w:rPr>
                <w:sz w:val="20"/>
                <w:szCs w:val="20"/>
                <w:lang w:val="en-US"/>
              </w:rPr>
              <w:t>5.42m</w:t>
            </w:r>
          </w:p>
        </w:tc>
        <w:tc>
          <w:tcPr>
            <w:tcW w:w="1276" w:type="dxa"/>
            <w:shd w:val="clear" w:color="auto" w:fill="auto"/>
          </w:tcPr>
          <w:p w:rsidR="002E1546" w:rsidRPr="00FE31FE" w:rsidRDefault="002E1546" w:rsidP="002E1546">
            <w:pPr>
              <w:pStyle w:val="TableCell"/>
              <w:rPr>
                <w:sz w:val="20"/>
                <w:szCs w:val="20"/>
                <w:lang w:val="en-US"/>
              </w:rPr>
            </w:pPr>
            <w:r>
              <w:rPr>
                <w:sz w:val="20"/>
                <w:szCs w:val="20"/>
                <w:lang w:val="en-US"/>
              </w:rPr>
              <w:t>4.32m</w:t>
            </w:r>
          </w:p>
        </w:tc>
      </w:tr>
      <w:tr w:rsidR="002E1546" w:rsidRPr="00FE31FE">
        <w:tblPrEx>
          <w:tblCellMar>
            <w:top w:w="0" w:type="dxa"/>
            <w:bottom w:w="0" w:type="dxa"/>
          </w:tblCellMar>
        </w:tblPrEx>
        <w:tc>
          <w:tcPr>
            <w:tcW w:w="1368" w:type="dxa"/>
            <w:shd w:val="clear" w:color="auto" w:fill="auto"/>
          </w:tcPr>
          <w:p w:rsidR="002E1546" w:rsidRDefault="002E1546" w:rsidP="002E1546">
            <w:pPr>
              <w:pStyle w:val="TableRowHead"/>
              <w:rPr>
                <w:sz w:val="20"/>
                <w:szCs w:val="20"/>
                <w:lang w:val="en-US"/>
              </w:rPr>
            </w:pPr>
            <w:r>
              <w:rPr>
                <w:sz w:val="20"/>
                <w:szCs w:val="20"/>
                <w:lang w:val="en-US"/>
              </w:rPr>
              <w:t xml:space="preserve">Ratio to </w:t>
            </w:r>
          </w:p>
          <w:p w:rsidR="002E1546" w:rsidRDefault="002E1546" w:rsidP="002E1546">
            <w:pPr>
              <w:pStyle w:val="TableRowHead"/>
              <w:rPr>
                <w:sz w:val="20"/>
                <w:szCs w:val="20"/>
                <w:lang w:val="en-US"/>
              </w:rPr>
            </w:pPr>
            <w:r>
              <w:rPr>
                <w:sz w:val="20"/>
                <w:szCs w:val="20"/>
                <w:lang w:val="en-US"/>
              </w:rPr>
              <w:t xml:space="preserve">Ireland </w:t>
            </w:r>
          </w:p>
        </w:tc>
        <w:tc>
          <w:tcPr>
            <w:tcW w:w="1080" w:type="dxa"/>
            <w:shd w:val="clear" w:color="auto" w:fill="auto"/>
          </w:tcPr>
          <w:p w:rsidR="002E1546" w:rsidRDefault="002E1546" w:rsidP="002E1546">
            <w:pPr>
              <w:pStyle w:val="TableCell"/>
              <w:jc w:val="right"/>
              <w:rPr>
                <w:sz w:val="20"/>
                <w:szCs w:val="20"/>
                <w:lang w:val="en-US"/>
              </w:rPr>
            </w:pPr>
            <w:r>
              <w:rPr>
                <w:sz w:val="20"/>
                <w:szCs w:val="20"/>
                <w:lang w:val="en-US"/>
              </w:rPr>
              <w:t>1</w:t>
            </w:r>
          </w:p>
        </w:tc>
        <w:tc>
          <w:tcPr>
            <w:tcW w:w="1204" w:type="dxa"/>
            <w:shd w:val="clear" w:color="auto" w:fill="auto"/>
          </w:tcPr>
          <w:p w:rsidR="002E1546" w:rsidRDefault="002E1546" w:rsidP="002E1546">
            <w:pPr>
              <w:pStyle w:val="TableCell"/>
              <w:rPr>
                <w:sz w:val="20"/>
                <w:szCs w:val="20"/>
                <w:lang w:val="en-US"/>
              </w:rPr>
            </w:pPr>
            <w:r>
              <w:rPr>
                <w:sz w:val="20"/>
                <w:szCs w:val="20"/>
                <w:lang w:val="en-US"/>
              </w:rPr>
              <w:t>11.6</w:t>
            </w:r>
          </w:p>
        </w:tc>
        <w:tc>
          <w:tcPr>
            <w:tcW w:w="1134" w:type="dxa"/>
            <w:shd w:val="clear" w:color="auto" w:fill="auto"/>
          </w:tcPr>
          <w:p w:rsidR="002E1546" w:rsidRDefault="002E1546" w:rsidP="002E1546">
            <w:pPr>
              <w:pStyle w:val="TableCell"/>
              <w:rPr>
                <w:sz w:val="20"/>
                <w:szCs w:val="20"/>
                <w:lang w:val="en-US"/>
              </w:rPr>
            </w:pPr>
            <w:r>
              <w:rPr>
                <w:sz w:val="20"/>
                <w:szCs w:val="20"/>
                <w:lang w:val="en-US"/>
              </w:rPr>
              <w:t>1.2</w:t>
            </w:r>
          </w:p>
        </w:tc>
        <w:tc>
          <w:tcPr>
            <w:tcW w:w="1418" w:type="dxa"/>
            <w:shd w:val="clear" w:color="auto" w:fill="auto"/>
          </w:tcPr>
          <w:p w:rsidR="002E1546" w:rsidRDefault="002E1546" w:rsidP="002E1546">
            <w:pPr>
              <w:pStyle w:val="TableCell"/>
              <w:rPr>
                <w:sz w:val="20"/>
                <w:szCs w:val="20"/>
                <w:lang w:val="en-US"/>
              </w:rPr>
            </w:pPr>
            <w:r>
              <w:rPr>
                <w:sz w:val="20"/>
                <w:szCs w:val="20"/>
                <w:lang w:val="en-US"/>
              </w:rPr>
              <w:t>3.7</w:t>
            </w:r>
          </w:p>
        </w:tc>
        <w:tc>
          <w:tcPr>
            <w:tcW w:w="992" w:type="dxa"/>
            <w:shd w:val="clear" w:color="auto" w:fill="auto"/>
          </w:tcPr>
          <w:p w:rsidR="002E1546" w:rsidRDefault="002E1546" w:rsidP="002E1546">
            <w:pPr>
              <w:pStyle w:val="TableCell"/>
              <w:rPr>
                <w:sz w:val="20"/>
                <w:szCs w:val="20"/>
                <w:lang w:val="en-US"/>
              </w:rPr>
            </w:pPr>
            <w:r>
              <w:rPr>
                <w:sz w:val="20"/>
                <w:szCs w:val="20"/>
                <w:lang w:val="en-US"/>
              </w:rPr>
              <w:t>1.1</w:t>
            </w:r>
          </w:p>
        </w:tc>
        <w:tc>
          <w:tcPr>
            <w:tcW w:w="992" w:type="dxa"/>
            <w:shd w:val="clear" w:color="auto" w:fill="auto"/>
          </w:tcPr>
          <w:p w:rsidR="002E1546" w:rsidRDefault="002E1546" w:rsidP="002E1546">
            <w:pPr>
              <w:pStyle w:val="TableCell"/>
              <w:rPr>
                <w:sz w:val="20"/>
                <w:szCs w:val="20"/>
                <w:lang w:val="en-US"/>
              </w:rPr>
            </w:pPr>
            <w:r>
              <w:rPr>
                <w:sz w:val="20"/>
                <w:szCs w:val="20"/>
                <w:lang w:val="en-US"/>
              </w:rPr>
              <w:t>1.2</w:t>
            </w:r>
          </w:p>
        </w:tc>
        <w:tc>
          <w:tcPr>
            <w:tcW w:w="1276" w:type="dxa"/>
            <w:shd w:val="clear" w:color="auto" w:fill="auto"/>
          </w:tcPr>
          <w:p w:rsidR="002E1546" w:rsidRDefault="002E1546" w:rsidP="002E1546">
            <w:pPr>
              <w:pStyle w:val="TableCell"/>
              <w:rPr>
                <w:sz w:val="20"/>
                <w:szCs w:val="20"/>
                <w:lang w:val="en-US"/>
              </w:rPr>
            </w:pPr>
            <w:r>
              <w:rPr>
                <w:sz w:val="20"/>
                <w:szCs w:val="20"/>
                <w:lang w:val="en-US"/>
              </w:rPr>
              <w:t>1.0</w:t>
            </w:r>
          </w:p>
        </w:tc>
      </w:tr>
    </w:tbl>
    <w:p w:rsidR="002E1546" w:rsidRDefault="002E1546" w:rsidP="002E1546">
      <w:pPr>
        <w:rPr>
          <w:lang w:val="en-US"/>
        </w:rPr>
      </w:pPr>
    </w:p>
    <w:p w:rsidR="002E1546" w:rsidRPr="00FE31FE" w:rsidRDefault="002E1546" w:rsidP="002E1546">
      <w:pPr>
        <w:rPr>
          <w:rFonts w:ascii="Verdana" w:hAnsi="Verdana"/>
          <w:lang w:val="en-US"/>
        </w:rPr>
      </w:pPr>
      <w:r w:rsidRPr="00FE31FE">
        <w:rPr>
          <w:rFonts w:ascii="Verdana" w:hAnsi="Verdana"/>
          <w:lang w:val="en-US"/>
        </w:rPr>
        <w:tab/>
      </w:r>
    </w:p>
    <w:p w:rsidR="002E1546" w:rsidRPr="00FE31FE" w:rsidRDefault="002E1546" w:rsidP="002E1546">
      <w:pPr>
        <w:rPr>
          <w:rFonts w:ascii="Verdana" w:hAnsi="Verdana"/>
          <w:lang w:val="en-US"/>
        </w:rPr>
        <w:sectPr w:rsidR="002E1546" w:rsidRPr="00FE31FE">
          <w:footnotePr>
            <w:pos w:val="beneathText"/>
          </w:footnotePr>
          <w:pgSz w:w="11900" w:h="16840"/>
          <w:pgMar w:top="1440" w:right="1800" w:bottom="1440" w:left="1800" w:header="708" w:footer="708" w:gutter="0"/>
          <w:cols w:space="708"/>
        </w:sectPr>
      </w:pPr>
    </w:p>
    <w:p w:rsidR="002E1546" w:rsidRDefault="002E1546" w:rsidP="002E1546">
      <w:pPr>
        <w:pStyle w:val="Heading1"/>
        <w:rPr>
          <w:lang w:val="en-US"/>
        </w:rPr>
      </w:pPr>
      <w:bookmarkStart w:id="45" w:name="_Toc269743625"/>
      <w:bookmarkStart w:id="46" w:name="_Toc286159971"/>
      <w:r>
        <w:rPr>
          <w:lang w:val="en-US"/>
        </w:rPr>
        <w:t>2. Population</w:t>
      </w:r>
      <w:bookmarkEnd w:id="45"/>
      <w:bookmarkEnd w:id="46"/>
    </w:p>
    <w:p w:rsidR="002E1546" w:rsidRDefault="002E1546" w:rsidP="002E1546">
      <w:pPr>
        <w:pStyle w:val="Heading2"/>
        <w:rPr>
          <w:lang w:val="en-US"/>
        </w:rPr>
      </w:pPr>
      <w:bookmarkStart w:id="47" w:name="_Toc269743626"/>
      <w:bookmarkStart w:id="48" w:name="_Toc272825547"/>
      <w:bookmarkStart w:id="49" w:name="_Toc286159972"/>
      <w:r>
        <w:rPr>
          <w:lang w:val="en-US"/>
        </w:rPr>
        <w:t>2.1 Population with a disability</w:t>
      </w:r>
      <w:bookmarkEnd w:id="47"/>
      <w:bookmarkEnd w:id="48"/>
      <w:bookmarkEnd w:id="49"/>
    </w:p>
    <w:p w:rsidR="00427369" w:rsidRDefault="00427369" w:rsidP="00BD033A">
      <w:pPr>
        <w:pStyle w:val="ListNumber"/>
        <w:numPr>
          <w:ilvl w:val="0"/>
          <w:numId w:val="0"/>
        </w:numPr>
        <w:rPr>
          <w:lang w:val="en-US"/>
        </w:rPr>
      </w:pPr>
      <w:r>
        <w:rPr>
          <w:lang w:val="en-US"/>
        </w:rPr>
        <w:t>It i</w:t>
      </w:r>
      <w:r w:rsidR="005F1CAF">
        <w:rPr>
          <w:lang w:val="en-US"/>
        </w:rPr>
        <w:t xml:space="preserve">s estimated that the number of </w:t>
      </w:r>
      <w:r>
        <w:rPr>
          <w:lang w:val="en-US"/>
        </w:rPr>
        <w:t>people reporting as having some degree of physical disability in Netherlands is 3.4m</w:t>
      </w:r>
      <w:r w:rsidR="00BD033A">
        <w:rPr>
          <w:lang w:val="en-US"/>
        </w:rPr>
        <w:t xml:space="preserve"> (22.5%) </w:t>
      </w:r>
      <w:r>
        <w:rPr>
          <w:lang w:val="en-US"/>
        </w:rPr>
        <w:t>of the population</w:t>
      </w:r>
      <w:r w:rsidR="00BD033A">
        <w:rPr>
          <w:lang w:val="en-US"/>
        </w:rPr>
        <w:t xml:space="preserve"> </w:t>
      </w:r>
      <w:r>
        <w:rPr>
          <w:rStyle w:val="FootnoteReference"/>
          <w:lang w:val="en-US"/>
        </w:rPr>
        <w:footnoteReference w:id="8"/>
      </w:r>
      <w:r w:rsidR="00DA1AA9">
        <w:rPr>
          <w:lang w:val="en-US"/>
        </w:rPr>
        <w:t xml:space="preserve">.Out of this population 1.7m people have </w:t>
      </w:r>
      <w:r w:rsidRPr="00427369">
        <w:rPr>
          <w:lang w:val="en-US"/>
        </w:rPr>
        <w:t>moderate to severe physical disability, including visu</w:t>
      </w:r>
      <w:r w:rsidR="00DA1AA9">
        <w:rPr>
          <w:lang w:val="en-US"/>
        </w:rPr>
        <w:t>al and auditory impairments</w:t>
      </w:r>
      <w:r>
        <w:rPr>
          <w:rStyle w:val="FootnoteReference"/>
          <w:lang w:val="en-US"/>
        </w:rPr>
        <w:footnoteReference w:id="9"/>
      </w:r>
      <w:r w:rsidR="00BD033A">
        <w:rPr>
          <w:lang w:val="en-US"/>
        </w:rPr>
        <w:t xml:space="preserve"> </w:t>
      </w:r>
      <w:r w:rsidR="00BD033A">
        <w:rPr>
          <w:rStyle w:val="FootnoteReference"/>
          <w:lang w:val="en-US"/>
        </w:rPr>
        <w:footnoteReference w:id="10"/>
      </w:r>
      <w:r w:rsidR="00573689">
        <w:rPr>
          <w:lang w:val="en-US"/>
        </w:rPr>
        <w:t>.</w:t>
      </w:r>
    </w:p>
    <w:p w:rsidR="00427369" w:rsidRPr="00427369" w:rsidRDefault="00427369" w:rsidP="00BC69E5">
      <w:pPr>
        <w:rPr>
          <w:lang w:val="en-US"/>
        </w:rPr>
      </w:pPr>
      <w:r w:rsidRPr="00427369">
        <w:rPr>
          <w:lang w:val="en-US"/>
        </w:rPr>
        <w:t>The number of persons with an intellectual disability is estimated at approximately 110,000</w:t>
      </w:r>
      <w:r>
        <w:rPr>
          <w:rStyle w:val="FootnoteReference"/>
          <w:lang w:val="en-US"/>
        </w:rPr>
        <w:footnoteReference w:id="11"/>
      </w:r>
      <w:r>
        <w:rPr>
          <w:lang w:val="en-US"/>
        </w:rPr>
        <w:t>.</w:t>
      </w:r>
    </w:p>
    <w:p w:rsidR="00427369" w:rsidRDefault="00427369" w:rsidP="00BC69E5">
      <w:pPr>
        <w:rPr>
          <w:lang w:val="en-US"/>
        </w:rPr>
      </w:pPr>
    </w:p>
    <w:p w:rsidR="00427369" w:rsidRDefault="00427369" w:rsidP="00BC69E5">
      <w:pPr>
        <w:rPr>
          <w:lang w:val="en-US"/>
        </w:rPr>
      </w:pPr>
    </w:p>
    <w:p w:rsidR="00BC69E5" w:rsidRPr="00BC69E5" w:rsidRDefault="00BC69E5" w:rsidP="00BC69E5">
      <w:pPr>
        <w:rPr>
          <w:lang w:val="en-US"/>
        </w:rPr>
      </w:pPr>
    </w:p>
    <w:p w:rsidR="002E1546" w:rsidRDefault="002E1546" w:rsidP="002E1546">
      <w:pPr>
        <w:rPr>
          <w:rFonts w:ascii="Verdana" w:hAnsi="Verdana"/>
          <w:lang w:val="en-US"/>
        </w:rPr>
      </w:pPr>
      <w:bookmarkStart w:id="50" w:name="_Toc268689531"/>
    </w:p>
    <w:p w:rsidR="00BC69E5" w:rsidRPr="004C03C2" w:rsidRDefault="00BC69E5" w:rsidP="002E1546">
      <w:pPr>
        <w:rPr>
          <w:rFonts w:ascii="Verdana" w:hAnsi="Verdana"/>
          <w:lang w:val="en-US"/>
        </w:rPr>
        <w:sectPr w:rsidR="00BC69E5" w:rsidRPr="004C03C2">
          <w:footnotePr>
            <w:pos w:val="beneathText"/>
          </w:footnotePr>
          <w:pgSz w:w="11900" w:h="16840"/>
          <w:pgMar w:top="1440" w:right="1800" w:bottom="1440" w:left="1800" w:header="708" w:footer="708" w:gutter="0"/>
          <w:cols w:space="708"/>
        </w:sectPr>
      </w:pPr>
    </w:p>
    <w:p w:rsidR="002E1546" w:rsidRDefault="002E1546" w:rsidP="002E1546">
      <w:pPr>
        <w:pStyle w:val="Heading1"/>
        <w:rPr>
          <w:lang w:val="en-US"/>
        </w:rPr>
      </w:pPr>
      <w:bookmarkStart w:id="51" w:name="_Toc269743627"/>
      <w:bookmarkStart w:id="52" w:name="_Toc286159973"/>
      <w:r>
        <w:rPr>
          <w:lang w:val="en-US"/>
        </w:rPr>
        <w:t>3. Provision of Health and Disability Services for people with disabilities</w:t>
      </w:r>
      <w:bookmarkEnd w:id="50"/>
      <w:bookmarkEnd w:id="51"/>
      <w:bookmarkEnd w:id="52"/>
    </w:p>
    <w:p w:rsidR="002E1546" w:rsidRPr="00F56902" w:rsidRDefault="002E1546" w:rsidP="002E1546">
      <w:pPr>
        <w:pStyle w:val="Heading2"/>
        <w:rPr>
          <w:lang w:eastAsia="en-IE"/>
        </w:rPr>
      </w:pPr>
      <w:bookmarkStart w:id="53" w:name="_Toc272825549"/>
      <w:bookmarkStart w:id="54" w:name="_Toc286159974"/>
      <w:r w:rsidRPr="00F56902">
        <w:rPr>
          <w:lang w:eastAsia="en-IE"/>
        </w:rPr>
        <w:t>3.1 Overview of Service Provision System</w:t>
      </w:r>
      <w:bookmarkEnd w:id="54"/>
      <w:r w:rsidRPr="00F56902">
        <w:rPr>
          <w:lang w:eastAsia="en-IE"/>
        </w:rPr>
        <w:t xml:space="preserve"> </w:t>
      </w:r>
    </w:p>
    <w:bookmarkEnd w:id="53"/>
    <w:p w:rsidR="002E1546" w:rsidRDefault="00BC69E5" w:rsidP="002E1546">
      <w:pPr>
        <w:pStyle w:val="TableTitle"/>
        <w:rPr>
          <w:lang w:eastAsia="en-IE"/>
        </w:rPr>
      </w:pPr>
      <w:r>
        <w:rPr>
          <w:lang w:eastAsia="en-IE"/>
        </w:rPr>
        <w:t xml:space="preserve">Table </w:t>
      </w:r>
      <w:r w:rsidR="00C22DFB">
        <w:rPr>
          <w:lang w:eastAsia="en-IE"/>
        </w:rPr>
        <w:t>2</w:t>
      </w:r>
      <w:r w:rsidR="002E1546">
        <w:rPr>
          <w:lang w:eastAsia="en-IE"/>
        </w:rPr>
        <w:t>. Organisat</w:t>
      </w:r>
      <w:r w:rsidR="002E1546" w:rsidRPr="007B3E5C">
        <w:rPr>
          <w:lang w:eastAsia="en-IE"/>
        </w:rPr>
        <w:t xml:space="preserve">ional Structure of </w:t>
      </w:r>
      <w:r w:rsidR="002E1546">
        <w:rPr>
          <w:lang w:eastAsia="en-IE"/>
        </w:rPr>
        <w:t xml:space="preserve">Dutch </w:t>
      </w:r>
      <w:r w:rsidR="002E1546" w:rsidRPr="007B3E5C">
        <w:rPr>
          <w:lang w:eastAsia="en-IE"/>
        </w:rPr>
        <w:t>Disability Services</w:t>
      </w:r>
      <w:r w:rsidR="002E1546">
        <w:rPr>
          <w:rStyle w:val="FootnoteReference"/>
          <w:lang w:eastAsia="en-IE"/>
        </w:rPr>
        <w:footnoteReference w:id="12"/>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258"/>
        <w:gridCol w:w="4258"/>
      </w:tblGrid>
      <w:tr w:rsidR="002E1546" w:rsidRPr="003E1DA4">
        <w:tblPrEx>
          <w:tblCellMar>
            <w:top w:w="0" w:type="dxa"/>
            <w:bottom w:w="0" w:type="dxa"/>
          </w:tblCellMar>
        </w:tblPrEx>
        <w:trPr>
          <w:tblHeader/>
        </w:trPr>
        <w:tc>
          <w:tcPr>
            <w:tcW w:w="4258" w:type="dxa"/>
            <w:tcBorders>
              <w:bottom w:val="single" w:sz="12" w:space="0" w:color="000000"/>
            </w:tcBorders>
            <w:shd w:val="clear" w:color="auto" w:fill="auto"/>
          </w:tcPr>
          <w:p w:rsidR="002E1546" w:rsidRPr="003E1DA4" w:rsidRDefault="002E1546" w:rsidP="002E1546">
            <w:pPr>
              <w:pStyle w:val="TableHead"/>
              <w:jc w:val="right"/>
              <w:rPr>
                <w:sz w:val="20"/>
                <w:szCs w:val="20"/>
                <w:lang w:val="en-US"/>
              </w:rPr>
            </w:pPr>
            <w:r w:rsidRPr="003E1DA4">
              <w:rPr>
                <w:sz w:val="20"/>
                <w:szCs w:val="20"/>
                <w:lang w:val="en-US"/>
              </w:rPr>
              <w:t>Orga</w:t>
            </w:r>
            <w:r>
              <w:rPr>
                <w:sz w:val="20"/>
                <w:szCs w:val="20"/>
                <w:lang w:val="en-US"/>
              </w:rPr>
              <w:t>nisation</w:t>
            </w:r>
          </w:p>
        </w:tc>
        <w:tc>
          <w:tcPr>
            <w:tcW w:w="4258" w:type="dxa"/>
            <w:tcBorders>
              <w:bottom w:val="single" w:sz="12" w:space="0" w:color="000000"/>
            </w:tcBorders>
            <w:shd w:val="clear" w:color="auto" w:fill="auto"/>
          </w:tcPr>
          <w:p w:rsidR="002E1546" w:rsidRPr="003E1DA4" w:rsidRDefault="002E1546" w:rsidP="002E1546">
            <w:pPr>
              <w:pStyle w:val="TableHead"/>
              <w:jc w:val="right"/>
              <w:rPr>
                <w:sz w:val="20"/>
                <w:szCs w:val="20"/>
                <w:lang w:val="en-US"/>
              </w:rPr>
            </w:pPr>
            <w:r>
              <w:rPr>
                <w:sz w:val="20"/>
                <w:szCs w:val="20"/>
                <w:lang w:val="en-US"/>
              </w:rPr>
              <w:t>Function</w:t>
            </w:r>
          </w:p>
        </w:tc>
      </w:tr>
      <w:tr w:rsidR="002E1546" w:rsidRPr="003E1DA4">
        <w:tblPrEx>
          <w:tblCellMar>
            <w:top w:w="0" w:type="dxa"/>
            <w:bottom w:w="0" w:type="dxa"/>
          </w:tblCellMar>
        </w:tblPrEx>
        <w:tc>
          <w:tcPr>
            <w:tcW w:w="4258" w:type="dxa"/>
            <w:tcBorders>
              <w:top w:val="single" w:sz="12" w:space="0" w:color="000000"/>
            </w:tcBorders>
            <w:shd w:val="clear" w:color="auto" w:fill="auto"/>
          </w:tcPr>
          <w:p w:rsidR="002E1546" w:rsidRPr="003E1DA4" w:rsidRDefault="002E1546" w:rsidP="002E1546">
            <w:pPr>
              <w:pStyle w:val="TableRowHead"/>
              <w:rPr>
                <w:sz w:val="20"/>
                <w:szCs w:val="20"/>
                <w:lang w:val="en-US"/>
              </w:rPr>
            </w:pPr>
            <w:r w:rsidRPr="003E1DA4">
              <w:rPr>
                <w:sz w:val="20"/>
                <w:szCs w:val="20"/>
                <w:lang w:eastAsia="en-IE"/>
              </w:rPr>
              <w:t>The Ministry of Health, Welfare and Sport (VWS)</w:t>
            </w:r>
          </w:p>
        </w:tc>
        <w:tc>
          <w:tcPr>
            <w:tcW w:w="4258" w:type="dxa"/>
            <w:tcBorders>
              <w:top w:val="single" w:sz="12" w:space="0" w:color="000000"/>
            </w:tcBorders>
            <w:shd w:val="clear" w:color="auto" w:fill="auto"/>
          </w:tcPr>
          <w:p w:rsidR="002E1546" w:rsidRPr="003E1DA4" w:rsidRDefault="002E1546" w:rsidP="002E1546">
            <w:pPr>
              <w:pStyle w:val="TableCell"/>
              <w:jc w:val="right"/>
              <w:rPr>
                <w:sz w:val="20"/>
                <w:szCs w:val="20"/>
                <w:lang w:val="en-US"/>
              </w:rPr>
            </w:pPr>
            <w:r w:rsidRPr="003E1DA4">
              <w:rPr>
                <w:sz w:val="20"/>
                <w:szCs w:val="20"/>
                <w:lang w:eastAsia="en-IE"/>
              </w:rPr>
              <w:t>Responsible for the development and quality of the healthcare sector as a whole</w:t>
            </w:r>
          </w:p>
        </w:tc>
      </w:tr>
      <w:tr w:rsidR="002E1546" w:rsidRPr="003E1DA4">
        <w:tblPrEx>
          <w:tblCellMar>
            <w:top w:w="0" w:type="dxa"/>
            <w:bottom w:w="0" w:type="dxa"/>
          </w:tblCellMar>
        </w:tblPrEx>
        <w:tc>
          <w:tcPr>
            <w:tcW w:w="4258" w:type="dxa"/>
            <w:shd w:val="clear" w:color="auto" w:fill="auto"/>
          </w:tcPr>
          <w:p w:rsidR="002E1546" w:rsidRPr="00D97A4C" w:rsidRDefault="002E1546" w:rsidP="002E1546">
            <w:pPr>
              <w:pStyle w:val="TableRowHead"/>
              <w:rPr>
                <w:sz w:val="20"/>
                <w:szCs w:val="20"/>
                <w:lang w:val="en-US"/>
              </w:rPr>
            </w:pPr>
            <w:r w:rsidRPr="00D97A4C">
              <w:rPr>
                <w:sz w:val="20"/>
                <w:szCs w:val="20"/>
                <w:lang w:eastAsia="en-IE"/>
              </w:rPr>
              <w:t>The Netherlands Health Care Inspectorate (JGZ)</w:t>
            </w:r>
          </w:p>
        </w:tc>
        <w:tc>
          <w:tcPr>
            <w:tcW w:w="4258" w:type="dxa"/>
            <w:shd w:val="clear" w:color="auto" w:fill="auto"/>
          </w:tcPr>
          <w:p w:rsidR="002E1546" w:rsidRPr="003E1DA4" w:rsidRDefault="002E1546" w:rsidP="002E1546">
            <w:pPr>
              <w:pStyle w:val="TableCell"/>
              <w:jc w:val="right"/>
              <w:rPr>
                <w:sz w:val="20"/>
                <w:szCs w:val="20"/>
                <w:lang w:val="en-US"/>
              </w:rPr>
            </w:pPr>
            <w:r>
              <w:rPr>
                <w:sz w:val="20"/>
                <w:szCs w:val="20"/>
                <w:lang w:eastAsia="en-IE"/>
              </w:rPr>
              <w:t>R</w:t>
            </w:r>
            <w:r w:rsidRPr="00D97A4C">
              <w:rPr>
                <w:sz w:val="20"/>
                <w:szCs w:val="20"/>
                <w:lang w:eastAsia="en-IE"/>
              </w:rPr>
              <w:t>esponsible for the quality assurance of the system. The Inspectorate monitors the quality in heath care institutions and reinforces the quality norms and laws for the health care sector. The Inspectorate also supervises the operation and development of the markets for health care providers and insurers</w:t>
            </w:r>
            <w:r>
              <w:rPr>
                <w:sz w:val="20"/>
                <w:szCs w:val="20"/>
                <w:lang w:eastAsia="en-IE"/>
              </w:rPr>
              <w:t>.</w:t>
            </w:r>
          </w:p>
        </w:tc>
      </w:tr>
      <w:tr w:rsidR="00A12716" w:rsidRPr="00D97A4C">
        <w:tblPrEx>
          <w:tblCellMar>
            <w:top w:w="0" w:type="dxa"/>
            <w:bottom w:w="0" w:type="dxa"/>
          </w:tblCellMar>
        </w:tblPrEx>
        <w:tc>
          <w:tcPr>
            <w:tcW w:w="4258" w:type="dxa"/>
            <w:shd w:val="clear" w:color="auto" w:fill="auto"/>
          </w:tcPr>
          <w:p w:rsidR="00A12716" w:rsidRPr="00D97A4C" w:rsidRDefault="00A12716" w:rsidP="002E1546">
            <w:pPr>
              <w:pStyle w:val="TableRowHead"/>
              <w:rPr>
                <w:sz w:val="20"/>
                <w:szCs w:val="20"/>
                <w:lang w:eastAsia="en-IE"/>
              </w:rPr>
            </w:pPr>
            <w:r w:rsidRPr="00A12716">
              <w:rPr>
                <w:rFonts w:cs="Arial"/>
                <w:sz w:val="20"/>
                <w:szCs w:val="20"/>
                <w:lang w:eastAsia="en-IE"/>
              </w:rPr>
              <w:t>The Dutch Health Care Authority (NZa)</w:t>
            </w:r>
          </w:p>
        </w:tc>
        <w:tc>
          <w:tcPr>
            <w:tcW w:w="4258" w:type="dxa"/>
            <w:shd w:val="clear" w:color="auto" w:fill="auto"/>
          </w:tcPr>
          <w:p w:rsidR="00A12716" w:rsidRDefault="00672F9A" w:rsidP="002E1546">
            <w:pPr>
              <w:pStyle w:val="TableCell"/>
              <w:jc w:val="right"/>
              <w:rPr>
                <w:sz w:val="20"/>
                <w:szCs w:val="20"/>
                <w:lang w:eastAsia="en-IE"/>
              </w:rPr>
            </w:pPr>
            <w:r>
              <w:rPr>
                <w:rFonts w:cs="Arial"/>
                <w:sz w:val="20"/>
                <w:szCs w:val="20"/>
                <w:lang w:eastAsia="en-IE"/>
              </w:rPr>
              <w:t xml:space="preserve">Responsible for supervising all health care markets </w:t>
            </w:r>
            <w:r w:rsidR="00A12716" w:rsidRPr="00A12716">
              <w:rPr>
                <w:rFonts w:cs="Arial"/>
                <w:sz w:val="20"/>
                <w:szCs w:val="20"/>
                <w:lang w:eastAsia="en-IE"/>
              </w:rPr>
              <w:t xml:space="preserve">in the Netherlands. </w:t>
            </w:r>
            <w:r w:rsidR="00616E9A">
              <w:rPr>
                <w:rFonts w:cs="Arial"/>
                <w:sz w:val="20"/>
                <w:szCs w:val="20"/>
                <w:lang w:eastAsia="en-IE"/>
              </w:rPr>
              <w:t xml:space="preserve">Produced system of indicators that  control and </w:t>
            </w:r>
            <w:r>
              <w:rPr>
                <w:rFonts w:cs="Arial"/>
                <w:sz w:val="20"/>
                <w:szCs w:val="20"/>
                <w:lang w:eastAsia="en-IE"/>
              </w:rPr>
              <w:t xml:space="preserve">measure the quality of  health </w:t>
            </w:r>
            <w:r w:rsidR="00616E9A">
              <w:rPr>
                <w:rFonts w:cs="Arial"/>
                <w:sz w:val="20"/>
                <w:szCs w:val="20"/>
                <w:lang w:eastAsia="en-IE"/>
              </w:rPr>
              <w:t xml:space="preserve">people are </w:t>
            </w:r>
            <w:r>
              <w:rPr>
                <w:rFonts w:cs="Arial"/>
                <w:sz w:val="20"/>
                <w:szCs w:val="20"/>
                <w:lang w:eastAsia="en-IE"/>
              </w:rPr>
              <w:t>receiving</w:t>
            </w:r>
            <w:r w:rsidR="00616E9A">
              <w:rPr>
                <w:rFonts w:cs="Arial"/>
                <w:sz w:val="20"/>
                <w:szCs w:val="20"/>
                <w:lang w:eastAsia="en-IE"/>
              </w:rPr>
              <w:t>.</w:t>
            </w:r>
          </w:p>
        </w:tc>
      </w:tr>
      <w:tr w:rsidR="002E1546" w:rsidRPr="00D97A4C">
        <w:tblPrEx>
          <w:tblCellMar>
            <w:top w:w="0" w:type="dxa"/>
            <w:bottom w:w="0" w:type="dxa"/>
          </w:tblCellMar>
        </w:tblPrEx>
        <w:tc>
          <w:tcPr>
            <w:tcW w:w="4258" w:type="dxa"/>
            <w:shd w:val="clear" w:color="auto" w:fill="auto"/>
          </w:tcPr>
          <w:p w:rsidR="002E1546" w:rsidRPr="00D97A4C" w:rsidRDefault="002E1546" w:rsidP="002E1546">
            <w:pPr>
              <w:pStyle w:val="TableRowHead"/>
              <w:rPr>
                <w:sz w:val="20"/>
                <w:szCs w:val="20"/>
                <w:lang w:val="en-US"/>
              </w:rPr>
            </w:pPr>
            <w:r w:rsidRPr="00D97A4C">
              <w:rPr>
                <w:sz w:val="20"/>
                <w:szCs w:val="20"/>
                <w:lang w:eastAsia="en-IE"/>
              </w:rPr>
              <w:t>The Dutch Federation of University Medical Centres (NFU) and the Dutch Hospitals Associations (NVZ)</w:t>
            </w:r>
          </w:p>
        </w:tc>
        <w:tc>
          <w:tcPr>
            <w:tcW w:w="4258" w:type="dxa"/>
            <w:shd w:val="clear" w:color="auto" w:fill="auto"/>
          </w:tcPr>
          <w:p w:rsidR="002E1546" w:rsidRDefault="002E1546" w:rsidP="002E1546">
            <w:pPr>
              <w:pStyle w:val="TableCell"/>
              <w:jc w:val="right"/>
              <w:rPr>
                <w:sz w:val="20"/>
                <w:szCs w:val="20"/>
                <w:lang w:eastAsia="en-IE"/>
              </w:rPr>
            </w:pPr>
            <w:r>
              <w:rPr>
                <w:sz w:val="20"/>
                <w:szCs w:val="20"/>
                <w:lang w:eastAsia="en-IE"/>
              </w:rPr>
              <w:t>U</w:t>
            </w:r>
            <w:r w:rsidRPr="00D97A4C">
              <w:rPr>
                <w:sz w:val="20"/>
                <w:szCs w:val="20"/>
                <w:lang w:eastAsia="en-IE"/>
              </w:rPr>
              <w:t>mbrella organisations that are responsible for medical quality assurance</w:t>
            </w:r>
            <w:r>
              <w:rPr>
                <w:sz w:val="20"/>
                <w:szCs w:val="20"/>
                <w:lang w:eastAsia="en-IE"/>
              </w:rPr>
              <w:t>.</w:t>
            </w:r>
          </w:p>
          <w:p w:rsidR="002E1546" w:rsidRPr="00D97A4C" w:rsidRDefault="002E1546" w:rsidP="002E1546">
            <w:pPr>
              <w:pStyle w:val="TableCell"/>
              <w:jc w:val="right"/>
              <w:rPr>
                <w:sz w:val="20"/>
                <w:szCs w:val="20"/>
                <w:lang w:val="en-US"/>
              </w:rPr>
            </w:pPr>
            <w:r w:rsidRPr="00D97A4C">
              <w:rPr>
                <w:sz w:val="20"/>
                <w:szCs w:val="20"/>
                <w:lang w:eastAsia="en-IE"/>
              </w:rPr>
              <w:t xml:space="preserve"> </w:t>
            </w:r>
          </w:p>
        </w:tc>
      </w:tr>
      <w:tr w:rsidR="002E1546" w:rsidRPr="003E1DA4">
        <w:tblPrEx>
          <w:tblCellMar>
            <w:top w:w="0" w:type="dxa"/>
            <w:bottom w:w="0" w:type="dxa"/>
          </w:tblCellMar>
        </w:tblPrEx>
        <w:tc>
          <w:tcPr>
            <w:tcW w:w="4258" w:type="dxa"/>
            <w:shd w:val="clear" w:color="auto" w:fill="auto"/>
          </w:tcPr>
          <w:p w:rsidR="002E1546" w:rsidRDefault="00A12716" w:rsidP="002E1546">
            <w:pPr>
              <w:pStyle w:val="TableRowHead"/>
              <w:rPr>
                <w:sz w:val="20"/>
                <w:szCs w:val="20"/>
                <w:lang w:val="en-US"/>
              </w:rPr>
            </w:pPr>
            <w:r>
              <w:rPr>
                <w:sz w:val="20"/>
                <w:szCs w:val="20"/>
                <w:lang w:val="en-US"/>
              </w:rPr>
              <w:t>Regional health care insurers who run the regional care offices</w:t>
            </w:r>
            <w:r w:rsidR="002E1546">
              <w:rPr>
                <w:sz w:val="20"/>
                <w:szCs w:val="20"/>
                <w:lang w:val="en-US"/>
              </w:rPr>
              <w:t xml:space="preserve"> (32 offices) </w:t>
            </w:r>
          </w:p>
          <w:p w:rsidR="002E1546" w:rsidRPr="003E1DA4" w:rsidRDefault="002E1546" w:rsidP="002E1546">
            <w:pPr>
              <w:pStyle w:val="TableRowHead"/>
              <w:rPr>
                <w:sz w:val="20"/>
                <w:szCs w:val="20"/>
                <w:lang w:val="en-US"/>
              </w:rPr>
            </w:pPr>
          </w:p>
        </w:tc>
        <w:tc>
          <w:tcPr>
            <w:tcW w:w="4258" w:type="dxa"/>
            <w:shd w:val="clear" w:color="auto" w:fill="auto"/>
          </w:tcPr>
          <w:p w:rsidR="002E1546" w:rsidRPr="003E1DA4" w:rsidRDefault="002E1546" w:rsidP="002E1546">
            <w:pPr>
              <w:pStyle w:val="TableCell"/>
              <w:jc w:val="right"/>
              <w:rPr>
                <w:sz w:val="20"/>
                <w:szCs w:val="20"/>
                <w:lang w:val="en-US"/>
              </w:rPr>
            </w:pPr>
            <w:r>
              <w:rPr>
                <w:sz w:val="20"/>
                <w:szCs w:val="20"/>
                <w:lang w:val="en-US"/>
              </w:rPr>
              <w:t xml:space="preserve">Responsible for administering </w:t>
            </w:r>
            <w:r w:rsidRPr="00CF3946">
              <w:rPr>
                <w:sz w:val="20"/>
                <w:szCs w:val="20"/>
                <w:lang w:val="en-US"/>
              </w:rPr>
              <w:t xml:space="preserve">the </w:t>
            </w:r>
            <w:r w:rsidR="00CF3946" w:rsidRPr="00CF3946">
              <w:rPr>
                <w:sz w:val="20"/>
                <w:szCs w:val="20"/>
                <w:lang w:val="en-US" w:bidi="en-US"/>
              </w:rPr>
              <w:t xml:space="preserve">Long Term Care Insurance </w:t>
            </w:r>
            <w:r w:rsidR="00CF3946">
              <w:rPr>
                <w:sz w:val="20"/>
                <w:szCs w:val="20"/>
                <w:lang w:val="en-US" w:bidi="en-US"/>
              </w:rPr>
              <w:t>(</w:t>
            </w:r>
            <w:r>
              <w:rPr>
                <w:sz w:val="20"/>
                <w:szCs w:val="20"/>
                <w:lang w:val="en-US"/>
              </w:rPr>
              <w:t>AWBZ</w:t>
            </w:r>
            <w:r w:rsidR="00CF3946">
              <w:rPr>
                <w:sz w:val="20"/>
                <w:szCs w:val="20"/>
                <w:lang w:val="en-US"/>
              </w:rPr>
              <w:t>)</w:t>
            </w:r>
            <w:r>
              <w:rPr>
                <w:sz w:val="20"/>
                <w:szCs w:val="20"/>
                <w:lang w:val="en-US"/>
              </w:rPr>
              <w:t xml:space="preserve"> a mandatory insurance scheme for long term care. </w:t>
            </w:r>
            <w:r w:rsidRPr="00306BCB">
              <w:rPr>
                <w:rFonts w:cs="Times-Roman"/>
                <w:sz w:val="20"/>
                <w:szCs w:val="20"/>
                <w:lang w:val="en-US" w:bidi="en-US"/>
              </w:rPr>
              <w:t xml:space="preserve">The management of the </w:t>
            </w:r>
            <w:r w:rsidR="00CF3946" w:rsidRPr="00CF3946">
              <w:rPr>
                <w:sz w:val="20"/>
                <w:szCs w:val="20"/>
                <w:lang w:val="en-US" w:bidi="en-US"/>
              </w:rPr>
              <w:t>Long Term Care Insurance</w:t>
            </w:r>
            <w:r w:rsidR="00CF3946" w:rsidRPr="00D31D4D">
              <w:rPr>
                <w:lang w:val="en-US" w:bidi="en-US"/>
              </w:rPr>
              <w:t xml:space="preserve"> </w:t>
            </w:r>
            <w:r w:rsidR="00CF3946">
              <w:rPr>
                <w:rFonts w:cs="Times-Roman"/>
                <w:sz w:val="20"/>
                <w:szCs w:val="20"/>
                <w:lang w:val="en-US" w:bidi="en-US"/>
              </w:rPr>
              <w:t>(</w:t>
            </w:r>
            <w:r w:rsidRPr="00306BCB">
              <w:rPr>
                <w:rFonts w:cs="Times-Roman"/>
                <w:sz w:val="20"/>
                <w:szCs w:val="20"/>
                <w:lang w:val="en-US" w:bidi="en-US"/>
              </w:rPr>
              <w:t>AWBZ</w:t>
            </w:r>
            <w:r w:rsidR="00CF3946">
              <w:rPr>
                <w:rFonts w:cs="Times-Roman"/>
                <w:sz w:val="20"/>
                <w:szCs w:val="20"/>
                <w:lang w:val="en-US" w:bidi="en-US"/>
              </w:rPr>
              <w:t>)</w:t>
            </w:r>
            <w:r w:rsidRPr="00306BCB">
              <w:rPr>
                <w:rFonts w:cs="Times-Roman"/>
                <w:sz w:val="20"/>
                <w:szCs w:val="20"/>
                <w:lang w:val="en-US" w:bidi="en-US"/>
              </w:rPr>
              <w:t xml:space="preserve"> comes under the auspices of the Ministry for Health and Welfare</w:t>
            </w:r>
            <w:r>
              <w:rPr>
                <w:rFonts w:cs="Times-Roman"/>
                <w:sz w:val="20"/>
                <w:szCs w:val="20"/>
                <w:lang w:val="en-US" w:bidi="en-US"/>
              </w:rPr>
              <w:t>.</w:t>
            </w:r>
            <w:r w:rsidRPr="0068191F">
              <w:rPr>
                <w:rFonts w:cs="Times-Roman"/>
                <w:sz w:val="20"/>
                <w:szCs w:val="20"/>
                <w:lang w:val="en-US" w:bidi="en-US"/>
              </w:rPr>
              <w:t xml:space="preserve"> </w:t>
            </w:r>
          </w:p>
        </w:tc>
      </w:tr>
      <w:tr w:rsidR="002E1546" w:rsidRPr="003E1DA4">
        <w:tblPrEx>
          <w:tblCellMar>
            <w:top w:w="0" w:type="dxa"/>
            <w:bottom w:w="0" w:type="dxa"/>
          </w:tblCellMar>
        </w:tblPrEx>
        <w:trPr>
          <w:trHeight w:val="1597"/>
        </w:trPr>
        <w:tc>
          <w:tcPr>
            <w:tcW w:w="4258" w:type="dxa"/>
            <w:shd w:val="clear" w:color="auto" w:fill="auto"/>
          </w:tcPr>
          <w:p w:rsidR="002E1546" w:rsidRPr="003E1DA4" w:rsidRDefault="002E1546" w:rsidP="002E1546">
            <w:pPr>
              <w:pStyle w:val="TableRowHead"/>
              <w:rPr>
                <w:sz w:val="20"/>
                <w:szCs w:val="20"/>
                <w:lang w:val="en-US"/>
              </w:rPr>
            </w:pPr>
            <w:r>
              <w:rPr>
                <w:sz w:val="20"/>
                <w:szCs w:val="20"/>
                <w:lang w:val="en-US"/>
              </w:rPr>
              <w:t>Municipalities (441 municipalities)</w:t>
            </w:r>
          </w:p>
        </w:tc>
        <w:tc>
          <w:tcPr>
            <w:tcW w:w="4258" w:type="dxa"/>
            <w:shd w:val="clear" w:color="auto" w:fill="auto"/>
          </w:tcPr>
          <w:p w:rsidR="002E1546" w:rsidRPr="00FC624C"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cs="Arial"/>
                <w:sz w:val="20"/>
                <w:szCs w:val="20"/>
              </w:rPr>
            </w:pPr>
            <w:r>
              <w:rPr>
                <w:sz w:val="20"/>
                <w:szCs w:val="20"/>
                <w:lang w:val="en-US"/>
              </w:rPr>
              <w:t xml:space="preserve">Responsible for administering the </w:t>
            </w:r>
            <w:r w:rsidR="00CF3946">
              <w:rPr>
                <w:sz w:val="20"/>
                <w:szCs w:val="20"/>
                <w:lang w:val="en-US"/>
              </w:rPr>
              <w:t>Social Care Support Insurance (</w:t>
            </w:r>
            <w:r>
              <w:rPr>
                <w:sz w:val="20"/>
                <w:szCs w:val="20"/>
                <w:lang w:val="en-US"/>
              </w:rPr>
              <w:t>WMO</w:t>
            </w:r>
            <w:r w:rsidR="00CF3946">
              <w:rPr>
                <w:sz w:val="20"/>
                <w:szCs w:val="20"/>
                <w:lang w:val="en-US"/>
              </w:rPr>
              <w:t>)</w:t>
            </w:r>
            <w:r w:rsidR="00B45730">
              <w:rPr>
                <w:sz w:val="20"/>
                <w:szCs w:val="20"/>
                <w:lang w:val="en-US"/>
              </w:rPr>
              <w:t>. This type of insurance</w:t>
            </w:r>
            <w:r>
              <w:rPr>
                <w:sz w:val="20"/>
                <w:szCs w:val="20"/>
                <w:lang w:val="en-US"/>
              </w:rPr>
              <w:t xml:space="preserve"> is used to promote independent living and to fund accessible accommodations for houses,</w:t>
            </w:r>
            <w:r w:rsidRPr="00FC624C">
              <w:rPr>
                <w:sz w:val="20"/>
                <w:szCs w:val="20"/>
                <w:lang w:val="en-US" w:bidi="en-US"/>
              </w:rPr>
              <w:t xml:space="preserve"> in - home household help, and transportation</w:t>
            </w:r>
            <w:r>
              <w:rPr>
                <w:sz w:val="20"/>
                <w:szCs w:val="20"/>
                <w:lang w:val="en-US" w:bidi="en-US"/>
              </w:rPr>
              <w:t xml:space="preserve">. </w:t>
            </w:r>
            <w:r w:rsidRPr="00FC624C">
              <w:rPr>
                <w:sz w:val="20"/>
                <w:szCs w:val="20"/>
                <w:lang w:val="en-US" w:bidi="en-US"/>
              </w:rPr>
              <w:t>It comes under the auspices of the Ministry for</w:t>
            </w:r>
            <w:r>
              <w:rPr>
                <w:sz w:val="20"/>
                <w:szCs w:val="20"/>
                <w:lang w:val="en-US" w:bidi="en-US"/>
              </w:rPr>
              <w:t xml:space="preserve"> Internal Affairs and Rural Relations.</w:t>
            </w:r>
          </w:p>
        </w:tc>
      </w:tr>
      <w:tr w:rsidR="002E1546" w:rsidRPr="003E1DA4">
        <w:tblPrEx>
          <w:tblCellMar>
            <w:top w:w="0" w:type="dxa"/>
            <w:bottom w:w="0" w:type="dxa"/>
          </w:tblCellMar>
        </w:tblPrEx>
        <w:tc>
          <w:tcPr>
            <w:tcW w:w="4258" w:type="dxa"/>
            <w:shd w:val="clear" w:color="auto" w:fill="auto"/>
          </w:tcPr>
          <w:p w:rsidR="002E1546" w:rsidRPr="000959CE" w:rsidRDefault="002E1546" w:rsidP="002E1546">
            <w:pPr>
              <w:pStyle w:val="TableRowHead"/>
              <w:rPr>
                <w:rFonts w:ascii="Arial" w:hAnsi="Arial" w:cs="Arial"/>
                <w:sz w:val="20"/>
                <w:szCs w:val="20"/>
                <w:lang w:val="en-US"/>
              </w:rPr>
            </w:pPr>
            <w:r w:rsidRPr="000959CE">
              <w:rPr>
                <w:rFonts w:ascii="Arial" w:hAnsi="Arial" w:cs="Arial"/>
                <w:sz w:val="20"/>
                <w:szCs w:val="20"/>
              </w:rPr>
              <w:t xml:space="preserve">MEE Nederland (22 branches) </w:t>
            </w:r>
          </w:p>
        </w:tc>
        <w:tc>
          <w:tcPr>
            <w:tcW w:w="4258" w:type="dxa"/>
            <w:shd w:val="clear" w:color="auto" w:fill="auto"/>
          </w:tcPr>
          <w:p w:rsidR="002E1546" w:rsidRPr="008C31DB" w:rsidRDefault="002E1546" w:rsidP="002E1546">
            <w:pPr>
              <w:pStyle w:val="TableCell"/>
              <w:jc w:val="right"/>
              <w:rPr>
                <w:sz w:val="20"/>
                <w:szCs w:val="20"/>
                <w:lang w:val="en-US"/>
              </w:rPr>
            </w:pPr>
            <w:r w:rsidRPr="008C31DB">
              <w:rPr>
                <w:rFonts w:cs="Arial"/>
                <w:sz w:val="20"/>
                <w:szCs w:val="20"/>
              </w:rPr>
              <w:t xml:space="preserve">A national </w:t>
            </w:r>
            <w:r w:rsidR="00BA129D">
              <w:rPr>
                <w:rFonts w:cs="Arial"/>
                <w:sz w:val="20"/>
                <w:szCs w:val="20"/>
              </w:rPr>
              <w:t xml:space="preserve">organisation that </w:t>
            </w:r>
            <w:r w:rsidRPr="008C31DB">
              <w:rPr>
                <w:rFonts w:cs="Arial"/>
                <w:sz w:val="20"/>
                <w:szCs w:val="20"/>
              </w:rPr>
              <w:t xml:space="preserve">assists people with disabilities in accessing support, developing personal care plans and applying for assistance from </w:t>
            </w:r>
            <w:r w:rsidR="00B45730" w:rsidRPr="00CF3946">
              <w:rPr>
                <w:sz w:val="20"/>
                <w:szCs w:val="20"/>
                <w:lang w:val="en-US"/>
              </w:rPr>
              <w:t xml:space="preserve">the </w:t>
            </w:r>
            <w:r w:rsidR="00B45730" w:rsidRPr="00CF3946">
              <w:rPr>
                <w:sz w:val="20"/>
                <w:szCs w:val="20"/>
                <w:lang w:val="en-US" w:bidi="en-US"/>
              </w:rPr>
              <w:t>Long Term Care Insurance</w:t>
            </w:r>
            <w:r w:rsidR="00B45730" w:rsidRPr="008C31DB">
              <w:rPr>
                <w:rFonts w:cs="Arial"/>
                <w:sz w:val="20"/>
                <w:szCs w:val="20"/>
              </w:rPr>
              <w:t xml:space="preserve"> </w:t>
            </w:r>
            <w:r w:rsidR="00B45730">
              <w:rPr>
                <w:rFonts w:cs="Arial"/>
                <w:sz w:val="20"/>
                <w:szCs w:val="20"/>
              </w:rPr>
              <w:t>(</w:t>
            </w:r>
            <w:r w:rsidRPr="008C31DB">
              <w:rPr>
                <w:rFonts w:cs="Arial"/>
                <w:sz w:val="20"/>
                <w:szCs w:val="20"/>
              </w:rPr>
              <w:t>AWBZ</w:t>
            </w:r>
            <w:r w:rsidR="00B45730">
              <w:rPr>
                <w:rFonts w:cs="Arial"/>
                <w:sz w:val="20"/>
                <w:szCs w:val="20"/>
              </w:rPr>
              <w:t>)</w:t>
            </w:r>
            <w:r w:rsidRPr="008C31DB">
              <w:rPr>
                <w:rFonts w:cs="Arial"/>
                <w:sz w:val="20"/>
                <w:szCs w:val="20"/>
              </w:rPr>
              <w:t xml:space="preserve"> or the </w:t>
            </w:r>
            <w:r w:rsidR="00B45730">
              <w:rPr>
                <w:sz w:val="20"/>
                <w:szCs w:val="20"/>
                <w:lang w:val="en-US"/>
              </w:rPr>
              <w:t>Social Care Support Insurance (</w:t>
            </w:r>
            <w:r w:rsidRPr="008C31DB">
              <w:rPr>
                <w:rFonts w:cs="Arial"/>
                <w:sz w:val="20"/>
                <w:szCs w:val="20"/>
              </w:rPr>
              <w:t>WMO</w:t>
            </w:r>
            <w:r w:rsidR="00B45730">
              <w:rPr>
                <w:rFonts w:cs="Arial"/>
                <w:sz w:val="20"/>
                <w:szCs w:val="20"/>
              </w:rPr>
              <w:t>)</w:t>
            </w:r>
            <w:r w:rsidRPr="008C31DB">
              <w:rPr>
                <w:rFonts w:cs="Arial"/>
                <w:sz w:val="20"/>
                <w:szCs w:val="20"/>
              </w:rPr>
              <w:t xml:space="preserve">. This programme is funded by the Health Care Insurance Board (College van Zorgverzekeringen, CVZ) from </w:t>
            </w:r>
            <w:r w:rsidR="00B45730" w:rsidRPr="00CF3946">
              <w:rPr>
                <w:sz w:val="20"/>
                <w:szCs w:val="20"/>
                <w:lang w:val="en-US" w:bidi="en-US"/>
              </w:rPr>
              <w:t>Long Term Care Insurance</w:t>
            </w:r>
            <w:r w:rsidR="00B45730" w:rsidRPr="008C31DB">
              <w:rPr>
                <w:rFonts w:cs="Arial"/>
                <w:sz w:val="20"/>
                <w:szCs w:val="20"/>
              </w:rPr>
              <w:t xml:space="preserve"> </w:t>
            </w:r>
            <w:r w:rsidR="00B45730">
              <w:rPr>
                <w:rFonts w:cs="Arial"/>
                <w:sz w:val="20"/>
                <w:szCs w:val="20"/>
              </w:rPr>
              <w:t>(</w:t>
            </w:r>
            <w:r w:rsidRPr="008C31DB">
              <w:rPr>
                <w:rFonts w:cs="Arial"/>
                <w:sz w:val="20"/>
                <w:szCs w:val="20"/>
              </w:rPr>
              <w:t>AWBZ</w:t>
            </w:r>
            <w:r w:rsidR="00B45730">
              <w:rPr>
                <w:rFonts w:cs="Arial"/>
                <w:sz w:val="20"/>
                <w:szCs w:val="20"/>
              </w:rPr>
              <w:t>)</w:t>
            </w:r>
            <w:r w:rsidRPr="008C31DB">
              <w:rPr>
                <w:rFonts w:cs="Arial"/>
                <w:sz w:val="20"/>
                <w:szCs w:val="20"/>
              </w:rPr>
              <w:t xml:space="preserve"> funds</w:t>
            </w:r>
            <w:r w:rsidRPr="008C31DB">
              <w:rPr>
                <w:rFonts w:cs="Arial"/>
                <w:b/>
                <w:sz w:val="20"/>
                <w:szCs w:val="20"/>
              </w:rPr>
              <w:t>.</w:t>
            </w:r>
          </w:p>
        </w:tc>
      </w:tr>
    </w:tbl>
    <w:p w:rsidR="006F6642" w:rsidRDefault="006F6642" w:rsidP="002E1546">
      <w:pPr>
        <w:rPr>
          <w:sz w:val="20"/>
          <w:szCs w:val="20"/>
          <w:lang w:val="en-US"/>
        </w:rPr>
      </w:pPr>
      <w:bookmarkStart w:id="55" w:name="_Toc268689532"/>
    </w:p>
    <w:p w:rsidR="002E1546" w:rsidRDefault="002E1546" w:rsidP="002E1546">
      <w:pPr>
        <w:rPr>
          <w:lang w:val="en-US"/>
        </w:rPr>
      </w:pPr>
      <w:r>
        <w:rPr>
          <w:lang w:val="en-US"/>
        </w:rPr>
        <w:t>In the Netherlands, the Ministry of Health Welfare and Sport funds health and social care supports for people with disabilities. The Ministry of Social Affairs and Employment funds income related supports, vocational and employment supports and educational supports are funded and provided through the Ministry of Education, Culture and Science.</w:t>
      </w:r>
    </w:p>
    <w:p w:rsidR="002E1546" w:rsidRDefault="002E1546" w:rsidP="002E1546">
      <w:pPr>
        <w:pStyle w:val="Heading2"/>
      </w:pPr>
      <w:bookmarkStart w:id="56" w:name="_Toc269743630"/>
      <w:bookmarkStart w:id="57" w:name="_Toc286159975"/>
      <w:r>
        <w:t>3.2 Reform of the Health Care System</w:t>
      </w:r>
      <w:bookmarkEnd w:id="55"/>
      <w:bookmarkEnd w:id="56"/>
      <w:bookmarkEnd w:id="57"/>
    </w:p>
    <w:p w:rsidR="002E1546" w:rsidRDefault="002E1546" w:rsidP="002E1546">
      <w:pPr>
        <w:autoSpaceDE w:val="0"/>
        <w:autoSpaceDN w:val="0"/>
        <w:adjustRightInd w:val="0"/>
        <w:spacing w:line="240" w:lineRule="atLeast"/>
        <w:rPr>
          <w:rFonts w:cs="Arial"/>
          <w:lang w:eastAsia="en-IE"/>
        </w:rPr>
      </w:pPr>
      <w:r>
        <w:rPr>
          <w:rFonts w:cs="Arial"/>
          <w:color w:val="000000"/>
          <w:lang w:eastAsia="en-IE"/>
        </w:rPr>
        <w:t xml:space="preserve">In 2006, major health care reforms took place after the Dutch government introduced the </w:t>
      </w:r>
      <w:r w:rsidR="001E3D79" w:rsidRPr="004666EC">
        <w:rPr>
          <w:rFonts w:cs="Arial"/>
          <w:color w:val="000000"/>
          <w:lang w:eastAsia="en-IE"/>
        </w:rPr>
        <w:t xml:space="preserve">Health Insurance </w:t>
      </w:r>
      <w:r w:rsidR="001E3D79">
        <w:rPr>
          <w:rFonts w:cs="Arial"/>
          <w:color w:val="000000"/>
          <w:lang w:eastAsia="en-IE"/>
        </w:rPr>
        <w:t>Law (ZVW)</w:t>
      </w:r>
      <w:r>
        <w:rPr>
          <w:rStyle w:val="FootnoteReference"/>
          <w:rFonts w:cs="Arial"/>
          <w:color w:val="000000"/>
          <w:lang w:eastAsia="en-IE"/>
        </w:rPr>
        <w:footnoteReference w:id="13"/>
      </w:r>
      <w:r>
        <w:rPr>
          <w:rFonts w:cs="Arial"/>
          <w:color w:val="000000"/>
          <w:lang w:eastAsia="en-IE"/>
        </w:rPr>
        <w:t>. The two tiered system of social and private (voluntary) health insurance was replaced by one single mandatory private scheme</w:t>
      </w:r>
      <w:r w:rsidR="000C0F3D">
        <w:rPr>
          <w:rFonts w:cs="Arial"/>
          <w:color w:val="000000"/>
          <w:lang w:eastAsia="en-IE"/>
        </w:rPr>
        <w:t xml:space="preserve"> (ZVW)</w:t>
      </w:r>
      <w:r>
        <w:rPr>
          <w:rFonts w:cs="Arial"/>
          <w:color w:val="000000"/>
          <w:lang w:eastAsia="en-IE"/>
        </w:rPr>
        <w:t xml:space="preserve">. This scheme provides coverage for a suite of services from medical and dental care to transportation costs for people in wheelchairs etc. The services covered by this scheme are detailed in Appendix C. </w:t>
      </w:r>
      <w:r w:rsidRPr="004666EC">
        <w:rPr>
          <w:rFonts w:cs="Arial"/>
          <w:color w:val="000000"/>
          <w:lang w:eastAsia="en-IE"/>
        </w:rPr>
        <w:t>In the new healthcare system the p</w:t>
      </w:r>
      <w:r>
        <w:rPr>
          <w:rFonts w:cs="Arial"/>
          <w:color w:val="000000"/>
          <w:lang w:eastAsia="en-IE"/>
        </w:rPr>
        <w:t>rovision of healthcare has become</w:t>
      </w:r>
      <w:r w:rsidRPr="004666EC">
        <w:rPr>
          <w:rFonts w:cs="Arial"/>
          <w:color w:val="000000"/>
          <w:lang w:eastAsia="en-IE"/>
        </w:rPr>
        <w:t xml:space="preserve"> more decentralised in the hands of the </w:t>
      </w:r>
      <w:r>
        <w:rPr>
          <w:rFonts w:cs="Arial"/>
          <w:color w:val="000000"/>
          <w:lang w:eastAsia="en-IE"/>
        </w:rPr>
        <w:t xml:space="preserve">private independent </w:t>
      </w:r>
      <w:r w:rsidRPr="004666EC">
        <w:rPr>
          <w:rFonts w:cs="Arial"/>
          <w:color w:val="000000"/>
          <w:lang w:eastAsia="en-IE"/>
        </w:rPr>
        <w:t>health insurers</w:t>
      </w:r>
      <w:r>
        <w:rPr>
          <w:rStyle w:val="FootnoteReference"/>
          <w:rFonts w:cs="Arial"/>
          <w:color w:val="000000"/>
          <w:lang w:eastAsia="en-IE"/>
        </w:rPr>
        <w:footnoteReference w:id="14"/>
      </w:r>
      <w:r>
        <w:rPr>
          <w:rFonts w:cs="Arial"/>
          <w:color w:val="000000"/>
          <w:lang w:eastAsia="en-IE"/>
        </w:rPr>
        <w:t xml:space="preserve">. </w:t>
      </w:r>
      <w:r w:rsidR="00213318">
        <w:rPr>
          <w:rFonts w:cs="TimesNewRomanPSMT"/>
          <w:szCs w:val="22"/>
          <w:lang w:val="en-US" w:bidi="en-US"/>
        </w:rPr>
        <w:t>If a person with a disability cannot a</w:t>
      </w:r>
      <w:r w:rsidR="00672F9A">
        <w:rPr>
          <w:rFonts w:cs="TimesNewRomanPSMT"/>
          <w:szCs w:val="22"/>
          <w:lang w:val="en-US" w:bidi="en-US"/>
        </w:rPr>
        <w:t xml:space="preserve">fford any health care insurance for any reason (such as unemployment etc) </w:t>
      </w:r>
      <w:r w:rsidR="00213318">
        <w:rPr>
          <w:rFonts w:cs="TimesNewRomanPSMT"/>
          <w:szCs w:val="22"/>
          <w:lang w:val="en-US" w:bidi="en-US"/>
        </w:rPr>
        <w:t>the Dutch government provides insurance.</w:t>
      </w:r>
    </w:p>
    <w:p w:rsidR="002E1546" w:rsidRDefault="002E1546" w:rsidP="002E1546">
      <w:pPr>
        <w:autoSpaceDE w:val="0"/>
        <w:autoSpaceDN w:val="0"/>
        <w:adjustRightInd w:val="0"/>
        <w:spacing w:line="240" w:lineRule="atLeast"/>
        <w:rPr>
          <w:rFonts w:cs="Arial"/>
          <w:color w:val="000000"/>
          <w:lang w:eastAsia="en-IE"/>
        </w:rPr>
      </w:pPr>
      <w:r>
        <w:rPr>
          <w:rFonts w:cs="Arial"/>
          <w:color w:val="000000"/>
          <w:lang w:eastAsia="en-IE"/>
        </w:rPr>
        <w:t>The objective behind these reforms was to create a more efficient system in terms of costs and quality</w:t>
      </w:r>
      <w:r>
        <w:rPr>
          <w:rStyle w:val="FootnoteReference"/>
          <w:rFonts w:cs="Arial"/>
          <w:color w:val="000000"/>
          <w:lang w:eastAsia="en-IE"/>
        </w:rPr>
        <w:footnoteReference w:id="15"/>
      </w:r>
      <w:r>
        <w:rPr>
          <w:rFonts w:cs="Arial"/>
          <w:color w:val="000000"/>
          <w:lang w:eastAsia="en-IE"/>
        </w:rPr>
        <w:t xml:space="preserve"> and to </w:t>
      </w:r>
      <w:r w:rsidRPr="004666EC">
        <w:rPr>
          <w:rFonts w:cs="Arial"/>
          <w:color w:val="000000"/>
          <w:lang w:eastAsia="en-IE"/>
        </w:rPr>
        <w:t>change the supply driven system into a more demand driven system</w:t>
      </w:r>
      <w:r>
        <w:rPr>
          <w:rStyle w:val="FootnoteReference"/>
          <w:rFonts w:cs="Arial"/>
          <w:color w:val="000000"/>
          <w:lang w:eastAsia="en-IE"/>
        </w:rPr>
        <w:footnoteReference w:id="16"/>
      </w:r>
      <w:r>
        <w:rPr>
          <w:rFonts w:cs="Arial"/>
          <w:color w:val="000000"/>
          <w:lang w:eastAsia="en-IE"/>
        </w:rPr>
        <w:t>. Market forces and client</w:t>
      </w:r>
      <w:r w:rsidR="00500FB1">
        <w:rPr>
          <w:rFonts w:cs="Arial"/>
          <w:color w:val="000000"/>
          <w:lang w:eastAsia="en-IE"/>
        </w:rPr>
        <w:t>-</w:t>
      </w:r>
      <w:r>
        <w:rPr>
          <w:rFonts w:cs="Arial"/>
          <w:color w:val="000000"/>
          <w:lang w:eastAsia="en-IE"/>
        </w:rPr>
        <w:t>centredness were two of the main issues that drove this reform. Service providers, health insurers or local commissioners and clients are perceived as being the key players in the market. Clients are expected to take more responsibility for their health and to be more aware of the cost of their health care insurance</w:t>
      </w:r>
      <w:r>
        <w:rPr>
          <w:rStyle w:val="FootnoteReference"/>
          <w:rFonts w:cs="Arial"/>
          <w:color w:val="000000"/>
          <w:lang w:eastAsia="en-IE"/>
        </w:rPr>
        <w:footnoteReference w:id="17"/>
      </w:r>
      <w:r>
        <w:rPr>
          <w:rFonts w:cs="Arial"/>
          <w:color w:val="000000"/>
          <w:lang w:eastAsia="en-IE"/>
        </w:rPr>
        <w:t>.</w:t>
      </w:r>
    </w:p>
    <w:p w:rsidR="002E1546" w:rsidRDefault="002E1546" w:rsidP="002E1546">
      <w:pPr>
        <w:rPr>
          <w:szCs w:val="22"/>
          <w:lang w:val="en-US" w:bidi="en-US"/>
        </w:rPr>
      </w:pPr>
      <w:r w:rsidRPr="00A52C08">
        <w:rPr>
          <w:szCs w:val="22"/>
          <w:lang w:val="en-US" w:bidi="en-US"/>
        </w:rPr>
        <w:t>In 2008 the Social and Economic Council</w:t>
      </w:r>
      <w:r>
        <w:rPr>
          <w:szCs w:val="22"/>
          <w:lang w:val="en-US" w:bidi="en-US"/>
        </w:rPr>
        <w:t xml:space="preserve"> (SER)</w:t>
      </w:r>
      <w:r w:rsidRPr="00A52C08">
        <w:rPr>
          <w:szCs w:val="22"/>
          <w:lang w:val="en-US" w:bidi="en-US"/>
        </w:rPr>
        <w:t xml:space="preserve"> of the Government </w:t>
      </w:r>
      <w:r>
        <w:rPr>
          <w:szCs w:val="22"/>
          <w:lang w:val="en-US" w:bidi="en-US"/>
        </w:rPr>
        <w:t xml:space="preserve">proposed a </w:t>
      </w:r>
      <w:r w:rsidRPr="00A52C08">
        <w:rPr>
          <w:szCs w:val="22"/>
          <w:lang w:val="en-US" w:bidi="en-US"/>
        </w:rPr>
        <w:t>series of reform</w:t>
      </w:r>
      <w:r>
        <w:rPr>
          <w:szCs w:val="22"/>
          <w:lang w:val="en-US" w:bidi="en-US"/>
        </w:rPr>
        <w:t>s for the provision of disability services</w:t>
      </w:r>
      <w:r w:rsidR="001036EC">
        <w:rPr>
          <w:rFonts w:cs="TimesNewRomanPSMT"/>
          <w:szCs w:val="22"/>
          <w:lang w:bidi="en-US"/>
        </w:rPr>
        <w:t>:</w:t>
      </w:r>
    </w:p>
    <w:p w:rsidR="002E1546" w:rsidRPr="009F761C" w:rsidRDefault="002E1546" w:rsidP="002E1546">
      <w:pPr>
        <w:pStyle w:val="ListBullet"/>
        <w:rPr>
          <w:lang w:val="en-US" w:bidi="en-US"/>
        </w:rPr>
      </w:pPr>
      <w:r w:rsidRPr="009F761C">
        <w:rPr>
          <w:lang w:val="en-US" w:bidi="en-US"/>
        </w:rPr>
        <w:t>A much more clear cut and unambiguous delineation</w:t>
      </w:r>
      <w:r>
        <w:rPr>
          <w:lang w:val="en-US" w:bidi="en-US"/>
        </w:rPr>
        <w:t xml:space="preserve"> and definition of entitlements</w:t>
      </w:r>
      <w:r w:rsidRPr="009F761C">
        <w:rPr>
          <w:lang w:val="en-US" w:bidi="en-US"/>
        </w:rPr>
        <w:t xml:space="preserve">  </w:t>
      </w:r>
    </w:p>
    <w:p w:rsidR="002E1546" w:rsidRPr="009F761C" w:rsidRDefault="002E1546" w:rsidP="002E1546">
      <w:pPr>
        <w:pStyle w:val="ListBullet"/>
        <w:rPr>
          <w:lang w:val="en-US" w:bidi="en-US"/>
        </w:rPr>
      </w:pPr>
      <w:r w:rsidRPr="009F761C">
        <w:rPr>
          <w:lang w:val="en-US" w:bidi="en-US"/>
        </w:rPr>
        <w:t xml:space="preserve">An improvement </w:t>
      </w:r>
      <w:r>
        <w:rPr>
          <w:lang w:val="en-US" w:bidi="en-US"/>
        </w:rPr>
        <w:t>in</w:t>
      </w:r>
      <w:r w:rsidRPr="009F761C">
        <w:rPr>
          <w:lang w:val="en-US" w:bidi="en-US"/>
        </w:rPr>
        <w:t xml:space="preserve"> the needs assessment by, for example, introducing protocols, benchmarking and a permanent supervision of the assessment bodies </w:t>
      </w:r>
    </w:p>
    <w:p w:rsidR="002E1546" w:rsidRPr="009F761C" w:rsidRDefault="00BA4537" w:rsidP="00643FA2">
      <w:pPr>
        <w:pStyle w:val="ListBullet"/>
        <w:rPr>
          <w:lang w:val="en-US" w:bidi="en-US"/>
        </w:rPr>
      </w:pPr>
      <w:r w:rsidRPr="00BA4537">
        <w:t xml:space="preserve"> </w:t>
      </w:r>
      <w:r>
        <w:rPr>
          <w:lang w:val="en-US" w:bidi="en-US"/>
        </w:rPr>
        <w:t>A reduction in entitlements</w:t>
      </w:r>
      <w:r w:rsidRPr="00BA4537">
        <w:rPr>
          <w:lang w:val="en-US" w:bidi="en-US"/>
        </w:rPr>
        <w:t xml:space="preserve"> by transferring short-term rehabilitation services to the public</w:t>
      </w:r>
      <w:r>
        <w:rPr>
          <w:lang w:val="en-US" w:bidi="en-US"/>
        </w:rPr>
        <w:t xml:space="preserve"> </w:t>
      </w:r>
      <w:r w:rsidRPr="00BA4537">
        <w:rPr>
          <w:lang w:val="en-US" w:bidi="en-US"/>
        </w:rPr>
        <w:t xml:space="preserve">insurance scheme for curative health </w:t>
      </w:r>
      <w:r w:rsidR="000D4F90">
        <w:rPr>
          <w:lang w:val="en-US" w:bidi="en-US"/>
        </w:rPr>
        <w:t>(mental health)</w:t>
      </w:r>
      <w:r w:rsidR="000D4F90" w:rsidRPr="00BA4537">
        <w:rPr>
          <w:lang w:val="en-US" w:bidi="en-US"/>
        </w:rPr>
        <w:t xml:space="preserve"> </w:t>
      </w:r>
      <w:r w:rsidR="000D4F90">
        <w:rPr>
          <w:lang w:val="en-US" w:bidi="en-US"/>
        </w:rPr>
        <w:t xml:space="preserve"> </w:t>
      </w:r>
      <w:r w:rsidRPr="00BA4537">
        <w:rPr>
          <w:lang w:val="en-US" w:bidi="en-US"/>
        </w:rPr>
        <w:t>services</w:t>
      </w:r>
      <w:r w:rsidR="000D4F90">
        <w:rPr>
          <w:lang w:val="en-US" w:bidi="en-US"/>
        </w:rPr>
        <w:t xml:space="preserve"> </w:t>
      </w:r>
      <w:r w:rsidRPr="00BA4537">
        <w:rPr>
          <w:lang w:val="en-US" w:bidi="en-US"/>
        </w:rPr>
        <w:t>(</w:t>
      </w:r>
      <w:r w:rsidR="00643FA2">
        <w:rPr>
          <w:lang w:val="en-US" w:bidi="en-US"/>
        </w:rPr>
        <w:t xml:space="preserve">under the </w:t>
      </w:r>
      <w:r w:rsidRPr="00BA4537">
        <w:rPr>
          <w:lang w:val="en-US" w:bidi="en-US"/>
        </w:rPr>
        <w:t>Health Insurance Act</w:t>
      </w:r>
      <w:r>
        <w:rPr>
          <w:lang w:val="en-US" w:bidi="en-US"/>
        </w:rPr>
        <w:t>, 2006</w:t>
      </w:r>
      <w:r w:rsidRPr="00BA4537">
        <w:rPr>
          <w:lang w:val="en-US" w:bidi="en-US"/>
        </w:rPr>
        <w:t>) and by bringing the</w:t>
      </w:r>
      <w:r>
        <w:rPr>
          <w:lang w:val="en-US" w:bidi="en-US"/>
        </w:rPr>
        <w:t xml:space="preserve"> </w:t>
      </w:r>
      <w:r w:rsidRPr="00BA4537">
        <w:rPr>
          <w:lang w:val="en-US" w:bidi="en-US"/>
        </w:rPr>
        <w:t>provision of social care under the responsibility of the municipalities (</w:t>
      </w:r>
      <w:r w:rsidR="00643FA2">
        <w:rPr>
          <w:lang w:val="en-US" w:bidi="en-US"/>
        </w:rPr>
        <w:t xml:space="preserve">under the </w:t>
      </w:r>
      <w:r w:rsidRPr="00BA4537">
        <w:rPr>
          <w:lang w:val="en-US" w:bidi="en-US"/>
        </w:rPr>
        <w:t>Social Support Act</w:t>
      </w:r>
      <w:r>
        <w:rPr>
          <w:lang w:val="en-US" w:bidi="en-US"/>
        </w:rPr>
        <w:t>, 2007</w:t>
      </w:r>
      <w:r w:rsidRPr="00BA4537">
        <w:rPr>
          <w:lang w:val="en-US" w:bidi="en-US"/>
        </w:rPr>
        <w:t xml:space="preserve">). </w:t>
      </w:r>
    </w:p>
    <w:p w:rsidR="002E1546" w:rsidRPr="00F42F51" w:rsidRDefault="002E1546" w:rsidP="002E1546">
      <w:pPr>
        <w:pStyle w:val="ListBullet"/>
        <w:rPr>
          <w:rFonts w:cs="Helvetica"/>
          <w:lang w:val="en-US" w:bidi="en-US"/>
        </w:rPr>
      </w:pPr>
      <w:r w:rsidRPr="009F761C">
        <w:rPr>
          <w:lang w:val="en-US" w:bidi="en-US"/>
        </w:rPr>
        <w:t>A replacement of provider-based budgeting by client-based budgeting. Rather than clients having to follow the money – as in the current provider</w:t>
      </w:r>
      <w:r>
        <w:rPr>
          <w:lang w:val="en-US" w:bidi="en-US"/>
        </w:rPr>
        <w:t xml:space="preserve"> </w:t>
      </w:r>
      <w:r w:rsidRPr="009F761C">
        <w:rPr>
          <w:lang w:val="en-US" w:bidi="en-US"/>
        </w:rPr>
        <w:t>-</w:t>
      </w:r>
      <w:r>
        <w:rPr>
          <w:lang w:val="en-US" w:bidi="en-US"/>
        </w:rPr>
        <w:t xml:space="preserve"> </w:t>
      </w:r>
      <w:r w:rsidRPr="009F761C">
        <w:rPr>
          <w:lang w:val="en-US" w:bidi="en-US"/>
        </w:rPr>
        <w:t>based budgeting system – the money should follow the client. Clients would have the option to choose a personal care budget (as in the current system) and arrange all care by themselves, or to choose among providers contracted by regional care offices (to be replaced by individual health insurers in 2012)</w:t>
      </w:r>
      <w:r>
        <w:rPr>
          <w:rStyle w:val="FootnoteReference"/>
          <w:rFonts w:cs="Times-Roman"/>
          <w:szCs w:val="22"/>
          <w:lang w:bidi="en-US"/>
        </w:rPr>
        <w:footnoteReference w:id="18"/>
      </w:r>
    </w:p>
    <w:p w:rsidR="00901BE0" w:rsidRDefault="002E1546" w:rsidP="002E1546">
      <w:pPr>
        <w:pStyle w:val="ListBullet"/>
        <w:rPr>
          <w:lang w:val="en-US" w:bidi="en-US"/>
        </w:rPr>
      </w:pPr>
      <w:r w:rsidRPr="009F761C">
        <w:rPr>
          <w:lang w:val="en-US" w:bidi="en-US"/>
        </w:rPr>
        <w:t>The client-based budgets should be based on the</w:t>
      </w:r>
      <w:r w:rsidRPr="00AE5522">
        <w:rPr>
          <w:lang w:val="en-GB" w:bidi="en-US"/>
        </w:rPr>
        <w:t xml:space="preserve"> categorisation</w:t>
      </w:r>
      <w:r w:rsidRPr="009F761C">
        <w:rPr>
          <w:lang w:val="en-US" w:bidi="en-US"/>
        </w:rPr>
        <w:t xml:space="preserve"> of clients in “care service packages” (abbreviated: ZZPs) by the needs assessment bodies. A “care service package” describe</w:t>
      </w:r>
      <w:r>
        <w:rPr>
          <w:lang w:val="en-US" w:bidi="en-US"/>
        </w:rPr>
        <w:t>s</w:t>
      </w:r>
      <w:r w:rsidRPr="009F761C">
        <w:rPr>
          <w:lang w:val="en-US" w:bidi="en-US"/>
        </w:rPr>
        <w:t xml:space="preserve"> the type and amount of care needed by the client. For each “care service package” a budget</w:t>
      </w:r>
      <w:r>
        <w:rPr>
          <w:lang w:val="en-US" w:bidi="en-US"/>
        </w:rPr>
        <w:t xml:space="preserve"> will be calculated</w:t>
      </w:r>
      <w:r w:rsidR="00901BE0">
        <w:rPr>
          <w:lang w:val="en-US" w:bidi="en-US"/>
        </w:rPr>
        <w:t>.</w:t>
      </w:r>
    </w:p>
    <w:p w:rsidR="000D4F90" w:rsidRDefault="00901BE0" w:rsidP="00901BE0">
      <w:pPr>
        <w:rPr>
          <w:lang w:val="en-US" w:bidi="en-US"/>
        </w:rPr>
      </w:pPr>
      <w:r>
        <w:rPr>
          <w:lang w:val="en-US" w:bidi="en-US"/>
        </w:rPr>
        <w:t>In June 2008, the Dutch government endorsed the above proposal which will be implemented over a number of years</w:t>
      </w:r>
      <w:r w:rsidR="002E1546">
        <w:rPr>
          <w:rStyle w:val="FootnoteReference"/>
          <w:rFonts w:cs="Times-Roman"/>
          <w:szCs w:val="22"/>
          <w:lang w:bidi="en-US"/>
        </w:rPr>
        <w:footnoteReference w:id="19"/>
      </w:r>
      <w:r w:rsidR="002E1546">
        <w:rPr>
          <w:lang w:val="en-US" w:bidi="en-US"/>
        </w:rPr>
        <w:t>.</w:t>
      </w:r>
      <w:r w:rsidR="002E1546" w:rsidRPr="009F761C">
        <w:rPr>
          <w:lang w:val="en-US" w:bidi="en-US"/>
        </w:rPr>
        <w:t xml:space="preserve"> </w:t>
      </w:r>
      <w:r w:rsidR="000D4F90">
        <w:rPr>
          <w:lang w:val="en-US" w:bidi="en-US"/>
        </w:rPr>
        <w:t xml:space="preserve">  </w:t>
      </w:r>
    </w:p>
    <w:p w:rsidR="002E1546" w:rsidRDefault="000D4F90" w:rsidP="00901BE0">
      <w:pPr>
        <w:rPr>
          <w:lang w:val="en-US" w:bidi="en-US"/>
        </w:rPr>
      </w:pPr>
      <w:r>
        <w:rPr>
          <w:lang w:val="en-US" w:bidi="en-US"/>
        </w:rPr>
        <w:t xml:space="preserve">One of these recommendations have already been implemented. In 2008 Curative health services which used to be covered under </w:t>
      </w:r>
      <w:r>
        <w:rPr>
          <w:rFonts w:cs="TimesNewRomanPSMT"/>
          <w:szCs w:val="22"/>
          <w:lang w:val="en-US" w:bidi="en-US"/>
        </w:rPr>
        <w:t xml:space="preserve">the </w:t>
      </w:r>
      <w:r>
        <w:rPr>
          <w:lang w:val="en-US" w:bidi="en-US"/>
        </w:rPr>
        <w:t xml:space="preserve">Exceptional Medical Expenses </w:t>
      </w:r>
      <w:r w:rsidRPr="00D31D4D">
        <w:rPr>
          <w:lang w:val="en-US" w:bidi="en-US"/>
        </w:rPr>
        <w:t>Insurance</w:t>
      </w:r>
      <w:r>
        <w:rPr>
          <w:lang w:val="en-US" w:bidi="en-US"/>
        </w:rPr>
        <w:t xml:space="preserve"> Act </w:t>
      </w:r>
      <w:r w:rsidR="00123393">
        <w:rPr>
          <w:rFonts w:cs="TimesNewRomanPSMT"/>
          <w:szCs w:val="22"/>
          <w:lang w:val="en-US" w:bidi="en-US"/>
        </w:rPr>
        <w:t xml:space="preserve">(AWBZ) was moved to the </w:t>
      </w:r>
      <w:r w:rsidR="001E3D79">
        <w:rPr>
          <w:rFonts w:cs="TimesNewRomanPSMT"/>
          <w:szCs w:val="22"/>
          <w:lang w:val="en-US" w:bidi="en-US"/>
        </w:rPr>
        <w:t>health care insurance scheme</w:t>
      </w:r>
      <w:r>
        <w:rPr>
          <w:rFonts w:cs="TimesNewRomanPSMT"/>
          <w:szCs w:val="22"/>
          <w:lang w:val="en-US" w:bidi="en-US"/>
        </w:rPr>
        <w:t xml:space="preserve"> (ZVW)</w:t>
      </w:r>
      <w:r>
        <w:rPr>
          <w:rStyle w:val="FootnoteReference"/>
          <w:rFonts w:cs="TimesNewRomanPSMT"/>
          <w:szCs w:val="22"/>
          <w:lang w:val="en-US" w:bidi="en-US"/>
        </w:rPr>
        <w:footnoteReference w:id="20"/>
      </w:r>
      <w:r>
        <w:rPr>
          <w:rFonts w:cs="TimesNewRomanPSMT"/>
          <w:szCs w:val="22"/>
          <w:lang w:val="en-US" w:bidi="en-US"/>
        </w:rPr>
        <w:t>.</w:t>
      </w:r>
    </w:p>
    <w:p w:rsidR="002E1546" w:rsidRDefault="000D4F90" w:rsidP="002E1546">
      <w:pPr>
        <w:pStyle w:val="Heading2"/>
        <w:rPr>
          <w:lang w:val="en-US" w:bidi="en-US"/>
        </w:rPr>
      </w:pPr>
      <w:bookmarkStart w:id="58" w:name="_Toc269743632"/>
      <w:bookmarkStart w:id="59" w:name="_Toc286159976"/>
      <w:r>
        <w:rPr>
          <w:lang w:eastAsia="en-IE"/>
        </w:rPr>
        <w:t xml:space="preserve">3.3 Public Long Term Care </w:t>
      </w:r>
      <w:r w:rsidR="002E1546">
        <w:rPr>
          <w:lang w:eastAsia="en-IE"/>
        </w:rPr>
        <w:t>I</w:t>
      </w:r>
      <w:r w:rsidR="002E1546" w:rsidRPr="003D1D0A">
        <w:rPr>
          <w:lang w:eastAsia="en-IE"/>
        </w:rPr>
        <w:t>nsurance</w:t>
      </w:r>
      <w:bookmarkEnd w:id="58"/>
      <w:bookmarkEnd w:id="59"/>
      <w:r w:rsidR="002E1546" w:rsidRPr="003D1D0A">
        <w:rPr>
          <w:lang w:eastAsia="en-IE"/>
        </w:rPr>
        <w:t xml:space="preserve"> </w:t>
      </w:r>
    </w:p>
    <w:p w:rsidR="002E1546" w:rsidRDefault="002E1546" w:rsidP="002E1546">
      <w:pPr>
        <w:autoSpaceDE w:val="0"/>
        <w:autoSpaceDN w:val="0"/>
        <w:adjustRightInd w:val="0"/>
        <w:spacing w:line="240" w:lineRule="atLeast"/>
        <w:rPr>
          <w:rFonts w:cs="Arial"/>
          <w:color w:val="000000"/>
          <w:lang w:eastAsia="en-IE"/>
        </w:rPr>
      </w:pPr>
      <w:r w:rsidRPr="000E79EC">
        <w:rPr>
          <w:rFonts w:cs="TimesNewRomanPSMT"/>
          <w:szCs w:val="22"/>
          <w:lang w:val="en-US" w:bidi="en-US"/>
        </w:rPr>
        <w:t>For people with disabilities there ar</w:t>
      </w:r>
      <w:r w:rsidR="000D4F90">
        <w:rPr>
          <w:rFonts w:cs="TimesNewRomanPSMT"/>
          <w:szCs w:val="22"/>
          <w:lang w:val="en-US" w:bidi="en-US"/>
        </w:rPr>
        <w:t xml:space="preserve">e two types of public </w:t>
      </w:r>
      <w:r w:rsidR="000C0F3D">
        <w:rPr>
          <w:rFonts w:cs="TimesNewRomanPSMT"/>
          <w:szCs w:val="22"/>
          <w:lang w:val="en-US" w:bidi="en-US"/>
        </w:rPr>
        <w:t xml:space="preserve"> long-term </w:t>
      </w:r>
      <w:r w:rsidR="00A72158">
        <w:rPr>
          <w:rFonts w:cs="TimesNewRomanPSMT"/>
          <w:szCs w:val="22"/>
          <w:lang w:val="en-US" w:bidi="en-US"/>
        </w:rPr>
        <w:t xml:space="preserve">care </w:t>
      </w:r>
      <w:r>
        <w:rPr>
          <w:rFonts w:cs="TimesNewRomanPSMT"/>
          <w:szCs w:val="22"/>
          <w:lang w:val="en-US" w:bidi="en-US"/>
        </w:rPr>
        <w:t xml:space="preserve">insurance:  the </w:t>
      </w:r>
      <w:r>
        <w:rPr>
          <w:lang w:val="en-US" w:bidi="en-US"/>
        </w:rPr>
        <w:t xml:space="preserve">Exceptional Medical Expenses </w:t>
      </w:r>
      <w:r w:rsidRPr="00D31D4D">
        <w:rPr>
          <w:lang w:val="en-US" w:bidi="en-US"/>
        </w:rPr>
        <w:t>Insurance</w:t>
      </w:r>
      <w:r>
        <w:rPr>
          <w:lang w:val="en-US" w:bidi="en-US"/>
        </w:rPr>
        <w:t xml:space="preserve"> Act </w:t>
      </w:r>
      <w:r>
        <w:rPr>
          <w:rFonts w:cs="TimesNewRomanPSMT"/>
          <w:szCs w:val="22"/>
          <w:lang w:val="en-US" w:bidi="en-US"/>
        </w:rPr>
        <w:t>(AWBZ) i</w:t>
      </w:r>
      <w:r>
        <w:rPr>
          <w:lang w:val="en-US" w:bidi="en-US"/>
        </w:rPr>
        <w:t xml:space="preserve">ntroduced in </w:t>
      </w:r>
      <w:r>
        <w:rPr>
          <w:rFonts w:cs="TimesNewRomanPSMT"/>
          <w:szCs w:val="22"/>
          <w:lang w:val="en-US" w:bidi="en-US"/>
        </w:rPr>
        <w:t>(2006) and the Social Support Insurance Act (WMO</w:t>
      </w:r>
      <w:r>
        <w:rPr>
          <w:rStyle w:val="CommentReference"/>
          <w:vanish/>
        </w:rPr>
        <w:t>) )</w:t>
      </w:r>
      <w:r>
        <w:rPr>
          <w:rFonts w:cs="TimesNewRomanPSMT"/>
          <w:szCs w:val="22"/>
          <w:lang w:val="en-US" w:bidi="en-US"/>
        </w:rPr>
        <w:t>) in 2007</w:t>
      </w:r>
      <w:r>
        <w:rPr>
          <w:rStyle w:val="FootnoteReference"/>
          <w:rFonts w:cs="TimesNewRomanPSMT"/>
          <w:szCs w:val="22"/>
          <w:lang w:bidi="en-US"/>
        </w:rPr>
        <w:footnoteReference w:id="21"/>
      </w:r>
      <w:r>
        <w:rPr>
          <w:rFonts w:cs="TimesNewRomanPSMT"/>
          <w:szCs w:val="22"/>
          <w:lang w:val="en-US" w:bidi="en-US"/>
        </w:rPr>
        <w:t>.</w:t>
      </w:r>
      <w:r w:rsidR="00213318" w:rsidRPr="00213318">
        <w:rPr>
          <w:rFonts w:cs="TimesNewRomanPSMT"/>
          <w:szCs w:val="22"/>
          <w:lang w:val="en-US" w:bidi="en-US"/>
        </w:rPr>
        <w:t xml:space="preserve"> </w:t>
      </w:r>
      <w:r w:rsidR="00213318">
        <w:rPr>
          <w:rFonts w:cs="TimesNewRomanPSMT"/>
          <w:szCs w:val="22"/>
          <w:lang w:val="en-US" w:bidi="en-US"/>
        </w:rPr>
        <w:t xml:space="preserve">If a person with a disability cannot afford any </w:t>
      </w:r>
      <w:r w:rsidR="00A72158">
        <w:rPr>
          <w:rFonts w:cs="TimesNewRomanPSMT"/>
          <w:szCs w:val="22"/>
          <w:lang w:val="en-US" w:bidi="en-US"/>
        </w:rPr>
        <w:t xml:space="preserve">public </w:t>
      </w:r>
      <w:r w:rsidR="000C0F3D">
        <w:rPr>
          <w:rFonts w:cs="TimesNewRomanPSMT"/>
          <w:szCs w:val="22"/>
          <w:lang w:val="en-US" w:bidi="en-US"/>
        </w:rPr>
        <w:t>long-term c</w:t>
      </w:r>
      <w:r w:rsidR="00213318">
        <w:rPr>
          <w:rFonts w:cs="TimesNewRomanPSMT"/>
          <w:szCs w:val="22"/>
          <w:lang w:val="en-US" w:bidi="en-US"/>
        </w:rPr>
        <w:t>are insurance the Dutch government provides insurance</w:t>
      </w:r>
      <w:r>
        <w:rPr>
          <w:rFonts w:cs="TimesNewRomanPSMT"/>
          <w:szCs w:val="22"/>
          <w:lang w:val="en-US" w:bidi="en-US"/>
        </w:rPr>
        <w:t xml:space="preserve">. </w:t>
      </w:r>
    </w:p>
    <w:p w:rsidR="002E1546" w:rsidRPr="00D31D4D" w:rsidRDefault="002E1546" w:rsidP="002E1546">
      <w:pPr>
        <w:pStyle w:val="Heading3"/>
        <w:rPr>
          <w:lang w:val="en-US" w:bidi="en-US"/>
        </w:rPr>
      </w:pPr>
      <w:bookmarkStart w:id="60" w:name="_Toc268689533"/>
      <w:bookmarkStart w:id="61" w:name="_Toc269743633"/>
      <w:bookmarkStart w:id="62" w:name="_Toc286159977"/>
      <w:r>
        <w:rPr>
          <w:lang w:val="en-US" w:bidi="en-US"/>
        </w:rPr>
        <w:t xml:space="preserve">Exceptional Medical Expenses </w:t>
      </w:r>
      <w:r w:rsidRPr="00D31D4D">
        <w:rPr>
          <w:lang w:val="en-US" w:bidi="en-US"/>
        </w:rPr>
        <w:t>Insurance</w:t>
      </w:r>
      <w:bookmarkEnd w:id="60"/>
      <w:r w:rsidR="00E95995">
        <w:rPr>
          <w:lang w:val="en-US" w:bidi="en-US"/>
        </w:rPr>
        <w:t>/Long Term Care Insurance</w:t>
      </w:r>
      <w:r w:rsidRPr="00D31D4D">
        <w:rPr>
          <w:lang w:val="en-US" w:bidi="en-US"/>
        </w:rPr>
        <w:t xml:space="preserve"> </w:t>
      </w:r>
      <w:r>
        <w:rPr>
          <w:lang w:val="en-US" w:bidi="en-US"/>
        </w:rPr>
        <w:t>(AWBZ)</w:t>
      </w:r>
      <w:bookmarkEnd w:id="61"/>
      <w:bookmarkEnd w:id="62"/>
    </w:p>
    <w:p w:rsidR="00CC1BCD" w:rsidRDefault="002E1546" w:rsidP="002E1546">
      <w:pPr>
        <w:rPr>
          <w:lang w:val="en-US" w:bidi="en-US"/>
        </w:rPr>
      </w:pPr>
      <w:r w:rsidRPr="00A52C08">
        <w:rPr>
          <w:lang w:val="en-US" w:bidi="en-US"/>
        </w:rPr>
        <w:t>The E</w:t>
      </w:r>
      <w:r w:rsidR="00CF3946">
        <w:rPr>
          <w:lang w:val="en-US" w:bidi="en-US"/>
        </w:rPr>
        <w:t>xceptional Medical Expenses Act/Long Term Care Insurance</w:t>
      </w:r>
      <w:r w:rsidR="00CF3946" w:rsidRPr="00D31D4D">
        <w:rPr>
          <w:lang w:val="en-US" w:bidi="en-US"/>
        </w:rPr>
        <w:t xml:space="preserve"> </w:t>
      </w:r>
      <w:r w:rsidRPr="00A52C08">
        <w:rPr>
          <w:lang w:val="en-US" w:bidi="en-US"/>
        </w:rPr>
        <w:t>(AWBZ) is a mandatory sc</w:t>
      </w:r>
      <w:r w:rsidR="00CC1BCD">
        <w:rPr>
          <w:lang w:val="en-US" w:bidi="en-US"/>
        </w:rPr>
        <w:t>heme for long term care for people with disabilities and  people who are elderly with long term health conditions.</w:t>
      </w:r>
    </w:p>
    <w:p w:rsidR="00672F9A" w:rsidRDefault="00672F9A" w:rsidP="00672F9A">
      <w:pPr>
        <w:pStyle w:val="ListBullet"/>
        <w:numPr>
          <w:ilvl w:val="0"/>
          <w:numId w:val="0"/>
        </w:numPr>
        <w:spacing w:after="300"/>
        <w:rPr>
          <w:lang w:val="en-US" w:bidi="en-US"/>
        </w:rPr>
      </w:pPr>
      <w:r>
        <w:rPr>
          <w:lang w:val="en-US" w:bidi="en-US"/>
        </w:rPr>
        <w:t>Long Term Care Insurance</w:t>
      </w:r>
      <w:r w:rsidRPr="00D31D4D">
        <w:rPr>
          <w:lang w:val="en-US" w:bidi="en-US"/>
        </w:rPr>
        <w:t xml:space="preserve"> </w:t>
      </w:r>
      <w:r>
        <w:rPr>
          <w:lang w:val="en-US" w:bidi="en-US"/>
        </w:rPr>
        <w:t xml:space="preserve">(AWBZ) is funded by income related contributions that are collected through the </w:t>
      </w:r>
      <w:r w:rsidRPr="009F761C">
        <w:rPr>
          <w:lang w:val="en-US" w:bidi="en-US"/>
        </w:rPr>
        <w:t>income and payroll tax systems, along with the contributions for the other national insurance schemes (e.g. for unemployment and disability)</w:t>
      </w:r>
      <w:r>
        <w:rPr>
          <w:lang w:val="en-US" w:bidi="en-US"/>
        </w:rPr>
        <w:t xml:space="preserve"> and co-payments</w:t>
      </w:r>
      <w:r>
        <w:rPr>
          <w:rStyle w:val="FootnoteReference"/>
          <w:rFonts w:cs="Times-Roman"/>
          <w:szCs w:val="22"/>
          <w:lang w:bidi="en-US"/>
        </w:rPr>
        <w:footnoteReference w:id="22"/>
      </w:r>
      <w:r>
        <w:rPr>
          <w:lang w:val="en-US" w:bidi="en-US"/>
        </w:rPr>
        <w:t xml:space="preserve">. </w:t>
      </w:r>
    </w:p>
    <w:p w:rsidR="00672F9A" w:rsidRDefault="00672F9A" w:rsidP="00672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cs="TimesNewRomanPSMT"/>
          <w:szCs w:val="22"/>
          <w:lang w:val="en-US" w:bidi="en-US"/>
        </w:rPr>
      </w:pPr>
      <w:r>
        <w:rPr>
          <w:lang w:val="en-US" w:bidi="en-US"/>
        </w:rPr>
        <w:t>Long Term Care Insurance</w:t>
      </w:r>
      <w:r w:rsidRPr="00D31D4D">
        <w:rPr>
          <w:lang w:val="en-US" w:bidi="en-US"/>
        </w:rPr>
        <w:t xml:space="preserve"> </w:t>
      </w:r>
      <w:r>
        <w:rPr>
          <w:lang w:val="en-US" w:bidi="en-US"/>
        </w:rPr>
        <w:t>(</w:t>
      </w:r>
      <w:r w:rsidRPr="00A52C08">
        <w:rPr>
          <w:rFonts w:cs="TimesNewRomanPSMT"/>
          <w:szCs w:val="22"/>
          <w:lang w:val="en-US" w:bidi="en-US"/>
        </w:rPr>
        <w:t>AWBZ</w:t>
      </w:r>
      <w:r>
        <w:rPr>
          <w:rFonts w:cs="TimesNewRomanPSMT"/>
          <w:szCs w:val="22"/>
          <w:lang w:val="en-US" w:bidi="en-US"/>
        </w:rPr>
        <w:t>)</w:t>
      </w:r>
      <w:r w:rsidRPr="00A52C08">
        <w:rPr>
          <w:rFonts w:cs="TimesNewRomanPSMT"/>
          <w:szCs w:val="22"/>
          <w:lang w:val="en-US" w:bidi="en-US"/>
        </w:rPr>
        <w:t xml:space="preserve"> </w:t>
      </w:r>
      <w:r>
        <w:rPr>
          <w:rFonts w:cs="TimesNewRomanPSMT"/>
          <w:szCs w:val="22"/>
          <w:lang w:val="en-US" w:bidi="en-US"/>
        </w:rPr>
        <w:t xml:space="preserve">covers care needs for people with disabilities in their own homes or in residential homes e.g. : </w:t>
      </w:r>
      <w:r>
        <w:rPr>
          <w:rStyle w:val="FootnoteReference"/>
          <w:rFonts w:cs="TimesNewRomanPSMT"/>
          <w:szCs w:val="22"/>
          <w:lang w:val="en-US" w:bidi="en-US"/>
        </w:rPr>
        <w:footnoteReference w:id="23"/>
      </w:r>
    </w:p>
    <w:p w:rsidR="00672F9A" w:rsidRPr="009F761C" w:rsidRDefault="00672F9A" w:rsidP="00672F9A">
      <w:pPr>
        <w:pStyle w:val="ListBullet"/>
        <w:rPr>
          <w:lang w:val="en-US" w:bidi="en-US"/>
        </w:rPr>
      </w:pPr>
      <w:r w:rsidRPr="009F761C">
        <w:rPr>
          <w:lang w:val="en-US" w:bidi="en-US"/>
        </w:rPr>
        <w:t>Personal care: e.g. help with takin</w:t>
      </w:r>
      <w:r>
        <w:rPr>
          <w:lang w:val="en-US" w:bidi="en-US"/>
        </w:rPr>
        <w:t xml:space="preserve">g a shower, bed baths, dressing, </w:t>
      </w:r>
      <w:r w:rsidRPr="009F761C">
        <w:rPr>
          <w:lang w:val="en-US" w:bidi="en-US"/>
        </w:rPr>
        <w:t>shaving, skin care, going to the toilet, eating and drinking</w:t>
      </w:r>
    </w:p>
    <w:p w:rsidR="00672F9A" w:rsidRPr="009F761C" w:rsidRDefault="00672F9A" w:rsidP="00672F9A">
      <w:pPr>
        <w:pStyle w:val="ListBullet"/>
        <w:rPr>
          <w:lang w:val="en-US" w:bidi="en-US"/>
        </w:rPr>
      </w:pPr>
      <w:r w:rsidRPr="009F761C">
        <w:rPr>
          <w:lang w:val="en-US" w:bidi="en-US"/>
        </w:rPr>
        <w:t>Nursing: e.g. dressing wounds, giving</w:t>
      </w:r>
      <w:r>
        <w:rPr>
          <w:lang w:val="en-US" w:bidi="en-US"/>
        </w:rPr>
        <w:t xml:space="preserve"> injections, advising on how to </w:t>
      </w:r>
      <w:r w:rsidRPr="009F761C">
        <w:rPr>
          <w:lang w:val="en-US" w:bidi="en-US"/>
        </w:rPr>
        <w:t>cope with illness, showing clients how to self-inject</w:t>
      </w:r>
    </w:p>
    <w:p w:rsidR="00672F9A" w:rsidRPr="009F761C" w:rsidRDefault="00672F9A" w:rsidP="00672F9A">
      <w:pPr>
        <w:pStyle w:val="ListBullet"/>
        <w:rPr>
          <w:lang w:val="en-US" w:bidi="en-US"/>
        </w:rPr>
      </w:pPr>
      <w:r w:rsidRPr="009F761C">
        <w:rPr>
          <w:lang w:val="en-US" w:bidi="en-US"/>
        </w:rPr>
        <w:t>Supportive guidance: e.g. helping the client</w:t>
      </w:r>
      <w:r w:rsidRPr="00424B1B">
        <w:rPr>
          <w:lang w:val="en-GB" w:bidi="en-US"/>
        </w:rPr>
        <w:t xml:space="preserve"> organise</w:t>
      </w:r>
      <w:r w:rsidRPr="009F761C">
        <w:rPr>
          <w:lang w:val="en-US" w:bidi="en-US"/>
        </w:rPr>
        <w:t xml:space="preserve"> his/</w:t>
      </w:r>
      <w:r>
        <w:rPr>
          <w:lang w:val="en-US" w:bidi="en-US"/>
        </w:rPr>
        <w:t xml:space="preserve">her day and manage his/her life </w:t>
      </w:r>
      <w:r w:rsidRPr="009F761C">
        <w:rPr>
          <w:lang w:val="en-US" w:bidi="en-US"/>
        </w:rPr>
        <w:t>better, as well as d</w:t>
      </w:r>
      <w:r>
        <w:rPr>
          <w:lang w:val="en-US" w:bidi="en-US"/>
        </w:rPr>
        <w:t xml:space="preserve">ay-care or provision of daytime </w:t>
      </w:r>
      <w:r w:rsidRPr="009F761C">
        <w:rPr>
          <w:lang w:val="en-US" w:bidi="en-US"/>
        </w:rPr>
        <w:t>activities</w:t>
      </w:r>
    </w:p>
    <w:p w:rsidR="00672F9A" w:rsidRPr="009F761C" w:rsidRDefault="00672F9A" w:rsidP="00672F9A">
      <w:pPr>
        <w:pStyle w:val="ListBullet"/>
        <w:rPr>
          <w:lang w:val="en-US" w:bidi="en-US"/>
        </w:rPr>
      </w:pPr>
      <w:r w:rsidRPr="009F761C">
        <w:rPr>
          <w:lang w:val="en-US" w:bidi="en-US"/>
        </w:rPr>
        <w:t>Activating</w:t>
      </w:r>
      <w:r>
        <w:rPr>
          <w:lang w:val="en-US" w:bidi="en-US"/>
        </w:rPr>
        <w:t xml:space="preserve"> or</w:t>
      </w:r>
      <w:r w:rsidRPr="00672F9A">
        <w:rPr>
          <w:lang w:val="en-GB" w:bidi="en-US"/>
        </w:rPr>
        <w:t xml:space="preserve"> behavioural</w:t>
      </w:r>
      <w:r w:rsidRPr="009F761C">
        <w:rPr>
          <w:lang w:val="en-US" w:bidi="en-US"/>
        </w:rPr>
        <w:t xml:space="preserve"> guidance: e.g. talking to the client to help </w:t>
      </w:r>
      <w:r>
        <w:rPr>
          <w:lang w:val="en-US" w:bidi="en-US"/>
        </w:rPr>
        <w:t>them</w:t>
      </w:r>
      <w:r w:rsidRPr="009F761C">
        <w:rPr>
          <w:lang w:val="en-US" w:bidi="en-US"/>
        </w:rPr>
        <w:t xml:space="preserve"> modify his</w:t>
      </w:r>
      <w:r>
        <w:rPr>
          <w:lang w:val="en-US" w:bidi="en-US"/>
        </w:rPr>
        <w:t>/her</w:t>
      </w:r>
      <w:r w:rsidRPr="00672F9A">
        <w:rPr>
          <w:lang w:val="en-GB" w:bidi="en-US"/>
        </w:rPr>
        <w:t xml:space="preserve"> behaviour</w:t>
      </w:r>
      <w:r w:rsidRPr="009F761C">
        <w:rPr>
          <w:lang w:val="en-US" w:bidi="en-US"/>
        </w:rPr>
        <w:t xml:space="preserve"> or learn new forms of behavi</w:t>
      </w:r>
      <w:r>
        <w:rPr>
          <w:lang w:val="en-US" w:bidi="en-US"/>
        </w:rPr>
        <w:t xml:space="preserve">or in cases where behavioral or </w:t>
      </w:r>
      <w:r w:rsidRPr="009F761C">
        <w:rPr>
          <w:lang w:val="en-US" w:bidi="en-US"/>
        </w:rPr>
        <w:t>psychological problems exist</w:t>
      </w:r>
    </w:p>
    <w:p w:rsidR="00672F9A" w:rsidRPr="009F761C" w:rsidRDefault="00672F9A" w:rsidP="00672F9A">
      <w:pPr>
        <w:pStyle w:val="ListBullet"/>
        <w:rPr>
          <w:lang w:val="en-US" w:bidi="en-US"/>
        </w:rPr>
      </w:pPr>
      <w:r>
        <w:rPr>
          <w:lang w:val="en-US" w:bidi="en-US"/>
        </w:rPr>
        <w:t>Medical and clinical treatment</w:t>
      </w:r>
    </w:p>
    <w:p w:rsidR="006F6642" w:rsidRDefault="00085D55" w:rsidP="009E68A9">
      <w:pPr>
        <w:pStyle w:val="ListBullet"/>
        <w:spacing w:after="300"/>
        <w:ind w:left="357" w:hanging="357"/>
        <w:rPr>
          <w:lang w:val="en-US" w:bidi="en-US"/>
        </w:rPr>
      </w:pPr>
      <w:r>
        <w:rPr>
          <w:lang w:val="en-US" w:bidi="en-US"/>
        </w:rPr>
        <w:t>Cost of accommodation</w:t>
      </w:r>
      <w:r w:rsidR="00672F9A" w:rsidRPr="009F761C">
        <w:rPr>
          <w:lang w:val="en-US" w:bidi="en-US"/>
        </w:rPr>
        <w:t xml:space="preserve"> </w:t>
      </w:r>
    </w:p>
    <w:p w:rsidR="009E68A9" w:rsidRDefault="009E68A9" w:rsidP="009E68A9">
      <w:pPr>
        <w:pStyle w:val="Heading4"/>
        <w:rPr>
          <w:lang w:val="en-US" w:bidi="en-US"/>
        </w:rPr>
      </w:pPr>
      <w:r>
        <w:rPr>
          <w:lang w:val="en-US" w:bidi="en-US"/>
        </w:rPr>
        <w:t>Structure of Long Term Care Insurance</w:t>
      </w:r>
      <w:r w:rsidRPr="00D31D4D">
        <w:rPr>
          <w:lang w:val="en-US" w:bidi="en-US"/>
        </w:rPr>
        <w:t xml:space="preserve"> </w:t>
      </w:r>
      <w:r>
        <w:rPr>
          <w:lang w:val="en-US" w:bidi="en-US"/>
        </w:rPr>
        <w:t>(</w:t>
      </w:r>
      <w:r>
        <w:rPr>
          <w:rFonts w:cs="Times-Roman"/>
          <w:szCs w:val="22"/>
          <w:lang w:val="en-US" w:bidi="en-US"/>
        </w:rPr>
        <w:t>AWBZ)</w:t>
      </w:r>
    </w:p>
    <w:p w:rsidR="006C7525" w:rsidRDefault="001A0758" w:rsidP="00BE504E">
      <w:pPr>
        <w:rPr>
          <w:rFonts w:cs="Times-Roman"/>
          <w:szCs w:val="22"/>
          <w:lang w:val="en-US" w:bidi="en-US"/>
        </w:rPr>
      </w:pPr>
      <w:r>
        <w:rPr>
          <w:rFonts w:cs="Times-Roman"/>
          <w:szCs w:val="22"/>
          <w:lang w:val="en-US" w:bidi="en-US"/>
        </w:rPr>
        <w:t xml:space="preserve">If a </w:t>
      </w:r>
      <w:r w:rsidR="007856AD">
        <w:rPr>
          <w:rFonts w:cs="Times-Roman"/>
          <w:szCs w:val="22"/>
          <w:lang w:val="en-US" w:bidi="en-US"/>
        </w:rPr>
        <w:t xml:space="preserve">person with a disability </w:t>
      </w:r>
      <w:r>
        <w:rPr>
          <w:rFonts w:cs="Times-Roman"/>
          <w:szCs w:val="22"/>
          <w:lang w:val="en-US" w:bidi="en-US"/>
        </w:rPr>
        <w:t xml:space="preserve">requires long term care they go </w:t>
      </w:r>
      <w:r w:rsidR="007856AD">
        <w:rPr>
          <w:rFonts w:cs="Times-Roman"/>
          <w:szCs w:val="22"/>
          <w:lang w:val="en-US" w:bidi="en-US"/>
        </w:rPr>
        <w:t xml:space="preserve">to the </w:t>
      </w:r>
      <w:r w:rsidR="00602583">
        <w:rPr>
          <w:rFonts w:cs="TimesNewRomanPSMT"/>
          <w:szCs w:val="22"/>
          <w:lang w:val="en-US" w:bidi="en-US"/>
        </w:rPr>
        <w:t>Centre for Needs Assessment (</w:t>
      </w:r>
      <w:r w:rsidR="00602583" w:rsidRPr="00A52C08">
        <w:rPr>
          <w:rFonts w:cs="TimesNewRomanPSMT"/>
          <w:szCs w:val="22"/>
          <w:lang w:val="en-US" w:bidi="en-US"/>
        </w:rPr>
        <w:t>CIZ</w:t>
      </w:r>
      <w:r w:rsidR="00602583">
        <w:rPr>
          <w:rFonts w:cs="TimesNewRomanPSMT"/>
          <w:szCs w:val="22"/>
          <w:lang w:val="en-US" w:bidi="en-US"/>
        </w:rPr>
        <w:t>)</w:t>
      </w:r>
      <w:r w:rsidR="007856AD">
        <w:rPr>
          <w:rFonts w:cs="Times-Roman"/>
          <w:szCs w:val="22"/>
          <w:lang w:val="en-US" w:bidi="en-US"/>
        </w:rPr>
        <w:t xml:space="preserve"> to</w:t>
      </w:r>
      <w:r w:rsidR="00BE504E">
        <w:rPr>
          <w:rFonts w:cs="Times-Roman"/>
          <w:szCs w:val="22"/>
          <w:lang w:val="en-US" w:bidi="en-US"/>
        </w:rPr>
        <w:t xml:space="preserve"> be assessed to see if they are eligible  for </w:t>
      </w:r>
      <w:r w:rsidR="00234105">
        <w:rPr>
          <w:lang w:val="en-US" w:bidi="en-US"/>
        </w:rPr>
        <w:t>Long Term Care Insurance</w:t>
      </w:r>
      <w:r w:rsidR="00234105" w:rsidRPr="00D31D4D">
        <w:rPr>
          <w:lang w:val="en-US" w:bidi="en-US"/>
        </w:rPr>
        <w:t xml:space="preserve"> </w:t>
      </w:r>
      <w:r w:rsidR="00234105">
        <w:rPr>
          <w:lang w:val="en-US" w:bidi="en-US"/>
        </w:rPr>
        <w:t>(</w:t>
      </w:r>
      <w:r w:rsidR="00BE504E">
        <w:rPr>
          <w:rFonts w:cs="Times-Roman"/>
          <w:szCs w:val="22"/>
          <w:lang w:val="en-US" w:bidi="en-US"/>
        </w:rPr>
        <w:t>AWBZ</w:t>
      </w:r>
      <w:r w:rsidR="00234105">
        <w:rPr>
          <w:rFonts w:cs="Times-Roman"/>
          <w:szCs w:val="22"/>
          <w:lang w:val="en-US" w:bidi="en-US"/>
        </w:rPr>
        <w:t>)</w:t>
      </w:r>
      <w:r w:rsidR="00BE504E">
        <w:rPr>
          <w:rFonts w:cs="Times-Roman"/>
          <w:szCs w:val="22"/>
          <w:lang w:val="en-US" w:bidi="en-US"/>
        </w:rPr>
        <w:t xml:space="preserve">. </w:t>
      </w:r>
      <w:r w:rsidR="006C7525">
        <w:rPr>
          <w:rFonts w:cs="Times-Roman"/>
          <w:szCs w:val="22"/>
          <w:lang w:val="en-US" w:bidi="en-US"/>
        </w:rPr>
        <w:t>This assessment is means tested and the person's contributions to their i</w:t>
      </w:r>
      <w:r w:rsidR="00DF0291">
        <w:rPr>
          <w:rFonts w:cs="Times-Roman"/>
          <w:szCs w:val="22"/>
          <w:lang w:val="en-US" w:bidi="en-US"/>
        </w:rPr>
        <w:t xml:space="preserve">nsurance, </w:t>
      </w:r>
      <w:r w:rsidR="006C7525">
        <w:rPr>
          <w:rFonts w:cs="Times-Roman"/>
          <w:szCs w:val="22"/>
          <w:lang w:val="en-US" w:bidi="en-US"/>
        </w:rPr>
        <w:t>their care</w:t>
      </w:r>
      <w:r w:rsidR="00DF0291">
        <w:rPr>
          <w:rFonts w:cs="Times-Roman"/>
          <w:szCs w:val="22"/>
          <w:lang w:val="en-US" w:bidi="en-US"/>
        </w:rPr>
        <w:t xml:space="preserve"> needs and their care budgets</w:t>
      </w:r>
      <w:r w:rsidR="006C7525">
        <w:rPr>
          <w:rFonts w:cs="Times-Roman"/>
          <w:szCs w:val="22"/>
          <w:lang w:val="en-US" w:bidi="en-US"/>
        </w:rPr>
        <w:t xml:space="preserve"> are based on this assessment. A person with a disability who is receiving social assistance/disability benefit will pay </w:t>
      </w:r>
      <w:r w:rsidR="00DF0291">
        <w:rPr>
          <w:rFonts w:cs="Times-Roman"/>
          <w:szCs w:val="22"/>
          <w:lang w:val="en-US" w:bidi="en-US"/>
        </w:rPr>
        <w:t xml:space="preserve">approximately </w:t>
      </w:r>
      <w:r w:rsidR="006C7525">
        <w:rPr>
          <w:rFonts w:cs="Times-Roman"/>
          <w:szCs w:val="22"/>
          <w:lang w:val="en-US" w:bidi="en-US"/>
        </w:rPr>
        <w:t xml:space="preserve">€180 </w:t>
      </w:r>
      <w:r w:rsidR="00685267">
        <w:rPr>
          <w:rFonts w:cs="Times-Roman"/>
          <w:szCs w:val="22"/>
          <w:lang w:val="en-US" w:bidi="en-US"/>
        </w:rPr>
        <w:t>per</w:t>
      </w:r>
      <w:r w:rsidR="006C7525">
        <w:rPr>
          <w:rFonts w:cs="Times-Roman"/>
          <w:szCs w:val="22"/>
          <w:lang w:val="en-US" w:bidi="en-US"/>
        </w:rPr>
        <w:t xml:space="preserve"> month</w:t>
      </w:r>
      <w:r w:rsidR="00DF0291">
        <w:rPr>
          <w:rFonts w:cs="Times-Roman"/>
          <w:szCs w:val="22"/>
          <w:lang w:val="en-US" w:bidi="en-US"/>
        </w:rPr>
        <w:t xml:space="preserve"> contribution towards their </w:t>
      </w:r>
      <w:r w:rsidR="00234105">
        <w:rPr>
          <w:lang w:val="en-US" w:bidi="en-US"/>
        </w:rPr>
        <w:t>Long Term Care Insurance</w:t>
      </w:r>
      <w:r w:rsidR="00234105" w:rsidRPr="00D31D4D">
        <w:rPr>
          <w:lang w:val="en-US" w:bidi="en-US"/>
        </w:rPr>
        <w:t xml:space="preserve"> </w:t>
      </w:r>
      <w:r w:rsidR="00234105">
        <w:rPr>
          <w:lang w:val="en-US" w:bidi="en-US"/>
        </w:rPr>
        <w:t>(</w:t>
      </w:r>
      <w:r w:rsidR="00DF0291">
        <w:rPr>
          <w:rFonts w:cs="Times-Roman"/>
          <w:szCs w:val="22"/>
          <w:lang w:val="en-US" w:bidi="en-US"/>
        </w:rPr>
        <w:t>AWBZ</w:t>
      </w:r>
      <w:r w:rsidR="00234105">
        <w:rPr>
          <w:rFonts w:cs="Times-Roman"/>
          <w:szCs w:val="22"/>
          <w:lang w:val="en-US" w:bidi="en-US"/>
        </w:rPr>
        <w:t>)</w:t>
      </w:r>
      <w:r w:rsidR="00DF0291">
        <w:rPr>
          <w:rFonts w:cs="Times-Roman"/>
          <w:szCs w:val="22"/>
          <w:lang w:val="en-US" w:bidi="en-US"/>
        </w:rPr>
        <w:t>.</w:t>
      </w:r>
      <w:r w:rsidR="006C7525">
        <w:rPr>
          <w:rFonts w:cs="Times-Roman"/>
          <w:szCs w:val="22"/>
          <w:lang w:val="en-US" w:bidi="en-US"/>
        </w:rPr>
        <w:t xml:space="preserve"> If a person receives disability </w:t>
      </w:r>
      <w:r w:rsidR="005C131F">
        <w:rPr>
          <w:rFonts w:cs="Times-Roman"/>
          <w:szCs w:val="22"/>
          <w:lang w:val="en-US" w:bidi="en-US"/>
        </w:rPr>
        <w:t xml:space="preserve">benefit </w:t>
      </w:r>
      <w:r w:rsidR="006C7525">
        <w:rPr>
          <w:rFonts w:cs="Times-Roman"/>
          <w:szCs w:val="22"/>
          <w:lang w:val="en-US" w:bidi="en-US"/>
        </w:rPr>
        <w:t>and owns property or has additional income coming into the house</w:t>
      </w:r>
      <w:r w:rsidR="00685267">
        <w:rPr>
          <w:rFonts w:cs="Times-Roman"/>
          <w:szCs w:val="22"/>
          <w:lang w:val="en-US" w:bidi="en-US"/>
        </w:rPr>
        <w:t xml:space="preserve"> </w:t>
      </w:r>
      <w:r w:rsidR="006C7525">
        <w:rPr>
          <w:rFonts w:cs="Times-Roman"/>
          <w:szCs w:val="22"/>
          <w:lang w:val="en-US" w:bidi="en-US"/>
        </w:rPr>
        <w:t xml:space="preserve">their </w:t>
      </w:r>
      <w:r w:rsidR="00234105">
        <w:rPr>
          <w:lang w:val="en-US" w:bidi="en-US"/>
        </w:rPr>
        <w:t>Long Term Care Insurance</w:t>
      </w:r>
      <w:r w:rsidR="00234105" w:rsidRPr="00D31D4D">
        <w:rPr>
          <w:lang w:val="en-US" w:bidi="en-US"/>
        </w:rPr>
        <w:t xml:space="preserve"> </w:t>
      </w:r>
      <w:r w:rsidR="00234105">
        <w:rPr>
          <w:lang w:val="en-US" w:bidi="en-US"/>
        </w:rPr>
        <w:t>(</w:t>
      </w:r>
      <w:r w:rsidR="006C7525">
        <w:rPr>
          <w:rFonts w:cs="Times-Roman"/>
          <w:szCs w:val="22"/>
          <w:lang w:val="en-US" w:bidi="en-US"/>
        </w:rPr>
        <w:t>AWBZ</w:t>
      </w:r>
      <w:r w:rsidR="00234105">
        <w:rPr>
          <w:rFonts w:cs="Times-Roman"/>
          <w:szCs w:val="22"/>
          <w:lang w:val="en-US" w:bidi="en-US"/>
        </w:rPr>
        <w:t>)</w:t>
      </w:r>
      <w:r w:rsidR="006C7525">
        <w:rPr>
          <w:rFonts w:cs="Times-Roman"/>
          <w:szCs w:val="22"/>
          <w:lang w:val="en-US" w:bidi="en-US"/>
        </w:rPr>
        <w:t xml:space="preserve"> contribution is higher</w:t>
      </w:r>
      <w:r w:rsidR="003114C5">
        <w:rPr>
          <w:rStyle w:val="FootnoteReference"/>
          <w:rFonts w:cs="Times-Roman"/>
          <w:szCs w:val="22"/>
          <w:lang w:val="en-US" w:bidi="en-US"/>
        </w:rPr>
        <w:footnoteReference w:id="24"/>
      </w:r>
      <w:r w:rsidR="006C7525">
        <w:rPr>
          <w:rFonts w:cs="Times-Roman"/>
          <w:szCs w:val="22"/>
          <w:lang w:val="en-US" w:bidi="en-US"/>
        </w:rPr>
        <w:t>.</w:t>
      </w:r>
    </w:p>
    <w:p w:rsidR="001A0758" w:rsidRDefault="0050453B" w:rsidP="00BE504E">
      <w:pPr>
        <w:rPr>
          <w:lang w:val="en-US" w:bidi="en-US"/>
        </w:rPr>
      </w:pPr>
      <w:r>
        <w:rPr>
          <w:rFonts w:cs="Times-Roman"/>
          <w:szCs w:val="22"/>
          <w:lang w:val="en-US" w:bidi="en-US"/>
        </w:rPr>
        <w:t xml:space="preserve">If a </w:t>
      </w:r>
      <w:r w:rsidR="001A0758">
        <w:rPr>
          <w:rFonts w:cs="Times-Roman"/>
          <w:szCs w:val="22"/>
          <w:lang w:val="en-US" w:bidi="en-US"/>
        </w:rPr>
        <w:t xml:space="preserve">person is assessed as being eligible for </w:t>
      </w:r>
      <w:r w:rsidR="001A0758">
        <w:rPr>
          <w:lang w:val="en-US" w:bidi="en-US"/>
        </w:rPr>
        <w:t>this type of insurance</w:t>
      </w:r>
      <w:r w:rsidR="00685267">
        <w:rPr>
          <w:lang w:val="en-US" w:bidi="en-US"/>
        </w:rPr>
        <w:t>,</w:t>
      </w:r>
      <w:r w:rsidR="001A0758">
        <w:rPr>
          <w:lang w:val="en-US" w:bidi="en-US"/>
        </w:rPr>
        <w:t xml:space="preserve"> </w:t>
      </w:r>
      <w:r>
        <w:rPr>
          <w:lang w:val="en-US" w:bidi="en-US"/>
        </w:rPr>
        <w:t>they can choose  between having a personal care budget or receiving care in kind</w:t>
      </w:r>
      <w:r w:rsidR="002D4949">
        <w:rPr>
          <w:lang w:val="en-US" w:bidi="en-US"/>
        </w:rPr>
        <w:t xml:space="preserve">. </w:t>
      </w:r>
      <w:r>
        <w:rPr>
          <w:lang w:val="en-US" w:bidi="en-US"/>
        </w:rPr>
        <w:t xml:space="preserve">If a person is receiving a personal care budget </w:t>
      </w:r>
      <w:r w:rsidR="00685267">
        <w:rPr>
          <w:lang w:val="en-US" w:bidi="en-US"/>
        </w:rPr>
        <w:t xml:space="preserve">, </w:t>
      </w:r>
      <w:r>
        <w:rPr>
          <w:lang w:val="en-US" w:bidi="en-US"/>
        </w:rPr>
        <w:t xml:space="preserve">it is  up them to decide  who is delivering their care, whether it is a </w:t>
      </w:r>
      <w:r w:rsidR="0029083F">
        <w:rPr>
          <w:lang w:val="en-US" w:bidi="en-US"/>
        </w:rPr>
        <w:t>residential home, an independent care worker etc.</w:t>
      </w:r>
    </w:p>
    <w:p w:rsidR="0029083F" w:rsidRDefault="0029083F" w:rsidP="00BE504E">
      <w:pPr>
        <w:rPr>
          <w:rFonts w:cs="Times-Roman"/>
          <w:szCs w:val="22"/>
          <w:lang w:val="en-US" w:bidi="en-US"/>
        </w:rPr>
      </w:pPr>
      <w:r>
        <w:rPr>
          <w:lang w:val="en-US" w:bidi="en-US"/>
        </w:rPr>
        <w:t>If a person chooses care in kind they have some choice as to which care</w:t>
      </w:r>
      <w:r w:rsidRPr="00672F9A">
        <w:rPr>
          <w:lang w:val="en-GB" w:bidi="en-US"/>
        </w:rPr>
        <w:t xml:space="preserve"> organisation</w:t>
      </w:r>
      <w:r>
        <w:rPr>
          <w:lang w:val="en-US" w:bidi="en-US"/>
        </w:rPr>
        <w:t xml:space="preserve"> delivers their care. </w:t>
      </w:r>
      <w:r w:rsidR="00685267">
        <w:rPr>
          <w:lang w:val="en-US" w:bidi="en-US"/>
        </w:rPr>
        <w:t xml:space="preserve">Recipients </w:t>
      </w:r>
      <w:r>
        <w:rPr>
          <w:lang w:val="en-US" w:bidi="en-US"/>
        </w:rPr>
        <w:t>go to their regional care office</w:t>
      </w:r>
      <w:r w:rsidR="009F6ACD">
        <w:rPr>
          <w:lang w:val="en-US" w:bidi="en-US"/>
        </w:rPr>
        <w:t xml:space="preserve"> which is run by a health insurer company wh</w:t>
      </w:r>
      <w:r w:rsidR="00685267">
        <w:rPr>
          <w:lang w:val="en-US" w:bidi="en-US"/>
        </w:rPr>
        <w:t xml:space="preserve">ich </w:t>
      </w:r>
      <w:r w:rsidR="009F6ACD">
        <w:rPr>
          <w:lang w:val="en-US" w:bidi="en-US"/>
        </w:rPr>
        <w:t>is responsib</w:t>
      </w:r>
      <w:r>
        <w:rPr>
          <w:lang w:val="en-US" w:bidi="en-US"/>
        </w:rPr>
        <w:t>le for</w:t>
      </w:r>
      <w:r w:rsidRPr="00672F9A">
        <w:rPr>
          <w:lang w:val="en-GB" w:bidi="en-US"/>
        </w:rPr>
        <w:t xml:space="preserve"> organising</w:t>
      </w:r>
      <w:r>
        <w:rPr>
          <w:lang w:val="en-US" w:bidi="en-US"/>
        </w:rPr>
        <w:t xml:space="preserve"> and pu</w:t>
      </w:r>
      <w:r w:rsidR="007C56B0">
        <w:rPr>
          <w:lang w:val="en-US" w:bidi="en-US"/>
        </w:rPr>
        <w:t xml:space="preserve">rchasing care </w:t>
      </w:r>
      <w:r>
        <w:rPr>
          <w:lang w:val="en-US" w:bidi="en-US"/>
        </w:rPr>
        <w:t xml:space="preserve">for people </w:t>
      </w:r>
      <w:r w:rsidR="007C56B0">
        <w:rPr>
          <w:lang w:val="en-US" w:bidi="en-US"/>
        </w:rPr>
        <w:t xml:space="preserve"> with disabiliti</w:t>
      </w:r>
      <w:r>
        <w:rPr>
          <w:lang w:val="en-US" w:bidi="en-US"/>
        </w:rPr>
        <w:t>es using Long Term Care Insurance</w:t>
      </w:r>
      <w:r w:rsidRPr="00D31D4D">
        <w:rPr>
          <w:lang w:val="en-US" w:bidi="en-US"/>
        </w:rPr>
        <w:t xml:space="preserve"> </w:t>
      </w:r>
      <w:r>
        <w:rPr>
          <w:lang w:val="en-US" w:bidi="en-US"/>
        </w:rPr>
        <w:t>(</w:t>
      </w:r>
      <w:r>
        <w:rPr>
          <w:rFonts w:cs="Times-Roman"/>
          <w:szCs w:val="22"/>
          <w:lang w:val="en-US" w:bidi="en-US"/>
        </w:rPr>
        <w:t>AWBZ)</w:t>
      </w:r>
      <w:r w:rsidR="00EE2AAE">
        <w:rPr>
          <w:rFonts w:cs="Times-Roman"/>
          <w:szCs w:val="22"/>
          <w:lang w:val="en-US" w:bidi="en-US"/>
        </w:rPr>
        <w:t xml:space="preserve">. There are 32 regional care offices in the Netherlands. </w:t>
      </w:r>
      <w:r w:rsidR="009F6ACD">
        <w:rPr>
          <w:rFonts w:cs="Times-Roman"/>
          <w:szCs w:val="22"/>
          <w:lang w:val="en-US" w:bidi="en-US"/>
        </w:rPr>
        <w:t xml:space="preserve">The </w:t>
      </w:r>
      <w:r w:rsidR="00EE2AAE">
        <w:rPr>
          <w:rFonts w:cs="Times-Roman"/>
          <w:szCs w:val="22"/>
          <w:lang w:val="en-US" w:bidi="en-US"/>
        </w:rPr>
        <w:t>h</w:t>
      </w:r>
      <w:r w:rsidR="00971F43">
        <w:rPr>
          <w:rFonts w:cs="Times-Roman"/>
          <w:szCs w:val="22"/>
          <w:lang w:val="en-US" w:bidi="en-US"/>
        </w:rPr>
        <w:t>ealth insurers have a list of long term care providers that they recommend to a service user.</w:t>
      </w:r>
    </w:p>
    <w:p w:rsidR="009476F4" w:rsidRDefault="00672F9A" w:rsidP="005566F5">
      <w:pPr>
        <w:rPr>
          <w:lang w:val="en-US" w:bidi="en-US"/>
        </w:rPr>
      </w:pPr>
      <w:r>
        <w:rPr>
          <w:lang w:val="en-US" w:bidi="en-US"/>
        </w:rPr>
        <w:t xml:space="preserve">Under the Ministry of Health, Welfare and Sports the </w:t>
      </w:r>
      <w:r w:rsidR="002D4949" w:rsidRPr="002D4949">
        <w:rPr>
          <w:rFonts w:cs="Arial"/>
          <w:lang w:eastAsia="en-IE"/>
        </w:rPr>
        <w:t>Dutch Health Care Authority</w:t>
      </w:r>
      <w:r w:rsidR="00BD4539">
        <w:rPr>
          <w:rFonts w:cs="Arial"/>
          <w:sz w:val="20"/>
          <w:szCs w:val="20"/>
          <w:lang w:eastAsia="en-IE"/>
        </w:rPr>
        <w:t xml:space="preserve"> </w:t>
      </w:r>
      <w:r w:rsidR="002D4949">
        <w:rPr>
          <w:rFonts w:cs="Arial"/>
          <w:sz w:val="20"/>
          <w:szCs w:val="20"/>
          <w:lang w:eastAsia="en-IE"/>
        </w:rPr>
        <w:t>(</w:t>
      </w:r>
      <w:r>
        <w:rPr>
          <w:lang w:val="en-US" w:bidi="en-US"/>
        </w:rPr>
        <w:t>NZa</w:t>
      </w:r>
      <w:r w:rsidR="002D4949">
        <w:rPr>
          <w:lang w:val="en-US" w:bidi="en-US"/>
        </w:rPr>
        <w:t>)</w:t>
      </w:r>
      <w:r>
        <w:rPr>
          <w:lang w:val="en-US" w:bidi="en-US"/>
        </w:rPr>
        <w:t xml:space="preserve"> </w:t>
      </w:r>
      <w:r w:rsidR="002D4949">
        <w:rPr>
          <w:lang w:val="en-US" w:bidi="en-US"/>
        </w:rPr>
        <w:t xml:space="preserve">calculates the regional budgets i.e. (government concessions) </w:t>
      </w:r>
      <w:r>
        <w:rPr>
          <w:lang w:val="en-US" w:bidi="en-US"/>
        </w:rPr>
        <w:t xml:space="preserve">for each regional office. </w:t>
      </w:r>
      <w:r w:rsidR="005566F5">
        <w:rPr>
          <w:lang w:val="en-US" w:bidi="en-US"/>
        </w:rPr>
        <w:t>If the regional</w:t>
      </w:r>
      <w:r w:rsidR="002D4949">
        <w:rPr>
          <w:lang w:val="en-US" w:bidi="en-US"/>
        </w:rPr>
        <w:t xml:space="preserve"> office runs out of money they can </w:t>
      </w:r>
      <w:r w:rsidR="005566F5">
        <w:rPr>
          <w:lang w:val="en-US" w:bidi="en-US"/>
        </w:rPr>
        <w:t>dis</w:t>
      </w:r>
      <w:r w:rsidR="002D4949">
        <w:rPr>
          <w:lang w:val="en-US" w:bidi="en-US"/>
        </w:rPr>
        <w:t xml:space="preserve">cuss the situation with </w:t>
      </w:r>
      <w:r w:rsidR="002D4949" w:rsidRPr="002D4949">
        <w:rPr>
          <w:rFonts w:cs="Arial"/>
          <w:lang w:eastAsia="en-IE"/>
        </w:rPr>
        <w:t>Dutch Health Care Authority</w:t>
      </w:r>
      <w:r w:rsidR="001F6C64">
        <w:rPr>
          <w:lang w:val="en-US" w:bidi="en-US"/>
        </w:rPr>
        <w:t xml:space="preserve">. </w:t>
      </w:r>
      <w:r w:rsidR="005566F5">
        <w:rPr>
          <w:lang w:val="en-US" w:bidi="en-US"/>
        </w:rPr>
        <w:t>If a regional care office performs poorly th</w:t>
      </w:r>
      <w:r w:rsidR="00685267">
        <w:rPr>
          <w:lang w:val="en-US" w:bidi="en-US"/>
        </w:rPr>
        <w:t>e</w:t>
      </w:r>
      <w:r w:rsidR="005566F5">
        <w:rPr>
          <w:lang w:val="en-US" w:bidi="en-US"/>
        </w:rPr>
        <w:t xml:space="preserve">n </w:t>
      </w:r>
      <w:r w:rsidR="001F6C64">
        <w:rPr>
          <w:lang w:val="en-US" w:bidi="en-US"/>
        </w:rPr>
        <w:t>permission to operate the regional care office may be handed to another insurer.</w:t>
      </w:r>
      <w:r w:rsidR="009E68A9">
        <w:rPr>
          <w:lang w:val="en-US" w:bidi="en-US"/>
        </w:rPr>
        <w:t xml:space="preserve"> The diagram below details the structure.</w:t>
      </w:r>
    </w:p>
    <w:p w:rsidR="009E68A9" w:rsidRDefault="009E68A9" w:rsidP="009E68A9">
      <w:pPr>
        <w:pStyle w:val="Heading4"/>
        <w:rPr>
          <w:lang w:val="en-US" w:bidi="en-US"/>
        </w:rPr>
      </w:pPr>
      <w:r>
        <w:rPr>
          <w:lang w:val="en-US" w:bidi="en-US"/>
        </w:rPr>
        <w:t>Structure of Long Term Care Insurance</w:t>
      </w:r>
      <w:r w:rsidRPr="00D31D4D">
        <w:rPr>
          <w:lang w:val="en-US" w:bidi="en-US"/>
        </w:rPr>
        <w:t xml:space="preserve"> </w:t>
      </w:r>
      <w:r>
        <w:rPr>
          <w:lang w:val="en-US" w:bidi="en-US"/>
        </w:rPr>
        <w:t>(</w:t>
      </w:r>
      <w:r>
        <w:rPr>
          <w:rFonts w:cs="Times-Roman"/>
          <w:szCs w:val="22"/>
          <w:lang w:val="en-US" w:bidi="en-US"/>
        </w:rPr>
        <w:t>AWBZ)</w:t>
      </w:r>
      <w:r w:rsidR="001C7574">
        <w:rPr>
          <w:rStyle w:val="FootnoteReference"/>
          <w:rFonts w:cs="Times-Roman"/>
          <w:szCs w:val="22"/>
          <w:lang w:val="en-US" w:bidi="en-US"/>
        </w:rPr>
        <w:footnoteReference w:id="25"/>
      </w: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9E68A9" w:rsidRDefault="009E68A9" w:rsidP="005566F5">
      <w:pPr>
        <w:rPr>
          <w:lang w:val="en-US" w:bidi="en-US"/>
        </w:rPr>
      </w:pPr>
    </w:p>
    <w:p w:rsidR="00A36D9A" w:rsidRDefault="00E97C35" w:rsidP="001F6C64">
      <w:pPr>
        <w:rPr>
          <w:lang w:val="en-US" w:bidi="en-US"/>
        </w:rPr>
      </w:pPr>
      <w:r>
        <w:rPr>
          <w:noProof/>
          <w:lang w:eastAsia="en-IE"/>
        </w:rPr>
        <mc:AlternateContent>
          <mc:Choice Requires="wpc">
            <w:drawing>
              <wp:inline distT="0" distB="0" distL="0" distR="0">
                <wp:extent cx="5372100" cy="3543300"/>
                <wp:effectExtent l="0" t="3810" r="0" b="5715"/>
                <wp:docPr id="166" name="Canvas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168"/>
                        <wps:cNvSpPr>
                          <a:spLocks noChangeArrowheads="1"/>
                        </wps:cNvSpPr>
                        <wps:spPr bwMode="auto">
                          <a:xfrm>
                            <a:off x="2057711" y="3200400"/>
                            <a:ext cx="1943069" cy="342900"/>
                          </a:xfrm>
                          <a:prstGeom prst="rect">
                            <a:avLst/>
                          </a:prstGeom>
                          <a:solidFill>
                            <a:srgbClr val="00FFFF"/>
                          </a:solidFill>
                          <a:ln w="9525">
                            <a:solidFill>
                              <a:srgbClr val="000000"/>
                            </a:solidFill>
                            <a:miter lim="800000"/>
                            <a:headEnd/>
                            <a:tailEnd/>
                          </a:ln>
                        </wps:spPr>
                        <wps:txbx>
                          <w:txbxContent>
                            <w:p w:rsidR="00EB278C" w:rsidRPr="001C7574" w:rsidRDefault="00EB278C" w:rsidP="002D4949">
                              <w:pPr>
                                <w:jc w:val="center"/>
                                <w:rPr>
                                  <w:sz w:val="20"/>
                                  <w:szCs w:val="20"/>
                                </w:rPr>
                              </w:pPr>
                              <w:r>
                                <w:rPr>
                                  <w:sz w:val="20"/>
                                  <w:szCs w:val="20"/>
                                </w:rPr>
                                <w:t>Long T</w:t>
                              </w:r>
                              <w:r w:rsidRPr="001C7574">
                                <w:rPr>
                                  <w:sz w:val="20"/>
                                  <w:szCs w:val="20"/>
                                </w:rPr>
                                <w:t>erm</w:t>
                              </w:r>
                              <w:r>
                                <w:rPr>
                                  <w:sz w:val="20"/>
                                  <w:szCs w:val="20"/>
                                </w:rPr>
                                <w:t xml:space="preserve"> Care Provider</w:t>
                              </w:r>
                            </w:p>
                          </w:txbxContent>
                        </wps:txbx>
                        <wps:bodyPr rot="0" vert="horz" wrap="square" lIns="91440" tIns="45720" rIns="91440" bIns="45720" anchor="t" anchorCtr="0" upright="1">
                          <a:noAutofit/>
                        </wps:bodyPr>
                      </wps:wsp>
                      <wps:wsp>
                        <wps:cNvPr id="13" name="Oval 158"/>
                        <wps:cNvSpPr>
                          <a:spLocks noChangeArrowheads="1"/>
                        </wps:cNvSpPr>
                        <wps:spPr bwMode="auto">
                          <a:xfrm>
                            <a:off x="1485962" y="2171700"/>
                            <a:ext cx="1028855" cy="685800"/>
                          </a:xfrm>
                          <a:prstGeom prst="ellipse">
                            <a:avLst/>
                          </a:prstGeom>
                          <a:solidFill>
                            <a:srgbClr val="CC99FF"/>
                          </a:solidFill>
                          <a:ln w="9525">
                            <a:solidFill>
                              <a:srgbClr val="000000"/>
                            </a:solidFill>
                            <a:round/>
                            <a:headEnd/>
                            <a:tailEnd/>
                          </a:ln>
                        </wps:spPr>
                        <wps:txbx>
                          <w:txbxContent>
                            <w:p w:rsidR="00EB278C" w:rsidRDefault="00EB278C">
                              <w:r w:rsidRPr="001C7574">
                                <w:rPr>
                                  <w:sz w:val="20"/>
                                  <w:szCs w:val="20"/>
                                </w:rPr>
                                <w:t>Personal Budget</w:t>
                              </w:r>
                            </w:p>
                          </w:txbxContent>
                        </wps:txbx>
                        <wps:bodyPr rot="0" vert="horz" wrap="square" lIns="91440" tIns="45720" rIns="91440" bIns="45720" anchor="t" anchorCtr="0" upright="1">
                          <a:noAutofit/>
                        </wps:bodyPr>
                      </wps:wsp>
                      <wps:wsp>
                        <wps:cNvPr id="14" name="Line 160"/>
                        <wps:cNvCnPr>
                          <a:cxnSpLocks noChangeShapeType="1"/>
                        </wps:cNvCnPr>
                        <wps:spPr bwMode="auto">
                          <a:xfrm>
                            <a:off x="2286264" y="2857500"/>
                            <a:ext cx="22928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34"/>
                        <wps:cNvSpPr>
                          <a:spLocks noChangeArrowheads="1"/>
                        </wps:cNvSpPr>
                        <wps:spPr bwMode="auto">
                          <a:xfrm>
                            <a:off x="2223467" y="147876"/>
                            <a:ext cx="1142767" cy="457200"/>
                          </a:xfrm>
                          <a:prstGeom prst="rect">
                            <a:avLst/>
                          </a:prstGeom>
                          <a:solidFill>
                            <a:srgbClr val="FFCC99"/>
                          </a:solidFill>
                          <a:ln w="9525">
                            <a:solidFill>
                              <a:srgbClr val="000000"/>
                            </a:solidFill>
                            <a:miter lim="800000"/>
                            <a:headEnd/>
                            <a:tailEnd/>
                          </a:ln>
                        </wps:spPr>
                        <wps:txbx>
                          <w:txbxContent>
                            <w:p w:rsidR="00EB278C" w:rsidRPr="001C7574" w:rsidRDefault="00EB278C" w:rsidP="001C7574">
                              <w:pPr>
                                <w:jc w:val="center"/>
                                <w:rPr>
                                  <w:sz w:val="20"/>
                                  <w:szCs w:val="20"/>
                                </w:rPr>
                              </w:pPr>
                              <w:r w:rsidRPr="001C7574">
                                <w:rPr>
                                  <w:sz w:val="20"/>
                                  <w:szCs w:val="20"/>
                                </w:rPr>
                                <w:t>Potential Client</w:t>
                              </w:r>
                            </w:p>
                          </w:txbxContent>
                        </wps:txbx>
                        <wps:bodyPr rot="0" vert="horz" wrap="square" lIns="91440" tIns="45720" rIns="91440" bIns="45720" anchor="t" anchorCtr="0" upright="1">
                          <a:noAutofit/>
                        </wps:bodyPr>
                      </wps:wsp>
                      <wps:wsp>
                        <wps:cNvPr id="16" name="Rectangle 141"/>
                        <wps:cNvSpPr>
                          <a:spLocks noChangeArrowheads="1"/>
                        </wps:cNvSpPr>
                        <wps:spPr bwMode="auto">
                          <a:xfrm>
                            <a:off x="2171622" y="914400"/>
                            <a:ext cx="1371320" cy="457200"/>
                          </a:xfrm>
                          <a:prstGeom prst="rect">
                            <a:avLst/>
                          </a:prstGeom>
                          <a:solidFill>
                            <a:srgbClr val="CCFFFF"/>
                          </a:solidFill>
                          <a:ln w="9525">
                            <a:solidFill>
                              <a:srgbClr val="000000"/>
                            </a:solidFill>
                            <a:miter lim="800000"/>
                            <a:headEnd/>
                            <a:tailEnd/>
                          </a:ln>
                        </wps:spPr>
                        <wps:txbx>
                          <w:txbxContent>
                            <w:p w:rsidR="00EB278C" w:rsidRPr="001C7574" w:rsidRDefault="00EB278C" w:rsidP="001C7574">
                              <w:pPr>
                                <w:jc w:val="center"/>
                                <w:rPr>
                                  <w:sz w:val="20"/>
                                  <w:szCs w:val="20"/>
                                </w:rPr>
                              </w:pPr>
                              <w:r w:rsidRPr="001C7574">
                                <w:rPr>
                                  <w:sz w:val="20"/>
                                  <w:szCs w:val="20"/>
                                </w:rPr>
                                <w:t>CIZ Assessment</w:t>
                              </w:r>
                            </w:p>
                          </w:txbxContent>
                        </wps:txbx>
                        <wps:bodyPr rot="0" vert="horz" wrap="square" lIns="91440" tIns="45720" rIns="91440" bIns="45720" anchor="t" anchorCtr="0" upright="1">
                          <a:noAutofit/>
                        </wps:bodyPr>
                      </wps:wsp>
                      <wps:wsp>
                        <wps:cNvPr id="17" name="Line 148"/>
                        <wps:cNvCnPr>
                          <a:cxnSpLocks noChangeShapeType="1"/>
                        </wps:cNvCnPr>
                        <wps:spPr bwMode="auto">
                          <a:xfrm>
                            <a:off x="2794485" y="1405176"/>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49"/>
                        <wps:cNvSpPr>
                          <a:spLocks noChangeArrowheads="1"/>
                        </wps:cNvSpPr>
                        <wps:spPr bwMode="auto">
                          <a:xfrm>
                            <a:off x="2108825" y="1633776"/>
                            <a:ext cx="1714516" cy="342900"/>
                          </a:xfrm>
                          <a:prstGeom prst="rect">
                            <a:avLst/>
                          </a:prstGeom>
                          <a:solidFill>
                            <a:srgbClr val="FFFF99"/>
                          </a:solidFill>
                          <a:ln w="9525">
                            <a:solidFill>
                              <a:srgbClr val="000000"/>
                            </a:solidFill>
                            <a:miter lim="800000"/>
                            <a:headEnd/>
                            <a:tailEnd/>
                          </a:ln>
                        </wps:spPr>
                        <wps:txbx>
                          <w:txbxContent>
                            <w:p w:rsidR="00EB278C" w:rsidRPr="001C7574" w:rsidRDefault="00EB278C" w:rsidP="002D4949">
                              <w:pPr>
                                <w:jc w:val="center"/>
                                <w:rPr>
                                  <w:sz w:val="20"/>
                                  <w:szCs w:val="20"/>
                                </w:rPr>
                              </w:pPr>
                              <w:r>
                                <w:rPr>
                                  <w:sz w:val="20"/>
                                  <w:szCs w:val="20"/>
                                </w:rPr>
                                <w:t>Regional Care Office</w:t>
                              </w:r>
                            </w:p>
                          </w:txbxContent>
                        </wps:txbx>
                        <wps:bodyPr rot="0" vert="horz" wrap="square" lIns="91440" tIns="45720" rIns="91440" bIns="45720" anchor="t" anchorCtr="0" upright="1">
                          <a:noAutofit/>
                        </wps:bodyPr>
                      </wps:wsp>
                      <wps:wsp>
                        <wps:cNvPr id="19" name="Line 154"/>
                        <wps:cNvCnPr>
                          <a:cxnSpLocks noChangeShapeType="1"/>
                        </wps:cNvCnPr>
                        <wps:spPr bwMode="auto">
                          <a:xfrm flipH="1">
                            <a:off x="2400176" y="2057400"/>
                            <a:ext cx="228553"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55"/>
                        <wps:cNvCnPr>
                          <a:cxnSpLocks noChangeShapeType="1"/>
                        </wps:cNvCnPr>
                        <wps:spPr bwMode="auto">
                          <a:xfrm>
                            <a:off x="3314389" y="2057400"/>
                            <a:ext cx="228553"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Oval 159"/>
                        <wps:cNvSpPr>
                          <a:spLocks noChangeArrowheads="1"/>
                        </wps:cNvSpPr>
                        <wps:spPr bwMode="auto">
                          <a:xfrm>
                            <a:off x="3200478" y="2286000"/>
                            <a:ext cx="1142767" cy="571500"/>
                          </a:xfrm>
                          <a:prstGeom prst="ellipse">
                            <a:avLst/>
                          </a:prstGeom>
                          <a:solidFill>
                            <a:srgbClr val="FF99CC"/>
                          </a:solidFill>
                          <a:ln w="9525">
                            <a:solidFill>
                              <a:srgbClr val="000000"/>
                            </a:solidFill>
                            <a:round/>
                            <a:headEnd/>
                            <a:tailEnd/>
                          </a:ln>
                        </wps:spPr>
                        <wps:txbx>
                          <w:txbxContent>
                            <w:p w:rsidR="00EB278C" w:rsidRPr="001C7574" w:rsidRDefault="00EB278C" w:rsidP="002D4949">
                              <w:pPr>
                                <w:jc w:val="center"/>
                                <w:rPr>
                                  <w:sz w:val="20"/>
                                  <w:szCs w:val="20"/>
                                </w:rPr>
                              </w:pPr>
                              <w:r>
                                <w:rPr>
                                  <w:sz w:val="20"/>
                                  <w:szCs w:val="20"/>
                                </w:rPr>
                                <w:t>Care in K</w:t>
                              </w:r>
                              <w:r w:rsidRPr="001C7574">
                                <w:rPr>
                                  <w:sz w:val="20"/>
                                  <w:szCs w:val="20"/>
                                </w:rPr>
                                <w:t>ind</w:t>
                              </w:r>
                            </w:p>
                          </w:txbxContent>
                        </wps:txbx>
                        <wps:bodyPr rot="0" vert="horz" wrap="square" lIns="91440" tIns="45720" rIns="91440" bIns="45720" anchor="t" anchorCtr="0" upright="1">
                          <a:noAutofit/>
                        </wps:bodyPr>
                      </wps:wsp>
                      <wps:wsp>
                        <wps:cNvPr id="22" name="Line 161"/>
                        <wps:cNvCnPr>
                          <a:cxnSpLocks noChangeShapeType="1"/>
                        </wps:cNvCnPr>
                        <wps:spPr bwMode="auto">
                          <a:xfrm flipH="1">
                            <a:off x="3314389" y="2857500"/>
                            <a:ext cx="230014"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172"/>
                        <wps:cNvSpPr>
                          <a:spLocks noChangeArrowheads="1"/>
                        </wps:cNvSpPr>
                        <wps:spPr bwMode="auto">
                          <a:xfrm>
                            <a:off x="114642" y="800100"/>
                            <a:ext cx="1369860" cy="571500"/>
                          </a:xfrm>
                          <a:prstGeom prst="rect">
                            <a:avLst/>
                          </a:prstGeom>
                          <a:solidFill>
                            <a:srgbClr val="339966"/>
                          </a:solidFill>
                          <a:ln w="9525">
                            <a:solidFill>
                              <a:srgbClr val="000000"/>
                            </a:solidFill>
                            <a:miter lim="800000"/>
                            <a:headEnd/>
                            <a:tailEnd/>
                          </a:ln>
                        </wps:spPr>
                        <wps:txbx>
                          <w:txbxContent>
                            <w:p w:rsidR="00EB278C" w:rsidRPr="00A72158" w:rsidRDefault="00EB278C" w:rsidP="00A72158">
                              <w:pPr>
                                <w:pStyle w:val="ListNumber"/>
                                <w:numPr>
                                  <w:ilvl w:val="0"/>
                                  <w:numId w:val="0"/>
                                </w:numPr>
                                <w:rPr>
                                  <w:sz w:val="20"/>
                                  <w:szCs w:val="20"/>
                                </w:rPr>
                              </w:pPr>
                              <w:r w:rsidRPr="00A72158">
                                <w:rPr>
                                  <w:sz w:val="20"/>
                                  <w:szCs w:val="20"/>
                                </w:rPr>
                                <w:t>Government Concessions</w:t>
                              </w:r>
                              <w:r>
                                <w:rPr>
                                  <w:sz w:val="20"/>
                                  <w:szCs w:val="20"/>
                                </w:rPr>
                                <w:t xml:space="preserve"> (budgets)</w:t>
                              </w:r>
                            </w:p>
                          </w:txbxContent>
                        </wps:txbx>
                        <wps:bodyPr rot="0" vert="horz" wrap="square" lIns="91440" tIns="45720" rIns="91440" bIns="45720" anchor="t" anchorCtr="0" upright="1">
                          <a:noAutofit/>
                        </wps:bodyPr>
                      </wps:wsp>
                      <wps:wsp>
                        <wps:cNvPr id="24" name="Line 174"/>
                        <wps:cNvCnPr>
                          <a:cxnSpLocks noChangeShapeType="1"/>
                        </wps:cNvCnPr>
                        <wps:spPr bwMode="auto">
                          <a:xfrm>
                            <a:off x="571749" y="1371600"/>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75"/>
                        <wps:cNvSpPr>
                          <a:spLocks noChangeArrowheads="1"/>
                        </wps:cNvSpPr>
                        <wps:spPr bwMode="auto">
                          <a:xfrm>
                            <a:off x="114642" y="1600200"/>
                            <a:ext cx="1256679" cy="685800"/>
                          </a:xfrm>
                          <a:prstGeom prst="rect">
                            <a:avLst/>
                          </a:prstGeom>
                          <a:solidFill>
                            <a:srgbClr val="FFFF99"/>
                          </a:solidFill>
                          <a:ln w="9525">
                            <a:solidFill>
                              <a:srgbClr val="000000"/>
                            </a:solidFill>
                            <a:miter lim="800000"/>
                            <a:headEnd/>
                            <a:tailEnd/>
                          </a:ln>
                        </wps:spPr>
                        <wps:txbx>
                          <w:txbxContent>
                            <w:p w:rsidR="00EB278C" w:rsidRPr="001C7574" w:rsidRDefault="00EB278C">
                              <w:pPr>
                                <w:rPr>
                                  <w:sz w:val="20"/>
                                  <w:szCs w:val="20"/>
                                </w:rPr>
                              </w:pPr>
                              <w:r>
                                <w:rPr>
                                  <w:sz w:val="20"/>
                                  <w:szCs w:val="20"/>
                                </w:rPr>
                                <w:t>Health Insurers runs the regional care office</w:t>
                              </w:r>
                            </w:p>
                          </w:txbxContent>
                        </wps:txbx>
                        <wps:bodyPr rot="0" vert="horz" wrap="square" lIns="91440" tIns="45720" rIns="91440" bIns="45720" anchor="t" anchorCtr="0" upright="1">
                          <a:noAutofit/>
                        </wps:bodyPr>
                      </wps:wsp>
                      <wps:wsp>
                        <wps:cNvPr id="26" name="Line 177"/>
                        <wps:cNvCnPr>
                          <a:cxnSpLocks noChangeShapeType="1"/>
                        </wps:cNvCnPr>
                        <wps:spPr bwMode="auto">
                          <a:xfrm>
                            <a:off x="1599874" y="1828800"/>
                            <a:ext cx="343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182"/>
                        <wps:cNvCnPr>
                          <a:cxnSpLocks noChangeShapeType="1"/>
                        </wps:cNvCnPr>
                        <wps:spPr bwMode="auto">
                          <a:xfrm>
                            <a:off x="2743371" y="571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6" o:spid="_x0000_s1027" editas="canvas" style="width:423pt;height:279pt;mso-position-horizontal-relative:char;mso-position-vertical-relative:line" coordsize="53721,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3721;height:35433;visibility:visible;mso-wrap-style:square">
                  <v:fill o:detectmouseclick="t"/>
                  <v:path o:connecttype="none"/>
                </v:shape>
                <v:rect id="Rectangle 168" o:spid="_x0000_s1029" style="position:absolute;left:20577;top:32004;width:19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" fillcolor="aqua">
                  <v:textbox>
                    <w:txbxContent>
                      <w:p w:rsidR="00EB278C" w:rsidRPr="001C7574" w:rsidRDefault="00EB278C" w:rsidP="002D4949">
                        <w:pPr>
                          <w:jc w:val="center"/>
                          <w:rPr>
                            <w:sz w:val="20"/>
                            <w:szCs w:val="20"/>
                          </w:rPr>
                        </w:pPr>
                        <w:r>
                          <w:rPr>
                            <w:sz w:val="20"/>
                            <w:szCs w:val="20"/>
                          </w:rPr>
                          <w:t>Long T</w:t>
                        </w:r>
                        <w:r w:rsidRPr="001C7574">
                          <w:rPr>
                            <w:sz w:val="20"/>
                            <w:szCs w:val="20"/>
                          </w:rPr>
                          <w:t>erm</w:t>
                        </w:r>
                        <w:r>
                          <w:rPr>
                            <w:sz w:val="20"/>
                            <w:szCs w:val="20"/>
                          </w:rPr>
                          <w:t xml:space="preserve"> Care Provider</w:t>
                        </w:r>
                      </w:p>
                    </w:txbxContent>
                  </v:textbox>
                </v:rect>
                <v:oval id="Oval 158" o:spid="_x0000_s1030" style="position:absolute;left:14859;top:21717;width:1028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" fillcolor="#c9f">
                  <v:textbox>
                    <w:txbxContent>
                      <w:p w:rsidR="00EB278C" w:rsidRDefault="00EB278C">
                        <w:r w:rsidRPr="001C7574">
                          <w:rPr>
                            <w:sz w:val="20"/>
                            <w:szCs w:val="20"/>
                          </w:rPr>
                          <w:t>Personal Budget</w:t>
                        </w:r>
                      </w:p>
                    </w:txbxContent>
                  </v:textbox>
                </v:oval>
                <v:line id="Line 160" o:spid="_x0000_s1031" style="position:absolute;visibility:visible;mso-wrap-style:square" from="22862,28575" to="2515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rect id="Rectangle 134" o:spid="_x0000_s1032" style="position:absolute;left:22234;top:1478;width:1142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" fillcolor="#fc9">
                  <v:textbox>
                    <w:txbxContent>
                      <w:p w:rsidR="00EB278C" w:rsidRPr="001C7574" w:rsidRDefault="00EB278C" w:rsidP="001C7574">
                        <w:pPr>
                          <w:jc w:val="center"/>
                          <w:rPr>
                            <w:sz w:val="20"/>
                            <w:szCs w:val="20"/>
                          </w:rPr>
                        </w:pPr>
                        <w:r w:rsidRPr="001C7574">
                          <w:rPr>
                            <w:sz w:val="20"/>
                            <w:szCs w:val="20"/>
                          </w:rPr>
                          <w:t>Potential Client</w:t>
                        </w:r>
                      </w:p>
                    </w:txbxContent>
                  </v:textbox>
                </v:rect>
                <v:rect id="Rectangle 141" o:spid="_x0000_s1033" style="position:absolute;left:21716;top:9144;width:1371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rsidR="00EB278C" w:rsidRPr="001C7574" w:rsidRDefault="00EB278C" w:rsidP="001C7574">
                        <w:pPr>
                          <w:jc w:val="center"/>
                          <w:rPr>
                            <w:sz w:val="20"/>
                            <w:szCs w:val="20"/>
                          </w:rPr>
                        </w:pPr>
                        <w:r w:rsidRPr="001C7574">
                          <w:rPr>
                            <w:sz w:val="20"/>
                            <w:szCs w:val="20"/>
                          </w:rPr>
                          <w:t>CIZ Assessment</w:t>
                        </w:r>
                      </w:p>
                    </w:txbxContent>
                  </v:textbox>
                </v:rect>
                <v:line id="Line 148" o:spid="_x0000_s1034" style="position:absolute;visibility:visible;mso-wrap-style:square" from="27944,14051" to="27944,1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49" o:spid="_x0000_s1035" style="position:absolute;left:21088;top:16337;width:1714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" fillcolor="#ff9">
                  <v:textbox>
                    <w:txbxContent>
                      <w:p w:rsidR="00EB278C" w:rsidRPr="001C7574" w:rsidRDefault="00EB278C" w:rsidP="002D4949">
                        <w:pPr>
                          <w:jc w:val="center"/>
                          <w:rPr>
                            <w:sz w:val="20"/>
                            <w:szCs w:val="20"/>
                          </w:rPr>
                        </w:pPr>
                        <w:r>
                          <w:rPr>
                            <w:sz w:val="20"/>
                            <w:szCs w:val="20"/>
                          </w:rPr>
                          <w:t>Regional Care Office</w:t>
                        </w:r>
                      </w:p>
                    </w:txbxContent>
                  </v:textbox>
                </v:rect>
                <v:line id="Line 154" o:spid="_x0000_s1036" style="position:absolute;flip:x;visibility:visible;mso-wrap-style:square" from="24001,20574" to="2628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155" o:spid="_x0000_s1037" style="position:absolute;visibility:visible;mso-wrap-style:square" from="33143,20574" to="35429,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oval id="Oval 159" o:spid="_x0000_s1038" style="position:absolute;left:32004;top:22860;width:1142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" fillcolor="#f9c">
                  <v:textbox>
                    <w:txbxContent>
                      <w:p w:rsidR="00EB278C" w:rsidRPr="001C7574" w:rsidRDefault="00EB278C" w:rsidP="002D4949">
                        <w:pPr>
                          <w:jc w:val="center"/>
                          <w:rPr>
                            <w:sz w:val="20"/>
                            <w:szCs w:val="20"/>
                          </w:rPr>
                        </w:pPr>
                        <w:r>
                          <w:rPr>
                            <w:sz w:val="20"/>
                            <w:szCs w:val="20"/>
                          </w:rPr>
                          <w:t>Care in K</w:t>
                        </w:r>
                        <w:r w:rsidRPr="001C7574">
                          <w:rPr>
                            <w:sz w:val="20"/>
                            <w:szCs w:val="20"/>
                          </w:rPr>
                          <w:t>ind</w:t>
                        </w:r>
                      </w:p>
                    </w:txbxContent>
                  </v:textbox>
                </v:oval>
                <v:line id="Line 161" o:spid="_x0000_s1039" style="position:absolute;flip:x;visibility:visible;mso-wrap-style:square" from="33143,28575" to="35444,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rect id="Rectangle 172" o:spid="_x0000_s1040" style="position:absolute;left:1146;top:8001;width:1369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" fillcolor="#396">
                  <v:textbox>
                    <w:txbxContent>
                      <w:p w:rsidR="00EB278C" w:rsidRPr="00A72158" w:rsidRDefault="00EB278C" w:rsidP="00A72158">
                        <w:pPr>
                          <w:pStyle w:val="ListNumber"/>
                          <w:numPr>
                            <w:ilvl w:val="0"/>
                            <w:numId w:val="0"/>
                          </w:numPr>
                          <w:rPr>
                            <w:sz w:val="20"/>
                            <w:szCs w:val="20"/>
                          </w:rPr>
                        </w:pPr>
                        <w:r w:rsidRPr="00A72158">
                          <w:rPr>
                            <w:sz w:val="20"/>
                            <w:szCs w:val="20"/>
                          </w:rPr>
                          <w:t>Government Concessions</w:t>
                        </w:r>
                        <w:r>
                          <w:rPr>
                            <w:sz w:val="20"/>
                            <w:szCs w:val="20"/>
                          </w:rPr>
                          <w:t xml:space="preserve"> (budgets)</w:t>
                        </w:r>
                      </w:p>
                    </w:txbxContent>
                  </v:textbox>
                </v:rect>
                <v:line id="Line 174" o:spid="_x0000_s1041" style="position:absolute;visibility:visible;mso-wrap-style:square" from="5717,13716" to="572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rect id="Rectangle 175" o:spid="_x0000_s1042" style="position:absolute;left:1146;top:16002;width:1256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" fillcolor="#ff9">
                  <v:textbox>
                    <w:txbxContent>
                      <w:p w:rsidR="00EB278C" w:rsidRPr="001C7574" w:rsidRDefault="00EB278C">
                        <w:pPr>
                          <w:rPr>
                            <w:sz w:val="20"/>
                            <w:szCs w:val="20"/>
                          </w:rPr>
                        </w:pPr>
                        <w:r>
                          <w:rPr>
                            <w:sz w:val="20"/>
                            <w:szCs w:val="20"/>
                          </w:rPr>
                          <w:t>Health Insurers runs the regional care office</w:t>
                        </w:r>
                      </w:p>
                    </w:txbxContent>
                  </v:textbox>
                </v:rect>
                <v:line id="Line 177" o:spid="_x0000_s1043" style="position:absolute;visibility:visible;mso-wrap-style:square" from="15998,18288" to="19430,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182" o:spid="_x0000_s1044" style="position:absolute;visibility:visible;mso-wrap-style:square" from="27433,5715" to="2743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w10:anchorlock/>
              </v:group>
            </w:pict>
          </mc:Fallback>
        </mc:AlternateContent>
      </w:r>
    </w:p>
    <w:p w:rsidR="001F6C64" w:rsidRDefault="001F6C64" w:rsidP="001F6C64">
      <w:pPr>
        <w:rPr>
          <w:lang w:val="en-US" w:bidi="en-US"/>
        </w:rPr>
      </w:pPr>
      <w:r>
        <w:rPr>
          <w:lang w:val="en-US" w:bidi="en-US"/>
        </w:rPr>
        <w:t>Table 4 details the different groups of people that receive Long Term Care Insurance</w:t>
      </w:r>
      <w:r w:rsidRPr="00D31D4D">
        <w:rPr>
          <w:lang w:val="en-US" w:bidi="en-US"/>
        </w:rPr>
        <w:t xml:space="preserve"> </w:t>
      </w:r>
      <w:r>
        <w:rPr>
          <w:lang w:val="en-US" w:bidi="en-US"/>
        </w:rPr>
        <w:t>(AWBZ) benefits.</w:t>
      </w:r>
    </w:p>
    <w:p w:rsidR="001F6C64" w:rsidRDefault="00C22DFB" w:rsidP="001F6C64">
      <w:pPr>
        <w:pStyle w:val="TableTitle"/>
        <w:rPr>
          <w:lang w:val="en-US" w:bidi="en-US"/>
        </w:rPr>
      </w:pPr>
      <w:r>
        <w:rPr>
          <w:rFonts w:cs="TimesNewRomanPSMT"/>
          <w:lang w:val="en-US" w:bidi="en-US"/>
        </w:rPr>
        <w:t>Table 3</w:t>
      </w:r>
      <w:r w:rsidR="001F6C64" w:rsidRPr="009F761C">
        <w:rPr>
          <w:rFonts w:cs="TimesNewRomanPSMT"/>
          <w:lang w:val="en-US" w:bidi="en-US"/>
        </w:rPr>
        <w:t xml:space="preserve">. </w:t>
      </w:r>
      <w:r w:rsidR="001F6C64" w:rsidRPr="009F761C">
        <w:rPr>
          <w:lang w:val="en-US" w:bidi="en-US"/>
        </w:rPr>
        <w:t xml:space="preserve">Different groups of </w:t>
      </w:r>
      <w:r w:rsidR="001F6C64">
        <w:rPr>
          <w:lang w:val="en-US" w:bidi="en-US"/>
        </w:rPr>
        <w:t>Long Term Care Insurance</w:t>
      </w:r>
      <w:r w:rsidR="001F6C64" w:rsidRPr="00D31D4D">
        <w:rPr>
          <w:lang w:val="en-US" w:bidi="en-US"/>
        </w:rPr>
        <w:t xml:space="preserve"> </w:t>
      </w:r>
      <w:r w:rsidR="001F6C64">
        <w:rPr>
          <w:lang w:val="en-US" w:bidi="en-US"/>
        </w:rPr>
        <w:t>(</w:t>
      </w:r>
      <w:r w:rsidR="001F6C64" w:rsidRPr="009F761C">
        <w:rPr>
          <w:lang w:val="en-US" w:bidi="en-US"/>
        </w:rPr>
        <w:t>AWBZ</w:t>
      </w:r>
      <w:r w:rsidR="001F6C64">
        <w:rPr>
          <w:lang w:val="en-US" w:bidi="en-US"/>
        </w:rPr>
        <w:t>)</w:t>
      </w:r>
      <w:r w:rsidR="001F6C64" w:rsidRPr="009F761C">
        <w:rPr>
          <w:lang w:val="en-US" w:bidi="en-US"/>
        </w:rPr>
        <w:t xml:space="preserve"> beneficiaries by numbers and expenditures in 2007*</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703"/>
        <w:gridCol w:w="1703"/>
        <w:gridCol w:w="1703"/>
        <w:gridCol w:w="1703"/>
        <w:gridCol w:w="1704"/>
      </w:tblGrid>
      <w:tr w:rsidR="001F6C64" w:rsidRPr="007B4509">
        <w:tblPrEx>
          <w:tblCellMar>
            <w:top w:w="0" w:type="dxa"/>
            <w:bottom w:w="0" w:type="dxa"/>
          </w:tblCellMar>
        </w:tblPrEx>
        <w:trPr>
          <w:tblHeader/>
        </w:trPr>
        <w:tc>
          <w:tcPr>
            <w:tcW w:w="1703" w:type="dxa"/>
            <w:tcBorders>
              <w:bottom w:val="single" w:sz="12" w:space="0" w:color="000000"/>
            </w:tcBorders>
            <w:shd w:val="clear" w:color="auto" w:fill="auto"/>
          </w:tcPr>
          <w:p w:rsidR="001F6C64" w:rsidRPr="007B4509" w:rsidRDefault="001F6C64" w:rsidP="001E2413">
            <w:pPr>
              <w:pStyle w:val="TableHead"/>
              <w:jc w:val="right"/>
              <w:rPr>
                <w:sz w:val="20"/>
                <w:szCs w:val="20"/>
                <w:lang w:val="en-US"/>
              </w:rPr>
            </w:pPr>
            <w:r w:rsidRPr="007B4509">
              <w:rPr>
                <w:sz w:val="20"/>
                <w:szCs w:val="20"/>
                <w:lang w:val="en-US"/>
              </w:rPr>
              <w:t>Type of long- term care user</w:t>
            </w:r>
          </w:p>
        </w:tc>
        <w:tc>
          <w:tcPr>
            <w:tcW w:w="1703" w:type="dxa"/>
            <w:tcBorders>
              <w:bottom w:val="single" w:sz="12" w:space="0" w:color="000000"/>
            </w:tcBorders>
            <w:shd w:val="clear" w:color="auto" w:fill="auto"/>
          </w:tcPr>
          <w:p w:rsidR="001F6C64" w:rsidRPr="007B4509" w:rsidRDefault="001F6C64" w:rsidP="001E2413">
            <w:pPr>
              <w:pStyle w:val="TableHead"/>
              <w:jc w:val="right"/>
              <w:rPr>
                <w:sz w:val="20"/>
                <w:szCs w:val="20"/>
                <w:lang w:val="en-US"/>
              </w:rPr>
            </w:pPr>
            <w:r w:rsidRPr="007B4509">
              <w:rPr>
                <w:sz w:val="20"/>
                <w:szCs w:val="20"/>
                <w:lang w:val="en-US"/>
              </w:rPr>
              <w:t>Number</w:t>
            </w:r>
          </w:p>
        </w:tc>
        <w:tc>
          <w:tcPr>
            <w:tcW w:w="1703" w:type="dxa"/>
            <w:tcBorders>
              <w:bottom w:val="single" w:sz="12" w:space="0" w:color="000000"/>
            </w:tcBorders>
            <w:shd w:val="clear" w:color="auto" w:fill="auto"/>
          </w:tcPr>
          <w:p w:rsidR="001F6C64" w:rsidRPr="007B4509" w:rsidRDefault="001F6C64" w:rsidP="001E2413">
            <w:pPr>
              <w:pStyle w:val="TableHead"/>
              <w:jc w:val="right"/>
              <w:rPr>
                <w:sz w:val="20"/>
                <w:szCs w:val="20"/>
                <w:lang w:val="en-US"/>
              </w:rPr>
            </w:pPr>
            <w:r w:rsidRPr="007B4509">
              <w:rPr>
                <w:sz w:val="20"/>
                <w:szCs w:val="20"/>
                <w:lang w:val="en-US"/>
              </w:rPr>
              <w:t>Share of total number</w:t>
            </w:r>
          </w:p>
        </w:tc>
        <w:tc>
          <w:tcPr>
            <w:tcW w:w="1703" w:type="dxa"/>
            <w:tcBorders>
              <w:bottom w:val="single" w:sz="12" w:space="0" w:color="000000"/>
            </w:tcBorders>
            <w:shd w:val="clear" w:color="auto" w:fill="auto"/>
          </w:tcPr>
          <w:p w:rsidR="001F6C64" w:rsidRPr="007B4509" w:rsidRDefault="001F6C64" w:rsidP="001E2413">
            <w:pPr>
              <w:pStyle w:val="TableHead"/>
              <w:jc w:val="right"/>
              <w:rPr>
                <w:sz w:val="20"/>
                <w:szCs w:val="20"/>
                <w:lang w:val="en-US"/>
              </w:rPr>
            </w:pPr>
            <w:r w:rsidRPr="007B4509">
              <w:rPr>
                <w:sz w:val="20"/>
                <w:szCs w:val="20"/>
                <w:lang w:val="en-US"/>
              </w:rPr>
              <w:t>Expenditure (billion euro)</w:t>
            </w:r>
          </w:p>
        </w:tc>
        <w:tc>
          <w:tcPr>
            <w:tcW w:w="1704" w:type="dxa"/>
            <w:tcBorders>
              <w:bottom w:val="single" w:sz="12" w:space="0" w:color="000000"/>
            </w:tcBorders>
            <w:shd w:val="clear" w:color="auto" w:fill="auto"/>
          </w:tcPr>
          <w:p w:rsidR="001F6C64" w:rsidRPr="007B4509" w:rsidRDefault="001F6C64" w:rsidP="001E2413">
            <w:pPr>
              <w:pStyle w:val="TableHead"/>
              <w:jc w:val="right"/>
              <w:rPr>
                <w:sz w:val="20"/>
                <w:szCs w:val="20"/>
                <w:lang w:val="en-US"/>
              </w:rPr>
            </w:pPr>
            <w:r w:rsidRPr="007B4509">
              <w:rPr>
                <w:sz w:val="20"/>
                <w:szCs w:val="20"/>
                <w:lang w:val="en-US"/>
              </w:rPr>
              <w:t>Share of total expenditure</w:t>
            </w:r>
          </w:p>
        </w:tc>
      </w:tr>
      <w:tr w:rsidR="001F6C64" w:rsidRPr="007B4509">
        <w:tblPrEx>
          <w:tblCellMar>
            <w:top w:w="0" w:type="dxa"/>
            <w:bottom w:w="0" w:type="dxa"/>
          </w:tblCellMar>
        </w:tblPrEx>
        <w:tc>
          <w:tcPr>
            <w:tcW w:w="1703" w:type="dxa"/>
            <w:tcBorders>
              <w:top w:val="single" w:sz="12" w:space="0" w:color="000000"/>
            </w:tcBorders>
            <w:shd w:val="clear" w:color="auto" w:fill="auto"/>
          </w:tcPr>
          <w:p w:rsidR="001F6C64" w:rsidRPr="007B4509" w:rsidRDefault="001F6C64" w:rsidP="001E2413">
            <w:pPr>
              <w:pStyle w:val="TableRowHead"/>
              <w:rPr>
                <w:sz w:val="20"/>
                <w:szCs w:val="20"/>
                <w:lang w:val="en-US"/>
              </w:rPr>
            </w:pPr>
            <w:r w:rsidRPr="007B4509">
              <w:rPr>
                <w:sz w:val="20"/>
                <w:szCs w:val="20"/>
                <w:lang w:val="en-US"/>
              </w:rPr>
              <w:t>Elderly</w:t>
            </w:r>
            <w:r>
              <w:rPr>
                <w:sz w:val="20"/>
                <w:szCs w:val="20"/>
                <w:lang w:val="en-US"/>
              </w:rPr>
              <w:t xml:space="preserve"> and chronically ill</w:t>
            </w:r>
          </w:p>
        </w:tc>
        <w:tc>
          <w:tcPr>
            <w:tcW w:w="1703" w:type="dxa"/>
            <w:tcBorders>
              <w:top w:val="single" w:sz="12" w:space="0" w:color="000000"/>
            </w:tcBorders>
            <w:shd w:val="clear" w:color="auto" w:fill="auto"/>
          </w:tcPr>
          <w:p w:rsidR="001F6C64" w:rsidRPr="007B4509" w:rsidRDefault="001F6C64" w:rsidP="001E2413">
            <w:pPr>
              <w:pStyle w:val="TableCell"/>
              <w:jc w:val="right"/>
              <w:rPr>
                <w:sz w:val="20"/>
                <w:szCs w:val="20"/>
                <w:lang w:val="en-US"/>
              </w:rPr>
            </w:pPr>
            <w:r>
              <w:rPr>
                <w:sz w:val="20"/>
                <w:szCs w:val="20"/>
                <w:lang w:val="en-US"/>
              </w:rPr>
              <w:t>360,000</w:t>
            </w:r>
          </w:p>
        </w:tc>
        <w:tc>
          <w:tcPr>
            <w:tcW w:w="1703" w:type="dxa"/>
            <w:tcBorders>
              <w:top w:val="single" w:sz="12" w:space="0" w:color="000000"/>
            </w:tcBorders>
            <w:shd w:val="clear" w:color="auto" w:fill="auto"/>
          </w:tcPr>
          <w:p w:rsidR="001F6C64" w:rsidRPr="007B4509" w:rsidRDefault="001F6C64" w:rsidP="001E2413">
            <w:pPr>
              <w:pStyle w:val="TableCell"/>
              <w:jc w:val="right"/>
              <w:rPr>
                <w:sz w:val="20"/>
                <w:szCs w:val="20"/>
                <w:lang w:val="en-US"/>
              </w:rPr>
            </w:pPr>
            <w:r>
              <w:rPr>
                <w:sz w:val="20"/>
                <w:szCs w:val="20"/>
                <w:lang w:val="en-US"/>
              </w:rPr>
              <w:t>69%</w:t>
            </w:r>
          </w:p>
        </w:tc>
        <w:tc>
          <w:tcPr>
            <w:tcW w:w="1703" w:type="dxa"/>
            <w:tcBorders>
              <w:top w:val="single" w:sz="12" w:space="0" w:color="000000"/>
            </w:tcBorders>
            <w:shd w:val="clear" w:color="auto" w:fill="auto"/>
          </w:tcPr>
          <w:p w:rsidR="001F6C64" w:rsidRPr="007B4509" w:rsidRDefault="001F6C64" w:rsidP="001E2413">
            <w:pPr>
              <w:pStyle w:val="TableCell"/>
              <w:jc w:val="right"/>
              <w:rPr>
                <w:sz w:val="20"/>
                <w:szCs w:val="20"/>
                <w:lang w:val="en-US"/>
              </w:rPr>
            </w:pPr>
            <w:r>
              <w:rPr>
                <w:sz w:val="20"/>
                <w:szCs w:val="20"/>
                <w:lang w:val="en-US"/>
              </w:rPr>
              <w:t>11,4</w:t>
            </w:r>
          </w:p>
        </w:tc>
        <w:tc>
          <w:tcPr>
            <w:tcW w:w="1704" w:type="dxa"/>
            <w:tcBorders>
              <w:top w:val="single" w:sz="12" w:space="0" w:color="000000"/>
            </w:tcBorders>
            <w:shd w:val="clear" w:color="auto" w:fill="auto"/>
          </w:tcPr>
          <w:p w:rsidR="001F6C64" w:rsidRPr="007B4509" w:rsidRDefault="001F6C64" w:rsidP="001E2413">
            <w:pPr>
              <w:pStyle w:val="TableCell"/>
              <w:jc w:val="right"/>
              <w:rPr>
                <w:sz w:val="20"/>
                <w:szCs w:val="20"/>
                <w:lang w:val="en-US"/>
              </w:rPr>
            </w:pPr>
            <w:r>
              <w:rPr>
                <w:sz w:val="20"/>
                <w:szCs w:val="20"/>
                <w:lang w:val="en-US"/>
              </w:rPr>
              <w:t>65%</w:t>
            </w:r>
          </w:p>
        </w:tc>
      </w:tr>
      <w:tr w:rsidR="001F6C64" w:rsidRPr="007B4509">
        <w:tblPrEx>
          <w:tblCellMar>
            <w:top w:w="0" w:type="dxa"/>
            <w:bottom w:w="0" w:type="dxa"/>
          </w:tblCellMar>
        </w:tblPrEx>
        <w:tc>
          <w:tcPr>
            <w:tcW w:w="1703" w:type="dxa"/>
            <w:shd w:val="clear" w:color="auto" w:fill="auto"/>
          </w:tcPr>
          <w:p w:rsidR="001F6C64" w:rsidRPr="007B4509" w:rsidRDefault="001F6C64" w:rsidP="001E2413">
            <w:pPr>
              <w:pStyle w:val="TableRowHead"/>
              <w:rPr>
                <w:sz w:val="20"/>
                <w:szCs w:val="20"/>
                <w:lang w:val="en-US"/>
              </w:rPr>
            </w:pPr>
            <w:r w:rsidRPr="007B4509">
              <w:rPr>
                <w:sz w:val="20"/>
                <w:szCs w:val="20"/>
                <w:lang w:val="en-US"/>
              </w:rPr>
              <w:t>Intellectual Disability</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100,000</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19%</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4,6</w:t>
            </w:r>
          </w:p>
        </w:tc>
        <w:tc>
          <w:tcPr>
            <w:tcW w:w="1704" w:type="dxa"/>
            <w:shd w:val="clear" w:color="auto" w:fill="auto"/>
          </w:tcPr>
          <w:p w:rsidR="001F6C64" w:rsidRPr="007B4509" w:rsidRDefault="001F6C64" w:rsidP="001E2413">
            <w:pPr>
              <w:pStyle w:val="TableCell"/>
              <w:jc w:val="right"/>
              <w:rPr>
                <w:sz w:val="20"/>
                <w:szCs w:val="20"/>
                <w:lang w:val="en-US"/>
              </w:rPr>
            </w:pPr>
            <w:r>
              <w:rPr>
                <w:sz w:val="20"/>
                <w:szCs w:val="20"/>
                <w:lang w:val="en-US"/>
              </w:rPr>
              <w:t>26%</w:t>
            </w:r>
          </w:p>
        </w:tc>
      </w:tr>
      <w:tr w:rsidR="001F6C64" w:rsidRPr="007B4509">
        <w:tblPrEx>
          <w:tblCellMar>
            <w:top w:w="0" w:type="dxa"/>
            <w:bottom w:w="0" w:type="dxa"/>
          </w:tblCellMar>
        </w:tblPrEx>
        <w:tc>
          <w:tcPr>
            <w:tcW w:w="1703" w:type="dxa"/>
            <w:shd w:val="clear" w:color="auto" w:fill="auto"/>
          </w:tcPr>
          <w:p w:rsidR="001F6C64" w:rsidRPr="007B4509" w:rsidRDefault="001F6C64" w:rsidP="001E2413">
            <w:pPr>
              <w:pStyle w:val="TableRowHead"/>
              <w:rPr>
                <w:sz w:val="20"/>
                <w:szCs w:val="20"/>
                <w:lang w:val="en-US"/>
              </w:rPr>
            </w:pPr>
            <w:r>
              <w:rPr>
                <w:sz w:val="20"/>
                <w:szCs w:val="20"/>
                <w:lang w:val="en-US"/>
              </w:rPr>
              <w:t>Physical Disability</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15,000</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3%</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0,5</w:t>
            </w:r>
          </w:p>
        </w:tc>
        <w:tc>
          <w:tcPr>
            <w:tcW w:w="1704" w:type="dxa"/>
            <w:shd w:val="clear" w:color="auto" w:fill="auto"/>
          </w:tcPr>
          <w:p w:rsidR="001F6C64" w:rsidRPr="007B4509" w:rsidRDefault="001F6C64" w:rsidP="001E2413">
            <w:pPr>
              <w:pStyle w:val="TableCell"/>
              <w:jc w:val="right"/>
              <w:rPr>
                <w:sz w:val="20"/>
                <w:szCs w:val="20"/>
                <w:lang w:val="en-US"/>
              </w:rPr>
            </w:pPr>
            <w:r>
              <w:rPr>
                <w:sz w:val="20"/>
                <w:szCs w:val="20"/>
                <w:lang w:val="en-US"/>
              </w:rPr>
              <w:t>3%</w:t>
            </w:r>
          </w:p>
        </w:tc>
      </w:tr>
      <w:tr w:rsidR="001F6C64" w:rsidRPr="007B4509">
        <w:tblPrEx>
          <w:tblCellMar>
            <w:top w:w="0" w:type="dxa"/>
            <w:bottom w:w="0" w:type="dxa"/>
          </w:tblCellMar>
        </w:tblPrEx>
        <w:tc>
          <w:tcPr>
            <w:tcW w:w="1703" w:type="dxa"/>
            <w:shd w:val="clear" w:color="auto" w:fill="auto"/>
          </w:tcPr>
          <w:p w:rsidR="001F6C64" w:rsidRPr="007B4509" w:rsidRDefault="001F6C64" w:rsidP="001E2413">
            <w:pPr>
              <w:pStyle w:val="TableRowHead"/>
              <w:rPr>
                <w:sz w:val="20"/>
                <w:szCs w:val="20"/>
                <w:lang w:val="en-US"/>
              </w:rPr>
            </w:pPr>
            <w:r>
              <w:rPr>
                <w:rFonts w:hint="eastAsia"/>
                <w:sz w:val="20"/>
                <w:szCs w:val="20"/>
                <w:lang w:val="en-US"/>
              </w:rPr>
              <w:t>M</w:t>
            </w:r>
            <w:r>
              <w:rPr>
                <w:sz w:val="20"/>
                <w:szCs w:val="20"/>
                <w:lang w:val="en-US"/>
              </w:rPr>
              <w:t>ental Health Difficulties</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50,000</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9%</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1,1</w:t>
            </w:r>
          </w:p>
        </w:tc>
        <w:tc>
          <w:tcPr>
            <w:tcW w:w="1704" w:type="dxa"/>
            <w:shd w:val="clear" w:color="auto" w:fill="auto"/>
          </w:tcPr>
          <w:p w:rsidR="001F6C64" w:rsidRPr="007B4509" w:rsidRDefault="001F6C64" w:rsidP="001E2413">
            <w:pPr>
              <w:pStyle w:val="TableCell"/>
              <w:jc w:val="right"/>
              <w:rPr>
                <w:sz w:val="20"/>
                <w:szCs w:val="20"/>
                <w:lang w:val="en-US"/>
              </w:rPr>
            </w:pPr>
            <w:r>
              <w:rPr>
                <w:sz w:val="20"/>
                <w:szCs w:val="20"/>
                <w:lang w:val="en-US"/>
              </w:rPr>
              <w:t>6%</w:t>
            </w:r>
          </w:p>
        </w:tc>
      </w:tr>
      <w:tr w:rsidR="001F6C64" w:rsidRPr="007B4509">
        <w:tblPrEx>
          <w:tblCellMar>
            <w:top w:w="0" w:type="dxa"/>
            <w:bottom w:w="0" w:type="dxa"/>
          </w:tblCellMar>
        </w:tblPrEx>
        <w:tc>
          <w:tcPr>
            <w:tcW w:w="1703" w:type="dxa"/>
            <w:shd w:val="clear" w:color="auto" w:fill="auto"/>
          </w:tcPr>
          <w:p w:rsidR="001F6C64" w:rsidRPr="007B4509" w:rsidRDefault="001F6C64" w:rsidP="001E2413">
            <w:pPr>
              <w:pStyle w:val="TableRowHead"/>
              <w:rPr>
                <w:sz w:val="20"/>
                <w:szCs w:val="20"/>
                <w:lang w:val="en-US"/>
              </w:rPr>
            </w:pPr>
            <w:r>
              <w:rPr>
                <w:sz w:val="20"/>
                <w:szCs w:val="20"/>
                <w:lang w:val="en-US"/>
              </w:rPr>
              <w:t>Total</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525,000</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100%</w:t>
            </w:r>
          </w:p>
        </w:tc>
        <w:tc>
          <w:tcPr>
            <w:tcW w:w="1703" w:type="dxa"/>
            <w:shd w:val="clear" w:color="auto" w:fill="auto"/>
          </w:tcPr>
          <w:p w:rsidR="001F6C64" w:rsidRPr="007B4509" w:rsidRDefault="001F6C64" w:rsidP="001E2413">
            <w:pPr>
              <w:pStyle w:val="TableCell"/>
              <w:jc w:val="right"/>
              <w:rPr>
                <w:sz w:val="20"/>
                <w:szCs w:val="20"/>
                <w:lang w:val="en-US"/>
              </w:rPr>
            </w:pPr>
            <w:r>
              <w:rPr>
                <w:sz w:val="20"/>
                <w:szCs w:val="20"/>
                <w:lang w:val="en-US"/>
              </w:rPr>
              <w:t>17,6</w:t>
            </w:r>
          </w:p>
        </w:tc>
        <w:tc>
          <w:tcPr>
            <w:tcW w:w="1704" w:type="dxa"/>
            <w:shd w:val="clear" w:color="auto" w:fill="auto"/>
          </w:tcPr>
          <w:p w:rsidR="001F6C64" w:rsidRPr="007B4509" w:rsidRDefault="001F6C64" w:rsidP="001E2413">
            <w:pPr>
              <w:pStyle w:val="TableCell"/>
              <w:jc w:val="right"/>
              <w:rPr>
                <w:sz w:val="20"/>
                <w:szCs w:val="20"/>
                <w:lang w:val="en-US"/>
              </w:rPr>
            </w:pPr>
            <w:r>
              <w:rPr>
                <w:sz w:val="20"/>
                <w:szCs w:val="20"/>
                <w:lang w:val="en-US"/>
              </w:rPr>
              <w:t>100%</w:t>
            </w:r>
          </w:p>
        </w:tc>
      </w:tr>
    </w:tbl>
    <w:p w:rsidR="001F6C64" w:rsidRDefault="001F6C64" w:rsidP="001F6C64">
      <w:pPr>
        <w:rPr>
          <w:rFonts w:cs="Times-Roman"/>
          <w:sz w:val="20"/>
          <w:szCs w:val="22"/>
          <w:lang w:val="en-US" w:bidi="en-US"/>
        </w:rPr>
      </w:pPr>
      <w:r w:rsidRPr="009F761C">
        <w:rPr>
          <w:rFonts w:cs="Times-Roman"/>
          <w:sz w:val="20"/>
          <w:szCs w:val="20"/>
          <w:lang w:val="en-US" w:bidi="en-US"/>
        </w:rPr>
        <w:t>* Excluding about 90,000 clients with a pers</w:t>
      </w:r>
      <w:r>
        <w:rPr>
          <w:rFonts w:cs="Times-Roman"/>
          <w:sz w:val="20"/>
          <w:szCs w:val="20"/>
          <w:lang w:val="en-US" w:bidi="en-US"/>
        </w:rPr>
        <w:t>onal care budget (expenditure 1.</w:t>
      </w:r>
      <w:r w:rsidRPr="009F761C">
        <w:rPr>
          <w:rFonts w:cs="Times-Roman"/>
          <w:sz w:val="20"/>
          <w:szCs w:val="20"/>
          <w:lang w:val="en-US" w:bidi="en-US"/>
        </w:rPr>
        <w:t xml:space="preserve">3 billion euro) </w:t>
      </w:r>
      <w:r w:rsidRPr="009F761C">
        <w:rPr>
          <w:rFonts w:cs="Times-Roman"/>
          <w:sz w:val="20"/>
          <w:szCs w:val="22"/>
          <w:lang w:val="en-US" w:bidi="en-US"/>
        </w:rPr>
        <w:t xml:space="preserve">SER (2008), p.34 </w:t>
      </w:r>
      <w:r>
        <w:rPr>
          <w:rStyle w:val="FootnoteReference"/>
          <w:rFonts w:cs="Times-Roman"/>
          <w:sz w:val="20"/>
          <w:szCs w:val="22"/>
          <w:lang w:bidi="en-US"/>
        </w:rPr>
        <w:footnoteReference w:id="26"/>
      </w:r>
    </w:p>
    <w:p w:rsidR="00116252" w:rsidRDefault="00116252" w:rsidP="00116252">
      <w:pPr>
        <w:pStyle w:val="Heading4"/>
        <w:rPr>
          <w:lang w:val="en-US" w:bidi="en-US"/>
        </w:rPr>
      </w:pPr>
      <w:r>
        <w:rPr>
          <w:lang w:val="en-US" w:bidi="en-US"/>
        </w:rPr>
        <w:t xml:space="preserve">Assessment of Care Needs </w:t>
      </w:r>
    </w:p>
    <w:p w:rsidR="00116252" w:rsidRDefault="00116252" w:rsidP="00116252">
      <w:pPr>
        <w:rPr>
          <w:rFonts w:cs="Times-Roman"/>
          <w:szCs w:val="22"/>
          <w:lang w:val="en-US" w:bidi="en-US"/>
        </w:rPr>
      </w:pPr>
      <w:r>
        <w:rPr>
          <w:rFonts w:cs="Times-Roman"/>
          <w:szCs w:val="22"/>
          <w:lang w:val="en-US" w:bidi="en-US"/>
        </w:rPr>
        <w:t xml:space="preserve">As detailed in the diagram below the CIZ assessment process  for </w:t>
      </w:r>
      <w:r>
        <w:rPr>
          <w:lang w:val="en-US" w:bidi="en-US"/>
        </w:rPr>
        <w:t>Long Term Care Insurance</w:t>
      </w:r>
      <w:r w:rsidRPr="00D31D4D">
        <w:rPr>
          <w:lang w:val="en-US" w:bidi="en-US"/>
        </w:rPr>
        <w:t xml:space="preserve"> </w:t>
      </w:r>
      <w:r>
        <w:rPr>
          <w:lang w:val="en-US" w:bidi="en-US"/>
        </w:rPr>
        <w:t>(</w:t>
      </w:r>
      <w:r>
        <w:rPr>
          <w:rFonts w:cs="Times-Roman"/>
          <w:szCs w:val="22"/>
          <w:lang w:val="en-US" w:bidi="en-US"/>
        </w:rPr>
        <w:t xml:space="preserve">AWBZ) is quite a detailed one. </w:t>
      </w:r>
    </w:p>
    <w:p w:rsidR="00116252" w:rsidRDefault="00116252" w:rsidP="007D4753">
      <w:pPr>
        <w:pStyle w:val="ListBullet"/>
        <w:rPr>
          <w:lang w:val="en-US" w:bidi="en-US"/>
        </w:rPr>
      </w:pPr>
      <w:r>
        <w:rPr>
          <w:lang w:val="en-US" w:bidi="en-US"/>
        </w:rPr>
        <w:t xml:space="preserve">Step 1: CIZ examines what supports  i.e. income, disability benefits, care supports. </w:t>
      </w:r>
    </w:p>
    <w:p w:rsidR="00116252" w:rsidRDefault="00116252" w:rsidP="007D4753">
      <w:pPr>
        <w:pStyle w:val="ListBullet"/>
        <w:rPr>
          <w:lang w:val="en-US" w:bidi="en-US"/>
        </w:rPr>
      </w:pPr>
      <w:r>
        <w:rPr>
          <w:lang w:val="en-US" w:bidi="en-US"/>
        </w:rPr>
        <w:t>Step 2: CIZ analyses the various ways in which the care needs of a person maybe met. The CIZ will look at services that are not covered by Long Term Care Insurance</w:t>
      </w:r>
      <w:r w:rsidRPr="00D31D4D">
        <w:rPr>
          <w:lang w:val="en-US" w:bidi="en-US"/>
        </w:rPr>
        <w:t xml:space="preserve"> </w:t>
      </w:r>
      <w:r>
        <w:rPr>
          <w:lang w:val="en-US" w:bidi="en-US"/>
        </w:rPr>
        <w:t>(AWBZ) such as home delivery of shopping, childcare etc.</w:t>
      </w:r>
    </w:p>
    <w:p w:rsidR="00116252" w:rsidRDefault="00116252" w:rsidP="007D4753">
      <w:pPr>
        <w:pStyle w:val="ListBullet"/>
        <w:rPr>
          <w:lang w:val="en-US" w:bidi="en-US"/>
        </w:rPr>
      </w:pPr>
      <w:r>
        <w:rPr>
          <w:lang w:val="en-US" w:bidi="en-US"/>
        </w:rPr>
        <w:t>Step 3: CIZ determines the  gross need for Long Term Care Insurance</w:t>
      </w:r>
      <w:r w:rsidRPr="00D31D4D">
        <w:rPr>
          <w:lang w:val="en-US" w:bidi="en-US"/>
        </w:rPr>
        <w:t xml:space="preserve"> </w:t>
      </w:r>
      <w:r>
        <w:rPr>
          <w:lang w:val="en-US" w:bidi="en-US"/>
        </w:rPr>
        <w:t>(AWBZ) regarding the type of care that is necessary and the delivery of care i.e.  Does the person need 24 hour care?</w:t>
      </w:r>
    </w:p>
    <w:p w:rsidR="00116252" w:rsidRDefault="00116252" w:rsidP="007D4753">
      <w:pPr>
        <w:pStyle w:val="ListBullet"/>
        <w:rPr>
          <w:lang w:val="en-US" w:bidi="en-US"/>
        </w:rPr>
      </w:pPr>
      <w:r>
        <w:rPr>
          <w:lang w:val="en-US" w:bidi="en-US"/>
        </w:rPr>
        <w:t>Step 4: If the CIZ determines that a person  is eligible for Long Term Care Insurance</w:t>
      </w:r>
      <w:r w:rsidRPr="00D31D4D">
        <w:rPr>
          <w:lang w:val="en-US" w:bidi="en-US"/>
        </w:rPr>
        <w:t xml:space="preserve"> </w:t>
      </w:r>
      <w:r>
        <w:rPr>
          <w:lang w:val="en-US" w:bidi="en-US"/>
        </w:rPr>
        <w:t>(AWBZ) the next decision is whether the person receives residential care in an institution or care in the home. The CIZ will discuss the options with the recipient of Long Term Care Insurance</w:t>
      </w:r>
      <w:r w:rsidRPr="00D31D4D">
        <w:rPr>
          <w:lang w:val="en-US" w:bidi="en-US"/>
        </w:rPr>
        <w:t xml:space="preserve"> </w:t>
      </w:r>
      <w:r>
        <w:rPr>
          <w:lang w:val="en-US" w:bidi="en-US"/>
        </w:rPr>
        <w:t>(AWBZ).  If a person wishes to receive care in their home rather than go to a residential home than   the person can try for "Full package at home".  This means that the person can get the same care in their home if it can be arranged at the same cost.  However sometimes this can be difficult and some providers are not obliged to deliver this care</w:t>
      </w:r>
      <w:r>
        <w:rPr>
          <w:rStyle w:val="FootnoteReference"/>
          <w:rFonts w:cs="Times-Roman"/>
          <w:szCs w:val="22"/>
          <w:lang w:val="en-US" w:bidi="en-US"/>
        </w:rPr>
        <w:footnoteReference w:id="27"/>
      </w:r>
      <w:r>
        <w:rPr>
          <w:lang w:val="en-US" w:bidi="en-US"/>
        </w:rPr>
        <w:t>.</w:t>
      </w:r>
    </w:p>
    <w:p w:rsidR="00234105" w:rsidRDefault="00E97C35" w:rsidP="00602583">
      <w:pPr>
        <w:rPr>
          <w:rFonts w:cs="Times-Roman"/>
          <w:b/>
          <w:szCs w:val="22"/>
          <w:lang w:val="en-US" w:bidi="en-US"/>
        </w:rPr>
      </w:pPr>
      <w:r>
        <w:rPr>
          <w:rFonts w:cs="Times-Roman"/>
          <w:noProof/>
          <w:szCs w:val="22"/>
          <w:lang w:eastAsia="en-IE"/>
        </w:rPr>
        <mc:AlternateContent>
          <mc:Choice Requires="wpg">
            <w:drawing>
              <wp:anchor distT="0" distB="0" distL="114300" distR="114300" simplePos="0" relativeHeight="251657216" behindDoc="0" locked="0" layoutInCell="1" allowOverlap="1">
                <wp:simplePos x="0" y="0"/>
                <wp:positionH relativeFrom="column">
                  <wp:posOffset>-520065</wp:posOffset>
                </wp:positionH>
                <wp:positionV relativeFrom="paragraph">
                  <wp:posOffset>459740</wp:posOffset>
                </wp:positionV>
                <wp:extent cx="6629400" cy="5715000"/>
                <wp:effectExtent l="22860" t="12065" r="15240" b="16510"/>
                <wp:wrapNone/>
                <wp:docPr id="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629400" cy="5715000"/>
                          <a:chOff x="1248" y="240"/>
                          <a:chExt cx="4176" cy="3600"/>
                        </a:xfrm>
                      </wpg:grpSpPr>
                      <wps:wsp>
                        <wps:cNvPr id="8" name="Pyr1"/>
                        <wps:cNvSpPr>
                          <a:spLocks noEditPoints="1" noChangeArrowheads="1"/>
                        </wps:cNvSpPr>
                        <wps:spPr bwMode="auto">
                          <a:xfrm>
                            <a:off x="2873" y="240"/>
                            <a:ext cx="936" cy="798"/>
                          </a:xfrm>
                          <a:custGeom>
                            <a:avLst/>
                            <a:gdLst>
                              <a:gd name="T0" fmla="*/ 10800 w 21600"/>
                              <a:gd name="T1" fmla="*/ 0 h 21600"/>
                              <a:gd name="T2" fmla="*/ 21600 w 21600"/>
                              <a:gd name="T3" fmla="*/ 21600 h 21600"/>
                              <a:gd name="T4" fmla="*/ 0 w 21600"/>
                              <a:gd name="T5" fmla="*/ 21600 h 21600"/>
                              <a:gd name="T6" fmla="*/ 5400 w 21600"/>
                              <a:gd name="T7" fmla="*/ 11800 h 21600"/>
                              <a:gd name="T8" fmla="*/ 16200 w 21600"/>
                              <a:gd name="T9" fmla="*/ 20600 h 21600"/>
                            </a:gdLst>
                            <a:ahLst/>
                            <a:cxnLst>
                              <a:cxn ang="0">
                                <a:pos x="T0" y="T1"/>
                              </a:cxn>
                              <a:cxn ang="0">
                                <a:pos x="T2" y="T3"/>
                              </a:cxn>
                              <a:cxn ang="0">
                                <a:pos x="T4" y="T5"/>
                              </a:cxn>
                            </a:cxnLst>
                            <a:rect l="T6" t="T7" r="T8" b="T9"/>
                            <a:pathLst>
                              <a:path w="21600" h="21600">
                                <a:moveTo>
                                  <a:pt x="10800" y="0"/>
                                </a:moveTo>
                                <a:lnTo>
                                  <a:pt x="21600" y="21600"/>
                                </a:lnTo>
                                <a:lnTo>
                                  <a:pt x="0" y="21600"/>
                                </a:lnTo>
                                <a:lnTo>
                                  <a:pt x="10800" y="0"/>
                                </a:lnTo>
                                <a:close/>
                              </a:path>
                            </a:pathLst>
                          </a:custGeom>
                          <a:solidFill>
                            <a:srgbClr val="D8EBB3"/>
                          </a:solidFill>
                          <a:ln w="9525">
                            <a:solidFill>
                              <a:srgbClr val="000000"/>
                            </a:solidFill>
                            <a:miter lim="800000"/>
                            <a:headEnd/>
                            <a:tailEnd/>
                          </a:ln>
                        </wps:spPr>
                        <wps:txbx>
                          <w:txbxContent>
                            <w:p w:rsidR="00EB278C" w:rsidRPr="004E0DDC" w:rsidRDefault="00EB278C" w:rsidP="001F6C64">
                              <w:pPr>
                                <w:rPr>
                                  <w:sz w:val="20"/>
                                  <w:szCs w:val="20"/>
                                </w:rPr>
                              </w:pPr>
                              <w:r>
                                <w:rPr>
                                  <w:sz w:val="20"/>
                                  <w:szCs w:val="20"/>
                                </w:rPr>
                                <w:t>AWBZ  needed</w:t>
                              </w:r>
                            </w:p>
                          </w:txbxContent>
                        </wps:txbx>
                        <wps:bodyPr rot="0" vert="horz" wrap="square" lIns="91440" tIns="45720" rIns="91440" bIns="45720" anchor="t" anchorCtr="0" upright="1">
                          <a:noAutofit/>
                        </wps:bodyPr>
                      </wps:wsp>
                      <wps:wsp>
                        <wps:cNvPr id="9" name="Pyr2"/>
                        <wps:cNvSpPr>
                          <a:spLocks noEditPoints="1" noChangeArrowheads="1"/>
                        </wps:cNvSpPr>
                        <wps:spPr bwMode="auto">
                          <a:xfrm>
                            <a:off x="2331" y="1038"/>
                            <a:ext cx="2015" cy="936"/>
                          </a:xfrm>
                          <a:custGeom>
                            <a:avLst/>
                            <a:gdLst>
                              <a:gd name="T0" fmla="*/ 5787 w 21600"/>
                              <a:gd name="T1" fmla="*/ 0 h 21600"/>
                              <a:gd name="T2" fmla="*/ 15812 w 21600"/>
                              <a:gd name="T3" fmla="*/ 0 h 21600"/>
                              <a:gd name="T4" fmla="*/ 21600 w 21600"/>
                              <a:gd name="T5" fmla="*/ 21600 h 21600"/>
                              <a:gd name="T6" fmla="*/ 0 w 21600"/>
                              <a:gd name="T7" fmla="*/ 21600 h 21600"/>
                              <a:gd name="T8" fmla="*/ 5787 w 21600"/>
                              <a:gd name="T9" fmla="*/ 500 h 21600"/>
                              <a:gd name="T10" fmla="*/ 15812 w 21600"/>
                              <a:gd name="T11" fmla="*/ 21100 h 21600"/>
                            </a:gdLst>
                            <a:ahLst/>
                            <a:cxnLst>
                              <a:cxn ang="0">
                                <a:pos x="T0" y="T1"/>
                              </a:cxn>
                              <a:cxn ang="0">
                                <a:pos x="T2" y="T3"/>
                              </a:cxn>
                              <a:cxn ang="0">
                                <a:pos x="T4" y="T5"/>
                              </a:cxn>
                              <a:cxn ang="0">
                                <a:pos x="T6" y="T7"/>
                              </a:cxn>
                            </a:cxnLst>
                            <a:rect l="T8" t="T9" r="T10" b="T11"/>
                            <a:pathLst>
                              <a:path w="21600" h="21600">
                                <a:moveTo>
                                  <a:pt x="5787" y="0"/>
                                </a:moveTo>
                                <a:lnTo>
                                  <a:pt x="15812" y="0"/>
                                </a:lnTo>
                                <a:lnTo>
                                  <a:pt x="21600" y="21600"/>
                                </a:lnTo>
                                <a:lnTo>
                                  <a:pt x="0" y="21600"/>
                                </a:lnTo>
                                <a:lnTo>
                                  <a:pt x="5787" y="0"/>
                                </a:lnTo>
                                <a:close/>
                              </a:path>
                            </a:pathLst>
                          </a:custGeom>
                          <a:solidFill>
                            <a:srgbClr val="CCCCFF"/>
                          </a:solidFill>
                          <a:ln w="9525">
                            <a:solidFill>
                              <a:srgbClr val="000000"/>
                            </a:solidFill>
                            <a:miter lim="800000"/>
                            <a:headEnd/>
                            <a:tailEnd/>
                          </a:ln>
                        </wps:spPr>
                        <wps:txbx>
                          <w:txbxContent>
                            <w:p w:rsidR="00EB278C" w:rsidRPr="009E6C28" w:rsidRDefault="00EB278C" w:rsidP="001F6C64">
                              <w:pPr>
                                <w:pStyle w:val="ListBullet"/>
                                <w:numPr>
                                  <w:ilvl w:val="0"/>
                                  <w:numId w:val="0"/>
                                </w:numPr>
                                <w:rPr>
                                  <w:sz w:val="20"/>
                                  <w:szCs w:val="20"/>
                                </w:rPr>
                              </w:pPr>
                              <w:r w:rsidRPr="009E6C28">
                                <w:rPr>
                                  <w:sz w:val="20"/>
                                  <w:szCs w:val="20"/>
                                </w:rPr>
                                <w:t>Step 3</w:t>
                              </w:r>
                            </w:p>
                            <w:p w:rsidR="00EB278C" w:rsidRDefault="00EB278C" w:rsidP="001F6C64">
                              <w:pPr>
                                <w:pStyle w:val="ListBullet"/>
                                <w:numPr>
                                  <w:ilvl w:val="0"/>
                                  <w:numId w:val="0"/>
                                </w:numPr>
                                <w:rPr>
                                  <w:sz w:val="20"/>
                                  <w:szCs w:val="20"/>
                                </w:rPr>
                              </w:pPr>
                              <w:r>
                                <w:rPr>
                                  <w:sz w:val="20"/>
                                  <w:szCs w:val="20"/>
                                </w:rPr>
                                <w:t>CIZ g</w:t>
                              </w:r>
                              <w:r w:rsidRPr="009E6C28">
                                <w:rPr>
                                  <w:sz w:val="20"/>
                                  <w:szCs w:val="20"/>
                                </w:rPr>
                                <w:t>ross determination of Need</w:t>
                              </w:r>
                              <w:r>
                                <w:rPr>
                                  <w:sz w:val="20"/>
                                  <w:szCs w:val="20"/>
                                </w:rPr>
                                <w:t xml:space="preserve"> for AWBZ care</w:t>
                              </w:r>
                            </w:p>
                            <w:p w:rsidR="00EB278C" w:rsidRPr="009E6C28" w:rsidRDefault="00EB278C" w:rsidP="001F6C64">
                              <w:pPr>
                                <w:pStyle w:val="ListBullet"/>
                                <w:numPr>
                                  <w:ilvl w:val="0"/>
                                  <w:numId w:val="0"/>
                                </w:numPr>
                                <w:rPr>
                                  <w:sz w:val="20"/>
                                  <w:szCs w:val="20"/>
                                </w:rPr>
                              </w:pPr>
                              <w:r>
                                <w:rPr>
                                  <w:sz w:val="20"/>
                                  <w:szCs w:val="20"/>
                                </w:rPr>
                                <w:t xml:space="preserve">Type of care needed, Frequency of care : daily, every two days etc </w:t>
                              </w:r>
                            </w:p>
                            <w:p w:rsidR="00EB278C" w:rsidRPr="009E6C28" w:rsidRDefault="00EB278C" w:rsidP="001F6C64">
                              <w:pPr>
                                <w:rPr>
                                  <w:sz w:val="20"/>
                                  <w:szCs w:val="20"/>
                                </w:rPr>
                              </w:pPr>
                            </w:p>
                          </w:txbxContent>
                        </wps:txbx>
                        <wps:bodyPr rot="0" vert="horz" wrap="square" lIns="91440" tIns="45720" rIns="91440" bIns="45720" anchor="t" anchorCtr="0" upright="1">
                          <a:noAutofit/>
                        </wps:bodyPr>
                      </wps:wsp>
                      <wps:wsp>
                        <wps:cNvPr id="10" name="Pyr3"/>
                        <wps:cNvSpPr>
                          <a:spLocks noEditPoints="1" noChangeArrowheads="1"/>
                        </wps:cNvSpPr>
                        <wps:spPr bwMode="auto">
                          <a:xfrm>
                            <a:off x="1795" y="1974"/>
                            <a:ext cx="3087" cy="935"/>
                          </a:xfrm>
                          <a:custGeom>
                            <a:avLst/>
                            <a:gdLst>
                              <a:gd name="T0" fmla="*/ 3768 w 21600"/>
                              <a:gd name="T1" fmla="*/ 0 h 21600"/>
                              <a:gd name="T2" fmla="*/ 17831 w 21600"/>
                              <a:gd name="T3" fmla="*/ 0 h 21600"/>
                              <a:gd name="T4" fmla="*/ 21600 w 21600"/>
                              <a:gd name="T5" fmla="*/ 21600 h 21600"/>
                              <a:gd name="T6" fmla="*/ 0 w 21600"/>
                              <a:gd name="T7" fmla="*/ 21600 h 21600"/>
                              <a:gd name="T8" fmla="*/ 5287 w 21600"/>
                              <a:gd name="T9" fmla="*/ 500 h 21600"/>
                              <a:gd name="T10" fmla="*/ 16312 w 21600"/>
                              <a:gd name="T11" fmla="*/ 21100 h 21600"/>
                            </a:gdLst>
                            <a:ahLst/>
                            <a:cxnLst>
                              <a:cxn ang="0">
                                <a:pos x="T0" y="T1"/>
                              </a:cxn>
                              <a:cxn ang="0">
                                <a:pos x="T2" y="T3"/>
                              </a:cxn>
                              <a:cxn ang="0">
                                <a:pos x="T4" y="T5"/>
                              </a:cxn>
                              <a:cxn ang="0">
                                <a:pos x="T6" y="T7"/>
                              </a:cxn>
                            </a:cxnLst>
                            <a:rect l="T8" t="T9" r="T10" b="T11"/>
                            <a:pathLst>
                              <a:path w="21600" h="21600">
                                <a:moveTo>
                                  <a:pt x="3768" y="0"/>
                                </a:moveTo>
                                <a:lnTo>
                                  <a:pt x="17831" y="0"/>
                                </a:lnTo>
                                <a:lnTo>
                                  <a:pt x="21600" y="21600"/>
                                </a:lnTo>
                                <a:lnTo>
                                  <a:pt x="0" y="21600"/>
                                </a:lnTo>
                                <a:lnTo>
                                  <a:pt x="3768" y="0"/>
                                </a:lnTo>
                                <a:close/>
                              </a:path>
                            </a:pathLst>
                          </a:custGeom>
                          <a:solidFill>
                            <a:srgbClr val="FFBE7D"/>
                          </a:solidFill>
                          <a:ln w="9525">
                            <a:solidFill>
                              <a:srgbClr val="000000"/>
                            </a:solidFill>
                            <a:miter lim="800000"/>
                            <a:headEnd/>
                            <a:tailEnd/>
                          </a:ln>
                        </wps:spPr>
                        <wps:txbx>
                          <w:txbxContent>
                            <w:p w:rsidR="00EB278C" w:rsidRPr="0030772E" w:rsidRDefault="00EB278C" w:rsidP="001F6C64">
                              <w:pPr>
                                <w:pStyle w:val="ListBullet"/>
                                <w:numPr>
                                  <w:ilvl w:val="0"/>
                                  <w:numId w:val="0"/>
                                </w:numPr>
                                <w:rPr>
                                  <w:sz w:val="20"/>
                                  <w:szCs w:val="20"/>
                                </w:rPr>
                              </w:pPr>
                              <w:r w:rsidRPr="0030772E">
                                <w:rPr>
                                  <w:sz w:val="20"/>
                                  <w:szCs w:val="20"/>
                                </w:rPr>
                                <w:t>Step 2</w:t>
                              </w:r>
                            </w:p>
                            <w:p w:rsidR="00EB278C" w:rsidRDefault="00EB278C" w:rsidP="001F6C64">
                              <w:pPr>
                                <w:pStyle w:val="ListBullet"/>
                                <w:numPr>
                                  <w:ilvl w:val="0"/>
                                  <w:numId w:val="0"/>
                                </w:numPr>
                                <w:rPr>
                                  <w:sz w:val="20"/>
                                  <w:szCs w:val="20"/>
                                </w:rPr>
                              </w:pPr>
                              <w:r w:rsidRPr="0030772E">
                                <w:rPr>
                                  <w:sz w:val="20"/>
                                  <w:szCs w:val="20"/>
                                </w:rPr>
                                <w:t>The CIZ determines how the care needs of the person may be solved</w:t>
                              </w:r>
                              <w:r>
                                <w:rPr>
                                  <w:sz w:val="20"/>
                                  <w:szCs w:val="20"/>
                                </w:rPr>
                                <w:t xml:space="preserve"> via: </w:t>
                              </w:r>
                              <w:r w:rsidRPr="0030772E">
                                <w:rPr>
                                  <w:sz w:val="20"/>
                                  <w:szCs w:val="20"/>
                                </w:rPr>
                                <w:t>Treatment/Rehabilitation/Reactivation</w:t>
                              </w:r>
                              <w:r>
                                <w:rPr>
                                  <w:sz w:val="20"/>
                                  <w:szCs w:val="20"/>
                                </w:rPr>
                                <w:t>, Accommodations to person's environment, use of medical equipment etc,           Respite care, common provisions e.g. (Home delivery of shopping)</w:t>
                              </w:r>
                            </w:p>
                            <w:p w:rsidR="00EB278C" w:rsidRPr="0030772E" w:rsidRDefault="00EB278C" w:rsidP="001F6C64">
                              <w:pPr>
                                <w:pStyle w:val="ListBullet"/>
                                <w:numPr>
                                  <w:ilvl w:val="0"/>
                                  <w:numId w:val="0"/>
                                </w:numPr>
                                <w:rPr>
                                  <w:sz w:val="20"/>
                                  <w:szCs w:val="20"/>
                                </w:rPr>
                              </w:pPr>
                            </w:p>
                            <w:p w:rsidR="00EB278C" w:rsidRPr="0030772E" w:rsidRDefault="00EB278C" w:rsidP="001F6C64">
                              <w:pPr>
                                <w:pStyle w:val="ListBullet"/>
                                <w:numPr>
                                  <w:ilvl w:val="0"/>
                                  <w:numId w:val="0"/>
                                </w:numPr>
                                <w:rPr>
                                  <w:sz w:val="22"/>
                                  <w:szCs w:val="22"/>
                                </w:rPr>
                              </w:pPr>
                            </w:p>
                            <w:p w:rsidR="00EB278C" w:rsidRDefault="00EB278C" w:rsidP="001F6C64"/>
                          </w:txbxContent>
                        </wps:txbx>
                        <wps:bodyPr rot="0" vert="horz" wrap="square" lIns="91440" tIns="45720" rIns="91440" bIns="45720" anchor="t" anchorCtr="0" upright="1">
                          <a:noAutofit/>
                        </wps:bodyPr>
                      </wps:wsp>
                      <wps:wsp>
                        <wps:cNvPr id="11" name="Pyr4"/>
                        <wps:cNvSpPr>
                          <a:spLocks noEditPoints="1" noChangeArrowheads="1"/>
                        </wps:cNvSpPr>
                        <wps:spPr bwMode="auto">
                          <a:xfrm>
                            <a:off x="1248" y="2904"/>
                            <a:ext cx="4176" cy="936"/>
                          </a:xfrm>
                          <a:custGeom>
                            <a:avLst/>
                            <a:gdLst>
                              <a:gd name="T0" fmla="*/ 2793 w 21600"/>
                              <a:gd name="T1" fmla="*/ 0 h 21600"/>
                              <a:gd name="T2" fmla="*/ 18806 w 21600"/>
                              <a:gd name="T3" fmla="*/ 0 h 21600"/>
                              <a:gd name="T4" fmla="*/ 21600 w 21600"/>
                              <a:gd name="T5" fmla="*/ 21600 h 21600"/>
                              <a:gd name="T6" fmla="*/ 0 w 21600"/>
                              <a:gd name="T7" fmla="*/ 21600 h 21600"/>
                              <a:gd name="T8" fmla="*/ 3287 w 21600"/>
                              <a:gd name="T9" fmla="*/ 500 h 21600"/>
                              <a:gd name="T10" fmla="*/ 17312 w 21600"/>
                              <a:gd name="T11" fmla="*/ 21100 h 21600"/>
                            </a:gdLst>
                            <a:ahLst/>
                            <a:cxnLst>
                              <a:cxn ang="0">
                                <a:pos x="T0" y="T1"/>
                              </a:cxn>
                              <a:cxn ang="0">
                                <a:pos x="T2" y="T3"/>
                              </a:cxn>
                              <a:cxn ang="0">
                                <a:pos x="T4" y="T5"/>
                              </a:cxn>
                              <a:cxn ang="0">
                                <a:pos x="T6" y="T7"/>
                              </a:cxn>
                            </a:cxnLst>
                            <a:rect l="T8" t="T9" r="T10" b="T11"/>
                            <a:pathLst>
                              <a:path w="21600" h="21600">
                                <a:moveTo>
                                  <a:pt x="2793" y="0"/>
                                </a:moveTo>
                                <a:lnTo>
                                  <a:pt x="18806" y="0"/>
                                </a:lnTo>
                                <a:lnTo>
                                  <a:pt x="21600" y="21600"/>
                                </a:lnTo>
                                <a:lnTo>
                                  <a:pt x="0" y="21600"/>
                                </a:lnTo>
                                <a:lnTo>
                                  <a:pt x="2793" y="0"/>
                                </a:lnTo>
                                <a:close/>
                              </a:path>
                            </a:pathLst>
                          </a:custGeom>
                          <a:solidFill>
                            <a:srgbClr val="FFFFCC"/>
                          </a:solidFill>
                          <a:ln w="9525">
                            <a:solidFill>
                              <a:srgbClr val="000000"/>
                            </a:solidFill>
                            <a:miter lim="800000"/>
                            <a:headEnd/>
                            <a:tailEnd/>
                          </a:ln>
                        </wps:spPr>
                        <wps:txbx>
                          <w:txbxContent>
                            <w:p w:rsidR="00EB278C" w:rsidRPr="0030772E" w:rsidRDefault="00EB278C" w:rsidP="001F6C64">
                              <w:pPr>
                                <w:pStyle w:val="ListBullet"/>
                                <w:numPr>
                                  <w:ilvl w:val="0"/>
                                  <w:numId w:val="0"/>
                                </w:numPr>
                                <w:rPr>
                                  <w:sz w:val="20"/>
                                  <w:szCs w:val="20"/>
                                </w:rPr>
                              </w:pPr>
                              <w:r w:rsidRPr="0030772E">
                                <w:rPr>
                                  <w:sz w:val="22"/>
                                  <w:szCs w:val="22"/>
                                </w:rPr>
                                <w:t xml:space="preserve"> </w:t>
                              </w:r>
                              <w:r w:rsidRPr="0030772E">
                                <w:rPr>
                                  <w:sz w:val="20"/>
                                  <w:szCs w:val="20"/>
                                </w:rPr>
                                <w:t>Step 1</w:t>
                              </w:r>
                            </w:p>
                            <w:p w:rsidR="00EB278C" w:rsidRPr="0030772E" w:rsidRDefault="00EB278C" w:rsidP="001F6C64">
                              <w:pPr>
                                <w:pStyle w:val="ListBullet"/>
                                <w:rPr>
                                  <w:sz w:val="20"/>
                                  <w:szCs w:val="20"/>
                                </w:rPr>
                              </w:pPr>
                              <w:r w:rsidRPr="0030772E">
                                <w:rPr>
                                  <w:rStyle w:val="ListBulletChar"/>
                                  <w:sz w:val="20"/>
                                  <w:szCs w:val="20"/>
                                </w:rPr>
                                <w:t>CIZ examines the type of disability a person has</w:t>
                              </w:r>
                              <w:r w:rsidRPr="0030772E">
                                <w:rPr>
                                  <w:sz w:val="20"/>
                                  <w:szCs w:val="20"/>
                                </w:rPr>
                                <w:t xml:space="preserve"> </w:t>
                              </w:r>
                            </w:p>
                            <w:p w:rsidR="00EB278C" w:rsidRPr="0030772E" w:rsidRDefault="00EB278C" w:rsidP="001F6C64">
                              <w:pPr>
                                <w:pStyle w:val="ListBullet"/>
                                <w:rPr>
                                  <w:sz w:val="20"/>
                                  <w:szCs w:val="20"/>
                                </w:rPr>
                              </w:pPr>
                              <w:r w:rsidRPr="0030772E">
                                <w:rPr>
                                  <w:sz w:val="20"/>
                                  <w:szCs w:val="20"/>
                                </w:rPr>
                                <w:t>The type of care that the person can access, whether it is provided  by a family member and/or a professional carer</w:t>
                              </w:r>
                            </w:p>
                            <w:p w:rsidR="00EB278C" w:rsidRPr="0030772E" w:rsidRDefault="00EB278C" w:rsidP="001F6C64">
                              <w:pPr>
                                <w:pStyle w:val="ListBullet"/>
                                <w:rPr>
                                  <w:sz w:val="20"/>
                                  <w:szCs w:val="20"/>
                                </w:rPr>
                              </w:pPr>
                              <w:r w:rsidRPr="0030772E">
                                <w:rPr>
                                  <w:sz w:val="20"/>
                                  <w:szCs w:val="20"/>
                                </w:rPr>
                                <w:t>Existing provisions for living whether a person is receiving social  assistan</w:t>
                              </w:r>
                              <w:r>
                                <w:rPr>
                                  <w:sz w:val="20"/>
                                  <w:szCs w:val="20"/>
                                </w:rPr>
                                <w:t>ce (disability benefit)</w:t>
                              </w:r>
                              <w:r w:rsidRPr="0030772E">
                                <w:rPr>
                                  <w:sz w:val="20"/>
                                  <w:szCs w:val="20"/>
                                </w:rPr>
                                <w:t xml:space="preserve"> is working etc.                                              </w:t>
                              </w:r>
                            </w:p>
                            <w:p w:rsidR="00EB278C" w:rsidRDefault="00EB278C" w:rsidP="001F6C64">
                              <w:pPr>
                                <w:spacing w:line="240" w:lineRule="auto"/>
                                <w:rPr>
                                  <w:sz w:val="22"/>
                                  <w:szCs w:val="22"/>
                                </w:rPr>
                              </w:pPr>
                              <w:r>
                                <w:rPr>
                                  <w:sz w:val="22"/>
                                  <w:szCs w:val="22"/>
                                </w:rPr>
                                <w:t xml:space="preserve">                                                               </w:t>
                              </w:r>
                            </w:p>
                            <w:p w:rsidR="00EB278C" w:rsidRDefault="00EB278C" w:rsidP="001F6C64">
                              <w:pPr>
                                <w:rPr>
                                  <w:sz w:val="22"/>
                                  <w:szCs w:val="22"/>
                                </w:rPr>
                              </w:pPr>
                            </w:p>
                            <w:p w:rsidR="00EB278C" w:rsidRPr="00234105" w:rsidRDefault="00EB278C" w:rsidP="001F6C64">
                              <w:pPr>
                                <w:rPr>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45" style="position:absolute;margin-left:-40.95pt;margin-top:36.2pt;width:522pt;height:450pt;rotation:180;z-index:251657216;mso-position-horizontal-relative:text;mso-position-vertical-relative:text" coordorigin="1248,240" coordsize="417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">
                <v:shape id="Pyr1" o:spid="_x0000_s1046" style="position:absolute;left:2873;top:240;width:936;height:79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" adj="-11796480,,5400" path="m10800,l21600,21600,,21600,10800,xe" fillcolor="#d8ebb3">
                  <v:stroke joinstyle="miter"/>
                  <v:formulas/>
                  <v:path o:connecttype="custom" o:connectlocs="468,0;936,798;0,798" o:connectangles="0,0,0" textboxrect="5400,11802,16200,20598"/>
                  <o:lock v:ext="edit" verticies="t"/>
                  <v:textbox>
                    <w:txbxContent>
                      <w:p w:rsidR="00EB278C" w:rsidRPr="004E0DDC" w:rsidRDefault="00EB278C" w:rsidP="001F6C64">
                        <w:pPr>
                          <w:rPr>
                            <w:sz w:val="20"/>
                            <w:szCs w:val="20"/>
                          </w:rPr>
                        </w:pPr>
                        <w:r>
                          <w:rPr>
                            <w:sz w:val="20"/>
                            <w:szCs w:val="20"/>
                          </w:rPr>
                          <w:t>AWBZ  needed</w:t>
                        </w:r>
                      </w:p>
                    </w:txbxContent>
                  </v:textbox>
                </v:shape>
                <v:shape id="Pyr2" o:spid="_x0000_s1047" style="position:absolute;left:2331;top:1038;width:2015;height:93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" adj="-11796480,,5400" path="m5787,l15812,r5788,21600l,21600,5787,xe" fillcolor="#ccf">
                  <v:stroke joinstyle="miter"/>
                  <v:formulas/>
                  <v:path o:connecttype="custom" o:connectlocs="540,0;1475,0;2015,936;0,936" o:connectangles="0,0,0,0" textboxrect="5789,508,15811,21092"/>
                  <o:lock v:ext="edit" verticies="t"/>
                  <v:textbox>
                    <w:txbxContent>
                      <w:p w:rsidR="00EB278C" w:rsidRPr="009E6C28" w:rsidRDefault="00EB278C" w:rsidP="001F6C64">
                        <w:pPr>
                          <w:pStyle w:val="ListBullet"/>
                          <w:numPr>
                            <w:ilvl w:val="0"/>
                            <w:numId w:val="0"/>
                          </w:numPr>
                          <w:rPr>
                            <w:sz w:val="20"/>
                            <w:szCs w:val="20"/>
                          </w:rPr>
                        </w:pPr>
                        <w:r w:rsidRPr="009E6C28">
                          <w:rPr>
                            <w:sz w:val="20"/>
                            <w:szCs w:val="20"/>
                          </w:rPr>
                          <w:t>Step 3</w:t>
                        </w:r>
                      </w:p>
                      <w:p w:rsidR="00EB278C" w:rsidRDefault="00EB278C" w:rsidP="001F6C64">
                        <w:pPr>
                          <w:pStyle w:val="ListBullet"/>
                          <w:numPr>
                            <w:ilvl w:val="0"/>
                            <w:numId w:val="0"/>
                          </w:numPr>
                          <w:rPr>
                            <w:sz w:val="20"/>
                            <w:szCs w:val="20"/>
                          </w:rPr>
                        </w:pPr>
                        <w:r>
                          <w:rPr>
                            <w:sz w:val="20"/>
                            <w:szCs w:val="20"/>
                          </w:rPr>
                          <w:t>CIZ g</w:t>
                        </w:r>
                        <w:r w:rsidRPr="009E6C28">
                          <w:rPr>
                            <w:sz w:val="20"/>
                            <w:szCs w:val="20"/>
                          </w:rPr>
                          <w:t>ross determination of Need</w:t>
                        </w:r>
                        <w:r>
                          <w:rPr>
                            <w:sz w:val="20"/>
                            <w:szCs w:val="20"/>
                          </w:rPr>
                          <w:t xml:space="preserve"> for AWBZ care</w:t>
                        </w:r>
                      </w:p>
                      <w:p w:rsidR="00EB278C" w:rsidRPr="009E6C28" w:rsidRDefault="00EB278C" w:rsidP="001F6C64">
                        <w:pPr>
                          <w:pStyle w:val="ListBullet"/>
                          <w:numPr>
                            <w:ilvl w:val="0"/>
                            <w:numId w:val="0"/>
                          </w:numPr>
                          <w:rPr>
                            <w:sz w:val="20"/>
                            <w:szCs w:val="20"/>
                          </w:rPr>
                        </w:pPr>
                        <w:r>
                          <w:rPr>
                            <w:sz w:val="20"/>
                            <w:szCs w:val="20"/>
                          </w:rPr>
                          <w:t xml:space="preserve">Type of care needed, Frequency of care : daily, every two days etc </w:t>
                        </w:r>
                      </w:p>
                      <w:p w:rsidR="00EB278C" w:rsidRPr="009E6C28" w:rsidRDefault="00EB278C" w:rsidP="001F6C64">
                        <w:pPr>
                          <w:rPr>
                            <w:sz w:val="20"/>
                            <w:szCs w:val="20"/>
                          </w:rPr>
                        </w:pPr>
                      </w:p>
                    </w:txbxContent>
                  </v:textbox>
                </v:shape>
                <v:shape id="Pyr3" o:spid="_x0000_s1048" style="position:absolute;left:1795;top:1974;width:3087;height:93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" adj="-11796480,,5400" path="m3768,l17831,r3769,21600l,21600,3768,xe" fillcolor="#ffbe7d">
                  <v:stroke joinstyle="miter"/>
                  <v:formulas/>
                  <v:path o:connecttype="custom" o:connectlocs="539,0;2548,0;3087,935;0,935" o:connectangles="0,0,0,0" textboxrect="5290,508,16310,21092"/>
                  <o:lock v:ext="edit" verticies="t"/>
                  <v:textbox>
                    <w:txbxContent>
                      <w:p w:rsidR="00EB278C" w:rsidRPr="0030772E" w:rsidRDefault="00EB278C" w:rsidP="001F6C64">
                        <w:pPr>
                          <w:pStyle w:val="ListBullet"/>
                          <w:numPr>
                            <w:ilvl w:val="0"/>
                            <w:numId w:val="0"/>
                          </w:numPr>
                          <w:rPr>
                            <w:sz w:val="20"/>
                            <w:szCs w:val="20"/>
                          </w:rPr>
                        </w:pPr>
                        <w:r w:rsidRPr="0030772E">
                          <w:rPr>
                            <w:sz w:val="20"/>
                            <w:szCs w:val="20"/>
                          </w:rPr>
                          <w:t>Step 2</w:t>
                        </w:r>
                      </w:p>
                      <w:p w:rsidR="00EB278C" w:rsidRDefault="00EB278C" w:rsidP="001F6C64">
                        <w:pPr>
                          <w:pStyle w:val="ListBullet"/>
                          <w:numPr>
                            <w:ilvl w:val="0"/>
                            <w:numId w:val="0"/>
                          </w:numPr>
                          <w:rPr>
                            <w:sz w:val="20"/>
                            <w:szCs w:val="20"/>
                          </w:rPr>
                        </w:pPr>
                        <w:r w:rsidRPr="0030772E">
                          <w:rPr>
                            <w:sz w:val="20"/>
                            <w:szCs w:val="20"/>
                          </w:rPr>
                          <w:t>The CIZ determines how the care needs of the person may be solved</w:t>
                        </w:r>
                        <w:r>
                          <w:rPr>
                            <w:sz w:val="20"/>
                            <w:szCs w:val="20"/>
                          </w:rPr>
                          <w:t xml:space="preserve"> via: </w:t>
                        </w:r>
                        <w:r w:rsidRPr="0030772E">
                          <w:rPr>
                            <w:sz w:val="20"/>
                            <w:szCs w:val="20"/>
                          </w:rPr>
                          <w:t>Treatment/Rehabilitation/Reactivation</w:t>
                        </w:r>
                        <w:r>
                          <w:rPr>
                            <w:sz w:val="20"/>
                            <w:szCs w:val="20"/>
                          </w:rPr>
                          <w:t>, Accommodations to person's environment, use of medical equipment etc,           Respite care, common provisions e.g. (Home delivery of shopping)</w:t>
                        </w:r>
                      </w:p>
                      <w:p w:rsidR="00EB278C" w:rsidRPr="0030772E" w:rsidRDefault="00EB278C" w:rsidP="001F6C64">
                        <w:pPr>
                          <w:pStyle w:val="ListBullet"/>
                          <w:numPr>
                            <w:ilvl w:val="0"/>
                            <w:numId w:val="0"/>
                          </w:numPr>
                          <w:rPr>
                            <w:sz w:val="20"/>
                            <w:szCs w:val="20"/>
                          </w:rPr>
                        </w:pPr>
                      </w:p>
                      <w:p w:rsidR="00EB278C" w:rsidRPr="0030772E" w:rsidRDefault="00EB278C" w:rsidP="001F6C64">
                        <w:pPr>
                          <w:pStyle w:val="ListBullet"/>
                          <w:numPr>
                            <w:ilvl w:val="0"/>
                            <w:numId w:val="0"/>
                          </w:numPr>
                          <w:rPr>
                            <w:sz w:val="22"/>
                            <w:szCs w:val="22"/>
                          </w:rPr>
                        </w:pPr>
                      </w:p>
                      <w:p w:rsidR="00EB278C" w:rsidRDefault="00EB278C" w:rsidP="001F6C64"/>
                    </w:txbxContent>
                  </v:textbox>
                </v:shape>
                <v:shape id="Pyr4" o:spid="_x0000_s1049" style="position:absolute;left:1248;top:2904;width:4176;height:93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" adj="-11796480,,5400" path="m2793,l18806,r2794,21600l,21600,2793,xe" fillcolor="#ffc">
                  <v:stroke joinstyle="miter"/>
                  <v:formulas/>
                  <v:path o:connecttype="custom" o:connectlocs="540,0;3636,0;4176,936;0,936" o:connectangles="0,0,0,0" textboxrect="3284,508,17312,21092"/>
                  <o:lock v:ext="edit" verticies="t"/>
                  <v:textbox>
                    <w:txbxContent>
                      <w:p w:rsidR="00EB278C" w:rsidRPr="0030772E" w:rsidRDefault="00EB278C" w:rsidP="001F6C64">
                        <w:pPr>
                          <w:pStyle w:val="ListBullet"/>
                          <w:numPr>
                            <w:ilvl w:val="0"/>
                            <w:numId w:val="0"/>
                          </w:numPr>
                          <w:rPr>
                            <w:sz w:val="20"/>
                            <w:szCs w:val="20"/>
                          </w:rPr>
                        </w:pPr>
                        <w:r w:rsidRPr="0030772E">
                          <w:rPr>
                            <w:sz w:val="22"/>
                            <w:szCs w:val="22"/>
                          </w:rPr>
                          <w:t xml:space="preserve"> </w:t>
                        </w:r>
                        <w:r w:rsidRPr="0030772E">
                          <w:rPr>
                            <w:sz w:val="20"/>
                            <w:szCs w:val="20"/>
                          </w:rPr>
                          <w:t>Step 1</w:t>
                        </w:r>
                      </w:p>
                      <w:p w:rsidR="00EB278C" w:rsidRPr="0030772E" w:rsidRDefault="00EB278C" w:rsidP="001F6C64">
                        <w:pPr>
                          <w:pStyle w:val="ListBullet"/>
                          <w:rPr>
                            <w:sz w:val="20"/>
                            <w:szCs w:val="20"/>
                          </w:rPr>
                        </w:pPr>
                        <w:r w:rsidRPr="0030772E">
                          <w:rPr>
                            <w:rStyle w:val="ListBulletChar"/>
                            <w:sz w:val="20"/>
                            <w:szCs w:val="20"/>
                          </w:rPr>
                          <w:t>CIZ examines the type of disability a person has</w:t>
                        </w:r>
                        <w:r w:rsidRPr="0030772E">
                          <w:rPr>
                            <w:sz w:val="20"/>
                            <w:szCs w:val="20"/>
                          </w:rPr>
                          <w:t xml:space="preserve"> </w:t>
                        </w:r>
                      </w:p>
                      <w:p w:rsidR="00EB278C" w:rsidRPr="0030772E" w:rsidRDefault="00EB278C" w:rsidP="001F6C64">
                        <w:pPr>
                          <w:pStyle w:val="ListBullet"/>
                          <w:rPr>
                            <w:sz w:val="20"/>
                            <w:szCs w:val="20"/>
                          </w:rPr>
                        </w:pPr>
                        <w:r w:rsidRPr="0030772E">
                          <w:rPr>
                            <w:sz w:val="20"/>
                            <w:szCs w:val="20"/>
                          </w:rPr>
                          <w:t>The type of care that the person can access, whether it is provided  by a family member and/or a professional carer</w:t>
                        </w:r>
                      </w:p>
                      <w:p w:rsidR="00EB278C" w:rsidRPr="0030772E" w:rsidRDefault="00EB278C" w:rsidP="001F6C64">
                        <w:pPr>
                          <w:pStyle w:val="ListBullet"/>
                          <w:rPr>
                            <w:sz w:val="20"/>
                            <w:szCs w:val="20"/>
                          </w:rPr>
                        </w:pPr>
                        <w:r w:rsidRPr="0030772E">
                          <w:rPr>
                            <w:sz w:val="20"/>
                            <w:szCs w:val="20"/>
                          </w:rPr>
                          <w:t>Existing provisions for living whether a person is receiving social  assistan</w:t>
                        </w:r>
                        <w:r>
                          <w:rPr>
                            <w:sz w:val="20"/>
                            <w:szCs w:val="20"/>
                          </w:rPr>
                          <w:t>ce (disability benefit)</w:t>
                        </w:r>
                        <w:r w:rsidRPr="0030772E">
                          <w:rPr>
                            <w:sz w:val="20"/>
                            <w:szCs w:val="20"/>
                          </w:rPr>
                          <w:t xml:space="preserve"> is working etc.                                              </w:t>
                        </w:r>
                      </w:p>
                      <w:p w:rsidR="00EB278C" w:rsidRDefault="00EB278C" w:rsidP="001F6C64">
                        <w:pPr>
                          <w:spacing w:line="240" w:lineRule="auto"/>
                          <w:rPr>
                            <w:sz w:val="22"/>
                            <w:szCs w:val="22"/>
                          </w:rPr>
                        </w:pPr>
                        <w:r>
                          <w:rPr>
                            <w:sz w:val="22"/>
                            <w:szCs w:val="22"/>
                          </w:rPr>
                          <w:t xml:space="preserve">                                                               </w:t>
                        </w:r>
                      </w:p>
                      <w:p w:rsidR="00EB278C" w:rsidRDefault="00EB278C" w:rsidP="001F6C64">
                        <w:pPr>
                          <w:rPr>
                            <w:sz w:val="22"/>
                            <w:szCs w:val="22"/>
                          </w:rPr>
                        </w:pPr>
                      </w:p>
                      <w:p w:rsidR="00EB278C" w:rsidRPr="00234105" w:rsidRDefault="00EB278C" w:rsidP="001F6C64">
                        <w:pPr>
                          <w:rPr>
                            <w:sz w:val="22"/>
                            <w:szCs w:val="22"/>
                          </w:rPr>
                        </w:pPr>
                      </w:p>
                    </w:txbxContent>
                  </v:textbox>
                </v:shape>
              </v:group>
            </w:pict>
          </mc:Fallback>
        </mc:AlternateContent>
      </w:r>
      <w:r w:rsidR="009476F4">
        <w:rPr>
          <w:rFonts w:cs="Times-Roman"/>
          <w:b/>
          <w:szCs w:val="22"/>
          <w:lang w:val="en-US" w:bidi="en-US"/>
        </w:rPr>
        <w:t xml:space="preserve">CIZ  Funnel model of </w:t>
      </w:r>
      <w:r w:rsidR="00234105" w:rsidRPr="00372BC6">
        <w:rPr>
          <w:rFonts w:cs="Times-Roman"/>
          <w:b/>
          <w:szCs w:val="22"/>
          <w:lang w:val="en-US" w:bidi="en-US"/>
        </w:rPr>
        <w:t>Assessment for Long Term Care Insurance AWBZ</w:t>
      </w:r>
      <w:r w:rsidR="00116252">
        <w:rPr>
          <w:rStyle w:val="FootnoteReference"/>
          <w:rFonts w:cs="Times-Roman"/>
          <w:b/>
          <w:szCs w:val="22"/>
          <w:lang w:val="en-US" w:bidi="en-US"/>
        </w:rPr>
        <w:footnoteReference w:id="28"/>
      </w:r>
    </w:p>
    <w:p w:rsidR="007D4753" w:rsidRPr="00372BC6" w:rsidRDefault="007D4753" w:rsidP="00602583">
      <w:pPr>
        <w:rPr>
          <w:rFonts w:cs="Times-Roman"/>
          <w:b/>
          <w:szCs w:val="22"/>
          <w:lang w:val="en-US" w:bidi="en-US"/>
        </w:rPr>
      </w:pP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234105" w:rsidRDefault="00E97C35" w:rsidP="00602583">
      <w:pPr>
        <w:rPr>
          <w:rFonts w:cs="Times-Roman"/>
          <w:szCs w:val="22"/>
          <w:lang w:val="en-US" w:bidi="en-US"/>
        </w:rPr>
      </w:pPr>
      <w:r>
        <w:rPr>
          <w:rFonts w:cs="Times-Roman"/>
          <w:noProof/>
          <w:szCs w:val="22"/>
          <w:lang w:eastAsia="en-IE"/>
        </w:rPr>
        <mc:AlternateContent>
          <mc:Choice Requires="wps">
            <w:drawing>
              <wp:anchor distT="0" distB="0" distL="114300" distR="114300" simplePos="0" relativeHeight="251655168" behindDoc="0" locked="0" layoutInCell="1" allowOverlap="1">
                <wp:simplePos x="0" y="0"/>
                <wp:positionH relativeFrom="column">
                  <wp:posOffset>2908935</wp:posOffset>
                </wp:positionH>
                <wp:positionV relativeFrom="paragraph">
                  <wp:posOffset>254000</wp:posOffset>
                </wp:positionV>
                <wp:extent cx="685800" cy="571500"/>
                <wp:effectExtent l="13335" t="6350" r="43815" b="5080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022B"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20pt" to="28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">
                <v:stroke endarrow="block"/>
              </v:line>
            </w:pict>
          </mc:Fallback>
        </mc:AlternateContent>
      </w:r>
      <w:r>
        <w:rPr>
          <w:rFonts w:cs="Times-Roman"/>
          <w:noProof/>
          <w:szCs w:val="22"/>
          <w:lang w:eastAsia="en-IE"/>
        </w:rPr>
        <mc:AlternateContent>
          <mc:Choice Requires="wps">
            <w:drawing>
              <wp:anchor distT="0" distB="0" distL="114300" distR="114300" simplePos="0" relativeHeight="251654144" behindDoc="0" locked="0" layoutInCell="1" allowOverlap="1">
                <wp:simplePos x="0" y="0"/>
                <wp:positionH relativeFrom="column">
                  <wp:posOffset>1485900</wp:posOffset>
                </wp:positionH>
                <wp:positionV relativeFrom="paragraph">
                  <wp:posOffset>263525</wp:posOffset>
                </wp:positionV>
                <wp:extent cx="914400" cy="571500"/>
                <wp:effectExtent l="38100" t="6350" r="9525" b="5080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682CF" id="Line 1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0.75pt" to="189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k6MgIAAFk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">
                <v:stroke endarrow="block"/>
              </v:line>
            </w:pict>
          </mc:Fallback>
        </mc:AlternateContent>
      </w: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234105" w:rsidRDefault="00234105" w:rsidP="00602583">
      <w:pPr>
        <w:rPr>
          <w:rFonts w:cs="Times-Roman"/>
          <w:szCs w:val="22"/>
          <w:lang w:val="en-US" w:bidi="en-US"/>
        </w:rPr>
      </w:pPr>
    </w:p>
    <w:p w:rsidR="00010525" w:rsidRDefault="00010525" w:rsidP="00602583">
      <w:pPr>
        <w:rPr>
          <w:rFonts w:cs="Times-Roman"/>
          <w:szCs w:val="22"/>
          <w:lang w:val="en-US" w:bidi="en-US"/>
        </w:rPr>
      </w:pPr>
    </w:p>
    <w:p w:rsidR="00010525" w:rsidRDefault="00010525" w:rsidP="00602583">
      <w:pPr>
        <w:rPr>
          <w:rFonts w:cs="Times-Roman"/>
          <w:szCs w:val="22"/>
          <w:lang w:val="en-US" w:bidi="en-US"/>
        </w:rPr>
      </w:pPr>
    </w:p>
    <w:p w:rsidR="00010525" w:rsidRDefault="00010525" w:rsidP="00602583">
      <w:pPr>
        <w:rPr>
          <w:rFonts w:cs="Times-Roman"/>
          <w:szCs w:val="22"/>
          <w:lang w:val="en-US" w:bidi="en-US"/>
        </w:rPr>
      </w:pPr>
    </w:p>
    <w:p w:rsidR="00010525" w:rsidRDefault="00010525" w:rsidP="00602583">
      <w:pPr>
        <w:rPr>
          <w:rFonts w:cs="Times-Roman"/>
          <w:szCs w:val="22"/>
          <w:lang w:val="en-US" w:bidi="en-US"/>
        </w:rPr>
      </w:pPr>
    </w:p>
    <w:p w:rsidR="001F6C64" w:rsidRDefault="00E97C35" w:rsidP="00602583">
      <w:pPr>
        <w:rPr>
          <w:rFonts w:cs="Times-Roman"/>
          <w:szCs w:val="22"/>
          <w:lang w:val="en-US" w:bidi="en-US"/>
        </w:rPr>
      </w:pPr>
      <w:r>
        <w:rPr>
          <w:rFonts w:cs="Times-Roman"/>
          <w:noProof/>
          <w:szCs w:val="22"/>
          <w:lang w:eastAsia="en-IE"/>
        </w:rPr>
        <mc:AlternateContent>
          <mc:Choice Requires="wps">
            <w:drawing>
              <wp:anchor distT="0" distB="0" distL="114300" distR="114300" simplePos="0" relativeHeight="251656192" behindDoc="0" locked="0" layoutInCell="1" allowOverlap="1">
                <wp:simplePos x="0" y="0"/>
                <wp:positionH relativeFrom="column">
                  <wp:posOffset>3251835</wp:posOffset>
                </wp:positionH>
                <wp:positionV relativeFrom="paragraph">
                  <wp:posOffset>189230</wp:posOffset>
                </wp:positionV>
                <wp:extent cx="2057400" cy="685800"/>
                <wp:effectExtent l="13335" t="10160" r="5715" b="889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CC99"/>
                        </a:solidFill>
                        <a:ln w="9525">
                          <a:solidFill>
                            <a:srgbClr val="000000"/>
                          </a:solidFill>
                          <a:miter lim="800000"/>
                          <a:headEnd/>
                          <a:tailEnd/>
                        </a:ln>
                      </wps:spPr>
                      <wps:txbx>
                        <w:txbxContent>
                          <w:p w:rsidR="00EB278C" w:rsidRPr="004E0DDC" w:rsidRDefault="00EB278C">
                            <w:pPr>
                              <w:rPr>
                                <w:sz w:val="20"/>
                                <w:szCs w:val="20"/>
                              </w:rPr>
                            </w:pPr>
                            <w:r w:rsidRPr="004E0DDC">
                              <w:rPr>
                                <w:sz w:val="20"/>
                                <w:szCs w:val="20"/>
                              </w:rPr>
                              <w:t>Care</w:t>
                            </w:r>
                            <w:r>
                              <w:rPr>
                                <w:sz w:val="20"/>
                                <w:szCs w:val="20"/>
                              </w:rPr>
                              <w:t xml:space="preserve"> provided within a residential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50" style="position:absolute;margin-left:256.05pt;margin-top:14.9pt;width:1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" fillcolor="#fc9">
                <v:textbox>
                  <w:txbxContent>
                    <w:p w:rsidR="00EB278C" w:rsidRPr="004E0DDC" w:rsidRDefault="00EB278C">
                      <w:pPr>
                        <w:rPr>
                          <w:sz w:val="20"/>
                          <w:szCs w:val="20"/>
                        </w:rPr>
                      </w:pPr>
                      <w:r w:rsidRPr="004E0DDC">
                        <w:rPr>
                          <w:sz w:val="20"/>
                          <w:szCs w:val="20"/>
                        </w:rPr>
                        <w:t>Care</w:t>
                      </w:r>
                      <w:r>
                        <w:rPr>
                          <w:sz w:val="20"/>
                          <w:szCs w:val="20"/>
                        </w:rPr>
                        <w:t xml:space="preserve"> provided within a residential home.</w:t>
                      </w:r>
                    </w:p>
                  </w:txbxContent>
                </v:textbox>
              </v:rect>
            </w:pict>
          </mc:Fallback>
        </mc:AlternateContent>
      </w:r>
    </w:p>
    <w:p w:rsidR="001F6C64" w:rsidRDefault="001F6C64" w:rsidP="00602583">
      <w:pPr>
        <w:rPr>
          <w:rFonts w:cs="Times-Roman"/>
          <w:szCs w:val="22"/>
          <w:lang w:val="en-US" w:bidi="en-US"/>
        </w:rPr>
      </w:pPr>
    </w:p>
    <w:p w:rsidR="001F6C64" w:rsidRDefault="00E97C35" w:rsidP="00602583">
      <w:pPr>
        <w:rPr>
          <w:rFonts w:cs="Times-Roman"/>
          <w:szCs w:val="22"/>
          <w:lang w:val="en-US" w:bidi="en-US"/>
        </w:rPr>
      </w:pPr>
      <w:r>
        <w:rPr>
          <w:rFonts w:cs="Times-Roman"/>
          <w:noProof/>
          <w:szCs w:val="22"/>
          <w:lang w:eastAsia="en-IE"/>
        </w:rPr>
        <mc:AlternateContent>
          <mc:Choice Requires="wpc">
            <w:drawing>
              <wp:inline distT="0" distB="0" distL="0" distR="0">
                <wp:extent cx="5257800" cy="3086100"/>
                <wp:effectExtent l="0" t="635" r="0" b="889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80"/>
                        <wps:cNvCnPr>
                          <a:cxnSpLocks noChangeShapeType="1"/>
                        </wps:cNvCnPr>
                        <wps:spPr bwMode="auto">
                          <a:xfrm flipH="1">
                            <a:off x="2514251" y="2171700"/>
                            <a:ext cx="229299"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81"/>
                        <wps:cNvCnPr>
                          <a:cxnSpLocks noChangeShapeType="1"/>
                        </wps:cNvCnPr>
                        <wps:spPr bwMode="auto">
                          <a:xfrm>
                            <a:off x="2857468" y="2171700"/>
                            <a:ext cx="228568"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20"/>
                        <wps:cNvSpPr>
                          <a:spLocks noChangeArrowheads="1"/>
                        </wps:cNvSpPr>
                        <wps:spPr bwMode="auto">
                          <a:xfrm>
                            <a:off x="228568" y="2400300"/>
                            <a:ext cx="1943195" cy="685800"/>
                          </a:xfrm>
                          <a:prstGeom prst="rect">
                            <a:avLst/>
                          </a:prstGeom>
                          <a:solidFill>
                            <a:srgbClr val="CCFFFF"/>
                          </a:solidFill>
                          <a:ln w="9525">
                            <a:solidFill>
                              <a:srgbClr val="000000"/>
                            </a:solidFill>
                            <a:miter lim="800000"/>
                            <a:headEnd/>
                            <a:tailEnd/>
                          </a:ln>
                        </wps:spPr>
                        <wps:txbx>
                          <w:txbxContent>
                            <w:p w:rsidR="00EB278C" w:rsidRPr="001F6C64" w:rsidRDefault="00EB278C">
                              <w:pPr>
                                <w:rPr>
                                  <w:color w:val="000000"/>
                                  <w:sz w:val="20"/>
                                  <w:szCs w:val="20"/>
                                </w:rPr>
                              </w:pPr>
                              <w:r w:rsidRPr="001F6C64">
                                <w:rPr>
                                  <w:color w:val="000000"/>
                                  <w:sz w:val="20"/>
                                  <w:szCs w:val="20"/>
                                </w:rPr>
                                <w:t>Care provided in the home (outside of the institution)</w:t>
                              </w:r>
                            </w:p>
                          </w:txbxContent>
                        </wps:txbx>
                        <wps:bodyPr rot="0" vert="horz" wrap="square" lIns="91440" tIns="45720" rIns="91440" bIns="45720" anchor="t" anchorCtr="0" upright="1">
                          <a:noAutofit/>
                        </wps:bodyPr>
                      </wps:wsp>
                    </wpc:wpc>
                  </a:graphicData>
                </a:graphic>
              </wp:inline>
            </w:drawing>
          </mc:Choice>
          <mc:Fallback>
            <w:pict>
              <v:group id="Canvas 178" o:spid="_x0000_s1051"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">
                <v:shape id="_x0000_s1052" type="#_x0000_t75" style="position:absolute;width:52578;height:30861;visibility:visible;mso-wrap-style:square">
                  <v:fill o:detectmouseclick="t"/>
                  <v:path o:connecttype="none"/>
                </v:shape>
                <v:line id="Line 180" o:spid="_x0000_s1053" style="position:absolute;flip:x;visibility:visible;mso-wrap-style:square" from="25142,21717" to="27435,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line id="Line 181" o:spid="_x0000_s1054" style="position:absolute;visibility:visible;mso-wrap-style:square" from="28574,21717" to="30860,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rect id="Rectangle 20" o:spid="_x0000_s1055" style="position:absolute;left:2285;top:24003;width:19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" fillcolor="#cff">
                  <v:textbox>
                    <w:txbxContent>
                      <w:p w:rsidR="00EB278C" w:rsidRPr="001F6C64" w:rsidRDefault="00EB278C">
                        <w:pPr>
                          <w:rPr>
                            <w:color w:val="000000"/>
                            <w:sz w:val="20"/>
                            <w:szCs w:val="20"/>
                          </w:rPr>
                        </w:pPr>
                        <w:r w:rsidRPr="001F6C64">
                          <w:rPr>
                            <w:color w:val="000000"/>
                            <w:sz w:val="20"/>
                            <w:szCs w:val="20"/>
                          </w:rPr>
                          <w:t>Care provided in the home (outside of the institution)</w:t>
                        </w:r>
                      </w:p>
                    </w:txbxContent>
                  </v:textbox>
                </v:rect>
                <w10:anchorlock/>
              </v:group>
            </w:pict>
          </mc:Fallback>
        </mc:AlternateContent>
      </w:r>
    </w:p>
    <w:p w:rsidR="00A36D9A" w:rsidRDefault="00A36D9A" w:rsidP="002E1546">
      <w:pPr>
        <w:pStyle w:val="Heading3"/>
        <w:rPr>
          <w:lang w:val="en-US" w:bidi="en-US"/>
        </w:rPr>
        <w:sectPr w:rsidR="00A36D9A">
          <w:footnotePr>
            <w:pos w:val="beneathText"/>
          </w:footnotePr>
          <w:pgSz w:w="11900" w:h="16840"/>
          <w:pgMar w:top="1440" w:right="1800" w:bottom="1440" w:left="1800" w:header="708" w:footer="708" w:gutter="0"/>
          <w:cols w:space="708"/>
        </w:sectPr>
      </w:pPr>
      <w:bookmarkStart w:id="63" w:name="_Toc268689534"/>
      <w:bookmarkStart w:id="64" w:name="_Toc269743634"/>
    </w:p>
    <w:p w:rsidR="002E1546" w:rsidRPr="00A953AC" w:rsidRDefault="002E1546" w:rsidP="002E1546">
      <w:pPr>
        <w:pStyle w:val="Heading3"/>
        <w:rPr>
          <w:lang w:val="en-US" w:bidi="en-US"/>
        </w:rPr>
      </w:pPr>
      <w:bookmarkStart w:id="65" w:name="_Toc286159978"/>
      <w:r w:rsidRPr="00A953AC">
        <w:rPr>
          <w:lang w:val="en-US" w:bidi="en-US"/>
        </w:rPr>
        <w:t>Social Support Insurance</w:t>
      </w:r>
      <w:bookmarkEnd w:id="63"/>
      <w:r>
        <w:rPr>
          <w:lang w:val="en-US" w:bidi="en-US"/>
        </w:rPr>
        <w:t xml:space="preserve"> (WMO)</w:t>
      </w:r>
      <w:bookmarkEnd w:id="64"/>
      <w:bookmarkEnd w:id="65"/>
    </w:p>
    <w:p w:rsidR="002E1546" w:rsidRDefault="002E1546" w:rsidP="00961E2F">
      <w:pPr>
        <w:spacing w:after="120"/>
      </w:pPr>
      <w:r w:rsidRPr="003B37F5">
        <w:t>The Social Support</w:t>
      </w:r>
      <w:r w:rsidR="00CF3946">
        <w:t xml:space="preserve"> Insurance</w:t>
      </w:r>
      <w:r w:rsidRPr="003B37F5">
        <w:t xml:space="preserve"> Act (WMO), </w:t>
      </w:r>
      <w:r>
        <w:t>was implemented in January 2007, as a response to the following issues:</w:t>
      </w:r>
    </w:p>
    <w:p w:rsidR="002E1546" w:rsidRDefault="002E1546" w:rsidP="002E1546">
      <w:pPr>
        <w:pStyle w:val="ListBullet"/>
      </w:pPr>
      <w:r>
        <w:t>As the Dutch population ages, there is an increasing number of elderly people who state that they wish to live in their community and to live independently for as long as possible</w:t>
      </w:r>
    </w:p>
    <w:p w:rsidR="002E1546" w:rsidRPr="00E6510D" w:rsidRDefault="002E1546" w:rsidP="00500FB1">
      <w:pPr>
        <w:pStyle w:val="ListBullet"/>
        <w:spacing w:after="300"/>
        <w:ind w:left="357" w:hanging="357"/>
        <w:rPr>
          <w:rFonts w:cs="Arial"/>
        </w:rPr>
      </w:pPr>
      <w:r>
        <w:t>The increasing costs of healthcare provision in residential homes means that it would be more economical for more people to live independently in their own homes</w:t>
      </w:r>
      <w:r>
        <w:rPr>
          <w:rStyle w:val="FootnoteReference"/>
        </w:rPr>
        <w:footnoteReference w:id="29"/>
      </w:r>
      <w:r>
        <w:t>.</w:t>
      </w:r>
    </w:p>
    <w:p w:rsidR="002E1546" w:rsidRDefault="002E1546" w:rsidP="002E1546">
      <w:pPr>
        <w:pStyle w:val="ListBullet"/>
        <w:numPr>
          <w:ilvl w:val="0"/>
          <w:numId w:val="0"/>
        </w:numPr>
      </w:pPr>
      <w:r>
        <w:t xml:space="preserve">The </w:t>
      </w:r>
      <w:r w:rsidR="00CF3946">
        <w:t xml:space="preserve">Act </w:t>
      </w:r>
      <w:r>
        <w:t>emphasis</w:t>
      </w:r>
      <w:r w:rsidR="00961E2F">
        <w:t>es</w:t>
      </w:r>
      <w:r>
        <w:t xml:space="preserve"> the importance of independent living and  transfers</w:t>
      </w:r>
      <w:r w:rsidRPr="003B37F5">
        <w:t xml:space="preserve"> the </w:t>
      </w:r>
      <w:r>
        <w:t xml:space="preserve">provision of </w:t>
      </w:r>
      <w:r w:rsidRPr="003B37F5">
        <w:t xml:space="preserve">support and care from the national level to the local governmental level. </w:t>
      </w:r>
      <w:r>
        <w:t xml:space="preserve"> </w:t>
      </w:r>
    </w:p>
    <w:p w:rsidR="00162067" w:rsidRDefault="00EF5A7A" w:rsidP="000358D6">
      <w:pPr>
        <w:pStyle w:val="ListBullet"/>
        <w:numPr>
          <w:ilvl w:val="0"/>
          <w:numId w:val="0"/>
        </w:numPr>
        <w:rPr>
          <w:rFonts w:cs="Arial"/>
        </w:rPr>
      </w:pPr>
      <w:r w:rsidRPr="00EF5A7A">
        <w:rPr>
          <w:lang w:val="en-US" w:bidi="en-US"/>
        </w:rPr>
        <w:t xml:space="preserve">Long Term Care Insurance </w:t>
      </w:r>
      <w:r>
        <w:rPr>
          <w:lang w:val="en-US" w:bidi="en-US"/>
        </w:rPr>
        <w:t>(</w:t>
      </w:r>
      <w:r w:rsidRPr="00EF5A7A">
        <w:rPr>
          <w:lang w:val="en-US" w:bidi="en-US"/>
        </w:rPr>
        <w:t>AWBZ</w:t>
      </w:r>
      <w:r>
        <w:rPr>
          <w:lang w:val="en-US" w:bidi="en-US"/>
        </w:rPr>
        <w:t>)</w:t>
      </w:r>
      <w:r w:rsidR="000358D6">
        <w:rPr>
          <w:lang w:val="en-US" w:bidi="en-US"/>
        </w:rPr>
        <w:t xml:space="preserve"> is used for long term personal care  while the </w:t>
      </w:r>
      <w:r w:rsidR="000358D6" w:rsidRPr="003B37F5">
        <w:t>Social Support</w:t>
      </w:r>
      <w:r w:rsidR="000358D6">
        <w:t xml:space="preserve"> Insurance</w:t>
      </w:r>
      <w:r w:rsidR="00E74791">
        <w:t xml:space="preserve"> </w:t>
      </w:r>
      <w:r w:rsidR="000358D6">
        <w:t xml:space="preserve">(WMO) is used for domestic home help such as cleaning  etc. The </w:t>
      </w:r>
      <w:r w:rsidR="000358D6" w:rsidRPr="003B37F5">
        <w:t>Social Support</w:t>
      </w:r>
      <w:r w:rsidR="000358D6">
        <w:t xml:space="preserve"> Insurance</w:t>
      </w:r>
      <w:r w:rsidR="00E74791">
        <w:t xml:space="preserve"> </w:t>
      </w:r>
      <w:r w:rsidR="000358D6">
        <w:t xml:space="preserve">(WMO) is also </w:t>
      </w:r>
      <w:r w:rsidR="00162067">
        <w:rPr>
          <w:rFonts w:cs="Arial"/>
        </w:rPr>
        <w:t>used to  pay for</w:t>
      </w:r>
      <w:r w:rsidR="000358D6">
        <w:rPr>
          <w:rFonts w:cs="Arial"/>
        </w:rPr>
        <w:t>:</w:t>
      </w:r>
    </w:p>
    <w:p w:rsidR="000358D6" w:rsidRDefault="000358D6" w:rsidP="000358D6">
      <w:pPr>
        <w:pStyle w:val="ListBullet"/>
        <w:rPr>
          <w:lang w:val="en-US" w:bidi="en-US"/>
        </w:rPr>
      </w:pPr>
      <w:r>
        <w:rPr>
          <w:rFonts w:cs="Arial"/>
        </w:rPr>
        <w:t xml:space="preserve">accessible accommodations for houses such as: </w:t>
      </w:r>
      <w:r w:rsidRPr="00E05BAB">
        <w:rPr>
          <w:lang w:val="en-US" w:bidi="en-US"/>
        </w:rPr>
        <w:t>wheelchair ramps, railings and removal of threshol</w:t>
      </w:r>
      <w:r>
        <w:rPr>
          <w:lang w:val="en-US" w:bidi="en-US"/>
        </w:rPr>
        <w:t xml:space="preserve">ds, special toilets and showers. </w:t>
      </w:r>
    </w:p>
    <w:p w:rsidR="000358D6" w:rsidRDefault="000358D6" w:rsidP="000358D6">
      <w:pPr>
        <w:pStyle w:val="ListBullet"/>
        <w:rPr>
          <w:lang w:val="en-US" w:bidi="en-US"/>
        </w:rPr>
      </w:pPr>
      <w:r>
        <w:rPr>
          <w:lang w:val="en-US" w:bidi="en-US"/>
        </w:rPr>
        <w:t xml:space="preserve">purchasing </w:t>
      </w:r>
      <w:r w:rsidRPr="003B37F5">
        <w:rPr>
          <w:rFonts w:cs="Arial"/>
        </w:rPr>
        <w:t xml:space="preserve">mobility devices </w:t>
      </w:r>
      <w:r w:rsidRPr="00E05BAB">
        <w:rPr>
          <w:lang w:val="en-US" w:bidi="en-US"/>
        </w:rPr>
        <w:t>(</w:t>
      </w:r>
      <w:r>
        <w:rPr>
          <w:lang w:val="en-US" w:bidi="en-US"/>
        </w:rPr>
        <w:t xml:space="preserve">such as </w:t>
      </w:r>
      <w:r w:rsidRPr="00E05BAB">
        <w:rPr>
          <w:lang w:val="en-US" w:bidi="en-US"/>
        </w:rPr>
        <w:t>scoot mobiles and chairlifts</w:t>
      </w:r>
      <w:r>
        <w:rPr>
          <w:lang w:val="en-US" w:bidi="en-US"/>
        </w:rPr>
        <w:t>)</w:t>
      </w:r>
    </w:p>
    <w:p w:rsidR="000358D6" w:rsidRDefault="000358D6" w:rsidP="000358D6">
      <w:pPr>
        <w:pStyle w:val="ListBullet"/>
        <w:rPr>
          <w:lang w:val="en-US" w:bidi="en-US"/>
        </w:rPr>
      </w:pPr>
      <w:r>
        <w:rPr>
          <w:lang w:val="en-US" w:bidi="en-US"/>
        </w:rPr>
        <w:t>pay</w:t>
      </w:r>
      <w:r w:rsidR="00E74791">
        <w:rPr>
          <w:lang w:val="en-US" w:bidi="en-US"/>
        </w:rPr>
        <w:t>ing</w:t>
      </w:r>
      <w:r>
        <w:rPr>
          <w:lang w:val="en-US" w:bidi="en-US"/>
        </w:rPr>
        <w:t xml:space="preserve"> family members (informal carers) </w:t>
      </w:r>
      <w:r w:rsidR="00E74791">
        <w:rPr>
          <w:lang w:val="en-US" w:bidi="en-US"/>
        </w:rPr>
        <w:t>to provide care for a service user.</w:t>
      </w:r>
    </w:p>
    <w:p w:rsidR="00E74791" w:rsidRDefault="00E74791" w:rsidP="00E74791">
      <w:pPr>
        <w:pStyle w:val="ListBullet"/>
        <w:numPr>
          <w:ilvl w:val="0"/>
          <w:numId w:val="0"/>
        </w:numPr>
        <w:rPr>
          <w:lang w:val="en-US" w:bidi="en-US"/>
        </w:rPr>
      </w:pPr>
    </w:p>
    <w:p w:rsidR="00E74791" w:rsidRPr="00A12716" w:rsidRDefault="00E74791" w:rsidP="00E7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lang w:val="en-US" w:bidi="en-US"/>
        </w:rPr>
        <w:t xml:space="preserve">People are  means tested for their eligibility regarding </w:t>
      </w:r>
      <w:r w:rsidRPr="003B37F5">
        <w:t>Social Support</w:t>
      </w:r>
      <w:r>
        <w:t xml:space="preserve"> Insurance (WMO) by the CIZ</w:t>
      </w:r>
      <w:r w:rsidR="007D4753">
        <w:t xml:space="preserve"> in the same process as people being assessed for</w:t>
      </w:r>
      <w:r w:rsidR="007D4753" w:rsidRPr="007D4753">
        <w:rPr>
          <w:lang w:val="en-US" w:bidi="en-US"/>
        </w:rPr>
        <w:t xml:space="preserve"> </w:t>
      </w:r>
      <w:r w:rsidR="007D4753" w:rsidRPr="00EF5A7A">
        <w:rPr>
          <w:lang w:val="en-US" w:bidi="en-US"/>
        </w:rPr>
        <w:t xml:space="preserve">Long Term Care Insurance </w:t>
      </w:r>
      <w:r w:rsidR="007D4753">
        <w:rPr>
          <w:lang w:val="en-US" w:bidi="en-US"/>
        </w:rPr>
        <w:t>(</w:t>
      </w:r>
      <w:r w:rsidR="007D4753" w:rsidRPr="00EF5A7A">
        <w:rPr>
          <w:lang w:val="en-US" w:bidi="en-US"/>
        </w:rPr>
        <w:t>AWBZ</w:t>
      </w:r>
      <w:r w:rsidR="007D4753">
        <w:rPr>
          <w:lang w:val="en-US" w:bidi="en-US"/>
        </w:rPr>
        <w:t>)</w:t>
      </w:r>
      <w:r>
        <w:t xml:space="preserve">. If a person is determined as being eligible  they must then go to their municipality  who is responsible for providing the services. </w:t>
      </w:r>
      <w:r w:rsidR="00A12716">
        <w:t xml:space="preserve">Municipalities received a budget from the </w:t>
      </w:r>
      <w:r w:rsidR="00A12716" w:rsidRPr="00C15B7F">
        <w:rPr>
          <w:rFonts w:cs="Arial"/>
          <w:lang w:val="en-US" w:bidi="en-US"/>
        </w:rPr>
        <w:t>Ministry for Internal Affairs and Rural Relations</w:t>
      </w:r>
      <w:r w:rsidR="00A12716">
        <w:rPr>
          <w:rFonts w:cs="Arial"/>
          <w:lang w:val="en-US" w:bidi="en-US"/>
        </w:rPr>
        <w:t>, for home help services</w:t>
      </w:r>
      <w:r w:rsidR="00A12716" w:rsidRPr="00C15B7F">
        <w:rPr>
          <w:rStyle w:val="FootnoteReference"/>
          <w:rFonts w:cs="Arial"/>
          <w:lang w:bidi="en-US"/>
        </w:rPr>
        <w:footnoteReference w:id="30"/>
      </w:r>
      <w:r w:rsidR="00A12716">
        <w:rPr>
          <w:rFonts w:cs="Arial"/>
          <w:lang w:val="en-US" w:bidi="en-US"/>
        </w:rPr>
        <w:t xml:space="preserve">. </w:t>
      </w:r>
      <w:r>
        <w:rPr>
          <w:rFonts w:cs="Arial"/>
        </w:rPr>
        <w:t>T</w:t>
      </w:r>
      <w:r w:rsidRPr="003B37F5">
        <w:rPr>
          <w:rFonts w:cs="Arial"/>
        </w:rPr>
        <w:t xml:space="preserve">he </w:t>
      </w:r>
      <w:r>
        <w:rPr>
          <w:rFonts w:cs="Arial"/>
        </w:rPr>
        <w:t>Social Support Insurance (</w:t>
      </w:r>
      <w:r>
        <w:rPr>
          <w:rFonts w:cs="Arial"/>
          <w:lang w:val="en-US" w:bidi="en-US"/>
        </w:rPr>
        <w:t>WMO) is</w:t>
      </w:r>
      <w:r>
        <w:rPr>
          <w:rFonts w:cs="Times-Roman"/>
          <w:szCs w:val="22"/>
          <w:lang w:val="en-US" w:bidi="en-US"/>
        </w:rPr>
        <w:t xml:space="preserve"> funded by income related contributions</w:t>
      </w:r>
      <w:r w:rsidRPr="00C15B7F">
        <w:rPr>
          <w:rFonts w:cs="Arial"/>
          <w:lang w:val="en-US" w:bidi="en-US"/>
        </w:rPr>
        <w:t xml:space="preserve">. </w:t>
      </w:r>
    </w:p>
    <w:p w:rsidR="002E1546" w:rsidRDefault="002E1546" w:rsidP="00961E2F">
      <w:pPr>
        <w:pStyle w:val="Heading2"/>
        <w:spacing w:line="240" w:lineRule="auto"/>
        <w:rPr>
          <w:lang w:val="en-US"/>
        </w:rPr>
      </w:pPr>
      <w:bookmarkStart w:id="66" w:name="_Toc269743636"/>
      <w:bookmarkStart w:id="67" w:name="_Toc271287677"/>
      <w:bookmarkStart w:id="68" w:name="_Toc286159979"/>
      <w:r>
        <w:rPr>
          <w:lang w:val="en-US"/>
        </w:rPr>
        <w:t>3.4 Policy framework for independence and community living in the Netherlands</w:t>
      </w:r>
      <w:bookmarkEnd w:id="68"/>
    </w:p>
    <w:bookmarkEnd w:id="66"/>
    <w:bookmarkEnd w:id="67"/>
    <w:p w:rsidR="00607DA3" w:rsidRDefault="00160AFA" w:rsidP="002E1546">
      <w:pPr>
        <w:rPr>
          <w:lang w:val="en-US"/>
        </w:rPr>
      </w:pPr>
      <w:r>
        <w:rPr>
          <w:lang w:val="en-US"/>
        </w:rPr>
        <w:t>There is no national strategy addressing disability issues in the Netherlands</w:t>
      </w:r>
      <w:r w:rsidR="002E1546">
        <w:rPr>
          <w:rStyle w:val="FootnoteReference"/>
        </w:rPr>
        <w:footnoteReference w:id="31"/>
      </w:r>
      <w:r w:rsidR="002E1546">
        <w:rPr>
          <w:lang w:val="en-US"/>
        </w:rPr>
        <w:t>. However</w:t>
      </w:r>
      <w:r w:rsidR="002E1546" w:rsidRPr="002C1554">
        <w:rPr>
          <w:lang w:val="en-US"/>
        </w:rPr>
        <w:t xml:space="preserve"> </w:t>
      </w:r>
      <w:r w:rsidR="002E1546">
        <w:rPr>
          <w:lang w:val="en-US"/>
        </w:rPr>
        <w:t>a key informant indicated that e</w:t>
      </w:r>
      <w:r w:rsidR="002E1546" w:rsidRPr="002C1554">
        <w:rPr>
          <w:lang w:val="en-US"/>
        </w:rPr>
        <w:t>ach of the 13 ministries (central government departments) are responsible for having policies dealing with disability issues.</w:t>
      </w:r>
      <w:r w:rsidR="002E1546">
        <w:rPr>
          <w:lang w:val="en-US"/>
        </w:rPr>
        <w:t xml:space="preserve"> </w:t>
      </w:r>
    </w:p>
    <w:p w:rsidR="00153C0F" w:rsidRDefault="000815A2" w:rsidP="00153C0F">
      <w:pPr>
        <w:rPr>
          <w:lang w:val="en-US"/>
        </w:rPr>
      </w:pPr>
      <w:r>
        <w:rPr>
          <w:lang w:val="en-US"/>
        </w:rPr>
        <w:t>In 2003 the Act on the Equal Treatment of People with Disabilities came into</w:t>
      </w:r>
      <w:r w:rsidR="00B5098C">
        <w:rPr>
          <w:lang w:val="en-US"/>
        </w:rPr>
        <w:t xml:space="preserve"> effect. </w:t>
      </w:r>
      <w:r w:rsidR="00153C0F">
        <w:rPr>
          <w:lang w:val="en-US"/>
        </w:rPr>
        <w:t xml:space="preserve">The Dutch government introduced this Act to provide people with disabilities with the legislative means to legally enforce their equal rights.   The  Dutch government also stated that this Act was an indication that: </w:t>
      </w:r>
    </w:p>
    <w:p w:rsidR="00153C0F" w:rsidRDefault="00153C0F" w:rsidP="002E1546">
      <w:pPr>
        <w:rPr>
          <w:lang w:val="en-US"/>
        </w:rPr>
      </w:pPr>
      <w:r>
        <w:rPr>
          <w:lang w:val="en-US"/>
        </w:rPr>
        <w:tab/>
        <w:t>"</w:t>
      </w:r>
      <w:r w:rsidRPr="00B5098C">
        <w:rPr>
          <w:lang w:val="en-US"/>
        </w:rPr>
        <w:t>the idea of equal treatment</w:t>
      </w:r>
      <w:r>
        <w:rPr>
          <w:lang w:val="en-US"/>
        </w:rPr>
        <w:t xml:space="preserve"> (of people with disabilities)</w:t>
      </w:r>
      <w:r w:rsidRPr="00B5098C">
        <w:rPr>
          <w:lang w:val="en-US"/>
        </w:rPr>
        <w:t xml:space="preserve"> has now been </w:t>
      </w:r>
      <w:r>
        <w:rPr>
          <w:lang w:val="en-US"/>
        </w:rPr>
        <w:tab/>
      </w:r>
      <w:r w:rsidRPr="00B5098C">
        <w:rPr>
          <w:lang w:val="en-US"/>
        </w:rPr>
        <w:t xml:space="preserve">made a key factor in its policy and must therefore be implemented in </w:t>
      </w:r>
      <w:r>
        <w:rPr>
          <w:lang w:val="en-US"/>
        </w:rPr>
        <w:tab/>
      </w:r>
      <w:r w:rsidRPr="00B5098C">
        <w:rPr>
          <w:lang w:val="en-US"/>
        </w:rPr>
        <w:t>practice.</w:t>
      </w:r>
      <w:r>
        <w:rPr>
          <w:rStyle w:val="FootnoteReference"/>
          <w:lang w:val="en-US"/>
        </w:rPr>
        <w:footnoteReference w:id="32"/>
      </w:r>
      <w:r>
        <w:rPr>
          <w:lang w:val="en-US"/>
        </w:rPr>
        <w:t>"</w:t>
      </w:r>
    </w:p>
    <w:p w:rsidR="000815A2" w:rsidRDefault="00CF1464" w:rsidP="002E1546">
      <w:pPr>
        <w:rPr>
          <w:lang w:val="en-US"/>
        </w:rPr>
      </w:pPr>
      <w:r>
        <w:rPr>
          <w:lang w:val="en-US"/>
        </w:rPr>
        <w:t>The Dutch government's policy approach on the  equal treatment of people with disabilities  focus</w:t>
      </w:r>
      <w:r w:rsidR="00CE5E64">
        <w:rPr>
          <w:lang w:val="en-US"/>
        </w:rPr>
        <w:t>es</w:t>
      </w:r>
      <w:r>
        <w:rPr>
          <w:lang w:val="en-US"/>
        </w:rPr>
        <w:t xml:space="preserve"> on the </w:t>
      </w:r>
      <w:r w:rsidR="007C67EE">
        <w:rPr>
          <w:lang w:val="en-US"/>
        </w:rPr>
        <w:t xml:space="preserve">inclusion and </w:t>
      </w:r>
      <w:r>
        <w:rPr>
          <w:lang w:val="en-US"/>
        </w:rPr>
        <w:t>equal participation of people with disabilities within society.</w:t>
      </w:r>
      <w:r w:rsidR="007C67EE">
        <w:rPr>
          <w:lang w:val="en-US"/>
        </w:rPr>
        <w:t xml:space="preserve"> In practice this means that people with disabilities have access to education, employment</w:t>
      </w:r>
      <w:r w:rsidR="00F81E1C">
        <w:rPr>
          <w:lang w:val="en-US"/>
        </w:rPr>
        <w:t>,</w:t>
      </w:r>
      <w:r w:rsidR="007C67EE">
        <w:rPr>
          <w:lang w:val="en-US"/>
        </w:rPr>
        <w:t xml:space="preserve"> healthcare, public spaces</w:t>
      </w:r>
      <w:r w:rsidR="00F81E1C">
        <w:rPr>
          <w:lang w:val="en-US"/>
        </w:rPr>
        <w:t>, and supports to live independently</w:t>
      </w:r>
      <w:r w:rsidR="007C67EE">
        <w:rPr>
          <w:lang w:val="en-US"/>
        </w:rPr>
        <w:t xml:space="preserve"> etc. The government also states that  it is society's responsibility and the personal responsibility of people with disabilities to create a more inclusive society.</w:t>
      </w:r>
    </w:p>
    <w:p w:rsidR="00CE5E64" w:rsidRDefault="00F81E1C" w:rsidP="002E1546">
      <w:pPr>
        <w:rPr>
          <w:lang w:val="en-US"/>
        </w:rPr>
      </w:pPr>
      <w:bookmarkStart w:id="69" w:name="_Toc272825555"/>
      <w:bookmarkStart w:id="70" w:name="_Toc272907333"/>
      <w:r w:rsidRPr="00D4171E">
        <w:rPr>
          <w:lang w:val="en-US"/>
        </w:rPr>
        <w:t xml:space="preserve">Since </w:t>
      </w:r>
      <w:r w:rsidRPr="00D4171E">
        <w:rPr>
          <w:lang w:val="en-US" w:bidi="en-US"/>
        </w:rPr>
        <w:t>the 1960</w:t>
      </w:r>
      <w:r w:rsidR="00781EE3">
        <w:rPr>
          <w:lang w:val="en-US" w:bidi="en-US"/>
        </w:rPr>
        <w:t>'</w:t>
      </w:r>
      <w:r w:rsidRPr="00D4171E">
        <w:rPr>
          <w:lang w:val="en-US" w:bidi="en-US"/>
        </w:rPr>
        <w:t xml:space="preserve">s the Dutch government has had a tradition of promoting independent living for people with physical disabilities. The </w:t>
      </w:r>
      <w:r>
        <w:rPr>
          <w:rFonts w:cs="Arial"/>
        </w:rPr>
        <w:t>Social Support Insurance</w:t>
      </w:r>
      <w:r w:rsidRPr="00D4171E">
        <w:rPr>
          <w:lang w:val="en-US" w:bidi="en-US"/>
        </w:rPr>
        <w:t xml:space="preserve"> </w:t>
      </w:r>
      <w:r>
        <w:rPr>
          <w:lang w:val="en-US" w:bidi="en-US"/>
        </w:rPr>
        <w:t xml:space="preserve">(WMO) Act in 2007 </w:t>
      </w:r>
      <w:r w:rsidRPr="00D4171E">
        <w:rPr>
          <w:lang w:val="en-US" w:bidi="en-US"/>
        </w:rPr>
        <w:t xml:space="preserve">exemplifies this policy in that it </w:t>
      </w:r>
      <w:r w:rsidRPr="00D4171E">
        <w:t>emphasis</w:t>
      </w:r>
      <w:r>
        <w:t>es</w:t>
      </w:r>
      <w:r w:rsidRPr="00D4171E">
        <w:t xml:space="preserve"> the importance of independent living and transfers the provision of support and care from the national level to the local governmental level</w:t>
      </w:r>
      <w:r w:rsidR="00781EE3">
        <w:t>,</w:t>
      </w:r>
      <w:r w:rsidRPr="00D4171E">
        <w:t xml:space="preserve"> i.e. the municipalities</w:t>
      </w:r>
      <w:r w:rsidRPr="00D4171E">
        <w:rPr>
          <w:vertAlign w:val="superscript"/>
        </w:rPr>
        <w:footnoteReference w:id="33"/>
      </w:r>
      <w:r w:rsidRPr="00D4171E">
        <w:rPr>
          <w:lang w:val="en-US" w:bidi="en-US"/>
        </w:rPr>
        <w:t xml:space="preserve">. </w:t>
      </w:r>
      <w:bookmarkEnd w:id="69"/>
      <w:bookmarkEnd w:id="70"/>
    </w:p>
    <w:p w:rsidR="002E1546" w:rsidRDefault="00CE5E64" w:rsidP="002E1546">
      <w:pPr>
        <w:rPr>
          <w:lang w:val="en-US"/>
        </w:rPr>
      </w:pPr>
      <w:r>
        <w:rPr>
          <w:lang w:val="en-US"/>
        </w:rPr>
        <w:t>In the last decade the Dutch government has introduced policy measures (see section 4.8</w:t>
      </w:r>
      <w:r w:rsidR="004F7DC2">
        <w:rPr>
          <w:lang w:val="en-US"/>
        </w:rPr>
        <w:t xml:space="preserve">) to increase the </w:t>
      </w:r>
      <w:r>
        <w:rPr>
          <w:lang w:val="en-US"/>
        </w:rPr>
        <w:t>number of people with disabilities partici</w:t>
      </w:r>
      <w:r w:rsidR="004F7DC2">
        <w:rPr>
          <w:lang w:val="en-US"/>
        </w:rPr>
        <w:t xml:space="preserve">pating in employment (including mainstream, fulltime, part-time, and supported employment). In 2008 the </w:t>
      </w:r>
      <w:r w:rsidR="004F7DC2" w:rsidRPr="004F7DC2">
        <w:rPr>
          <w:lang w:val="en-US"/>
        </w:rPr>
        <w:t xml:space="preserve">government introduced an inclusion programme </w:t>
      </w:r>
      <w:r w:rsidR="004F7DC2" w:rsidRPr="004F7DC2">
        <w:rPr>
          <w:b/>
          <w:lang w:val="en-US"/>
        </w:rPr>
        <w:t>Everyone is Included</w:t>
      </w:r>
      <w:r w:rsidR="004F7DC2">
        <w:rPr>
          <w:lang w:val="en-US"/>
        </w:rPr>
        <w:t xml:space="preserve"> that  focused primarily on the  people with disabilities accessing the employment market.</w:t>
      </w:r>
      <w:r w:rsidR="004F7DC2">
        <w:rPr>
          <w:b/>
          <w:lang w:val="en-US"/>
        </w:rPr>
        <w:t xml:space="preserve">  </w:t>
      </w:r>
      <w:r w:rsidR="004F7DC2" w:rsidRPr="004F7DC2">
        <w:rPr>
          <w:lang w:val="en-US"/>
        </w:rPr>
        <w:t>In 2008</w:t>
      </w:r>
      <w:r w:rsidR="004F7DC2">
        <w:rPr>
          <w:lang w:val="en-US"/>
        </w:rPr>
        <w:t>, the government  committed €165m. euros to this programme which has risen to €205m. in 2011</w:t>
      </w:r>
      <w:r w:rsidR="002E1546">
        <w:rPr>
          <w:rStyle w:val="FootnoteReference"/>
        </w:rPr>
        <w:footnoteReference w:id="34"/>
      </w:r>
      <w:r w:rsidR="002E1546">
        <w:rPr>
          <w:lang w:val="en-US"/>
        </w:rPr>
        <w:t>.</w:t>
      </w:r>
    </w:p>
    <w:p w:rsidR="002E1546" w:rsidRDefault="002E1546" w:rsidP="002E1546">
      <w:pPr>
        <w:rPr>
          <w:lang w:val="en-US" w:bidi="en-US"/>
        </w:rPr>
        <w:sectPr w:rsidR="002E1546">
          <w:footnotePr>
            <w:pos w:val="beneathText"/>
          </w:footnotePr>
          <w:pgSz w:w="11900" w:h="16840"/>
          <w:pgMar w:top="1440" w:right="1800" w:bottom="1440" w:left="1800" w:header="708" w:footer="708" w:gutter="0"/>
          <w:cols w:space="708"/>
        </w:sectPr>
      </w:pPr>
      <w:bookmarkStart w:id="71" w:name="_Toc268689538"/>
    </w:p>
    <w:p w:rsidR="002E1546" w:rsidRDefault="002E1546" w:rsidP="002E1546">
      <w:pPr>
        <w:rPr>
          <w:lang w:val="en-US" w:bidi="en-US"/>
        </w:rPr>
      </w:pPr>
    </w:p>
    <w:p w:rsidR="002E1546" w:rsidRDefault="002E1546" w:rsidP="002E1546">
      <w:pPr>
        <w:pStyle w:val="Heading1"/>
        <w:ind w:left="0"/>
        <w:rPr>
          <w:lang w:val="en-US" w:bidi="en-US"/>
        </w:rPr>
      </w:pPr>
      <w:bookmarkStart w:id="72" w:name="_Toc269743637"/>
      <w:bookmarkStart w:id="73" w:name="_Toc286159980"/>
      <w:r>
        <w:rPr>
          <w:lang w:val="en-US" w:bidi="en-US"/>
        </w:rPr>
        <w:t>4. Housing, Accommodation and Day Services for People with Disabilities</w:t>
      </w:r>
      <w:bookmarkEnd w:id="71"/>
      <w:bookmarkEnd w:id="72"/>
      <w:bookmarkEnd w:id="73"/>
    </w:p>
    <w:p w:rsidR="002E1546" w:rsidRPr="001450C3" w:rsidRDefault="002E1546" w:rsidP="002E1546">
      <w:pPr>
        <w:pStyle w:val="Heading2"/>
        <w:rPr>
          <w:lang w:val="en-US"/>
        </w:rPr>
      </w:pPr>
      <w:bookmarkStart w:id="74" w:name="_Toc268689539"/>
      <w:bookmarkStart w:id="75" w:name="_Toc269743638"/>
      <w:bookmarkStart w:id="76" w:name="_Toc286159981"/>
      <w:r>
        <w:rPr>
          <w:lang w:val="en-US"/>
        </w:rPr>
        <w:t>4.1 Residential Services</w:t>
      </w:r>
      <w:bookmarkEnd w:id="74"/>
      <w:bookmarkEnd w:id="75"/>
      <w:bookmarkEnd w:id="76"/>
    </w:p>
    <w:p w:rsidR="002E1546" w:rsidRDefault="00C22DFB" w:rsidP="002E1546">
      <w:pPr>
        <w:pStyle w:val="TableTitle"/>
        <w:jc w:val="left"/>
        <w:rPr>
          <w:b w:val="0"/>
          <w:lang w:val="en-US" w:bidi="en-US"/>
        </w:rPr>
      </w:pPr>
      <w:r>
        <w:rPr>
          <w:b w:val="0"/>
          <w:lang w:val="en-US" w:bidi="en-US"/>
        </w:rPr>
        <w:t>Table 4</w:t>
      </w:r>
      <w:r w:rsidR="002E1546">
        <w:rPr>
          <w:b w:val="0"/>
          <w:lang w:val="en-US" w:bidi="en-US"/>
        </w:rPr>
        <w:t xml:space="preserve"> below</w:t>
      </w:r>
      <w:r w:rsidR="008009EE">
        <w:rPr>
          <w:b w:val="0"/>
          <w:lang w:val="en-US" w:bidi="en-US"/>
        </w:rPr>
        <w:t xml:space="preserve"> set</w:t>
      </w:r>
      <w:r w:rsidR="00DC51F8">
        <w:rPr>
          <w:b w:val="0"/>
          <w:lang w:val="en-US" w:bidi="en-US"/>
        </w:rPr>
        <w:t>s</w:t>
      </w:r>
      <w:r w:rsidR="008009EE">
        <w:rPr>
          <w:b w:val="0"/>
          <w:lang w:val="en-US" w:bidi="en-US"/>
        </w:rPr>
        <w:t xml:space="preserve"> out the quantum of  current </w:t>
      </w:r>
      <w:r w:rsidR="002E1546">
        <w:rPr>
          <w:b w:val="0"/>
          <w:lang w:val="en-US" w:bidi="en-US"/>
        </w:rPr>
        <w:t xml:space="preserve">residential and home care provision in the Netherlands. </w:t>
      </w:r>
    </w:p>
    <w:p w:rsidR="002E1546" w:rsidRPr="00032206" w:rsidRDefault="00C22DFB" w:rsidP="00324502">
      <w:pPr>
        <w:pStyle w:val="TableTitle"/>
        <w:rPr>
          <w:lang w:val="en-US" w:bidi="en-US"/>
        </w:rPr>
      </w:pPr>
      <w:r>
        <w:rPr>
          <w:lang w:val="en-US"/>
        </w:rPr>
        <w:t>Table 4</w:t>
      </w:r>
      <w:r w:rsidR="0041562E">
        <w:rPr>
          <w:lang w:val="en-US"/>
        </w:rPr>
        <w:t>.</w:t>
      </w:r>
      <w:r w:rsidR="008009EE" w:rsidRPr="008009EE">
        <w:rPr>
          <w:lang w:val="en-US" w:bidi="en-US"/>
        </w:rPr>
        <w:t xml:space="preserve"> </w:t>
      </w:r>
      <w:r w:rsidR="008009EE">
        <w:rPr>
          <w:lang w:val="en-US" w:bidi="en-US"/>
        </w:rPr>
        <w:t>Current residential and home care provision in the Netherlands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838"/>
        <w:gridCol w:w="2839"/>
        <w:gridCol w:w="2839"/>
      </w:tblGrid>
      <w:tr w:rsidR="002E1546" w:rsidRPr="00E003C0">
        <w:tblPrEx>
          <w:tblCellMar>
            <w:top w:w="0" w:type="dxa"/>
            <w:bottom w:w="0" w:type="dxa"/>
          </w:tblCellMar>
        </w:tblPrEx>
        <w:trPr>
          <w:tblHeader/>
        </w:trPr>
        <w:tc>
          <w:tcPr>
            <w:tcW w:w="2838" w:type="dxa"/>
            <w:tcBorders>
              <w:bottom w:val="single" w:sz="12" w:space="0" w:color="000000"/>
            </w:tcBorders>
            <w:shd w:val="clear" w:color="auto" w:fill="auto"/>
          </w:tcPr>
          <w:p w:rsidR="002E1546" w:rsidRPr="004667CD" w:rsidRDefault="002E1546" w:rsidP="002E1546">
            <w:pPr>
              <w:pStyle w:val="TableHead"/>
              <w:jc w:val="right"/>
              <w:rPr>
                <w:sz w:val="20"/>
                <w:szCs w:val="20"/>
                <w:lang w:val="en-US"/>
              </w:rPr>
            </w:pPr>
            <w:r w:rsidRPr="004667CD">
              <w:rPr>
                <w:sz w:val="20"/>
                <w:szCs w:val="20"/>
                <w:lang w:val="en-US"/>
              </w:rPr>
              <w:t>Clients</w:t>
            </w:r>
          </w:p>
        </w:tc>
        <w:tc>
          <w:tcPr>
            <w:tcW w:w="2839" w:type="dxa"/>
            <w:tcBorders>
              <w:bottom w:val="single" w:sz="12" w:space="0" w:color="000000"/>
            </w:tcBorders>
            <w:shd w:val="clear" w:color="auto" w:fill="auto"/>
          </w:tcPr>
          <w:p w:rsidR="000E7395" w:rsidRPr="000E7395" w:rsidRDefault="002E1546" w:rsidP="000E7395">
            <w:pPr>
              <w:pStyle w:val="TableHead"/>
              <w:jc w:val="right"/>
              <w:rPr>
                <w:sz w:val="20"/>
                <w:szCs w:val="20"/>
                <w:lang w:val="en-US"/>
              </w:rPr>
            </w:pPr>
            <w:r w:rsidRPr="000E7395">
              <w:rPr>
                <w:sz w:val="20"/>
                <w:szCs w:val="20"/>
                <w:lang w:val="en-US"/>
              </w:rPr>
              <w:t>Residential Care</w:t>
            </w:r>
          </w:p>
        </w:tc>
        <w:tc>
          <w:tcPr>
            <w:tcW w:w="2839" w:type="dxa"/>
            <w:tcBorders>
              <w:bottom w:val="single" w:sz="12" w:space="0" w:color="000000"/>
            </w:tcBorders>
            <w:shd w:val="clear" w:color="auto" w:fill="auto"/>
          </w:tcPr>
          <w:p w:rsidR="002E1546" w:rsidRPr="004667CD" w:rsidRDefault="002E1546" w:rsidP="002E1546">
            <w:pPr>
              <w:pStyle w:val="TableHead"/>
              <w:jc w:val="right"/>
              <w:rPr>
                <w:sz w:val="20"/>
                <w:szCs w:val="20"/>
                <w:lang w:val="en-US"/>
              </w:rPr>
            </w:pPr>
            <w:r w:rsidRPr="004667CD">
              <w:rPr>
                <w:sz w:val="20"/>
                <w:szCs w:val="20"/>
                <w:lang w:val="en-US"/>
              </w:rPr>
              <w:t>Home Care</w:t>
            </w:r>
            <w:r w:rsidR="004750BB">
              <w:rPr>
                <w:sz w:val="20"/>
                <w:szCs w:val="20"/>
                <w:lang w:val="en-US"/>
              </w:rPr>
              <w:t xml:space="preserve"> </w:t>
            </w:r>
          </w:p>
        </w:tc>
      </w:tr>
      <w:tr w:rsidR="002E1546" w:rsidRPr="00E003C0">
        <w:tblPrEx>
          <w:tblCellMar>
            <w:top w:w="0" w:type="dxa"/>
            <w:bottom w:w="0" w:type="dxa"/>
          </w:tblCellMar>
        </w:tblPrEx>
        <w:tc>
          <w:tcPr>
            <w:tcW w:w="2838" w:type="dxa"/>
            <w:shd w:val="clear" w:color="auto" w:fill="auto"/>
          </w:tcPr>
          <w:p w:rsidR="002E1546" w:rsidRPr="004667CD" w:rsidRDefault="002E1546" w:rsidP="002E1546">
            <w:pPr>
              <w:pStyle w:val="TableRowHead"/>
              <w:rPr>
                <w:sz w:val="20"/>
                <w:szCs w:val="20"/>
                <w:lang w:val="en-US"/>
              </w:rPr>
            </w:pPr>
            <w:r w:rsidRPr="004667CD">
              <w:rPr>
                <w:sz w:val="20"/>
                <w:szCs w:val="20"/>
                <w:lang w:val="en-US"/>
              </w:rPr>
              <w:t>Dementia</w:t>
            </w:r>
          </w:p>
        </w:tc>
        <w:tc>
          <w:tcPr>
            <w:tcW w:w="2839" w:type="dxa"/>
            <w:shd w:val="clear" w:color="auto" w:fill="auto"/>
          </w:tcPr>
          <w:p w:rsidR="002E1546" w:rsidRPr="004667CD" w:rsidRDefault="000E7395" w:rsidP="002E1546">
            <w:pPr>
              <w:pStyle w:val="TableCell"/>
              <w:jc w:val="right"/>
              <w:rPr>
                <w:sz w:val="20"/>
                <w:szCs w:val="20"/>
                <w:lang w:val="en-US"/>
              </w:rPr>
            </w:pPr>
            <w:r>
              <w:rPr>
                <w:sz w:val="20"/>
                <w:szCs w:val="20"/>
                <w:lang w:val="en-US"/>
              </w:rPr>
              <w:t>22%</w:t>
            </w:r>
          </w:p>
        </w:tc>
        <w:tc>
          <w:tcPr>
            <w:tcW w:w="2839" w:type="dxa"/>
            <w:shd w:val="clear" w:color="auto" w:fill="auto"/>
          </w:tcPr>
          <w:p w:rsidR="002E1546" w:rsidRPr="004667CD" w:rsidRDefault="000E7395" w:rsidP="002E1546">
            <w:pPr>
              <w:pStyle w:val="TableCell"/>
              <w:jc w:val="right"/>
              <w:rPr>
                <w:sz w:val="20"/>
                <w:szCs w:val="20"/>
                <w:lang w:val="en-US"/>
              </w:rPr>
            </w:pPr>
            <w:r>
              <w:rPr>
                <w:sz w:val="20"/>
                <w:szCs w:val="20"/>
                <w:lang w:val="en-US"/>
              </w:rPr>
              <w:t>5%</w:t>
            </w:r>
          </w:p>
        </w:tc>
      </w:tr>
      <w:tr w:rsidR="002E1546" w:rsidRPr="00E003C0">
        <w:tblPrEx>
          <w:tblCellMar>
            <w:top w:w="0" w:type="dxa"/>
            <w:bottom w:w="0" w:type="dxa"/>
          </w:tblCellMar>
        </w:tblPrEx>
        <w:tc>
          <w:tcPr>
            <w:tcW w:w="2838" w:type="dxa"/>
            <w:shd w:val="clear" w:color="auto" w:fill="auto"/>
          </w:tcPr>
          <w:p w:rsidR="002E1546" w:rsidRPr="004667CD" w:rsidRDefault="002E1546" w:rsidP="002E1546">
            <w:pPr>
              <w:pStyle w:val="TableRowHead"/>
              <w:rPr>
                <w:sz w:val="20"/>
                <w:szCs w:val="20"/>
                <w:lang w:val="en-US"/>
              </w:rPr>
            </w:pPr>
            <w:r w:rsidRPr="004667CD">
              <w:rPr>
                <w:sz w:val="20"/>
                <w:szCs w:val="20"/>
                <w:lang w:val="en-US"/>
              </w:rPr>
              <w:t>Elderly with physical problems</w:t>
            </w:r>
          </w:p>
        </w:tc>
        <w:tc>
          <w:tcPr>
            <w:tcW w:w="2839" w:type="dxa"/>
            <w:shd w:val="clear" w:color="auto" w:fill="auto"/>
          </w:tcPr>
          <w:p w:rsidR="002E1546" w:rsidRPr="004667CD" w:rsidRDefault="000E7395" w:rsidP="002E1546">
            <w:pPr>
              <w:pStyle w:val="TableCell"/>
              <w:jc w:val="right"/>
              <w:rPr>
                <w:sz w:val="20"/>
                <w:szCs w:val="20"/>
                <w:lang w:val="en-US"/>
              </w:rPr>
            </w:pPr>
            <w:r>
              <w:rPr>
                <w:sz w:val="20"/>
                <w:szCs w:val="20"/>
                <w:lang w:val="en-US"/>
              </w:rPr>
              <w:t>43%</w:t>
            </w:r>
          </w:p>
        </w:tc>
        <w:tc>
          <w:tcPr>
            <w:tcW w:w="2839" w:type="dxa"/>
            <w:shd w:val="clear" w:color="auto" w:fill="auto"/>
          </w:tcPr>
          <w:p w:rsidR="002E1546" w:rsidRPr="004667CD" w:rsidRDefault="000E7395" w:rsidP="002E1546">
            <w:pPr>
              <w:pStyle w:val="TableCell"/>
              <w:jc w:val="right"/>
              <w:rPr>
                <w:sz w:val="20"/>
                <w:szCs w:val="20"/>
                <w:lang w:val="en-US"/>
              </w:rPr>
            </w:pPr>
            <w:r>
              <w:rPr>
                <w:sz w:val="20"/>
                <w:szCs w:val="20"/>
                <w:lang w:val="en-US"/>
              </w:rPr>
              <w:t>63%</w:t>
            </w:r>
          </w:p>
        </w:tc>
      </w:tr>
      <w:tr w:rsidR="002E1546" w:rsidRPr="00E003C0">
        <w:tblPrEx>
          <w:tblCellMar>
            <w:top w:w="0" w:type="dxa"/>
            <w:bottom w:w="0" w:type="dxa"/>
          </w:tblCellMar>
        </w:tblPrEx>
        <w:tc>
          <w:tcPr>
            <w:tcW w:w="2838" w:type="dxa"/>
            <w:shd w:val="clear" w:color="auto" w:fill="auto"/>
          </w:tcPr>
          <w:p w:rsidR="002E1546" w:rsidRPr="009A620E" w:rsidRDefault="002E1546" w:rsidP="002E1546">
            <w:pPr>
              <w:pStyle w:val="TableRowHead"/>
              <w:rPr>
                <w:b w:val="0"/>
                <w:sz w:val="20"/>
                <w:szCs w:val="20"/>
                <w:lang w:val="en-US"/>
              </w:rPr>
            </w:pPr>
            <w:r w:rsidRPr="009A620E">
              <w:rPr>
                <w:b w:val="0"/>
                <w:sz w:val="20"/>
                <w:szCs w:val="20"/>
                <w:lang w:val="en-US"/>
              </w:rPr>
              <w:t>People with intellectual and physical disabilities</w:t>
            </w:r>
          </w:p>
        </w:tc>
        <w:tc>
          <w:tcPr>
            <w:tcW w:w="2839" w:type="dxa"/>
            <w:shd w:val="clear" w:color="auto" w:fill="auto"/>
          </w:tcPr>
          <w:p w:rsidR="002E1546" w:rsidRPr="009A620E" w:rsidRDefault="000E7395" w:rsidP="002E1546">
            <w:pPr>
              <w:pStyle w:val="TableCell"/>
              <w:jc w:val="right"/>
              <w:rPr>
                <w:b/>
                <w:sz w:val="20"/>
                <w:szCs w:val="20"/>
                <w:lang w:val="en-US"/>
              </w:rPr>
            </w:pPr>
            <w:r>
              <w:rPr>
                <w:b/>
                <w:sz w:val="20"/>
                <w:szCs w:val="20"/>
                <w:lang w:val="en-US"/>
              </w:rPr>
              <w:t>26%</w:t>
            </w:r>
          </w:p>
        </w:tc>
        <w:tc>
          <w:tcPr>
            <w:tcW w:w="2839" w:type="dxa"/>
            <w:shd w:val="clear" w:color="auto" w:fill="auto"/>
          </w:tcPr>
          <w:p w:rsidR="002E1546" w:rsidRPr="009A620E" w:rsidRDefault="000E7395" w:rsidP="002E1546">
            <w:pPr>
              <w:pStyle w:val="TableCell"/>
              <w:jc w:val="right"/>
              <w:rPr>
                <w:b/>
                <w:sz w:val="20"/>
                <w:szCs w:val="20"/>
                <w:lang w:val="en-US"/>
              </w:rPr>
            </w:pPr>
            <w:r>
              <w:rPr>
                <w:b/>
                <w:sz w:val="20"/>
                <w:szCs w:val="20"/>
                <w:lang w:val="en-US"/>
              </w:rPr>
              <w:t>14%</w:t>
            </w:r>
          </w:p>
        </w:tc>
      </w:tr>
      <w:tr w:rsidR="002E1546" w:rsidRPr="00E003C0">
        <w:tblPrEx>
          <w:tblCellMar>
            <w:top w:w="0" w:type="dxa"/>
            <w:bottom w:w="0" w:type="dxa"/>
          </w:tblCellMar>
        </w:tblPrEx>
        <w:tc>
          <w:tcPr>
            <w:tcW w:w="2838" w:type="dxa"/>
            <w:shd w:val="clear" w:color="auto" w:fill="auto"/>
          </w:tcPr>
          <w:p w:rsidR="002E1546" w:rsidRPr="009A620E" w:rsidRDefault="002E1546" w:rsidP="002E1546">
            <w:pPr>
              <w:pStyle w:val="TableRowHead"/>
              <w:rPr>
                <w:b w:val="0"/>
                <w:sz w:val="20"/>
                <w:szCs w:val="20"/>
                <w:lang w:val="en-US"/>
              </w:rPr>
            </w:pPr>
            <w:r w:rsidRPr="009A620E">
              <w:rPr>
                <w:b w:val="0"/>
                <w:sz w:val="20"/>
                <w:szCs w:val="20"/>
                <w:lang w:val="en-US"/>
              </w:rPr>
              <w:t>People with mental health difficulties</w:t>
            </w:r>
          </w:p>
        </w:tc>
        <w:tc>
          <w:tcPr>
            <w:tcW w:w="2839" w:type="dxa"/>
            <w:shd w:val="clear" w:color="auto" w:fill="auto"/>
          </w:tcPr>
          <w:p w:rsidR="002E1546" w:rsidRPr="009A620E" w:rsidRDefault="000E7395" w:rsidP="002E1546">
            <w:pPr>
              <w:pStyle w:val="TableCell"/>
              <w:jc w:val="right"/>
              <w:rPr>
                <w:b/>
                <w:sz w:val="20"/>
                <w:szCs w:val="20"/>
                <w:lang w:val="en-US"/>
              </w:rPr>
            </w:pPr>
            <w:r>
              <w:rPr>
                <w:b/>
                <w:sz w:val="20"/>
                <w:szCs w:val="20"/>
                <w:lang w:val="en-US"/>
              </w:rPr>
              <w:t>9%</w:t>
            </w:r>
          </w:p>
        </w:tc>
        <w:tc>
          <w:tcPr>
            <w:tcW w:w="2839" w:type="dxa"/>
            <w:shd w:val="clear" w:color="auto" w:fill="auto"/>
          </w:tcPr>
          <w:p w:rsidR="002E1546" w:rsidRPr="009A620E" w:rsidRDefault="000E7395" w:rsidP="002E1546">
            <w:pPr>
              <w:pStyle w:val="TableCell"/>
              <w:jc w:val="right"/>
              <w:rPr>
                <w:b/>
                <w:sz w:val="20"/>
                <w:szCs w:val="20"/>
                <w:lang w:val="en-US"/>
              </w:rPr>
            </w:pPr>
            <w:r>
              <w:rPr>
                <w:b/>
                <w:sz w:val="20"/>
                <w:szCs w:val="20"/>
                <w:lang w:val="en-US"/>
              </w:rPr>
              <w:t>18%</w:t>
            </w:r>
          </w:p>
        </w:tc>
      </w:tr>
      <w:tr w:rsidR="000E7395" w:rsidRPr="00E003C0">
        <w:tblPrEx>
          <w:tblCellMar>
            <w:top w:w="0" w:type="dxa"/>
            <w:bottom w:w="0" w:type="dxa"/>
          </w:tblCellMar>
        </w:tblPrEx>
        <w:tc>
          <w:tcPr>
            <w:tcW w:w="2838" w:type="dxa"/>
            <w:shd w:val="clear" w:color="auto" w:fill="auto"/>
          </w:tcPr>
          <w:p w:rsidR="000E7395" w:rsidRPr="009A620E" w:rsidRDefault="000E7395" w:rsidP="002E1546">
            <w:pPr>
              <w:pStyle w:val="TableRowHead"/>
              <w:rPr>
                <w:b w:val="0"/>
                <w:sz w:val="20"/>
                <w:szCs w:val="20"/>
                <w:lang w:val="en-US"/>
              </w:rPr>
            </w:pPr>
            <w:r>
              <w:rPr>
                <w:b w:val="0"/>
                <w:sz w:val="20"/>
                <w:szCs w:val="20"/>
                <w:lang w:val="en-US"/>
              </w:rPr>
              <w:t>Total % of people with disabilities</w:t>
            </w:r>
          </w:p>
        </w:tc>
        <w:tc>
          <w:tcPr>
            <w:tcW w:w="2839" w:type="dxa"/>
            <w:shd w:val="clear" w:color="auto" w:fill="auto"/>
          </w:tcPr>
          <w:p w:rsidR="000E7395" w:rsidRDefault="000E7395" w:rsidP="002E1546">
            <w:pPr>
              <w:pStyle w:val="TableCell"/>
              <w:jc w:val="right"/>
              <w:rPr>
                <w:b/>
                <w:sz w:val="20"/>
                <w:szCs w:val="20"/>
                <w:lang w:val="en-US"/>
              </w:rPr>
            </w:pPr>
            <w:r>
              <w:rPr>
                <w:b/>
                <w:sz w:val="20"/>
                <w:szCs w:val="20"/>
                <w:lang w:val="en-US"/>
              </w:rPr>
              <w:t>35%</w:t>
            </w:r>
          </w:p>
        </w:tc>
        <w:tc>
          <w:tcPr>
            <w:tcW w:w="2839" w:type="dxa"/>
            <w:shd w:val="clear" w:color="auto" w:fill="auto"/>
          </w:tcPr>
          <w:p w:rsidR="000E7395" w:rsidRDefault="000E7395" w:rsidP="002E1546">
            <w:pPr>
              <w:pStyle w:val="TableCell"/>
              <w:jc w:val="right"/>
              <w:rPr>
                <w:b/>
                <w:sz w:val="20"/>
                <w:szCs w:val="20"/>
                <w:lang w:val="en-US"/>
              </w:rPr>
            </w:pPr>
            <w:r>
              <w:rPr>
                <w:b/>
                <w:sz w:val="20"/>
                <w:szCs w:val="20"/>
                <w:lang w:val="en-US"/>
              </w:rPr>
              <w:t>32%</w:t>
            </w:r>
          </w:p>
        </w:tc>
      </w:tr>
      <w:tr w:rsidR="002E1546" w:rsidRPr="00E003C0">
        <w:tblPrEx>
          <w:tblCellMar>
            <w:top w:w="0" w:type="dxa"/>
            <w:bottom w:w="0" w:type="dxa"/>
          </w:tblCellMar>
        </w:tblPrEx>
        <w:tc>
          <w:tcPr>
            <w:tcW w:w="2838" w:type="dxa"/>
            <w:shd w:val="clear" w:color="auto" w:fill="auto"/>
          </w:tcPr>
          <w:p w:rsidR="002E1546" w:rsidRPr="004667CD" w:rsidRDefault="002E1546" w:rsidP="002E1546">
            <w:pPr>
              <w:pStyle w:val="TableRowHead"/>
              <w:rPr>
                <w:sz w:val="20"/>
                <w:szCs w:val="20"/>
                <w:lang w:val="en-US"/>
              </w:rPr>
            </w:pPr>
            <w:r w:rsidRPr="004667CD">
              <w:rPr>
                <w:sz w:val="20"/>
                <w:szCs w:val="20"/>
                <w:lang w:val="en-US"/>
              </w:rPr>
              <w:t>Total</w:t>
            </w:r>
          </w:p>
        </w:tc>
        <w:tc>
          <w:tcPr>
            <w:tcW w:w="2839" w:type="dxa"/>
            <w:shd w:val="clear" w:color="auto" w:fill="auto"/>
          </w:tcPr>
          <w:p w:rsidR="002E1546" w:rsidRPr="000E7395" w:rsidRDefault="002E1546" w:rsidP="002E1546">
            <w:pPr>
              <w:pStyle w:val="TableCell"/>
              <w:jc w:val="right"/>
              <w:rPr>
                <w:sz w:val="20"/>
                <w:szCs w:val="20"/>
                <w:lang w:val="en-US"/>
              </w:rPr>
            </w:pPr>
            <w:r w:rsidRPr="000E7395">
              <w:rPr>
                <w:sz w:val="20"/>
                <w:szCs w:val="20"/>
                <w:lang w:val="en-US"/>
              </w:rPr>
              <w:t>253,000</w:t>
            </w:r>
          </w:p>
        </w:tc>
        <w:tc>
          <w:tcPr>
            <w:tcW w:w="2839" w:type="dxa"/>
            <w:shd w:val="clear" w:color="auto" w:fill="auto"/>
          </w:tcPr>
          <w:p w:rsidR="002E1546" w:rsidRPr="000E7395" w:rsidRDefault="002E1546" w:rsidP="002E1546">
            <w:pPr>
              <w:pStyle w:val="TableCell"/>
              <w:jc w:val="center"/>
              <w:rPr>
                <w:sz w:val="20"/>
                <w:szCs w:val="20"/>
                <w:lang w:val="en-US"/>
              </w:rPr>
            </w:pPr>
            <w:r w:rsidRPr="000E7395">
              <w:rPr>
                <w:sz w:val="20"/>
                <w:szCs w:val="20"/>
                <w:lang w:val="en-US"/>
              </w:rPr>
              <w:t>335,000</w:t>
            </w:r>
          </w:p>
        </w:tc>
      </w:tr>
    </w:tbl>
    <w:p w:rsidR="002E1546" w:rsidRDefault="002E1546" w:rsidP="002E1546">
      <w:pPr>
        <w:pStyle w:val="TableNote"/>
        <w:rPr>
          <w:lang w:eastAsia="en-IE"/>
        </w:rPr>
      </w:pPr>
      <w:r w:rsidRPr="004C03C2">
        <w:rPr>
          <w:lang w:val="en-US" w:bidi="en-US"/>
        </w:rPr>
        <w:t>Source: VWS/CVZ, 2008</w:t>
      </w:r>
      <w:r w:rsidRPr="004C03C2">
        <w:rPr>
          <w:rStyle w:val="FootnoteReference"/>
          <w:rFonts w:cs="Arial"/>
          <w:lang w:bidi="en-US"/>
        </w:rPr>
        <w:footnoteReference w:id="35"/>
      </w:r>
      <w:r w:rsidRPr="004C03C2">
        <w:rPr>
          <w:lang w:val="en-US" w:bidi="en-US"/>
        </w:rPr>
        <w:t xml:space="preserve"> </w:t>
      </w:r>
    </w:p>
    <w:p w:rsidR="002E1546" w:rsidRDefault="00160AFA" w:rsidP="002E1546">
      <w:pPr>
        <w:rPr>
          <w:lang w:eastAsia="en-IE"/>
        </w:rPr>
      </w:pPr>
      <w:r>
        <w:rPr>
          <w:lang w:eastAsia="en-IE"/>
        </w:rPr>
        <w:t xml:space="preserve">As detailed earlier </w:t>
      </w:r>
      <w:r w:rsidR="002E1546">
        <w:rPr>
          <w:lang w:eastAsia="en-IE"/>
        </w:rPr>
        <w:t xml:space="preserve">out of 253,000 people in residential care, approximately 35% (89,000) are people with disabilities. Out of 335,000 people receiving home care supports </w:t>
      </w:r>
      <w:r w:rsidR="004750BB">
        <w:rPr>
          <w:lang w:eastAsia="en-IE"/>
        </w:rPr>
        <w:t xml:space="preserve">in their own homes that are delivered by an institution </w:t>
      </w:r>
      <w:r w:rsidR="002E1546">
        <w:rPr>
          <w:lang w:eastAsia="en-IE"/>
        </w:rPr>
        <w:t xml:space="preserve">approximately 32% (108,000) </w:t>
      </w:r>
      <w:r w:rsidR="00961E2F">
        <w:rPr>
          <w:lang w:eastAsia="en-IE"/>
        </w:rPr>
        <w:t>have</w:t>
      </w:r>
      <w:r w:rsidR="002E1546">
        <w:rPr>
          <w:lang w:eastAsia="en-IE"/>
        </w:rPr>
        <w:t xml:space="preserve"> disabilities</w:t>
      </w:r>
      <w:r w:rsidR="002E1546">
        <w:rPr>
          <w:rStyle w:val="FootnoteReference"/>
        </w:rPr>
        <w:footnoteReference w:id="36"/>
      </w:r>
      <w:r w:rsidR="002E1546">
        <w:rPr>
          <w:lang w:eastAsia="en-IE"/>
        </w:rPr>
        <w:t xml:space="preserve">. </w:t>
      </w:r>
    </w:p>
    <w:p w:rsidR="002E1546" w:rsidRDefault="00961E2F" w:rsidP="002E1546">
      <w:pPr>
        <w:rPr>
          <w:lang w:eastAsia="en-IE"/>
        </w:rPr>
      </w:pPr>
      <w:r>
        <w:rPr>
          <w:lang w:eastAsia="en-IE"/>
        </w:rPr>
        <w:t>N</w:t>
      </w:r>
      <w:r w:rsidR="002E1546">
        <w:rPr>
          <w:lang w:eastAsia="en-IE"/>
        </w:rPr>
        <w:t>ursing homes and other institutions that provide residential care are independent non-profit private organisations that receive funding from the government</w:t>
      </w:r>
      <w:r w:rsidR="002E1546">
        <w:rPr>
          <w:rStyle w:val="FootnoteReference"/>
          <w:rFonts w:cs="Arial"/>
          <w:lang w:eastAsia="en-IE"/>
        </w:rPr>
        <w:footnoteReference w:id="37"/>
      </w:r>
      <w:r w:rsidR="002E1546">
        <w:rPr>
          <w:lang w:eastAsia="en-IE"/>
        </w:rPr>
        <w:t xml:space="preserve">. </w:t>
      </w:r>
    </w:p>
    <w:p w:rsidR="002E1546" w:rsidRDefault="002E1546" w:rsidP="002E1546">
      <w:pPr>
        <w:rPr>
          <w:lang w:val="en-US" w:bidi="en-US"/>
        </w:rPr>
      </w:pPr>
      <w:r>
        <w:rPr>
          <w:lang w:val="en-US" w:bidi="en-US"/>
        </w:rPr>
        <w:t xml:space="preserve">There are many types of “care in kind” or residential/institutional services </w:t>
      </w:r>
      <w:r w:rsidRPr="009F761C">
        <w:rPr>
          <w:lang w:val="en-US" w:bidi="en-US"/>
        </w:rPr>
        <w:t>in</w:t>
      </w:r>
      <w:r>
        <w:rPr>
          <w:lang w:val="en-US" w:bidi="en-US"/>
        </w:rPr>
        <w:t xml:space="preserve"> the Netherlands such as </w:t>
      </w:r>
      <w:r w:rsidRPr="009F761C">
        <w:rPr>
          <w:lang w:val="en-US" w:bidi="en-US"/>
        </w:rPr>
        <w:t>group homes</w:t>
      </w:r>
      <w:r w:rsidR="00961E2F">
        <w:rPr>
          <w:lang w:val="en-US" w:bidi="en-US"/>
        </w:rPr>
        <w:t xml:space="preserve"> and</w:t>
      </w:r>
      <w:r w:rsidRPr="009F761C">
        <w:rPr>
          <w:lang w:val="en-US" w:bidi="en-US"/>
        </w:rPr>
        <w:t xml:space="preserve"> community homes. </w:t>
      </w:r>
      <w:r>
        <w:rPr>
          <w:lang w:val="en-US" w:bidi="en-US"/>
        </w:rPr>
        <w:t xml:space="preserve">If a person with a disability chooses care in kind, the institution liaises with the healthcare insurer and supervises the provision of different services to people within the </w:t>
      </w:r>
      <w:r w:rsidR="00685267">
        <w:rPr>
          <w:lang w:val="en-US" w:bidi="en-US"/>
        </w:rPr>
        <w:t>residential service</w:t>
      </w:r>
      <w:r>
        <w:rPr>
          <w:lang w:val="en-US" w:bidi="en-US"/>
        </w:rPr>
        <w:t xml:space="preserve"> e.g. physiotherapy, speech and language therapy.  </w:t>
      </w:r>
    </w:p>
    <w:p w:rsidR="002E1546" w:rsidRPr="00D97A4C" w:rsidRDefault="002E1546" w:rsidP="002E1546">
      <w:pPr>
        <w:rPr>
          <w:lang w:eastAsia="en-IE"/>
        </w:rPr>
      </w:pPr>
      <w:r>
        <w:rPr>
          <w:lang w:val="en-US" w:bidi="en-US"/>
        </w:rPr>
        <w:t xml:space="preserve">The institution receives a care provider budget for each person in the institution. The service user can decide whether to use this money for a personal care budget. </w:t>
      </w:r>
    </w:p>
    <w:p w:rsidR="002E1546" w:rsidRDefault="002E1546" w:rsidP="002E1546">
      <w:pPr>
        <w:rPr>
          <w:lang w:eastAsia="en-IE"/>
        </w:rPr>
      </w:pPr>
      <w:r>
        <w:rPr>
          <w:lang w:val="en-US" w:bidi="en-US"/>
        </w:rPr>
        <w:t>Each service provides different levels of care depending on the service user's needs. Some people require 24 hour care</w:t>
      </w:r>
      <w:r w:rsidRPr="009F761C">
        <w:rPr>
          <w:lang w:val="en-US" w:bidi="en-US"/>
        </w:rPr>
        <w:t xml:space="preserve"> </w:t>
      </w:r>
      <w:r>
        <w:rPr>
          <w:lang w:val="en-US" w:bidi="en-US"/>
        </w:rPr>
        <w:t xml:space="preserve">and </w:t>
      </w:r>
      <w:r w:rsidRPr="009F761C">
        <w:rPr>
          <w:lang w:val="en-US" w:bidi="en-US"/>
        </w:rPr>
        <w:t xml:space="preserve">others receive support </w:t>
      </w:r>
      <w:r>
        <w:rPr>
          <w:lang w:val="en-US" w:bidi="en-US"/>
        </w:rPr>
        <w:t>only when needed e.</w:t>
      </w:r>
      <w:r w:rsidR="00961E2F">
        <w:rPr>
          <w:lang w:val="en-US" w:bidi="en-US"/>
        </w:rPr>
        <w:t>g.</w:t>
      </w:r>
      <w:r>
        <w:rPr>
          <w:lang w:val="en-US" w:bidi="en-US"/>
        </w:rPr>
        <w:t xml:space="preserve"> </w:t>
      </w:r>
      <w:r w:rsidRPr="009F761C">
        <w:rPr>
          <w:lang w:val="en-US" w:bidi="en-US"/>
        </w:rPr>
        <w:t>i</w:t>
      </w:r>
      <w:r>
        <w:rPr>
          <w:lang w:val="en-US" w:bidi="en-US"/>
        </w:rPr>
        <w:t>n the mornings and the evenings. A scale for residential services is currently used to determine the level of care a person needs such as</w:t>
      </w:r>
      <w:r w:rsidRPr="009F761C">
        <w:rPr>
          <w:lang w:val="en-US" w:bidi="en-US"/>
        </w:rPr>
        <w:t>: ‘intermittent’, ‘limited’, ‘extensive’</w:t>
      </w:r>
      <w:r>
        <w:rPr>
          <w:lang w:val="en-US" w:bidi="en-US"/>
        </w:rPr>
        <w:t xml:space="preserve"> or</w:t>
      </w:r>
      <w:r w:rsidRPr="009F761C">
        <w:rPr>
          <w:lang w:val="en-US" w:bidi="en-US"/>
        </w:rPr>
        <w:t xml:space="preserve"> ‘pe</w:t>
      </w:r>
      <w:r>
        <w:rPr>
          <w:lang w:val="en-US" w:bidi="en-US"/>
        </w:rPr>
        <w:t>rvasive’ support</w:t>
      </w:r>
      <w:r>
        <w:rPr>
          <w:rStyle w:val="FootnoteReference"/>
          <w:rFonts w:cs="Times-Roman"/>
          <w:lang w:bidi="en-US"/>
        </w:rPr>
        <w:footnoteReference w:id="38"/>
      </w:r>
      <w:r>
        <w:rPr>
          <w:lang w:val="en-US" w:bidi="en-US"/>
        </w:rPr>
        <w:t>.</w:t>
      </w:r>
      <w:r>
        <w:rPr>
          <w:lang w:eastAsia="en-IE"/>
        </w:rPr>
        <w:t xml:space="preserve"> </w:t>
      </w:r>
    </w:p>
    <w:p w:rsidR="002E1546" w:rsidRDefault="002E1546" w:rsidP="002E1546">
      <w:pPr>
        <w:rPr>
          <w:lang w:eastAsia="en-IE"/>
        </w:rPr>
      </w:pPr>
      <w:r>
        <w:rPr>
          <w:lang w:eastAsia="en-IE"/>
        </w:rPr>
        <w:t>A new change in long term care and support means that financial arrangements for institutional care are individualised. A key informant confirmed that t</w:t>
      </w:r>
      <w:r w:rsidRPr="00E8200B">
        <w:rPr>
          <w:lang w:eastAsia="en-IE"/>
        </w:rPr>
        <w:t>he perso</w:t>
      </w:r>
      <w:r>
        <w:rPr>
          <w:lang w:eastAsia="en-IE"/>
        </w:rPr>
        <w:t>nalised budget is allocated based on a standardised needs assessment.</w:t>
      </w:r>
      <w:r w:rsidR="00560080" w:rsidRPr="00560080">
        <w:t xml:space="preserve">  </w:t>
      </w:r>
      <w:r w:rsidR="00560080">
        <w:t>B</w:t>
      </w:r>
      <w:r w:rsidR="00560080" w:rsidRPr="00560080">
        <w:t>udgets are allocated using standardised costs for services, and that with regard to institutional accommodation, these costs are set on the presumption of group living arrang</w:t>
      </w:r>
      <w:r w:rsidR="00560080">
        <w:t>e</w:t>
      </w:r>
      <w:r w:rsidR="00560080" w:rsidRPr="00560080">
        <w:t>ments, rather than individual accommodation</w:t>
      </w:r>
      <w:r>
        <w:rPr>
          <w:rStyle w:val="FootnoteReference"/>
        </w:rPr>
        <w:footnoteReference w:id="39"/>
      </w:r>
      <w:r>
        <w:rPr>
          <w:lang w:eastAsia="en-IE"/>
        </w:rPr>
        <w:t>.</w:t>
      </w:r>
    </w:p>
    <w:p w:rsidR="002E1546" w:rsidRPr="00C44AFB" w:rsidRDefault="00C22DFB" w:rsidP="00324502">
      <w:pPr>
        <w:pStyle w:val="TableTitle"/>
        <w:rPr>
          <w:lang w:eastAsia="en-IE"/>
        </w:rPr>
      </w:pPr>
      <w:r>
        <w:rPr>
          <w:lang w:eastAsia="en-IE"/>
        </w:rPr>
        <w:t>Table 5</w:t>
      </w:r>
      <w:r w:rsidR="002E1546">
        <w:rPr>
          <w:lang w:eastAsia="en-IE"/>
        </w:rPr>
        <w:t>. Costs of Care in Kind</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838"/>
        <w:gridCol w:w="2839"/>
        <w:gridCol w:w="2839"/>
      </w:tblGrid>
      <w:tr w:rsidR="002E1546" w:rsidRPr="004667CD">
        <w:tblPrEx>
          <w:tblCellMar>
            <w:top w:w="0" w:type="dxa"/>
            <w:bottom w:w="0" w:type="dxa"/>
          </w:tblCellMar>
        </w:tblPrEx>
        <w:trPr>
          <w:tblHeader/>
        </w:trPr>
        <w:tc>
          <w:tcPr>
            <w:tcW w:w="2838" w:type="dxa"/>
            <w:tcBorders>
              <w:bottom w:val="single" w:sz="12" w:space="0" w:color="000000"/>
            </w:tcBorders>
            <w:shd w:val="clear" w:color="auto" w:fill="auto"/>
          </w:tcPr>
          <w:p w:rsidR="002E1546" w:rsidRPr="004667CD" w:rsidRDefault="002E1546" w:rsidP="002E1546">
            <w:pPr>
              <w:pStyle w:val="TableHead"/>
              <w:jc w:val="right"/>
              <w:rPr>
                <w:sz w:val="20"/>
                <w:szCs w:val="20"/>
                <w:lang w:val="en-US"/>
              </w:rPr>
            </w:pPr>
            <w:r w:rsidRPr="004667CD">
              <w:rPr>
                <w:sz w:val="20"/>
                <w:szCs w:val="20"/>
                <w:lang w:val="en-US"/>
              </w:rPr>
              <w:t>Care in Kind</w:t>
            </w:r>
          </w:p>
        </w:tc>
        <w:tc>
          <w:tcPr>
            <w:tcW w:w="2839" w:type="dxa"/>
            <w:tcBorders>
              <w:bottom w:val="single" w:sz="12" w:space="0" w:color="000000"/>
            </w:tcBorders>
            <w:shd w:val="clear" w:color="auto" w:fill="auto"/>
          </w:tcPr>
          <w:p w:rsidR="002E1546" w:rsidRPr="004667CD" w:rsidRDefault="002E1546" w:rsidP="002E1546">
            <w:pPr>
              <w:pStyle w:val="TableHead"/>
              <w:jc w:val="right"/>
              <w:rPr>
                <w:sz w:val="20"/>
                <w:szCs w:val="20"/>
                <w:lang w:val="en-US"/>
              </w:rPr>
            </w:pPr>
            <w:r w:rsidRPr="004667CD">
              <w:rPr>
                <w:sz w:val="20"/>
                <w:szCs w:val="20"/>
                <w:lang w:val="en-US"/>
              </w:rPr>
              <w:t>Total Costs (billion euros)</w:t>
            </w:r>
          </w:p>
        </w:tc>
        <w:tc>
          <w:tcPr>
            <w:tcW w:w="2839" w:type="dxa"/>
            <w:tcBorders>
              <w:bottom w:val="single" w:sz="12" w:space="0" w:color="000000"/>
            </w:tcBorders>
            <w:shd w:val="clear" w:color="auto" w:fill="auto"/>
          </w:tcPr>
          <w:p w:rsidR="002E1546" w:rsidRPr="004667CD" w:rsidRDefault="002E1546" w:rsidP="002E1546">
            <w:pPr>
              <w:pStyle w:val="TableHead"/>
              <w:jc w:val="right"/>
              <w:rPr>
                <w:sz w:val="20"/>
                <w:szCs w:val="20"/>
                <w:lang w:val="en-US"/>
              </w:rPr>
            </w:pPr>
            <w:r w:rsidRPr="004667CD">
              <w:rPr>
                <w:sz w:val="20"/>
                <w:szCs w:val="20"/>
                <w:lang w:val="en-US"/>
              </w:rPr>
              <w:t>Average amount per client</w:t>
            </w:r>
          </w:p>
        </w:tc>
      </w:tr>
      <w:tr w:rsidR="002E1546" w:rsidRPr="004667CD">
        <w:tblPrEx>
          <w:tblCellMar>
            <w:top w:w="0" w:type="dxa"/>
            <w:bottom w:w="0" w:type="dxa"/>
          </w:tblCellMar>
        </w:tblPrEx>
        <w:tc>
          <w:tcPr>
            <w:tcW w:w="2838" w:type="dxa"/>
            <w:shd w:val="clear" w:color="auto" w:fill="auto"/>
          </w:tcPr>
          <w:p w:rsidR="002E1546" w:rsidRPr="004667CD" w:rsidRDefault="002E1546" w:rsidP="002E1546">
            <w:pPr>
              <w:pStyle w:val="TableRowHead"/>
              <w:rPr>
                <w:sz w:val="20"/>
                <w:szCs w:val="20"/>
                <w:lang w:val="en-US"/>
              </w:rPr>
            </w:pPr>
            <w:r w:rsidRPr="004667CD">
              <w:rPr>
                <w:sz w:val="20"/>
                <w:szCs w:val="20"/>
                <w:lang w:val="en-US"/>
              </w:rPr>
              <w:t>Residential</w:t>
            </w:r>
          </w:p>
        </w:tc>
        <w:tc>
          <w:tcPr>
            <w:tcW w:w="2839" w:type="dxa"/>
            <w:shd w:val="clear" w:color="auto" w:fill="auto"/>
          </w:tcPr>
          <w:p w:rsidR="002E1546" w:rsidRPr="004667CD" w:rsidRDefault="002E1546" w:rsidP="002E1546">
            <w:pPr>
              <w:pStyle w:val="TableCell"/>
              <w:jc w:val="right"/>
              <w:rPr>
                <w:sz w:val="20"/>
                <w:szCs w:val="20"/>
                <w:lang w:val="en-US"/>
              </w:rPr>
            </w:pPr>
            <w:r>
              <w:rPr>
                <w:sz w:val="20"/>
                <w:szCs w:val="20"/>
                <w:lang w:val="en-US"/>
              </w:rPr>
              <w:t>€14.9m</w:t>
            </w:r>
          </w:p>
        </w:tc>
        <w:tc>
          <w:tcPr>
            <w:tcW w:w="2839" w:type="dxa"/>
            <w:shd w:val="clear" w:color="auto" w:fill="auto"/>
          </w:tcPr>
          <w:p w:rsidR="002E1546" w:rsidRPr="004667CD" w:rsidRDefault="002E1546" w:rsidP="002E1546">
            <w:pPr>
              <w:pStyle w:val="TableCell"/>
              <w:jc w:val="right"/>
              <w:rPr>
                <w:sz w:val="20"/>
                <w:szCs w:val="20"/>
                <w:lang w:val="en-US"/>
              </w:rPr>
            </w:pPr>
            <w:r>
              <w:rPr>
                <w:sz w:val="20"/>
                <w:szCs w:val="20"/>
                <w:lang w:val="en-US"/>
              </w:rPr>
              <w:t>€58,500</w:t>
            </w:r>
          </w:p>
        </w:tc>
      </w:tr>
      <w:tr w:rsidR="002E1546" w:rsidRPr="004667CD">
        <w:tblPrEx>
          <w:tblCellMar>
            <w:top w:w="0" w:type="dxa"/>
            <w:bottom w:w="0" w:type="dxa"/>
          </w:tblCellMar>
        </w:tblPrEx>
        <w:tc>
          <w:tcPr>
            <w:tcW w:w="2838" w:type="dxa"/>
            <w:shd w:val="clear" w:color="auto" w:fill="auto"/>
          </w:tcPr>
          <w:p w:rsidR="002E1546" w:rsidRPr="004667CD" w:rsidRDefault="002E1546" w:rsidP="002E1546">
            <w:pPr>
              <w:pStyle w:val="TableRowHead"/>
              <w:rPr>
                <w:sz w:val="20"/>
                <w:szCs w:val="20"/>
                <w:lang w:val="en-US"/>
              </w:rPr>
            </w:pPr>
            <w:r w:rsidRPr="004667CD">
              <w:rPr>
                <w:sz w:val="20"/>
                <w:szCs w:val="20"/>
                <w:lang w:val="en-US"/>
              </w:rPr>
              <w:t>Home care</w:t>
            </w:r>
          </w:p>
        </w:tc>
        <w:tc>
          <w:tcPr>
            <w:tcW w:w="2839" w:type="dxa"/>
            <w:shd w:val="clear" w:color="auto" w:fill="auto"/>
          </w:tcPr>
          <w:p w:rsidR="002E1546" w:rsidRPr="004667CD" w:rsidRDefault="002E1546" w:rsidP="002E1546">
            <w:pPr>
              <w:pStyle w:val="TableCell"/>
              <w:jc w:val="right"/>
              <w:rPr>
                <w:sz w:val="20"/>
                <w:szCs w:val="20"/>
                <w:lang w:val="en-US"/>
              </w:rPr>
            </w:pPr>
            <w:r>
              <w:rPr>
                <w:sz w:val="20"/>
                <w:szCs w:val="20"/>
                <w:lang w:val="en-US"/>
              </w:rPr>
              <w:t>€5.9m</w:t>
            </w:r>
          </w:p>
        </w:tc>
        <w:tc>
          <w:tcPr>
            <w:tcW w:w="2839" w:type="dxa"/>
            <w:shd w:val="clear" w:color="auto" w:fill="auto"/>
          </w:tcPr>
          <w:p w:rsidR="002E1546" w:rsidRPr="004667CD" w:rsidRDefault="002E1546" w:rsidP="002E1546">
            <w:pPr>
              <w:pStyle w:val="TableCell"/>
              <w:jc w:val="right"/>
              <w:rPr>
                <w:sz w:val="20"/>
                <w:szCs w:val="20"/>
                <w:lang w:val="en-US"/>
              </w:rPr>
            </w:pPr>
            <w:r>
              <w:rPr>
                <w:sz w:val="20"/>
                <w:szCs w:val="20"/>
                <w:lang w:val="en-US"/>
              </w:rPr>
              <w:t>€22,000</w:t>
            </w:r>
          </w:p>
        </w:tc>
      </w:tr>
    </w:tbl>
    <w:p w:rsidR="002E1546" w:rsidRPr="00BA2AE5" w:rsidRDefault="002E1546" w:rsidP="002E1546">
      <w:pPr>
        <w:jc w:val="center"/>
        <w:rPr>
          <w:sz w:val="20"/>
          <w:lang w:eastAsia="en-IE"/>
        </w:rPr>
      </w:pPr>
      <w:r w:rsidRPr="00BA2AE5">
        <w:rPr>
          <w:sz w:val="20"/>
          <w:lang w:val="en-US" w:bidi="en-US"/>
        </w:rPr>
        <w:t>Source: VWS/CVZ, 2008</w:t>
      </w:r>
      <w:r w:rsidRPr="00BA2AE5">
        <w:rPr>
          <w:rStyle w:val="FootnoteReference"/>
          <w:sz w:val="20"/>
        </w:rPr>
        <w:footnoteReference w:id="40"/>
      </w:r>
    </w:p>
    <w:p w:rsidR="006F6642" w:rsidRDefault="006F6642" w:rsidP="006F6642">
      <w:pPr>
        <w:pStyle w:val="Heading2"/>
        <w:rPr>
          <w:lang w:eastAsia="en-IE"/>
        </w:rPr>
      </w:pPr>
      <w:bookmarkStart w:id="77" w:name="_Toc269743640"/>
      <w:bookmarkStart w:id="78" w:name="_Toc286159982"/>
      <w:r>
        <w:rPr>
          <w:lang w:eastAsia="en-IE"/>
        </w:rPr>
        <w:t>4.2 Housing</w:t>
      </w:r>
      <w:bookmarkEnd w:id="77"/>
      <w:bookmarkEnd w:id="78"/>
      <w:r>
        <w:rPr>
          <w:lang w:eastAsia="en-IE"/>
        </w:rPr>
        <w:t xml:space="preserve"> </w:t>
      </w:r>
    </w:p>
    <w:p w:rsidR="006F6642" w:rsidRDefault="006F6642" w:rsidP="006F6642">
      <w:r>
        <w:t>The Ministry of Housing, Spatial Planning and the Environment deals with  rent policy, rental allowance, housing production and renovation, and urban development.</w:t>
      </w:r>
      <w:r>
        <w:rPr>
          <w:rStyle w:val="FootnoteReference"/>
        </w:rPr>
        <w:footnoteReference w:id="41"/>
      </w:r>
      <w:r>
        <w:t xml:space="preserve">. People with disabilities can apply for and receive rental allowance and they are also given </w:t>
      </w:r>
      <w:r w:rsidRPr="00924697">
        <w:t xml:space="preserve">priority in </w:t>
      </w:r>
      <w:r>
        <w:t xml:space="preserve">terms of </w:t>
      </w:r>
      <w:r w:rsidRPr="00924697">
        <w:t>occupying scarce municipal social</w:t>
      </w:r>
      <w:r>
        <w:t xml:space="preserve"> housing</w:t>
      </w:r>
      <w:r>
        <w:rPr>
          <w:rStyle w:val="FootnoteReference"/>
        </w:rPr>
        <w:footnoteReference w:id="42"/>
      </w:r>
      <w:r>
        <w:t xml:space="preserve">.   </w:t>
      </w:r>
    </w:p>
    <w:p w:rsidR="006F6642" w:rsidRDefault="006F6642" w:rsidP="006F6642">
      <w:pPr>
        <w:pStyle w:val="Heading3"/>
      </w:pPr>
      <w:bookmarkStart w:id="79" w:name="_Toc279581064"/>
      <w:bookmarkStart w:id="80" w:name="_Toc286159983"/>
      <w:r>
        <w:t>Types of accommodation for people with disabilities</w:t>
      </w:r>
      <w:bookmarkEnd w:id="79"/>
      <w:bookmarkEnd w:id="80"/>
    </w:p>
    <w:p w:rsidR="006F6642" w:rsidRDefault="006F6642" w:rsidP="006F6642">
      <w:r>
        <w:t>People with disabilities live in residential homes, or with their families, or in their own homes. There are also other housing opportunities for people with disabilities in the Netherlands.</w:t>
      </w:r>
    </w:p>
    <w:p w:rsidR="006F6642" w:rsidRDefault="006F6642" w:rsidP="006F6642">
      <w:pPr>
        <w:pStyle w:val="Heading4"/>
      </w:pPr>
      <w:r>
        <w:t>Clustered housing</w:t>
      </w:r>
    </w:p>
    <w:p w:rsidR="006F6642" w:rsidRDefault="006F6642" w:rsidP="006F6642">
      <w:r w:rsidRPr="00924697">
        <w:t>Stichting Fokus</w:t>
      </w:r>
      <w:r>
        <w:t xml:space="preserve"> is a non governmental body that provides housing specifically for people with physical disabilities who can live independently and  who require care on an on call basis only</w:t>
      </w:r>
      <w:r>
        <w:rPr>
          <w:rStyle w:val="FootnoteReference"/>
        </w:rPr>
        <w:footnoteReference w:id="43"/>
      </w:r>
      <w:r>
        <w:t>. A person must require a minimum of 5 hours personal support/care a week in order to qualify for a Fokus home.</w:t>
      </w:r>
      <w:r w:rsidRPr="00C17EB7">
        <w:t xml:space="preserve"> </w:t>
      </w:r>
      <w:r>
        <w:t>The organisation has 1300 adapted buildings in 90 locations throughout the Netherlands for people with severe physical disabilities. The organisation has over 2,100 employees. These homes are completely accessible and on call assistance is available 24 hours a day. Each location has a cluster of 12 - 20 houses and a project manager that leads a team of 20 personal care assistants</w:t>
      </w:r>
      <w:r>
        <w:rPr>
          <w:rStyle w:val="FootnoteReference"/>
        </w:rPr>
        <w:footnoteReference w:id="44"/>
      </w:r>
      <w:r w:rsidRPr="00EF3FE9">
        <w:t xml:space="preserve"> </w:t>
      </w:r>
      <w:r>
        <w:t xml:space="preserve">. People  who wish to use this service pay for it using their Long Term Care Insurance (AWBZ). </w:t>
      </w:r>
    </w:p>
    <w:p w:rsidR="006F6642" w:rsidRDefault="006F6642" w:rsidP="006F6642">
      <w:pPr>
        <w:rPr>
          <w:rStyle w:val="Strong"/>
          <w:rFonts w:cs="Arial"/>
          <w:color w:val="000000"/>
          <w:shd w:val="clear" w:color="auto" w:fill="EBEFF9"/>
        </w:rPr>
      </w:pPr>
      <w:r>
        <w:t xml:space="preserve">"Thomas Houses" is another initiative that  provides supports for people with intellectual disabilities to live independently. The initiative is run by an independent company called ARGO that is affiliated  with the University of Groningen. ARGO provides research and </w:t>
      </w:r>
      <w:r w:rsidRPr="003C4011">
        <w:t xml:space="preserve">consultancy </w:t>
      </w:r>
      <w:r>
        <w:t xml:space="preserve">services on </w:t>
      </w:r>
      <w:r w:rsidRPr="003C4011">
        <w:t>improv</w:t>
      </w:r>
      <w:r>
        <w:t xml:space="preserve">ing health care services to healthcare providers, the Dutch </w:t>
      </w:r>
      <w:r w:rsidRPr="003C4011">
        <w:t xml:space="preserve">government and umbrella organizations in the healthcare sector. </w:t>
      </w:r>
      <w:r>
        <w:t>"Thomas Houses" typically provides support for 6-8 people with intellectual disabilities to live in a house</w:t>
      </w:r>
      <w:r>
        <w:rPr>
          <w:rStyle w:val="FootnoteReference"/>
        </w:rPr>
        <w:footnoteReference w:id="45"/>
      </w:r>
      <w:r>
        <w:t>. Two care givers are assigned to each house to support the needs of the residents. The caregivers live in or beside the house. In 2010 there were 80 Thomas Houses in the Netherlands and the demand is increasing</w:t>
      </w:r>
      <w:r>
        <w:rPr>
          <w:rStyle w:val="FootnoteReference"/>
        </w:rPr>
        <w:footnoteReference w:id="46"/>
      </w:r>
      <w:r>
        <w:t>.</w:t>
      </w:r>
      <w:r>
        <w:rPr>
          <w:rStyle w:val="Strong"/>
          <w:rFonts w:cs="Arial"/>
          <w:color w:val="000000"/>
          <w:shd w:val="clear" w:color="auto" w:fill="EBEFF9"/>
        </w:rPr>
        <w:t xml:space="preserve"> </w:t>
      </w:r>
    </w:p>
    <w:p w:rsidR="006F6642" w:rsidRPr="00953F16" w:rsidRDefault="006F6642" w:rsidP="006F6642">
      <w:pPr>
        <w:rPr>
          <w:rStyle w:val="longtext"/>
          <w:rFonts w:cs="Arial"/>
          <w:color w:val="000000"/>
          <w:shd w:val="clear" w:color="auto" w:fill="FFFFFF"/>
        </w:rPr>
      </w:pPr>
      <w:r w:rsidRPr="00953F16">
        <w:rPr>
          <w:rStyle w:val="longtext"/>
          <w:rFonts w:cs="Arial"/>
          <w:color w:val="000000"/>
          <w:shd w:val="clear" w:color="auto" w:fill="FFFFFF"/>
        </w:rPr>
        <w:t>The tota</w:t>
      </w:r>
      <w:r>
        <w:rPr>
          <w:rStyle w:val="longtext"/>
          <w:rFonts w:cs="Arial"/>
          <w:color w:val="000000"/>
          <w:shd w:val="clear" w:color="auto" w:fill="FFFFFF"/>
        </w:rPr>
        <w:t>l cost of living in a Thomas House</w:t>
      </w:r>
      <w:r w:rsidRPr="00953F16">
        <w:rPr>
          <w:rStyle w:val="longtext"/>
          <w:rFonts w:cs="Arial"/>
          <w:color w:val="000000"/>
          <w:shd w:val="clear" w:color="auto" w:fill="FFFFFF"/>
        </w:rPr>
        <w:t xml:space="preserve"> depend</w:t>
      </w:r>
      <w:r>
        <w:rPr>
          <w:rStyle w:val="longtext"/>
          <w:rFonts w:cs="Arial"/>
          <w:color w:val="000000"/>
          <w:shd w:val="clear" w:color="auto" w:fill="FFFFFF"/>
        </w:rPr>
        <w:t xml:space="preserve">s on the individual person's care needs. Each month a service user receives a customer account that  displays the </w:t>
      </w:r>
      <w:r w:rsidRPr="00953F16">
        <w:rPr>
          <w:rStyle w:val="longtext"/>
          <w:rFonts w:cs="Arial"/>
          <w:color w:val="000000"/>
          <w:shd w:val="clear" w:color="auto" w:fill="FFFFFF"/>
        </w:rPr>
        <w:t xml:space="preserve">full cost of rent, service and food </w:t>
      </w:r>
      <w:r>
        <w:rPr>
          <w:rStyle w:val="longtext"/>
          <w:rFonts w:cs="Arial"/>
          <w:color w:val="000000"/>
          <w:shd w:val="clear" w:color="auto" w:fill="FFFFFF"/>
        </w:rPr>
        <w:t>etc. Service users pay for living and care costs using their personal care budgets</w:t>
      </w:r>
      <w:r>
        <w:rPr>
          <w:rStyle w:val="FootnoteReference"/>
          <w:rFonts w:cs="Arial"/>
          <w:color w:val="000000"/>
          <w:shd w:val="clear" w:color="auto" w:fill="FFFFFF"/>
        </w:rPr>
        <w:footnoteReference w:id="47"/>
      </w:r>
      <w:r>
        <w:rPr>
          <w:rStyle w:val="longtext"/>
          <w:rFonts w:cs="Arial"/>
          <w:color w:val="000000"/>
          <w:shd w:val="clear" w:color="auto" w:fill="FFFFFF"/>
        </w:rPr>
        <w:t>.</w:t>
      </w:r>
    </w:p>
    <w:p w:rsidR="00116252" w:rsidRDefault="00C22DFB" w:rsidP="00F311C3">
      <w:pPr>
        <w:rPr>
          <w:rStyle w:val="longtext"/>
          <w:rFonts w:cs="Arial"/>
          <w:color w:val="000000"/>
          <w:shd w:val="clear" w:color="auto" w:fill="FFFFFF"/>
        </w:rPr>
      </w:pPr>
      <w:r>
        <w:rPr>
          <w:rStyle w:val="longtext"/>
          <w:rFonts w:cs="Arial"/>
          <w:color w:val="000000"/>
          <w:shd w:val="clear" w:color="auto" w:fill="FFFFFF"/>
        </w:rPr>
        <w:t>Table 6</w:t>
      </w:r>
      <w:r w:rsidR="006F6642">
        <w:rPr>
          <w:rStyle w:val="longtext"/>
          <w:rFonts w:cs="Arial"/>
          <w:color w:val="000000"/>
          <w:shd w:val="clear" w:color="auto" w:fill="FFFFFF"/>
        </w:rPr>
        <w:t xml:space="preserve"> shows guidelines for </w:t>
      </w:r>
      <w:r w:rsidR="006F6642" w:rsidRPr="00953F16">
        <w:rPr>
          <w:rStyle w:val="longtext"/>
          <w:rFonts w:cs="Arial"/>
          <w:color w:val="000000"/>
          <w:shd w:val="clear" w:color="auto" w:fill="FFFFFF"/>
        </w:rPr>
        <w:t>rent and service charge</w:t>
      </w:r>
      <w:r w:rsidR="000C0F3D">
        <w:rPr>
          <w:rStyle w:val="longtext"/>
          <w:rFonts w:cs="Arial"/>
          <w:color w:val="000000"/>
          <w:shd w:val="clear" w:color="auto" w:fill="FFFFFF"/>
        </w:rPr>
        <w:t xml:space="preserve"> </w:t>
      </w:r>
      <w:r w:rsidR="006F6642">
        <w:rPr>
          <w:rStyle w:val="longtext"/>
          <w:rFonts w:cs="Arial"/>
          <w:color w:val="000000"/>
          <w:shd w:val="clear" w:color="auto" w:fill="FFFFFF"/>
        </w:rPr>
        <w:t>for a Thomas House in 2009.</w:t>
      </w:r>
    </w:p>
    <w:p w:rsidR="00F311C3" w:rsidRDefault="00F311C3" w:rsidP="00F311C3">
      <w:pPr>
        <w:pStyle w:val="TableTitle"/>
        <w:rPr>
          <w:rStyle w:val="longtext"/>
          <w:rFonts w:cs="Arial"/>
          <w:color w:val="000000"/>
          <w:shd w:val="clear" w:color="auto" w:fill="FFFFFF"/>
        </w:rPr>
      </w:pPr>
      <w:r>
        <w:rPr>
          <w:rStyle w:val="longtext"/>
          <w:rFonts w:cs="Arial"/>
          <w:color w:val="000000"/>
          <w:shd w:val="clear" w:color="auto" w:fill="FFFFFF"/>
        </w:rPr>
        <w:t>Table</w:t>
      </w:r>
      <w:r w:rsidR="00C22DFB">
        <w:rPr>
          <w:rStyle w:val="longtext"/>
          <w:rFonts w:cs="Arial"/>
          <w:color w:val="000000"/>
          <w:shd w:val="clear" w:color="auto" w:fill="FFFFFF"/>
        </w:rPr>
        <w:t xml:space="preserve"> 6</w:t>
      </w:r>
      <w:r>
        <w:rPr>
          <w:rStyle w:val="longtext"/>
          <w:rFonts w:cs="Arial"/>
          <w:color w:val="000000"/>
          <w:shd w:val="clear" w:color="auto" w:fill="FFFFFF"/>
        </w:rPr>
        <w:t xml:space="preserve">. 2009 Guidelines on individual monthly charges in a           Thomas House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258"/>
        <w:gridCol w:w="4258"/>
      </w:tblGrid>
      <w:tr w:rsidR="00F311C3" w:rsidRPr="00BA5D6F">
        <w:tblPrEx>
          <w:tblCellMar>
            <w:top w:w="0" w:type="dxa"/>
            <w:bottom w:w="0" w:type="dxa"/>
          </w:tblCellMar>
        </w:tblPrEx>
        <w:trPr>
          <w:tblHeader/>
        </w:trPr>
        <w:tc>
          <w:tcPr>
            <w:tcW w:w="4258" w:type="dxa"/>
            <w:tcBorders>
              <w:bottom w:val="single" w:sz="12" w:space="0" w:color="000000"/>
            </w:tcBorders>
            <w:shd w:val="clear" w:color="auto" w:fill="auto"/>
          </w:tcPr>
          <w:p w:rsidR="00F311C3" w:rsidRPr="00BA5D6F" w:rsidRDefault="00F311C3" w:rsidP="00B70607">
            <w:pPr>
              <w:pStyle w:val="TableHead"/>
              <w:jc w:val="right"/>
            </w:pPr>
            <w:r>
              <w:t>Service</w:t>
            </w:r>
          </w:p>
        </w:tc>
        <w:tc>
          <w:tcPr>
            <w:tcW w:w="4258" w:type="dxa"/>
            <w:tcBorders>
              <w:bottom w:val="single" w:sz="12" w:space="0" w:color="000000"/>
            </w:tcBorders>
            <w:shd w:val="clear" w:color="auto" w:fill="auto"/>
          </w:tcPr>
          <w:p w:rsidR="00F311C3" w:rsidRPr="00BA5D6F" w:rsidRDefault="00F311C3" w:rsidP="00B70607">
            <w:pPr>
              <w:pStyle w:val="TableHead"/>
              <w:jc w:val="right"/>
            </w:pPr>
            <w:r>
              <w:t>Cost</w:t>
            </w:r>
          </w:p>
        </w:tc>
      </w:tr>
      <w:tr w:rsidR="00F311C3" w:rsidRPr="00BA5D6F">
        <w:tblPrEx>
          <w:tblCellMar>
            <w:top w:w="0" w:type="dxa"/>
            <w:bottom w:w="0" w:type="dxa"/>
          </w:tblCellMar>
        </w:tblPrEx>
        <w:tc>
          <w:tcPr>
            <w:tcW w:w="4258" w:type="dxa"/>
            <w:tcBorders>
              <w:top w:val="single" w:sz="12" w:space="0" w:color="000000"/>
            </w:tcBorders>
            <w:shd w:val="clear" w:color="auto" w:fill="auto"/>
          </w:tcPr>
          <w:p w:rsidR="00F311C3" w:rsidRPr="00BA5D6F" w:rsidRDefault="00F311C3" w:rsidP="00B70607">
            <w:pPr>
              <w:pStyle w:val="TableRowHead"/>
            </w:pPr>
            <w:r>
              <w:t>Room rent</w:t>
            </w:r>
          </w:p>
        </w:tc>
        <w:tc>
          <w:tcPr>
            <w:tcW w:w="4258" w:type="dxa"/>
            <w:tcBorders>
              <w:top w:val="single" w:sz="12" w:space="0" w:color="000000"/>
            </w:tcBorders>
            <w:shd w:val="clear" w:color="auto" w:fill="auto"/>
          </w:tcPr>
          <w:p w:rsidR="00F311C3" w:rsidRPr="00BA5D6F" w:rsidRDefault="00F311C3" w:rsidP="00B70607">
            <w:pPr>
              <w:pStyle w:val="TableCell"/>
              <w:jc w:val="right"/>
            </w:pPr>
            <w:r>
              <w:t>€350 per month</w:t>
            </w:r>
          </w:p>
        </w:tc>
      </w:tr>
      <w:tr w:rsidR="00F311C3" w:rsidRPr="00BA5D6F">
        <w:tblPrEx>
          <w:tblCellMar>
            <w:top w:w="0" w:type="dxa"/>
            <w:bottom w:w="0" w:type="dxa"/>
          </w:tblCellMar>
        </w:tblPrEx>
        <w:tc>
          <w:tcPr>
            <w:tcW w:w="4258" w:type="dxa"/>
            <w:shd w:val="clear" w:color="auto" w:fill="auto"/>
          </w:tcPr>
          <w:p w:rsidR="00F311C3" w:rsidRPr="00BA5D6F" w:rsidRDefault="00F311C3" w:rsidP="00B70607">
            <w:pPr>
              <w:pStyle w:val="TableRowHead"/>
            </w:pPr>
            <w:r>
              <w:t>Personal care services</w:t>
            </w:r>
          </w:p>
        </w:tc>
        <w:tc>
          <w:tcPr>
            <w:tcW w:w="4258" w:type="dxa"/>
            <w:shd w:val="clear" w:color="auto" w:fill="auto"/>
          </w:tcPr>
          <w:p w:rsidR="00F311C3" w:rsidRPr="00BA5D6F" w:rsidRDefault="00F311C3" w:rsidP="00B70607">
            <w:pPr>
              <w:pStyle w:val="TableCell"/>
              <w:jc w:val="right"/>
            </w:pPr>
            <w:r>
              <w:t>€150 per month</w:t>
            </w:r>
          </w:p>
        </w:tc>
      </w:tr>
      <w:tr w:rsidR="00F311C3" w:rsidRPr="00BA5D6F">
        <w:tblPrEx>
          <w:tblCellMar>
            <w:top w:w="0" w:type="dxa"/>
            <w:bottom w:w="0" w:type="dxa"/>
          </w:tblCellMar>
        </w:tblPrEx>
        <w:tc>
          <w:tcPr>
            <w:tcW w:w="4258" w:type="dxa"/>
            <w:shd w:val="clear" w:color="auto" w:fill="auto"/>
          </w:tcPr>
          <w:p w:rsidR="00F311C3" w:rsidRPr="00BA5D6F" w:rsidRDefault="00F311C3" w:rsidP="00B70607">
            <w:pPr>
              <w:pStyle w:val="TableRowHead"/>
            </w:pPr>
            <w:r>
              <w:t>Meals</w:t>
            </w:r>
          </w:p>
        </w:tc>
        <w:tc>
          <w:tcPr>
            <w:tcW w:w="4258" w:type="dxa"/>
            <w:shd w:val="clear" w:color="auto" w:fill="auto"/>
          </w:tcPr>
          <w:p w:rsidR="00F311C3" w:rsidRPr="00BA5D6F" w:rsidRDefault="00F311C3" w:rsidP="00B70607">
            <w:pPr>
              <w:pStyle w:val="TableCell"/>
              <w:jc w:val="right"/>
            </w:pPr>
            <w:r>
              <w:t>€200 per month</w:t>
            </w:r>
          </w:p>
        </w:tc>
      </w:tr>
      <w:tr w:rsidR="00F311C3" w:rsidRPr="00BA5D6F">
        <w:tblPrEx>
          <w:tblCellMar>
            <w:top w:w="0" w:type="dxa"/>
            <w:bottom w:w="0" w:type="dxa"/>
          </w:tblCellMar>
        </w:tblPrEx>
        <w:tc>
          <w:tcPr>
            <w:tcW w:w="4258" w:type="dxa"/>
            <w:shd w:val="clear" w:color="auto" w:fill="auto"/>
          </w:tcPr>
          <w:p w:rsidR="00F311C3" w:rsidRPr="00BA5D6F" w:rsidRDefault="00F311C3" w:rsidP="00B70607">
            <w:pPr>
              <w:pStyle w:val="TableRowHead"/>
            </w:pPr>
            <w:r>
              <w:t>Total</w:t>
            </w:r>
          </w:p>
        </w:tc>
        <w:tc>
          <w:tcPr>
            <w:tcW w:w="4258" w:type="dxa"/>
            <w:shd w:val="clear" w:color="auto" w:fill="auto"/>
          </w:tcPr>
          <w:p w:rsidR="00F311C3" w:rsidRPr="00BA5D6F" w:rsidRDefault="00F311C3" w:rsidP="00B70607">
            <w:pPr>
              <w:pStyle w:val="TableCell"/>
              <w:jc w:val="right"/>
            </w:pPr>
            <w:r>
              <w:t>€700 per month</w:t>
            </w:r>
          </w:p>
        </w:tc>
      </w:tr>
    </w:tbl>
    <w:p w:rsidR="00F311C3" w:rsidRPr="008009EE" w:rsidRDefault="00F311C3" w:rsidP="00F311C3">
      <w:pPr>
        <w:pStyle w:val="TableNote"/>
      </w:pPr>
      <w:r>
        <w:t xml:space="preserve">Source: Thomas House website </w:t>
      </w:r>
      <w:r w:rsidRPr="00953F16">
        <w:t>http://www.thomashuizen.nl/wat_is_een_thomashuis.aspx</w:t>
      </w:r>
      <w:r>
        <w:t xml:space="preserve"> </w:t>
      </w:r>
    </w:p>
    <w:p w:rsidR="00F311C3" w:rsidRPr="00F311C3" w:rsidRDefault="00F311C3" w:rsidP="00F311C3">
      <w:pPr>
        <w:pStyle w:val="TableSummary"/>
        <w:sectPr w:rsidR="00F311C3" w:rsidRPr="00F311C3" w:rsidSect="002E1546">
          <w:footnotePr>
            <w:pos w:val="beneathText"/>
          </w:footnotePr>
          <w:pgSz w:w="11900" w:h="16840"/>
          <w:pgMar w:top="1440" w:right="1800" w:bottom="1440" w:left="1800" w:header="708" w:footer="708" w:gutter="0"/>
          <w:cols w:space="708"/>
        </w:sectPr>
      </w:pPr>
    </w:p>
    <w:p w:rsidR="002E1546" w:rsidRDefault="002E1546" w:rsidP="002E1546">
      <w:pPr>
        <w:pStyle w:val="Heading2"/>
        <w:rPr>
          <w:lang w:eastAsia="en-IE"/>
        </w:rPr>
      </w:pPr>
      <w:bookmarkStart w:id="81" w:name="_Toc268689540"/>
      <w:bookmarkStart w:id="82" w:name="_Toc269743643"/>
      <w:bookmarkStart w:id="83" w:name="_Toc286159984"/>
      <w:r>
        <w:rPr>
          <w:lang w:eastAsia="en-IE"/>
        </w:rPr>
        <w:t>4.3 Care Support for people with disabilities</w:t>
      </w:r>
      <w:bookmarkEnd w:id="82"/>
      <w:bookmarkEnd w:id="83"/>
      <w:r>
        <w:rPr>
          <w:lang w:eastAsia="en-IE"/>
        </w:rPr>
        <w:t xml:space="preserve"> </w:t>
      </w:r>
    </w:p>
    <w:p w:rsidR="00177212" w:rsidRDefault="00B6798F" w:rsidP="002E1546">
      <w:pPr>
        <w:rPr>
          <w:rFonts w:cs="Arial"/>
        </w:rPr>
      </w:pPr>
      <w:r>
        <w:rPr>
          <w:rFonts w:cs="Arial"/>
        </w:rPr>
        <w:t xml:space="preserve">Home care for people with disabilities is provided by </w:t>
      </w:r>
      <w:r w:rsidR="00512E27">
        <w:rPr>
          <w:rFonts w:cs="Arial"/>
        </w:rPr>
        <w:t>a residential support service</w:t>
      </w:r>
      <w:r>
        <w:rPr>
          <w:rFonts w:cs="Arial"/>
        </w:rPr>
        <w:t>, whether a person is living in rented accommodation, their own home or in a residential hom</w:t>
      </w:r>
      <w:r w:rsidR="00C22DFB">
        <w:rPr>
          <w:rFonts w:cs="Arial"/>
        </w:rPr>
        <w:t>e. As detailed in Table No. 4</w:t>
      </w:r>
      <w:r w:rsidR="00DD1523">
        <w:rPr>
          <w:rFonts w:cs="Arial"/>
        </w:rPr>
        <w:t xml:space="preserve">, </w:t>
      </w:r>
      <w:r>
        <w:rPr>
          <w:rFonts w:cs="Arial"/>
        </w:rPr>
        <w:t xml:space="preserve">there are more people with disabilities (108,000) receiving home care in their own homes while 89,000 people with disabilities receive this care in </w:t>
      </w:r>
      <w:r w:rsidR="00512E27">
        <w:rPr>
          <w:rFonts w:cs="Arial"/>
        </w:rPr>
        <w:t>a</w:t>
      </w:r>
      <w:r>
        <w:rPr>
          <w:rFonts w:cs="Arial"/>
        </w:rPr>
        <w:t xml:space="preserve"> residential home</w:t>
      </w:r>
      <w:r>
        <w:rPr>
          <w:rStyle w:val="FootnoteReference"/>
          <w:rFonts w:cs="Arial"/>
        </w:rPr>
        <w:footnoteReference w:id="48"/>
      </w:r>
      <w:r w:rsidR="00177212">
        <w:rPr>
          <w:rFonts w:cs="Arial"/>
        </w:rPr>
        <w:t xml:space="preserve">.  </w:t>
      </w:r>
    </w:p>
    <w:p w:rsidR="00177212" w:rsidRDefault="003D62CF" w:rsidP="002E1546">
      <w:pPr>
        <w:rPr>
          <w:rFonts w:cs="Arial"/>
        </w:rPr>
      </w:pPr>
      <w:r>
        <w:rPr>
          <w:rFonts w:cs="Arial"/>
        </w:rPr>
        <w:t xml:space="preserve">Table 4 </w:t>
      </w:r>
      <w:r w:rsidR="00CE6920">
        <w:rPr>
          <w:rFonts w:cs="Arial"/>
        </w:rPr>
        <w:t xml:space="preserve">shows that more elderly people </w:t>
      </w:r>
      <w:r w:rsidR="00177212">
        <w:rPr>
          <w:rFonts w:cs="Arial"/>
        </w:rPr>
        <w:t xml:space="preserve">with physical problems   approximately 210,000 receive  care outside of an residential home compared  to 109,000 people who receive the services in residential homes. </w:t>
      </w:r>
    </w:p>
    <w:p w:rsidR="002E1546" w:rsidRDefault="002E1546" w:rsidP="002E1546">
      <w:r>
        <w:rPr>
          <w:rFonts w:cs="Arial"/>
        </w:rPr>
        <w:t>There is no data available for how many people pay for home care services using their personal care budget</w:t>
      </w:r>
      <w:r>
        <w:rPr>
          <w:rStyle w:val="FootnoteReference"/>
        </w:rPr>
        <w:footnoteReference w:id="49"/>
      </w:r>
      <w:r>
        <w:t>.</w:t>
      </w:r>
    </w:p>
    <w:p w:rsidR="002E1546" w:rsidRDefault="002E1546" w:rsidP="002E1546">
      <w:pPr>
        <w:pStyle w:val="Heading2"/>
        <w:rPr>
          <w:lang w:eastAsia="en-IE"/>
        </w:rPr>
      </w:pPr>
      <w:bookmarkStart w:id="84" w:name="_Toc269743644"/>
      <w:bookmarkStart w:id="85" w:name="_Toc286159985"/>
      <w:r>
        <w:rPr>
          <w:lang w:eastAsia="en-IE"/>
        </w:rPr>
        <w:t>4.4 Respite and Carer Supports</w:t>
      </w:r>
      <w:bookmarkEnd w:id="81"/>
      <w:bookmarkEnd w:id="84"/>
      <w:bookmarkEnd w:id="85"/>
    </w:p>
    <w:p w:rsidR="002E1546" w:rsidRDefault="002E1546" w:rsidP="002E1546">
      <w:pPr>
        <w:rPr>
          <w:b/>
          <w:sz w:val="20"/>
          <w:lang w:val="en-US"/>
        </w:rPr>
      </w:pPr>
      <w:r w:rsidRPr="00765345">
        <w:t>There are 200 carer support centres throughout the Netherlands. In addition to providing carers (professional and informal) with a range of services e.g. information, advice on financial</w:t>
      </w:r>
      <w:r>
        <w:t>,</w:t>
      </w:r>
      <w:r w:rsidRPr="00765345">
        <w:t xml:space="preserve"> informal and practical support</w:t>
      </w:r>
      <w:r w:rsidR="00512E27">
        <w:t>,</w:t>
      </w:r>
      <w:r w:rsidRPr="00765345">
        <w:t xml:space="preserve"> </w:t>
      </w:r>
      <w:r w:rsidR="00512E27">
        <w:t>t</w:t>
      </w:r>
      <w:r w:rsidRPr="00765345">
        <w:t>hese cent</w:t>
      </w:r>
      <w:r w:rsidR="0041562E">
        <w:t>res also provide respite care using</w:t>
      </w:r>
      <w:r w:rsidRPr="00765345">
        <w:t xml:space="preserve"> volunte</w:t>
      </w:r>
      <w:r>
        <w:t xml:space="preserve">ers. </w:t>
      </w:r>
      <w:r w:rsidRPr="00765345">
        <w:t>Xzorg is the national umbrella organisation for the carer support centres.</w:t>
      </w:r>
    </w:p>
    <w:p w:rsidR="002E1546" w:rsidRDefault="002E1546" w:rsidP="002E1546">
      <w:r w:rsidRPr="00765345">
        <w:t xml:space="preserve">Respite care </w:t>
      </w:r>
      <w:r w:rsidR="005532BB">
        <w:t xml:space="preserve">is provided by a mixture of professional carers </w:t>
      </w:r>
      <w:r>
        <w:t xml:space="preserve">and </w:t>
      </w:r>
      <w:r w:rsidR="005532BB">
        <w:t xml:space="preserve"> by volunteers and/ or family members (informal carers)</w:t>
      </w:r>
      <w:r>
        <w:t xml:space="preserve">. </w:t>
      </w:r>
      <w:r w:rsidRPr="00765345">
        <w:t>It can be provided in the person’s home or by an institution. The time frame is flexible ranging from a few hou</w:t>
      </w:r>
      <w:r>
        <w:t xml:space="preserve">rs a day to a couple of weeks. </w:t>
      </w:r>
      <w:r w:rsidRPr="00765345">
        <w:t>There are also care hotels and hostels that provide res</w:t>
      </w:r>
      <w:r>
        <w:t xml:space="preserve">pite care for temporary stays </w:t>
      </w:r>
      <w:r w:rsidRPr="00765345">
        <w:t xml:space="preserve">for children with disabilities. Under the </w:t>
      </w:r>
      <w:r w:rsidR="00CF3946">
        <w:rPr>
          <w:lang w:val="en-US" w:bidi="en-US"/>
        </w:rPr>
        <w:t>Long Term Care Insurance</w:t>
      </w:r>
      <w:r w:rsidR="00CF3946" w:rsidRPr="00D31D4D">
        <w:rPr>
          <w:lang w:val="en-US" w:bidi="en-US"/>
        </w:rPr>
        <w:t xml:space="preserve"> </w:t>
      </w:r>
      <w:r w:rsidR="00CF3946">
        <w:rPr>
          <w:lang w:val="en-US" w:bidi="en-US"/>
        </w:rPr>
        <w:t>(</w:t>
      </w:r>
      <w:r w:rsidRPr="00765345">
        <w:t>AWBZ</w:t>
      </w:r>
      <w:r w:rsidR="00CF3946">
        <w:t>),</w:t>
      </w:r>
      <w:r w:rsidRPr="00765345">
        <w:t xml:space="preserve"> some nursing homes and residential services also provide respite care such as day care or short term stays.</w:t>
      </w:r>
    </w:p>
    <w:p w:rsidR="002E1546" w:rsidRDefault="002E1546" w:rsidP="002E1546">
      <w:r w:rsidRPr="00765345">
        <w:t>There are organisations that also provide holidays for carers and for people receiving care. While the carers are on holiday, professional care workers provided by LOT, the Dutch Red Cross and other organisations take care of the person in need of care. Meals on wheels services and handymen services are also provided as part of respite care services. There is a care broker system that help carers in paid employment obtain service</w:t>
      </w:r>
      <w:r>
        <w:t>s</w:t>
      </w:r>
      <w:r w:rsidRPr="00765345">
        <w:t>, allowances and other assistance that enables them to stay in paid employment.</w:t>
      </w:r>
    </w:p>
    <w:p w:rsidR="002E1546" w:rsidRDefault="002E1546" w:rsidP="00512E27">
      <w:pPr>
        <w:spacing w:after="120"/>
      </w:pPr>
      <w:r w:rsidRPr="00765345">
        <w:t xml:space="preserve">Carers can be compensated for loss of earnings </w:t>
      </w:r>
      <w:r>
        <w:t>from</w:t>
      </w:r>
      <w:r w:rsidRPr="00765345">
        <w:t xml:space="preserve"> the co</w:t>
      </w:r>
      <w:r>
        <w:t>st</w:t>
      </w:r>
      <w:r w:rsidRPr="00765345">
        <w:t xml:space="preserve"> of care through:</w:t>
      </w:r>
    </w:p>
    <w:p w:rsidR="002E1546" w:rsidRPr="00765345" w:rsidRDefault="002E1546" w:rsidP="002E1546">
      <w:pPr>
        <w:pStyle w:val="ListBullet"/>
      </w:pPr>
      <w:r w:rsidRPr="00765345">
        <w:t>Income tax measures (which have a very high threshold and are not often used)</w:t>
      </w:r>
    </w:p>
    <w:p w:rsidR="002E1546" w:rsidRPr="00765345" w:rsidRDefault="002E1546" w:rsidP="002E1546">
      <w:pPr>
        <w:pStyle w:val="ListBullet"/>
      </w:pPr>
      <w:r w:rsidRPr="00765345">
        <w:t>Income support</w:t>
      </w:r>
    </w:p>
    <w:p w:rsidR="002E1546" w:rsidRPr="00765345" w:rsidRDefault="002E1546" w:rsidP="002E1546">
      <w:pPr>
        <w:pStyle w:val="ListBullet"/>
      </w:pPr>
      <w:r w:rsidRPr="00765345">
        <w:t>A paid career break (care leave)</w:t>
      </w:r>
    </w:p>
    <w:p w:rsidR="002E1546" w:rsidRPr="00765345" w:rsidRDefault="002E1546" w:rsidP="002E1546">
      <w:pPr>
        <w:pStyle w:val="ListBullet"/>
      </w:pPr>
      <w:r w:rsidRPr="00765345">
        <w:t>Insurers (e.g. compensation for respite care)</w:t>
      </w:r>
    </w:p>
    <w:p w:rsidR="002E1546" w:rsidRPr="00765345" w:rsidRDefault="002E1546" w:rsidP="002E1546">
      <w:pPr>
        <w:pStyle w:val="ListBullet"/>
      </w:pPr>
      <w:r w:rsidRPr="00765345">
        <w:t>Measures by local authorities</w:t>
      </w:r>
    </w:p>
    <w:p w:rsidR="002E1546" w:rsidRDefault="002E1546" w:rsidP="002E1546">
      <w:pPr>
        <w:pStyle w:val="ListBullet"/>
      </w:pPr>
      <w:r w:rsidRPr="00765345">
        <w:t>Payment by the care recipient who has opted for a personal budget and can use it to pay his</w:t>
      </w:r>
      <w:r>
        <w:t>/her</w:t>
      </w:r>
      <w:r w:rsidRPr="00765345">
        <w:t xml:space="preserve"> carer a wage</w:t>
      </w:r>
    </w:p>
    <w:p w:rsidR="002E1546" w:rsidRDefault="002E1546" w:rsidP="002E1546">
      <w:pPr>
        <w:pStyle w:val="ListBullet"/>
      </w:pPr>
      <w:r>
        <w:t>There are also certain types of leave</w:t>
      </w:r>
      <w:r w:rsidRPr="00765345">
        <w:t xml:space="preserve"> in the Netherlands that enable carers to continue </w:t>
      </w:r>
      <w:r>
        <w:t xml:space="preserve">working while also caring for </w:t>
      </w:r>
      <w:r w:rsidRPr="00765345">
        <w:t>someone</w:t>
      </w:r>
    </w:p>
    <w:p w:rsidR="002E1546" w:rsidRPr="00765345" w:rsidRDefault="002E1546" w:rsidP="002E1546">
      <w:pPr>
        <w:pStyle w:val="ListBullet"/>
      </w:pPr>
      <w:r w:rsidRPr="00765345">
        <w:t>Calamity leave: In an emergency situation a carer can take a few days leave to get a situation under control</w:t>
      </w:r>
    </w:p>
    <w:p w:rsidR="002E1546" w:rsidRDefault="002E1546" w:rsidP="005B74D2">
      <w:pPr>
        <w:pStyle w:val="ListBullet"/>
        <w:spacing w:after="300"/>
        <w:ind w:left="357" w:hanging="357"/>
      </w:pPr>
      <w:r w:rsidRPr="00765345">
        <w:t xml:space="preserve">Short term care leave: a maximum of 10 days. An employee can use this leave when </w:t>
      </w:r>
      <w:r>
        <w:t>a</w:t>
      </w:r>
      <w:r w:rsidRPr="00765345">
        <w:t xml:space="preserve"> family member is ill and there is no one else to care for them.</w:t>
      </w:r>
    </w:p>
    <w:p w:rsidR="002E1546" w:rsidRDefault="002E1546" w:rsidP="002E1546">
      <w:r>
        <w:t>The A</w:t>
      </w:r>
      <w:r w:rsidRPr="00765345">
        <w:t xml:space="preserve">ct on Financing Career Breaks enables employees to reduce their working hours to at least 50% for a period of 2 – 6 months that can be extended up to 10 months to take care of a terminally ill family member. They receive an allowance for the hours that </w:t>
      </w:r>
      <w:r>
        <w:t xml:space="preserve">they </w:t>
      </w:r>
      <w:r w:rsidRPr="00765345">
        <w:t>provide care. This</w:t>
      </w:r>
      <w:r>
        <w:t xml:space="preserve"> </w:t>
      </w:r>
      <w:r w:rsidRPr="00765345">
        <w:t xml:space="preserve">system is not </w:t>
      </w:r>
      <w:r>
        <w:t xml:space="preserve">often </w:t>
      </w:r>
      <w:r w:rsidRPr="00765345">
        <w:t>used</w:t>
      </w:r>
      <w:r>
        <w:rPr>
          <w:rStyle w:val="FootnoteReference"/>
          <w:rFonts w:cs="Arial"/>
        </w:rPr>
        <w:footnoteReference w:id="50"/>
      </w:r>
      <w:r>
        <w:t>.</w:t>
      </w:r>
    </w:p>
    <w:p w:rsidR="00E26B09" w:rsidRDefault="00E26B09" w:rsidP="00E26B09">
      <w:pPr>
        <w:pStyle w:val="Heading2"/>
        <w:rPr>
          <w:lang w:val="en-US"/>
        </w:rPr>
      </w:pPr>
      <w:bookmarkStart w:id="86" w:name="_Toc268689545"/>
      <w:bookmarkStart w:id="87" w:name="_Toc269743645"/>
      <w:bookmarkStart w:id="88" w:name="_Toc269743647"/>
      <w:bookmarkStart w:id="89" w:name="_Toc286159986"/>
      <w:r>
        <w:rPr>
          <w:lang w:val="en-US"/>
        </w:rPr>
        <w:t xml:space="preserve">4.5 </w:t>
      </w:r>
      <w:r w:rsidRPr="0012297F">
        <w:rPr>
          <w:lang w:val="en-US"/>
        </w:rPr>
        <w:t>Preschool for ch</w:t>
      </w:r>
      <w:r>
        <w:rPr>
          <w:lang w:val="en-US"/>
        </w:rPr>
        <w:t>ildren with disabi</w:t>
      </w:r>
      <w:r w:rsidRPr="0012297F">
        <w:rPr>
          <w:lang w:val="en-US"/>
        </w:rPr>
        <w:t>lities</w:t>
      </w:r>
      <w:bookmarkEnd w:id="88"/>
      <w:bookmarkEnd w:id="89"/>
      <w:r w:rsidRPr="0012297F">
        <w:rPr>
          <w:lang w:val="en-US"/>
        </w:rPr>
        <w:t xml:space="preserve"> </w:t>
      </w:r>
    </w:p>
    <w:p w:rsidR="00E26B09" w:rsidRDefault="00E26B09" w:rsidP="00E26B09">
      <w:pPr>
        <w:rPr>
          <w:rFonts w:cs="Arial"/>
          <w:lang w:val="en-US"/>
        </w:rPr>
      </w:pPr>
      <w:r>
        <w:rPr>
          <w:rFonts w:cs="Arial"/>
          <w:lang w:val="en-US"/>
        </w:rPr>
        <w:t xml:space="preserve"> Preschool children between the ages of 0-4 can attend mainstream day care centres where they can receive the specialist services they require e.g. rehabilitation services, speech therapy etc. These day care centres are  financed by the </w:t>
      </w:r>
      <w:r w:rsidR="00CF3946">
        <w:rPr>
          <w:lang w:val="en-US" w:bidi="en-US"/>
        </w:rPr>
        <w:t>Long Term Care Insurance</w:t>
      </w:r>
      <w:r w:rsidR="00CF3946" w:rsidRPr="00D31D4D">
        <w:rPr>
          <w:lang w:val="en-US" w:bidi="en-US"/>
        </w:rPr>
        <w:t xml:space="preserve"> </w:t>
      </w:r>
      <w:r w:rsidR="00CF3946">
        <w:rPr>
          <w:lang w:val="en-US" w:bidi="en-US"/>
        </w:rPr>
        <w:t>(</w:t>
      </w:r>
      <w:r>
        <w:rPr>
          <w:rFonts w:cs="Arial"/>
          <w:lang w:val="en-US"/>
        </w:rPr>
        <w:t>AWBZ</w:t>
      </w:r>
      <w:r w:rsidR="00CF3946">
        <w:rPr>
          <w:rFonts w:cs="Arial"/>
          <w:lang w:val="en-US"/>
        </w:rPr>
        <w:t>),</w:t>
      </w:r>
      <w:r>
        <w:rPr>
          <w:rFonts w:cs="Arial"/>
          <w:lang w:val="en-US"/>
        </w:rPr>
        <w:t xml:space="preserve"> and are free to children with disabilities. Pre-school children with disabilities are also </w:t>
      </w:r>
      <w:r w:rsidRPr="0079175E">
        <w:rPr>
          <w:rFonts w:cs="Arial"/>
          <w:lang w:val="en-US"/>
        </w:rPr>
        <w:t>eligible fo</w:t>
      </w:r>
      <w:r>
        <w:rPr>
          <w:rFonts w:cs="Arial"/>
          <w:lang w:val="en-US"/>
        </w:rPr>
        <w:t>r social development support in their own homes</w:t>
      </w:r>
      <w:r>
        <w:rPr>
          <w:rStyle w:val="FootnoteReference"/>
          <w:rFonts w:cs="Arial"/>
        </w:rPr>
        <w:footnoteReference w:id="51"/>
      </w:r>
      <w:r>
        <w:rPr>
          <w:rFonts w:cs="Arial"/>
          <w:lang w:val="en-US"/>
        </w:rPr>
        <w:t xml:space="preserve">. </w:t>
      </w:r>
    </w:p>
    <w:p w:rsidR="00E26B09" w:rsidRDefault="00E26B09" w:rsidP="00E26B09">
      <w:pPr>
        <w:rPr>
          <w:rFonts w:cs="Arial"/>
          <w:lang w:val="en-US"/>
        </w:rPr>
      </w:pPr>
      <w:r>
        <w:rPr>
          <w:rFonts w:cs="Arial"/>
          <w:lang w:val="en-US"/>
        </w:rPr>
        <w:t>Most staff in mainstream play groups/day care centres have received training in early intervention measures. Cross</w:t>
      </w:r>
      <w:r w:rsidRPr="001B45B0">
        <w:rPr>
          <w:rFonts w:cs="Arial"/>
          <w:lang w:val="en-GB"/>
        </w:rPr>
        <w:t xml:space="preserve"> sectoral</w:t>
      </w:r>
      <w:r>
        <w:rPr>
          <w:rFonts w:cs="Arial"/>
          <w:lang w:val="en-US"/>
        </w:rPr>
        <w:t xml:space="preserve"> early intervention teams consisting of</w:t>
      </w:r>
      <w:r w:rsidRPr="001B45B0">
        <w:rPr>
          <w:rFonts w:cs="Arial"/>
          <w:lang w:val="en-GB"/>
        </w:rPr>
        <w:t xml:space="preserve"> paediatricians</w:t>
      </w:r>
      <w:r>
        <w:rPr>
          <w:rFonts w:cs="Arial"/>
          <w:lang w:val="en-US"/>
        </w:rPr>
        <w:t>,  speech</w:t>
      </w:r>
      <w:r w:rsidRPr="001B45B0">
        <w:rPr>
          <w:rFonts w:cs="Arial"/>
          <w:lang w:val="en-GB"/>
        </w:rPr>
        <w:t xml:space="preserve"> therapists</w:t>
      </w:r>
      <w:r w:rsidR="00E327A1">
        <w:rPr>
          <w:rFonts w:cs="Arial"/>
          <w:lang w:val="en-US"/>
        </w:rPr>
        <w:t xml:space="preserve">, </w:t>
      </w:r>
      <w:r>
        <w:rPr>
          <w:rFonts w:cs="Arial"/>
          <w:lang w:val="en-US"/>
        </w:rPr>
        <w:t>social workers  etc  work with staff in preschool day care centers to provide the supports</w:t>
      </w:r>
      <w:r>
        <w:rPr>
          <w:rStyle w:val="FootnoteReference"/>
          <w:rFonts w:cs="Arial"/>
          <w:lang w:val="en-US"/>
        </w:rPr>
        <w:footnoteReference w:id="52"/>
      </w:r>
      <w:r>
        <w:rPr>
          <w:rFonts w:cs="Arial"/>
          <w:lang w:val="en-US"/>
        </w:rPr>
        <w:t>.The educational system in the Netherlands does not provide any early intervention services for preschool children with disabilities.</w:t>
      </w:r>
    </w:p>
    <w:p w:rsidR="002E1546" w:rsidRDefault="00E26B09" w:rsidP="002E1546">
      <w:pPr>
        <w:pStyle w:val="Heading2"/>
      </w:pPr>
      <w:bookmarkStart w:id="90" w:name="_Toc286159987"/>
      <w:r>
        <w:t>4.6</w:t>
      </w:r>
      <w:r w:rsidR="002E1546">
        <w:t xml:space="preserve"> Care supports in education for children with disabilities</w:t>
      </w:r>
      <w:bookmarkEnd w:id="87"/>
      <w:bookmarkEnd w:id="90"/>
    </w:p>
    <w:p w:rsidR="002E1546" w:rsidRPr="0079175E" w:rsidRDefault="002E1546" w:rsidP="002E1546">
      <w:pPr>
        <w:rPr>
          <w:rFonts w:cs="Arial"/>
          <w:lang w:val="en-US"/>
        </w:rPr>
      </w:pPr>
      <w:r>
        <w:rPr>
          <w:rFonts w:cs="Arial"/>
          <w:lang w:val="en-US"/>
        </w:rPr>
        <w:t>Early intervention regarding a child's education needs, is not a guaranteed right in the Netherlands.</w:t>
      </w:r>
      <w:r w:rsidRPr="0079175E">
        <w:t xml:space="preserve"> </w:t>
      </w:r>
      <w:r w:rsidRPr="0079175E">
        <w:rPr>
          <w:rFonts w:cs="Arial"/>
          <w:lang w:val="en-US"/>
        </w:rPr>
        <w:t>The educational system does not provide early intervention serv</w:t>
      </w:r>
      <w:r>
        <w:rPr>
          <w:rFonts w:cs="Arial"/>
          <w:lang w:val="en-US"/>
        </w:rPr>
        <w:t>ices to pre-school age children (0-4) because children cannot be enrolled in schools before their 4th birthday</w:t>
      </w:r>
      <w:r>
        <w:rPr>
          <w:rStyle w:val="FootnoteReference"/>
          <w:rFonts w:cs="Arial"/>
          <w:lang w:eastAsia="en-IE"/>
        </w:rPr>
        <w:footnoteReference w:id="53"/>
      </w:r>
      <w:r w:rsidRPr="001547A4">
        <w:rPr>
          <w:lang w:eastAsia="en-IE"/>
        </w:rPr>
        <w:t>. The only time children with disabilities are exempt from education</w:t>
      </w:r>
      <w:r>
        <w:rPr>
          <w:lang w:eastAsia="en-IE"/>
        </w:rPr>
        <w:t xml:space="preserve"> is if they are in institutions</w:t>
      </w:r>
      <w:r w:rsidRPr="001547A4">
        <w:rPr>
          <w:lang w:eastAsia="en-IE"/>
        </w:rPr>
        <w:t xml:space="preserve"> and they are considered to have </w:t>
      </w:r>
      <w:r>
        <w:rPr>
          <w:lang w:eastAsia="en-IE"/>
        </w:rPr>
        <w:t>low</w:t>
      </w:r>
      <w:r w:rsidRPr="001547A4">
        <w:rPr>
          <w:lang w:eastAsia="en-IE"/>
        </w:rPr>
        <w:t xml:space="preserve"> development</w:t>
      </w:r>
      <w:r>
        <w:rPr>
          <w:lang w:eastAsia="en-IE"/>
        </w:rPr>
        <w:t>al</w:t>
      </w:r>
      <w:r w:rsidRPr="001547A4">
        <w:rPr>
          <w:lang w:eastAsia="en-IE"/>
        </w:rPr>
        <w:t xml:space="preserve"> abilities</w:t>
      </w:r>
      <w:r>
        <w:rPr>
          <w:rStyle w:val="FootnoteReference"/>
          <w:rFonts w:cs="Arial"/>
          <w:lang w:eastAsia="en-IE"/>
        </w:rPr>
        <w:footnoteReference w:id="54"/>
      </w:r>
      <w:r>
        <w:rPr>
          <w:lang w:eastAsia="en-IE"/>
        </w:rPr>
        <w:t xml:space="preserve">. </w:t>
      </w:r>
    </w:p>
    <w:p w:rsidR="002E1546" w:rsidRDefault="002E1546" w:rsidP="002E1546">
      <w:pPr>
        <w:rPr>
          <w:lang w:val="en-US"/>
        </w:rPr>
      </w:pPr>
      <w:r>
        <w:rPr>
          <w:lang w:val="en-US"/>
        </w:rPr>
        <w:t>The Ministry of Education, Culture and Science is responsible for providing educational services for children with and without disabilities in mainstream and special primary and secondary schools, in addition to vocational and higher education</w:t>
      </w:r>
      <w:r>
        <w:rPr>
          <w:rStyle w:val="FootnoteReference"/>
        </w:rPr>
        <w:footnoteReference w:id="55"/>
      </w:r>
      <w:r>
        <w:rPr>
          <w:lang w:val="en-US"/>
        </w:rPr>
        <w:t>.</w:t>
      </w:r>
    </w:p>
    <w:p w:rsidR="002E1546" w:rsidRPr="008A67D2" w:rsidRDefault="002E1546" w:rsidP="002E1546">
      <w:pPr>
        <w:rPr>
          <w:rFonts w:cs="Arial"/>
          <w:lang w:val="en-US"/>
        </w:rPr>
      </w:pPr>
      <w:r w:rsidRPr="00E85FA7">
        <w:rPr>
          <w:lang w:val="en-US"/>
        </w:rPr>
        <w:t>Ch</w:t>
      </w:r>
      <w:r>
        <w:rPr>
          <w:lang w:val="en-US"/>
        </w:rPr>
        <w:t xml:space="preserve">ildren with </w:t>
      </w:r>
      <w:r w:rsidRPr="00E85FA7">
        <w:rPr>
          <w:lang w:val="en-US"/>
        </w:rPr>
        <w:t>disabilities in the Netherlands</w:t>
      </w:r>
      <w:r>
        <w:rPr>
          <w:lang w:val="en-US"/>
        </w:rPr>
        <w:t xml:space="preserve"> undergo an extensive assessment  process by the CIZ (Centre for Assessment), that determines their educational  and other support options. Depending on the level of their disability, some children </w:t>
      </w:r>
      <w:r w:rsidRPr="00E85FA7">
        <w:rPr>
          <w:lang w:val="en-US"/>
        </w:rPr>
        <w:t>may</w:t>
      </w:r>
      <w:r w:rsidR="005B74D2">
        <w:rPr>
          <w:lang w:val="en-US"/>
        </w:rPr>
        <w:t xml:space="preserve"> </w:t>
      </w:r>
      <w:r w:rsidRPr="00E85FA7">
        <w:rPr>
          <w:lang w:val="en-US"/>
        </w:rPr>
        <w:t>be placed in a mixed school system</w:t>
      </w:r>
      <w:r>
        <w:rPr>
          <w:lang w:val="en-US"/>
        </w:rPr>
        <w:t xml:space="preserve"> (mixture of mainstream and special schools)</w:t>
      </w:r>
      <w:r w:rsidRPr="003160AF">
        <w:rPr>
          <w:lang w:val="en-GB"/>
        </w:rPr>
        <w:t xml:space="preserve"> organised</w:t>
      </w:r>
      <w:r w:rsidRPr="00E85FA7">
        <w:rPr>
          <w:lang w:val="en-US"/>
        </w:rPr>
        <w:t xml:space="preserve"> by local networks. </w:t>
      </w:r>
    </w:p>
    <w:p w:rsidR="002E1546" w:rsidRPr="008A67D2" w:rsidRDefault="002E1546" w:rsidP="002E1546">
      <w:pPr>
        <w:rPr>
          <w:rFonts w:cs="Arial"/>
          <w:lang w:val="en-US" w:bidi="en-US"/>
        </w:rPr>
      </w:pPr>
      <w:r>
        <w:rPr>
          <w:lang w:val="en-US"/>
        </w:rPr>
        <w:t xml:space="preserve">Children with severe disabilities, particularly those with intellectual disabilities, are placed in special schools with little or no mainstream activity. </w:t>
      </w:r>
      <w:r>
        <w:rPr>
          <w:lang w:val="en-US" w:bidi="en-US"/>
        </w:rPr>
        <w:t>In 2005 there were waiting lists for children seeking to be placed in the special education system because of the extensive testing process that precedes admission into the system</w:t>
      </w:r>
      <w:r>
        <w:rPr>
          <w:rStyle w:val="FootnoteReference"/>
          <w:rFonts w:cs="Arial"/>
          <w:lang w:bidi="en-US"/>
        </w:rPr>
        <w:footnoteReference w:id="56"/>
      </w:r>
      <w:r>
        <w:rPr>
          <w:lang w:val="en-US" w:bidi="en-US"/>
        </w:rPr>
        <w:t xml:space="preserve">. </w:t>
      </w:r>
      <w:r w:rsidRPr="008A67D2">
        <w:t xml:space="preserve"> </w:t>
      </w:r>
      <w:r>
        <w:t xml:space="preserve">In 2003, the Dutch Education Inspectorate stated that </w:t>
      </w:r>
      <w:r>
        <w:rPr>
          <w:rFonts w:cs="Arial"/>
          <w:lang w:val="en-US" w:bidi="en-US"/>
        </w:rPr>
        <w:t>126 students were waiting to be placed</w:t>
      </w:r>
      <w:r w:rsidRPr="008A67D2">
        <w:rPr>
          <w:rFonts w:cs="Arial"/>
          <w:lang w:val="en-US" w:bidi="en-US"/>
        </w:rPr>
        <w:t xml:space="preserve"> in primary and </w:t>
      </w:r>
      <w:r>
        <w:rPr>
          <w:rFonts w:cs="Arial"/>
          <w:lang w:val="en-US" w:bidi="en-US"/>
        </w:rPr>
        <w:t xml:space="preserve">secondary schools and </w:t>
      </w:r>
      <w:r w:rsidRPr="008A67D2">
        <w:rPr>
          <w:rFonts w:cs="Arial"/>
          <w:lang w:val="en-US" w:bidi="en-US"/>
        </w:rPr>
        <w:t xml:space="preserve">776 students were </w:t>
      </w:r>
      <w:r>
        <w:rPr>
          <w:rFonts w:cs="Arial"/>
          <w:lang w:val="en-US" w:bidi="en-US"/>
        </w:rPr>
        <w:t xml:space="preserve"> still waiting</w:t>
      </w:r>
      <w:r w:rsidRPr="008A67D2">
        <w:rPr>
          <w:rFonts w:cs="Arial"/>
          <w:lang w:val="en-US" w:bidi="en-US"/>
        </w:rPr>
        <w:t xml:space="preserve"> to be</w:t>
      </w:r>
      <w:r w:rsidRPr="008A67D2">
        <w:rPr>
          <w:rFonts w:cs="Arial"/>
          <w:lang w:val="en-US"/>
        </w:rPr>
        <w:t xml:space="preserve"> </w:t>
      </w:r>
      <w:r w:rsidRPr="008A67D2">
        <w:rPr>
          <w:rFonts w:cs="Arial"/>
          <w:lang w:val="en-US" w:bidi="en-US"/>
        </w:rPr>
        <w:t>assessed and referred</w:t>
      </w:r>
      <w:r>
        <w:rPr>
          <w:rStyle w:val="FootnoteReference"/>
          <w:rFonts w:cs="Arial"/>
        </w:rPr>
        <w:footnoteReference w:id="57"/>
      </w:r>
      <w:r>
        <w:rPr>
          <w:rFonts w:cs="Arial"/>
          <w:lang w:val="en-US" w:bidi="en-US"/>
        </w:rPr>
        <w:t>.</w:t>
      </w:r>
    </w:p>
    <w:p w:rsidR="002E1546" w:rsidRDefault="002E1546" w:rsidP="002E1546">
      <w:pPr>
        <w:rPr>
          <w:lang w:eastAsia="en-IE"/>
        </w:rPr>
      </w:pPr>
      <w:r>
        <w:rPr>
          <w:lang w:eastAsia="en-IE"/>
        </w:rPr>
        <w:t xml:space="preserve">Since August 2003 children who are assessed as requiring special education support are eligible for pupil specific funding called the "back pack". Parents can use this funding to cover the costs of educational supports their children may need if they are in the mainstream educational system. The Dutch government also introduced the </w:t>
      </w:r>
      <w:r w:rsidRPr="001547A4">
        <w:rPr>
          <w:lang w:eastAsia="en-IE"/>
        </w:rPr>
        <w:t>“Back to School Together”</w:t>
      </w:r>
      <w:r>
        <w:rPr>
          <w:lang w:eastAsia="en-IE"/>
        </w:rPr>
        <w:t xml:space="preserve"> programme that promoted a more inclusive approach to educatio</w:t>
      </w:r>
      <w:r w:rsidR="000838D3">
        <w:rPr>
          <w:lang w:eastAsia="en-IE"/>
        </w:rPr>
        <w:t>n</w:t>
      </w:r>
      <w:r>
        <w:rPr>
          <w:rStyle w:val="FootnoteReference"/>
          <w:rFonts w:cs="Arial"/>
          <w:lang w:eastAsia="en-IE"/>
        </w:rPr>
        <w:footnoteReference w:id="58"/>
      </w:r>
      <w:r>
        <w:rPr>
          <w:lang w:eastAsia="en-IE"/>
        </w:rPr>
        <w:t>.</w:t>
      </w:r>
    </w:p>
    <w:p w:rsidR="002E1546" w:rsidRDefault="002E1546" w:rsidP="002E1546">
      <w:pPr>
        <w:rPr>
          <w:lang w:val="en-US"/>
        </w:rPr>
      </w:pPr>
      <w:r>
        <w:rPr>
          <w:lang w:val="en-US"/>
        </w:rPr>
        <w:t xml:space="preserve">Research shows that there are a number of barriers for children with intellectual disabilities attending mainstream schools in the Netherlands: </w:t>
      </w:r>
    </w:p>
    <w:p w:rsidR="002E1546" w:rsidRPr="00481E35" w:rsidRDefault="002E1546" w:rsidP="002E1546">
      <w:pPr>
        <w:pStyle w:val="ListBullet"/>
        <w:rPr>
          <w:lang w:eastAsia="en-IE"/>
        </w:rPr>
      </w:pPr>
      <w:r w:rsidRPr="001547A4">
        <w:rPr>
          <w:lang w:eastAsia="en-IE"/>
        </w:rPr>
        <w:t xml:space="preserve">The back pack </w:t>
      </w:r>
      <w:r>
        <w:rPr>
          <w:lang w:eastAsia="en-IE"/>
        </w:rPr>
        <w:t>fu</w:t>
      </w:r>
      <w:r w:rsidRPr="001547A4">
        <w:rPr>
          <w:lang w:eastAsia="en-IE"/>
        </w:rPr>
        <w:t>nd</w:t>
      </w:r>
      <w:r>
        <w:rPr>
          <w:lang w:eastAsia="en-IE"/>
        </w:rPr>
        <w:t>i</w:t>
      </w:r>
      <w:r w:rsidRPr="001547A4">
        <w:rPr>
          <w:lang w:eastAsia="en-IE"/>
        </w:rPr>
        <w:t xml:space="preserve">ng system that </w:t>
      </w:r>
      <w:r>
        <w:rPr>
          <w:lang w:eastAsia="en-IE"/>
        </w:rPr>
        <w:t>promotes</w:t>
      </w:r>
      <w:r w:rsidRPr="001547A4">
        <w:rPr>
          <w:lang w:eastAsia="en-IE"/>
        </w:rPr>
        <w:t xml:space="preserve"> inclusion only caters for 25% of the population </w:t>
      </w:r>
      <w:r>
        <w:rPr>
          <w:lang w:eastAsia="en-IE"/>
        </w:rPr>
        <w:t>o</w:t>
      </w:r>
      <w:r w:rsidRPr="001547A4">
        <w:rPr>
          <w:lang w:eastAsia="en-IE"/>
        </w:rPr>
        <w:t xml:space="preserve">f children with </w:t>
      </w:r>
      <w:r>
        <w:rPr>
          <w:lang w:eastAsia="en-IE"/>
        </w:rPr>
        <w:t xml:space="preserve">intellectual </w:t>
      </w:r>
      <w:r w:rsidRPr="001547A4">
        <w:rPr>
          <w:lang w:eastAsia="en-IE"/>
        </w:rPr>
        <w:t>disabilities</w:t>
      </w:r>
      <w:r>
        <w:rPr>
          <w:rStyle w:val="FootnoteReference"/>
          <w:rFonts w:cs="Arial"/>
          <w:lang w:eastAsia="en-IE"/>
        </w:rPr>
        <w:footnoteReference w:id="59"/>
      </w:r>
      <w:r>
        <w:rPr>
          <w:lang w:eastAsia="en-IE"/>
        </w:rPr>
        <w:t xml:space="preserve">. The funding </w:t>
      </w:r>
      <w:r w:rsidRPr="00481E35">
        <w:rPr>
          <w:lang w:eastAsia="en-IE"/>
        </w:rPr>
        <w:t xml:space="preserve">is lower for children with intellectual disabilities than for children with other types of disabilities. </w:t>
      </w:r>
    </w:p>
    <w:p w:rsidR="002E1546" w:rsidRDefault="002E1546" w:rsidP="002E1546">
      <w:pPr>
        <w:pStyle w:val="ListBullet"/>
        <w:rPr>
          <w:lang w:eastAsia="en-IE"/>
        </w:rPr>
      </w:pPr>
      <w:r>
        <w:rPr>
          <w:lang w:eastAsia="en-IE"/>
        </w:rPr>
        <w:t xml:space="preserve">This back pack funding is only applicable to some schools, </w:t>
      </w:r>
      <w:r w:rsidR="005B74D2">
        <w:rPr>
          <w:lang w:eastAsia="en-IE"/>
        </w:rPr>
        <w:t xml:space="preserve">so that </w:t>
      </w:r>
      <w:r>
        <w:rPr>
          <w:lang w:eastAsia="en-IE"/>
        </w:rPr>
        <w:t>p</w:t>
      </w:r>
      <w:r w:rsidRPr="00481E35">
        <w:rPr>
          <w:lang w:eastAsia="en-IE"/>
        </w:rPr>
        <w:t>arents</w:t>
      </w:r>
      <w:r>
        <w:rPr>
          <w:lang w:eastAsia="en-IE"/>
        </w:rPr>
        <w:t>' choices</w:t>
      </w:r>
      <w:r w:rsidRPr="00481E35">
        <w:rPr>
          <w:lang w:eastAsia="en-IE"/>
        </w:rPr>
        <w:t xml:space="preserve"> ar</w:t>
      </w:r>
      <w:r>
        <w:rPr>
          <w:lang w:eastAsia="en-IE"/>
        </w:rPr>
        <w:t>e limited regarding the type of schools they can send their children to</w:t>
      </w:r>
      <w:r>
        <w:rPr>
          <w:rStyle w:val="FootnoteReference"/>
          <w:rFonts w:cs="Arial"/>
          <w:lang w:eastAsia="en-IE"/>
        </w:rPr>
        <w:footnoteReference w:id="60"/>
      </w:r>
      <w:r>
        <w:rPr>
          <w:lang w:eastAsia="en-IE"/>
        </w:rPr>
        <w:t>.</w:t>
      </w:r>
    </w:p>
    <w:p w:rsidR="002E1546" w:rsidRDefault="002E1546" w:rsidP="002E1546">
      <w:pPr>
        <w:pStyle w:val="ListBullet"/>
        <w:rPr>
          <w:lang w:eastAsia="en-IE"/>
        </w:rPr>
      </w:pPr>
      <w:r>
        <w:rPr>
          <w:lang w:eastAsia="en-IE"/>
        </w:rPr>
        <w:t xml:space="preserve">The funding provided by the state to mainstream school networks to support children with intellectual disabilities is insufficient to meet the children's needs. </w:t>
      </w:r>
      <w:r w:rsidR="009502C4">
        <w:rPr>
          <w:lang w:eastAsia="en-IE"/>
        </w:rPr>
        <w:t>This funding  enables the student to pay for extra support that they may need from a special needs teacher to enable them to complete their education</w:t>
      </w:r>
      <w:r w:rsidR="009502C4">
        <w:rPr>
          <w:rStyle w:val="FootnoteReference"/>
          <w:lang w:eastAsia="en-IE"/>
        </w:rPr>
        <w:footnoteReference w:id="61"/>
      </w:r>
      <w:r w:rsidR="009502C4">
        <w:rPr>
          <w:lang w:eastAsia="en-IE"/>
        </w:rPr>
        <w:t xml:space="preserve">. </w:t>
      </w:r>
      <w:r>
        <w:rPr>
          <w:lang w:eastAsia="en-IE"/>
        </w:rPr>
        <w:t>Many parents with children with intellectual disabilities therefore enrol their children into special schools</w:t>
      </w:r>
      <w:r>
        <w:rPr>
          <w:rStyle w:val="FootnoteReference"/>
          <w:rFonts w:cs="Arial"/>
          <w:lang w:eastAsia="en-IE"/>
        </w:rPr>
        <w:footnoteReference w:id="62"/>
      </w:r>
      <w:r>
        <w:rPr>
          <w:lang w:eastAsia="en-IE"/>
        </w:rPr>
        <w:t>.</w:t>
      </w:r>
    </w:p>
    <w:p w:rsidR="002E1546" w:rsidRDefault="002E1546" w:rsidP="002E1546">
      <w:pPr>
        <w:pStyle w:val="ListBullet"/>
        <w:rPr>
          <w:lang w:eastAsia="en-IE"/>
        </w:rPr>
      </w:pPr>
      <w:r w:rsidRPr="001547A4">
        <w:rPr>
          <w:lang w:eastAsia="en-IE"/>
        </w:rPr>
        <w:t xml:space="preserve">Schools can determine the </w:t>
      </w:r>
      <w:r>
        <w:rPr>
          <w:lang w:eastAsia="en-IE"/>
        </w:rPr>
        <w:t>type</w:t>
      </w:r>
      <w:r w:rsidRPr="001547A4">
        <w:rPr>
          <w:lang w:eastAsia="en-IE"/>
        </w:rPr>
        <w:t xml:space="preserve"> of curricula </w:t>
      </w:r>
      <w:r>
        <w:rPr>
          <w:lang w:eastAsia="en-IE"/>
        </w:rPr>
        <w:t>used</w:t>
      </w:r>
      <w:r w:rsidRPr="001547A4">
        <w:rPr>
          <w:lang w:eastAsia="en-IE"/>
        </w:rPr>
        <w:t xml:space="preserve"> in the classroom alongs</w:t>
      </w:r>
      <w:r>
        <w:rPr>
          <w:lang w:eastAsia="en-IE"/>
        </w:rPr>
        <w:t>ide</w:t>
      </w:r>
      <w:r w:rsidRPr="001547A4">
        <w:rPr>
          <w:lang w:eastAsia="en-IE"/>
        </w:rPr>
        <w:t xml:space="preserve"> general objective</w:t>
      </w:r>
      <w:r>
        <w:rPr>
          <w:lang w:eastAsia="en-IE"/>
        </w:rPr>
        <w:t>s</w:t>
      </w:r>
      <w:r w:rsidRPr="001547A4">
        <w:rPr>
          <w:lang w:eastAsia="en-IE"/>
        </w:rPr>
        <w:t xml:space="preserve"> specified by the </w:t>
      </w:r>
      <w:r>
        <w:rPr>
          <w:lang w:eastAsia="en-IE"/>
        </w:rPr>
        <w:t xml:space="preserve">government. </w:t>
      </w:r>
      <w:r w:rsidRPr="001547A4">
        <w:rPr>
          <w:lang w:eastAsia="en-IE"/>
        </w:rPr>
        <w:t>The Education Inspectorate discovered that</w:t>
      </w:r>
      <w:r w:rsidR="005B74D2">
        <w:rPr>
          <w:lang w:eastAsia="en-IE"/>
        </w:rPr>
        <w:t>,</w:t>
      </w:r>
      <w:r w:rsidRPr="001547A4">
        <w:rPr>
          <w:lang w:eastAsia="en-IE"/>
        </w:rPr>
        <w:t xml:space="preserve"> in many sch</w:t>
      </w:r>
      <w:r>
        <w:rPr>
          <w:lang w:eastAsia="en-IE"/>
        </w:rPr>
        <w:t>ools</w:t>
      </w:r>
      <w:r w:rsidR="005B74D2">
        <w:rPr>
          <w:lang w:eastAsia="en-IE"/>
        </w:rPr>
        <w:t>,</w:t>
      </w:r>
      <w:r>
        <w:rPr>
          <w:lang w:eastAsia="en-IE"/>
        </w:rPr>
        <w:t xml:space="preserve"> materials and lessons </w:t>
      </w:r>
      <w:r w:rsidRPr="001547A4">
        <w:rPr>
          <w:lang w:eastAsia="en-IE"/>
        </w:rPr>
        <w:t>were not suitably adapted for children with intellectual disabilities. In</w:t>
      </w:r>
      <w:r>
        <w:rPr>
          <w:lang w:eastAsia="en-IE"/>
        </w:rPr>
        <w:t>-</w:t>
      </w:r>
      <w:r w:rsidRPr="001547A4">
        <w:rPr>
          <w:lang w:eastAsia="en-IE"/>
        </w:rPr>
        <w:t xml:space="preserve">service </w:t>
      </w:r>
      <w:r>
        <w:rPr>
          <w:lang w:eastAsia="en-IE"/>
        </w:rPr>
        <w:t>training</w:t>
      </w:r>
      <w:r w:rsidRPr="001547A4">
        <w:rPr>
          <w:lang w:eastAsia="en-IE"/>
        </w:rPr>
        <w:t xml:space="preserve"> for teachers is optional and many teachers only receive limited</w:t>
      </w:r>
      <w:r>
        <w:rPr>
          <w:lang w:eastAsia="en-IE"/>
        </w:rPr>
        <w:t xml:space="preserve"> training in how</w:t>
      </w:r>
      <w:r w:rsidRPr="001547A4">
        <w:rPr>
          <w:lang w:eastAsia="en-IE"/>
        </w:rPr>
        <w:t xml:space="preserve"> to adequately teach children with disabilities</w:t>
      </w:r>
      <w:r>
        <w:rPr>
          <w:rStyle w:val="FootnoteReference"/>
          <w:rFonts w:cs="Arial"/>
          <w:lang w:eastAsia="en-IE"/>
        </w:rPr>
        <w:footnoteReference w:id="63"/>
      </w:r>
      <w:r>
        <w:rPr>
          <w:lang w:eastAsia="en-IE"/>
        </w:rPr>
        <w:t>.</w:t>
      </w:r>
      <w:r w:rsidRPr="001547A4">
        <w:rPr>
          <w:lang w:eastAsia="en-IE"/>
        </w:rPr>
        <w:t xml:space="preserve"> </w:t>
      </w:r>
    </w:p>
    <w:p w:rsidR="002E1546" w:rsidRDefault="002E1546" w:rsidP="002E1546">
      <w:pPr>
        <w:pStyle w:val="ListBullet"/>
        <w:rPr>
          <w:lang w:eastAsia="en-IE"/>
        </w:rPr>
      </w:pPr>
      <w:r w:rsidRPr="001547A4">
        <w:rPr>
          <w:lang w:eastAsia="en-IE"/>
        </w:rPr>
        <w:t xml:space="preserve">School inspectors also reported that </w:t>
      </w:r>
      <w:r>
        <w:rPr>
          <w:lang w:eastAsia="en-IE"/>
        </w:rPr>
        <w:t>curricula</w:t>
      </w:r>
      <w:r w:rsidRPr="001547A4">
        <w:rPr>
          <w:lang w:eastAsia="en-IE"/>
        </w:rPr>
        <w:t xml:space="preserve"> </w:t>
      </w:r>
      <w:r>
        <w:rPr>
          <w:lang w:eastAsia="en-IE"/>
        </w:rPr>
        <w:t>and materials</w:t>
      </w:r>
      <w:r w:rsidRPr="001547A4">
        <w:rPr>
          <w:lang w:eastAsia="en-IE"/>
        </w:rPr>
        <w:t xml:space="preserve"> in special schools have also </w:t>
      </w:r>
      <w:r>
        <w:rPr>
          <w:lang w:eastAsia="en-IE"/>
        </w:rPr>
        <w:t>proved</w:t>
      </w:r>
      <w:r w:rsidRPr="001547A4">
        <w:rPr>
          <w:lang w:eastAsia="en-IE"/>
        </w:rPr>
        <w:t xml:space="preserve"> to be inadequate</w:t>
      </w:r>
      <w:r>
        <w:rPr>
          <w:rStyle w:val="FootnoteReference"/>
          <w:rFonts w:cs="Arial"/>
          <w:lang w:eastAsia="en-IE"/>
        </w:rPr>
        <w:footnoteReference w:id="64"/>
      </w:r>
      <w:r>
        <w:rPr>
          <w:lang w:eastAsia="en-IE"/>
        </w:rPr>
        <w:t>.</w:t>
      </w:r>
    </w:p>
    <w:p w:rsidR="002E1546" w:rsidRDefault="002E1546" w:rsidP="002E1546">
      <w:pPr>
        <w:rPr>
          <w:lang w:eastAsia="en-IE"/>
        </w:rPr>
      </w:pPr>
      <w:r>
        <w:rPr>
          <w:lang w:eastAsia="en-IE"/>
        </w:rPr>
        <w:t>Key informants stated that school management and teachers in mainstream schools have raised objections to the Dutch government's plans for developing a more inclusive educational system. Research shows that special education teachers and some parents of children with special education needs have also raised similar objections. These groups are not against the principles of integration. They believe that children with special education needs benefit from being in a segregated setting where they can receive the specialist teaching and counselling services they need</w:t>
      </w:r>
      <w:r>
        <w:rPr>
          <w:rStyle w:val="FootnoteReference"/>
        </w:rPr>
        <w:footnoteReference w:id="65"/>
      </w:r>
      <w:r>
        <w:rPr>
          <w:lang w:eastAsia="en-IE"/>
        </w:rPr>
        <w:t>.</w:t>
      </w:r>
    </w:p>
    <w:p w:rsidR="002E1546" w:rsidRDefault="002E1546" w:rsidP="002E1546">
      <w:pPr>
        <w:rPr>
          <w:lang w:eastAsia="en-IE"/>
        </w:rPr>
      </w:pPr>
      <w:r>
        <w:rPr>
          <w:lang w:eastAsia="en-IE"/>
        </w:rPr>
        <w:t>A key informant for this background paper indicated that a school cannot refuse to have a child. However there have been cases where a school has stated that they cannot support some children with disabilities and the children have not been accepted at the school. If a child with a disability is home</w:t>
      </w:r>
      <w:r w:rsidR="007C1DB1">
        <w:rPr>
          <w:lang w:eastAsia="en-IE"/>
        </w:rPr>
        <w:t xml:space="preserve"> from school</w:t>
      </w:r>
      <w:r>
        <w:rPr>
          <w:lang w:eastAsia="en-IE"/>
        </w:rPr>
        <w:t xml:space="preserve"> for more than a year the parents have to send them to a special school. A key informant estimated that there are between 3,000 - 4,000 children and young people with disabilities in day care institutions because mainstream and special schools cannot provide services for them</w:t>
      </w:r>
      <w:r w:rsidR="00F53E3A">
        <w:rPr>
          <w:rStyle w:val="FootnoteReference"/>
          <w:lang w:eastAsia="en-IE"/>
        </w:rPr>
        <w:footnoteReference w:id="66"/>
      </w:r>
      <w:r>
        <w:rPr>
          <w:lang w:eastAsia="en-IE"/>
        </w:rPr>
        <w:t>.</w:t>
      </w:r>
      <w:r w:rsidRPr="006A373B">
        <w:rPr>
          <w:lang w:eastAsia="en-IE"/>
        </w:rPr>
        <w:t xml:space="preserve"> </w:t>
      </w:r>
    </w:p>
    <w:p w:rsidR="002E1546" w:rsidRDefault="002E1546" w:rsidP="002E1546">
      <w:pPr>
        <w:rPr>
          <w:lang w:eastAsia="en-IE"/>
        </w:rPr>
      </w:pPr>
      <w:r>
        <w:rPr>
          <w:lang w:eastAsia="en-IE"/>
        </w:rPr>
        <w:t>Research shows that c</w:t>
      </w:r>
      <w:r w:rsidRPr="001547A4">
        <w:rPr>
          <w:lang w:eastAsia="en-IE"/>
        </w:rPr>
        <w:t>hildren with autism, for example, are the largest group of children who</w:t>
      </w:r>
      <w:r>
        <w:rPr>
          <w:lang w:eastAsia="en-IE"/>
        </w:rPr>
        <w:t xml:space="preserve"> </w:t>
      </w:r>
      <w:r w:rsidRPr="001547A4">
        <w:rPr>
          <w:lang w:eastAsia="en-IE"/>
        </w:rPr>
        <w:t>do not attend school</w:t>
      </w:r>
      <w:r>
        <w:rPr>
          <w:rStyle w:val="FootnoteReference"/>
          <w:rFonts w:cs="Arial"/>
          <w:lang w:eastAsia="en-IE"/>
        </w:rPr>
        <w:footnoteReference w:id="67"/>
      </w:r>
      <w:r>
        <w:rPr>
          <w:lang w:eastAsia="en-IE"/>
        </w:rPr>
        <w:t>.</w:t>
      </w:r>
    </w:p>
    <w:p w:rsidR="002E1546" w:rsidRPr="00B223D2" w:rsidRDefault="003D62CF" w:rsidP="002E1546">
      <w:pPr>
        <w:pStyle w:val="TableTitle"/>
        <w:rPr>
          <w:lang w:eastAsia="en-IE"/>
        </w:rPr>
      </w:pPr>
      <w:bookmarkStart w:id="91" w:name="_Toc268689550"/>
      <w:r>
        <w:rPr>
          <w:lang w:eastAsia="en-IE"/>
        </w:rPr>
        <w:t>Table 7</w:t>
      </w:r>
      <w:r w:rsidR="002E1546">
        <w:rPr>
          <w:lang w:eastAsia="en-IE"/>
        </w:rPr>
        <w:t>. Netherlands: Pupils with SEN in special schools by disability type (2005/2006)</w:t>
      </w:r>
      <w:r w:rsidR="002E1546">
        <w:rPr>
          <w:rStyle w:val="FootnoteReference"/>
        </w:rPr>
        <w:footnoteReference w:id="68"/>
      </w:r>
    </w:p>
    <w:tbl>
      <w:tblPr>
        <w:tblW w:w="889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1383"/>
        <w:gridCol w:w="991"/>
        <w:gridCol w:w="1418"/>
        <w:gridCol w:w="1134"/>
        <w:gridCol w:w="1136"/>
        <w:gridCol w:w="992"/>
        <w:gridCol w:w="851"/>
        <w:gridCol w:w="992"/>
      </w:tblGrid>
      <w:tr w:rsidR="002E1546" w:rsidRPr="00B223D2">
        <w:tblPrEx>
          <w:tblCellMar>
            <w:top w:w="0" w:type="dxa"/>
            <w:bottom w:w="0" w:type="dxa"/>
          </w:tblCellMar>
        </w:tblPrEx>
        <w:trPr>
          <w:tblHeader/>
        </w:trPr>
        <w:tc>
          <w:tcPr>
            <w:tcW w:w="1383" w:type="dxa"/>
            <w:shd w:val="clear" w:color="auto" w:fill="auto"/>
          </w:tcPr>
          <w:p w:rsidR="002E1546" w:rsidRPr="00B223D2" w:rsidRDefault="002E1546" w:rsidP="002E1546">
            <w:pPr>
              <w:pStyle w:val="TableHead"/>
              <w:jc w:val="right"/>
              <w:rPr>
                <w:sz w:val="20"/>
                <w:szCs w:val="20"/>
                <w:lang w:val="en-US"/>
              </w:rPr>
            </w:pPr>
            <w:r>
              <w:rPr>
                <w:sz w:val="20"/>
                <w:szCs w:val="20"/>
                <w:lang w:val="en-US"/>
              </w:rPr>
              <w:t>Intellectual</w:t>
            </w:r>
          </w:p>
        </w:tc>
        <w:tc>
          <w:tcPr>
            <w:tcW w:w="991" w:type="dxa"/>
            <w:shd w:val="clear" w:color="auto" w:fill="auto"/>
          </w:tcPr>
          <w:p w:rsidR="002E1546" w:rsidRPr="00B223D2" w:rsidRDefault="002E1546" w:rsidP="002E1546">
            <w:pPr>
              <w:pStyle w:val="TableHead"/>
              <w:jc w:val="right"/>
              <w:rPr>
                <w:sz w:val="20"/>
                <w:szCs w:val="20"/>
                <w:lang w:val="en-US"/>
              </w:rPr>
            </w:pPr>
            <w:r>
              <w:rPr>
                <w:sz w:val="20"/>
                <w:szCs w:val="20"/>
                <w:lang w:val="en-US"/>
              </w:rPr>
              <w:t>Mental Health</w:t>
            </w:r>
          </w:p>
        </w:tc>
        <w:tc>
          <w:tcPr>
            <w:tcW w:w="1418" w:type="dxa"/>
            <w:shd w:val="clear" w:color="auto" w:fill="auto"/>
          </w:tcPr>
          <w:p w:rsidR="002E1546" w:rsidRPr="00B223D2" w:rsidRDefault="002E1546" w:rsidP="002E1546">
            <w:pPr>
              <w:pStyle w:val="TableHead"/>
              <w:jc w:val="right"/>
              <w:rPr>
                <w:sz w:val="20"/>
                <w:szCs w:val="20"/>
                <w:lang w:val="en-US"/>
              </w:rPr>
            </w:pPr>
            <w:r>
              <w:rPr>
                <w:sz w:val="20"/>
                <w:szCs w:val="20"/>
                <w:lang w:val="en-US"/>
              </w:rPr>
              <w:t>Learning difficulties</w:t>
            </w:r>
          </w:p>
        </w:tc>
        <w:tc>
          <w:tcPr>
            <w:tcW w:w="1134" w:type="dxa"/>
            <w:shd w:val="clear" w:color="auto" w:fill="auto"/>
          </w:tcPr>
          <w:p w:rsidR="002E1546" w:rsidRPr="00B223D2" w:rsidRDefault="002E1546" w:rsidP="002E1546">
            <w:pPr>
              <w:pStyle w:val="TableHead"/>
              <w:jc w:val="right"/>
              <w:rPr>
                <w:sz w:val="20"/>
                <w:szCs w:val="20"/>
                <w:lang w:val="en-US"/>
              </w:rPr>
            </w:pPr>
            <w:r>
              <w:rPr>
                <w:sz w:val="20"/>
                <w:szCs w:val="20"/>
                <w:lang w:val="en-US"/>
              </w:rPr>
              <w:t>Sensory</w:t>
            </w:r>
          </w:p>
        </w:tc>
        <w:tc>
          <w:tcPr>
            <w:tcW w:w="1136" w:type="dxa"/>
            <w:shd w:val="clear" w:color="auto" w:fill="auto"/>
          </w:tcPr>
          <w:p w:rsidR="002E1546" w:rsidRPr="00B223D2" w:rsidRDefault="002E1546" w:rsidP="002E1546">
            <w:pPr>
              <w:pStyle w:val="TableHead"/>
              <w:jc w:val="right"/>
              <w:rPr>
                <w:sz w:val="20"/>
                <w:szCs w:val="20"/>
                <w:lang w:val="en-US"/>
              </w:rPr>
            </w:pPr>
            <w:r>
              <w:rPr>
                <w:sz w:val="20"/>
                <w:szCs w:val="20"/>
                <w:lang w:val="en-US"/>
              </w:rPr>
              <w:t>Physical</w:t>
            </w:r>
          </w:p>
        </w:tc>
        <w:tc>
          <w:tcPr>
            <w:tcW w:w="992" w:type="dxa"/>
            <w:shd w:val="clear" w:color="auto" w:fill="auto"/>
          </w:tcPr>
          <w:p w:rsidR="002E1546" w:rsidRPr="00B223D2" w:rsidRDefault="002E1546" w:rsidP="002E1546">
            <w:pPr>
              <w:pStyle w:val="TableHead"/>
              <w:jc w:val="right"/>
              <w:rPr>
                <w:sz w:val="20"/>
                <w:szCs w:val="20"/>
                <w:lang w:val="en-US"/>
              </w:rPr>
            </w:pPr>
            <w:r>
              <w:rPr>
                <w:sz w:val="20"/>
                <w:szCs w:val="20"/>
                <w:lang w:val="en-US"/>
              </w:rPr>
              <w:t>Multiple</w:t>
            </w:r>
          </w:p>
        </w:tc>
        <w:tc>
          <w:tcPr>
            <w:tcW w:w="851" w:type="dxa"/>
            <w:shd w:val="clear" w:color="auto" w:fill="auto"/>
          </w:tcPr>
          <w:p w:rsidR="002E1546" w:rsidRPr="00B223D2" w:rsidRDefault="002E1546" w:rsidP="002E1546">
            <w:pPr>
              <w:pStyle w:val="TableHead"/>
              <w:jc w:val="right"/>
              <w:rPr>
                <w:sz w:val="20"/>
                <w:szCs w:val="20"/>
                <w:lang w:val="en-US"/>
              </w:rPr>
            </w:pPr>
            <w:r>
              <w:rPr>
                <w:sz w:val="20"/>
                <w:szCs w:val="20"/>
                <w:lang w:val="en-US"/>
              </w:rPr>
              <w:t>Other</w:t>
            </w:r>
          </w:p>
        </w:tc>
        <w:tc>
          <w:tcPr>
            <w:tcW w:w="992" w:type="dxa"/>
            <w:shd w:val="clear" w:color="auto" w:fill="auto"/>
          </w:tcPr>
          <w:p w:rsidR="002E1546" w:rsidRPr="00B223D2" w:rsidRDefault="002E1546" w:rsidP="002E1546">
            <w:pPr>
              <w:pStyle w:val="TableHead"/>
              <w:jc w:val="right"/>
              <w:rPr>
                <w:sz w:val="20"/>
                <w:szCs w:val="20"/>
                <w:lang w:val="en-US"/>
              </w:rPr>
            </w:pPr>
            <w:r>
              <w:rPr>
                <w:sz w:val="20"/>
                <w:szCs w:val="20"/>
                <w:lang w:val="en-US"/>
              </w:rPr>
              <w:t>Total</w:t>
            </w:r>
          </w:p>
        </w:tc>
      </w:tr>
      <w:tr w:rsidR="002E1546" w:rsidRPr="00B223D2">
        <w:tblPrEx>
          <w:tblCellMar>
            <w:top w:w="0" w:type="dxa"/>
            <w:bottom w:w="0" w:type="dxa"/>
          </w:tblCellMar>
        </w:tblPrEx>
        <w:trPr>
          <w:tblHeader/>
        </w:trPr>
        <w:tc>
          <w:tcPr>
            <w:tcW w:w="1383" w:type="dxa"/>
            <w:shd w:val="clear" w:color="auto" w:fill="auto"/>
          </w:tcPr>
          <w:p w:rsidR="002E1546" w:rsidRDefault="002E1546" w:rsidP="002E1546">
            <w:pPr>
              <w:pStyle w:val="TableHead"/>
              <w:jc w:val="right"/>
              <w:rPr>
                <w:sz w:val="20"/>
                <w:szCs w:val="20"/>
                <w:lang w:val="en-US"/>
              </w:rPr>
            </w:pPr>
            <w:r>
              <w:rPr>
                <w:sz w:val="20"/>
                <w:szCs w:val="20"/>
                <w:lang w:val="en-US"/>
              </w:rPr>
              <w:t>-</w:t>
            </w:r>
          </w:p>
        </w:tc>
        <w:tc>
          <w:tcPr>
            <w:tcW w:w="991" w:type="dxa"/>
            <w:shd w:val="clear" w:color="auto" w:fill="auto"/>
          </w:tcPr>
          <w:p w:rsidR="002E1546" w:rsidRDefault="002E1546" w:rsidP="002E1546">
            <w:pPr>
              <w:pStyle w:val="TableHead"/>
              <w:jc w:val="right"/>
              <w:rPr>
                <w:sz w:val="20"/>
                <w:szCs w:val="20"/>
                <w:lang w:val="en-US"/>
              </w:rPr>
            </w:pPr>
            <w:r>
              <w:rPr>
                <w:sz w:val="20"/>
                <w:szCs w:val="20"/>
                <w:lang w:val="en-US"/>
              </w:rPr>
              <w:t>23%</w:t>
            </w:r>
          </w:p>
        </w:tc>
        <w:tc>
          <w:tcPr>
            <w:tcW w:w="1418" w:type="dxa"/>
            <w:shd w:val="clear" w:color="auto" w:fill="auto"/>
          </w:tcPr>
          <w:p w:rsidR="002E1546" w:rsidRDefault="002E1546" w:rsidP="002E1546">
            <w:pPr>
              <w:pStyle w:val="TableHead"/>
              <w:jc w:val="right"/>
              <w:rPr>
                <w:sz w:val="20"/>
                <w:szCs w:val="20"/>
                <w:lang w:val="en-US"/>
              </w:rPr>
            </w:pPr>
            <w:r>
              <w:rPr>
                <w:sz w:val="20"/>
                <w:szCs w:val="20"/>
                <w:lang w:val="en-US"/>
              </w:rPr>
              <w:t>33%</w:t>
            </w:r>
          </w:p>
        </w:tc>
        <w:tc>
          <w:tcPr>
            <w:tcW w:w="1134" w:type="dxa"/>
            <w:shd w:val="clear" w:color="auto" w:fill="auto"/>
          </w:tcPr>
          <w:p w:rsidR="002E1546" w:rsidRDefault="002E1546" w:rsidP="002E1546">
            <w:pPr>
              <w:pStyle w:val="TableHead"/>
              <w:jc w:val="right"/>
              <w:rPr>
                <w:sz w:val="20"/>
                <w:szCs w:val="20"/>
                <w:lang w:val="en-US"/>
              </w:rPr>
            </w:pPr>
            <w:r>
              <w:rPr>
                <w:sz w:val="20"/>
                <w:szCs w:val="20"/>
                <w:lang w:val="en-US"/>
              </w:rPr>
              <w:t>5%</w:t>
            </w:r>
          </w:p>
        </w:tc>
        <w:tc>
          <w:tcPr>
            <w:tcW w:w="1136" w:type="dxa"/>
            <w:shd w:val="clear" w:color="auto" w:fill="auto"/>
          </w:tcPr>
          <w:p w:rsidR="002E1546" w:rsidRDefault="002E1546" w:rsidP="002E1546">
            <w:pPr>
              <w:pStyle w:val="TableHead"/>
              <w:jc w:val="right"/>
              <w:rPr>
                <w:sz w:val="20"/>
                <w:szCs w:val="20"/>
                <w:lang w:val="en-US"/>
              </w:rPr>
            </w:pPr>
            <w:r>
              <w:rPr>
                <w:sz w:val="20"/>
                <w:szCs w:val="20"/>
                <w:lang w:val="en-US"/>
              </w:rPr>
              <w:t>4%</w:t>
            </w:r>
          </w:p>
        </w:tc>
        <w:tc>
          <w:tcPr>
            <w:tcW w:w="992" w:type="dxa"/>
            <w:shd w:val="clear" w:color="auto" w:fill="auto"/>
          </w:tcPr>
          <w:p w:rsidR="002E1546" w:rsidRDefault="002E1546" w:rsidP="002E1546">
            <w:pPr>
              <w:pStyle w:val="TableHead"/>
              <w:jc w:val="right"/>
              <w:rPr>
                <w:sz w:val="20"/>
                <w:szCs w:val="20"/>
                <w:lang w:val="en-US"/>
              </w:rPr>
            </w:pPr>
            <w:r>
              <w:rPr>
                <w:sz w:val="20"/>
                <w:szCs w:val="20"/>
                <w:lang w:val="en-US"/>
              </w:rPr>
              <w:t>9%</w:t>
            </w:r>
          </w:p>
        </w:tc>
        <w:tc>
          <w:tcPr>
            <w:tcW w:w="851" w:type="dxa"/>
            <w:shd w:val="clear" w:color="auto" w:fill="auto"/>
          </w:tcPr>
          <w:p w:rsidR="002E1546" w:rsidRDefault="002E1546" w:rsidP="002E1546">
            <w:pPr>
              <w:pStyle w:val="TableHead"/>
              <w:jc w:val="right"/>
              <w:rPr>
                <w:sz w:val="20"/>
                <w:szCs w:val="20"/>
                <w:lang w:val="en-US"/>
              </w:rPr>
            </w:pPr>
            <w:r>
              <w:rPr>
                <w:sz w:val="20"/>
                <w:szCs w:val="20"/>
                <w:lang w:val="en-US"/>
              </w:rPr>
              <w:t>27%</w:t>
            </w:r>
          </w:p>
        </w:tc>
        <w:tc>
          <w:tcPr>
            <w:tcW w:w="992" w:type="dxa"/>
            <w:shd w:val="clear" w:color="auto" w:fill="auto"/>
          </w:tcPr>
          <w:p w:rsidR="002E1546" w:rsidRDefault="002E1546" w:rsidP="002E1546">
            <w:pPr>
              <w:pStyle w:val="TableHead"/>
              <w:jc w:val="right"/>
              <w:rPr>
                <w:sz w:val="20"/>
                <w:szCs w:val="20"/>
                <w:lang w:val="en-US"/>
              </w:rPr>
            </w:pPr>
            <w:r>
              <w:rPr>
                <w:sz w:val="20"/>
                <w:szCs w:val="20"/>
                <w:lang w:val="en-US"/>
              </w:rPr>
              <w:t>67,000</w:t>
            </w:r>
          </w:p>
        </w:tc>
      </w:tr>
    </w:tbl>
    <w:p w:rsidR="002E1546" w:rsidRDefault="002E1546" w:rsidP="002E1546">
      <w:pPr>
        <w:pStyle w:val="TableNote"/>
        <w:rPr>
          <w:lang w:val="en-US"/>
        </w:rPr>
      </w:pPr>
      <w:r>
        <w:rPr>
          <w:lang w:val="en-US"/>
        </w:rPr>
        <w:t xml:space="preserve">Source: Netherlands, Ministry of Education, Culture and Science </w:t>
      </w:r>
    </w:p>
    <w:p w:rsidR="002E1546" w:rsidRDefault="002E1546" w:rsidP="007C1DB1">
      <w:pPr>
        <w:spacing w:after="120"/>
        <w:rPr>
          <w:lang w:val="en-US"/>
        </w:rPr>
      </w:pPr>
      <w:r>
        <w:rPr>
          <w:lang w:val="en-US"/>
        </w:rPr>
        <w:t xml:space="preserve">Studies undertaken by the Social and Economic Council </w:t>
      </w:r>
      <w:r w:rsidR="007C1DB1">
        <w:rPr>
          <w:lang w:val="en-US"/>
        </w:rPr>
        <w:t xml:space="preserve">(SER) </w:t>
      </w:r>
      <w:r>
        <w:rPr>
          <w:lang w:val="en-US"/>
        </w:rPr>
        <w:t>of the Dutch government (2007)</w:t>
      </w:r>
      <w:r>
        <w:rPr>
          <w:rStyle w:val="FootnoteReference"/>
        </w:rPr>
        <w:footnoteReference w:id="69"/>
      </w:r>
      <w:r>
        <w:rPr>
          <w:lang w:val="en-US"/>
        </w:rPr>
        <w:t xml:space="preserve"> recommended that the Dutch government should:</w:t>
      </w:r>
    </w:p>
    <w:p w:rsidR="002E1546" w:rsidRDefault="002E1546" w:rsidP="002E1546">
      <w:pPr>
        <w:pStyle w:val="ListBullet"/>
      </w:pPr>
      <w:r>
        <w:rPr>
          <w:lang w:val="en-US"/>
        </w:rPr>
        <w:t>Improve</w:t>
      </w:r>
      <w:r w:rsidRPr="00D805C8">
        <w:t xml:space="preserve"> </w:t>
      </w:r>
      <w:r>
        <w:t>the basic education for young people with disabilities, particularly those with intellectual disabilities and experiment more with inclusive education</w:t>
      </w:r>
    </w:p>
    <w:p w:rsidR="002E1546" w:rsidRDefault="002E1546" w:rsidP="007C1DB1">
      <w:pPr>
        <w:pStyle w:val="ListBullet"/>
        <w:spacing w:after="300"/>
        <w:ind w:left="357" w:hanging="357"/>
      </w:pPr>
      <w:r>
        <w:t>Providing assistance for young people leaving school to find jobs and internships</w:t>
      </w:r>
    </w:p>
    <w:p w:rsidR="002E1546" w:rsidRPr="00113BB5" w:rsidRDefault="002E1546" w:rsidP="002E1546">
      <w:r>
        <w:t>SER made these recommendations after highlighting the link between special schools and the increase in young people with some work capacity receiving disability benefit. These recommendations were seen as a possible solution to activating young people towards employment</w:t>
      </w:r>
      <w:r>
        <w:rPr>
          <w:rStyle w:val="FootnoteReference"/>
        </w:rPr>
        <w:footnoteReference w:id="70"/>
      </w:r>
      <w:r>
        <w:t xml:space="preserve">. </w:t>
      </w:r>
    </w:p>
    <w:p w:rsidR="002E1546" w:rsidRPr="0041284D" w:rsidRDefault="002E1546" w:rsidP="002E1546">
      <w:pPr>
        <w:pStyle w:val="Heading3"/>
        <w:rPr>
          <w:lang w:eastAsia="en-IE"/>
        </w:rPr>
      </w:pPr>
      <w:bookmarkStart w:id="92" w:name="_Toc269743646"/>
      <w:bookmarkStart w:id="93" w:name="_Toc272825565"/>
      <w:bookmarkStart w:id="94" w:name="_Toc272907340"/>
      <w:bookmarkStart w:id="95" w:name="_Toc286159988"/>
      <w:r w:rsidRPr="0041284D">
        <w:rPr>
          <w:lang w:eastAsia="en-IE"/>
        </w:rPr>
        <w:t>Transition from education to employment</w:t>
      </w:r>
      <w:bookmarkEnd w:id="91"/>
      <w:bookmarkEnd w:id="92"/>
      <w:bookmarkEnd w:id="93"/>
      <w:bookmarkEnd w:id="94"/>
      <w:bookmarkEnd w:id="95"/>
    </w:p>
    <w:p w:rsidR="002E1546" w:rsidRDefault="00B74DE3"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eastAsia="en-IE"/>
        </w:rPr>
      </w:pPr>
      <w:r>
        <w:rPr>
          <w:rFonts w:cs="Arial"/>
          <w:lang w:eastAsia="en-IE"/>
        </w:rPr>
        <w:t>Educational s</w:t>
      </w:r>
      <w:r w:rsidR="002E1546" w:rsidRPr="001547A4">
        <w:rPr>
          <w:rFonts w:cs="Arial"/>
          <w:lang w:eastAsia="en-IE"/>
        </w:rPr>
        <w:t>upport</w:t>
      </w:r>
      <w:r>
        <w:rPr>
          <w:rFonts w:cs="Arial"/>
          <w:lang w:eastAsia="en-IE"/>
        </w:rPr>
        <w:t xml:space="preserve">s </w:t>
      </w:r>
      <w:r w:rsidR="002E1546" w:rsidRPr="001547A4">
        <w:rPr>
          <w:rFonts w:cs="Arial"/>
          <w:lang w:eastAsia="en-IE"/>
        </w:rPr>
        <w:t>for students with intellectual disabilities in secondary and vocational schools</w:t>
      </w:r>
      <w:r>
        <w:rPr>
          <w:rFonts w:cs="Arial"/>
          <w:lang w:eastAsia="en-IE"/>
        </w:rPr>
        <w:t xml:space="preserve"> such as extra supports provided by special needs teachers, </w:t>
      </w:r>
      <w:r w:rsidR="007400AC">
        <w:rPr>
          <w:rFonts w:cs="Arial"/>
          <w:lang w:eastAsia="en-IE"/>
        </w:rPr>
        <w:t>have</w:t>
      </w:r>
      <w:r w:rsidR="002E1546" w:rsidRPr="001547A4">
        <w:rPr>
          <w:rFonts w:cs="Arial"/>
          <w:lang w:eastAsia="en-IE"/>
        </w:rPr>
        <w:t xml:space="preserve"> been reduced, and there are plans to modify other benefits that would limit the</w:t>
      </w:r>
      <w:r w:rsidR="002E1546">
        <w:rPr>
          <w:rFonts w:cs="Arial"/>
          <w:lang w:eastAsia="en-IE"/>
        </w:rPr>
        <w:t xml:space="preserve"> </w:t>
      </w:r>
      <w:r w:rsidR="002E1546" w:rsidRPr="001547A4">
        <w:rPr>
          <w:rFonts w:cs="Arial"/>
          <w:lang w:eastAsia="en-IE"/>
        </w:rPr>
        <w:t xml:space="preserve">already </w:t>
      </w:r>
      <w:r w:rsidR="002E1546">
        <w:rPr>
          <w:rFonts w:cs="Arial"/>
          <w:lang w:eastAsia="en-IE"/>
        </w:rPr>
        <w:t>reduce</w:t>
      </w:r>
      <w:r w:rsidR="00CF6AD6">
        <w:rPr>
          <w:rFonts w:cs="Arial"/>
          <w:lang w:eastAsia="en-IE"/>
        </w:rPr>
        <w:t>d</w:t>
      </w:r>
      <w:r w:rsidR="002E1546">
        <w:rPr>
          <w:rFonts w:cs="Arial"/>
          <w:lang w:eastAsia="en-IE"/>
        </w:rPr>
        <w:t xml:space="preserve"> funding available for such </w:t>
      </w:r>
      <w:r w:rsidR="002E1546" w:rsidRPr="001547A4">
        <w:rPr>
          <w:rFonts w:cs="Arial"/>
          <w:lang w:eastAsia="en-IE"/>
        </w:rPr>
        <w:t>students</w:t>
      </w:r>
      <w:r w:rsidR="002E1546">
        <w:rPr>
          <w:rStyle w:val="FootnoteReference"/>
          <w:rFonts w:cs="Arial"/>
          <w:lang w:eastAsia="en-IE"/>
        </w:rPr>
        <w:footnoteReference w:id="71"/>
      </w:r>
      <w:r w:rsidR="002E1546">
        <w:rPr>
          <w:rFonts w:cs="Arial"/>
          <w:lang w:eastAsia="en-IE"/>
        </w:rPr>
        <w:t>.</w:t>
      </w:r>
    </w:p>
    <w:p w:rsidR="002E1546" w:rsidRDefault="002E1546" w:rsidP="002E1546">
      <w:pPr>
        <w:autoSpaceDE w:val="0"/>
        <w:autoSpaceDN w:val="0"/>
        <w:adjustRightInd w:val="0"/>
      </w:pPr>
      <w:r>
        <w:t>Research in the Netherlands has highlighted the link between young people attending special schools and an increasing number of young people receiving a disability benefit entitled the Wajong.</w:t>
      </w:r>
      <w:r w:rsidRPr="00590DCC">
        <w:t xml:space="preserve"> </w:t>
      </w:r>
      <w:r>
        <w:t>Young people with disabilities receive this benefit when they are 17</w:t>
      </w:r>
      <w:r w:rsidR="001806E5">
        <w:t xml:space="preserve"> years of age</w:t>
      </w:r>
      <w:r>
        <w:rPr>
          <w:rStyle w:val="FootnoteReference"/>
        </w:rPr>
        <w:footnoteReference w:id="72"/>
      </w:r>
      <w:r>
        <w:t>.</w:t>
      </w:r>
    </w:p>
    <w:p w:rsidR="002E1546" w:rsidRDefault="00CF6AD6" w:rsidP="00CF6AD6">
      <w:pPr>
        <w:autoSpaceDE w:val="0"/>
        <w:autoSpaceDN w:val="0"/>
        <w:adjustRightInd w:val="0"/>
        <w:spacing w:after="120"/>
      </w:pPr>
      <w:r>
        <w:t>A s</w:t>
      </w:r>
      <w:r w:rsidR="002E1546">
        <w:t>tud</w:t>
      </w:r>
      <w:r>
        <w:t>y</w:t>
      </w:r>
      <w:r w:rsidR="002E1546">
        <w:t xml:space="preserve"> undertaken by the</w:t>
      </w:r>
      <w:r w:rsidR="002E1546" w:rsidRPr="00590DCC">
        <w:t xml:space="preserve"> SER </w:t>
      </w:r>
      <w:r w:rsidR="002E1546">
        <w:t>in 2007</w:t>
      </w:r>
      <w:r w:rsidR="002E1546">
        <w:rPr>
          <w:rStyle w:val="FootnoteReference"/>
        </w:rPr>
        <w:footnoteReference w:id="73"/>
      </w:r>
      <w:r w:rsidR="00D86CE4">
        <w:t xml:space="preserve"> estimated that there would be</w:t>
      </w:r>
      <w:r w:rsidR="002E1546">
        <w:t xml:space="preserve"> an increase in Wajong recipients from 156,000 in 2006, to possibly 360,000 in 2040. This study also found that of the 156,000 recipients, 26% were in some form of employment</w:t>
      </w:r>
      <w:r w:rsidR="008B5653">
        <w:t>,</w:t>
      </w:r>
      <w:r w:rsidR="002E1546">
        <w:t xml:space="preserve"> yet, 50% of the recipients were considered by the SER to have some work capacity. The SER recommended that the Dutch government should activate these recipients toward employment by:</w:t>
      </w:r>
    </w:p>
    <w:p w:rsidR="002E1546" w:rsidRDefault="002E1546" w:rsidP="002E1546">
      <w:pPr>
        <w:pStyle w:val="ListBullet"/>
      </w:pPr>
      <w:r>
        <w:t>Improving the basic education for youn</w:t>
      </w:r>
      <w:r w:rsidR="00EF6452">
        <w:t>g people with disabilities and e</w:t>
      </w:r>
      <w:r>
        <w:t>xperiment more with inclusive education</w:t>
      </w:r>
    </w:p>
    <w:p w:rsidR="002E1546" w:rsidRDefault="002E1546" w:rsidP="002E1546">
      <w:pPr>
        <w:pStyle w:val="ListBullet"/>
      </w:pPr>
      <w:r>
        <w:t>Providing assistance for young people leaving school to find jobs and internships</w:t>
      </w:r>
    </w:p>
    <w:p w:rsidR="004A099C" w:rsidRDefault="002E1546" w:rsidP="004A099C">
      <w:pPr>
        <w:pStyle w:val="ListBullet"/>
        <w:spacing w:after="300"/>
        <w:ind w:left="357" w:hanging="357"/>
      </w:pPr>
      <w:r>
        <w:t>Increas</w:t>
      </w:r>
      <w:r w:rsidR="00CF6AD6">
        <w:t>ing</w:t>
      </w:r>
      <w:r>
        <w:t xml:space="preserve"> supported employment opportunities for young people.</w:t>
      </w:r>
    </w:p>
    <w:p w:rsidR="00FA1132" w:rsidRDefault="00E37689" w:rsidP="00FA1132">
      <w:r>
        <w:t>In their report on employment of  people with disabilities (2009) the Academic Network of Disability Experts (ANED) cites tw</w:t>
      </w:r>
      <w:r w:rsidR="003E262E">
        <w:t xml:space="preserve">o plans  the Dutch government issued </w:t>
      </w:r>
      <w:r>
        <w:t>in response to the  SER report</w:t>
      </w:r>
      <w:r w:rsidR="003E262E">
        <w:t>.</w:t>
      </w:r>
      <w:r w:rsidR="00FA1132">
        <w:t xml:space="preserve"> </w:t>
      </w:r>
    </w:p>
    <w:p w:rsidR="002E1546" w:rsidRDefault="002E1546" w:rsidP="00FA1132">
      <w:r>
        <w:t>The core objectives of the</w:t>
      </w:r>
      <w:r w:rsidR="00A6073D">
        <w:t>se pla</w:t>
      </w:r>
      <w:r>
        <w:t>ns</w:t>
      </w:r>
      <w:r w:rsidR="00AE71B4">
        <w:t>, which are still in the pr</w:t>
      </w:r>
      <w:r w:rsidR="00D00C11">
        <w:t xml:space="preserve">ocess of being implemented, </w:t>
      </w:r>
      <w:r>
        <w:t>are:</w:t>
      </w:r>
    </w:p>
    <w:p w:rsidR="002E1546" w:rsidRPr="00765345" w:rsidRDefault="002E1546" w:rsidP="002E1546">
      <w:pPr>
        <w:pStyle w:val="ListBullet"/>
      </w:pPr>
      <w:r>
        <w:t>Young people with disabilities are assessed</w:t>
      </w:r>
      <w:r w:rsidRPr="00765345">
        <w:t xml:space="preserve"> </w:t>
      </w:r>
      <w:r>
        <w:t xml:space="preserve">for the Wajong benefit </w:t>
      </w:r>
      <w:r w:rsidRPr="00765345">
        <w:t>based on their capacity to work.</w:t>
      </w:r>
    </w:p>
    <w:p w:rsidR="002E1546" w:rsidRDefault="002E1546" w:rsidP="002E1546">
      <w:pPr>
        <w:pStyle w:val="ListBullet"/>
      </w:pPr>
      <w:r>
        <w:t>People with a higher work capacity</w:t>
      </w:r>
      <w:r w:rsidRPr="00765345">
        <w:t xml:space="preserve"> receive a lower benefit but </w:t>
      </w:r>
      <w:r>
        <w:t xml:space="preserve">as an incentive for them to work, </w:t>
      </w:r>
      <w:r w:rsidRPr="00765345">
        <w:t xml:space="preserve">are allowed to keep part of their </w:t>
      </w:r>
      <w:r>
        <w:t xml:space="preserve">benefit </w:t>
      </w:r>
      <w:r w:rsidRPr="00765345">
        <w:t xml:space="preserve">in addition to their </w:t>
      </w:r>
      <w:r>
        <w:t xml:space="preserve">earnings. </w:t>
      </w:r>
      <w:r w:rsidRPr="00765345">
        <w:t>People who are unable to work receive the</w:t>
      </w:r>
      <w:r w:rsidR="007C77DA">
        <w:t xml:space="preserve"> highest level of </w:t>
      </w:r>
      <w:r w:rsidRPr="00765345">
        <w:t xml:space="preserve">benefit, which is 75% of the minimum wage. </w:t>
      </w:r>
      <w:r>
        <w:t xml:space="preserve"> </w:t>
      </w:r>
    </w:p>
    <w:p w:rsidR="002E1546" w:rsidRDefault="002E1546" w:rsidP="002E1546">
      <w:pPr>
        <w:pStyle w:val="ListBullet"/>
      </w:pPr>
      <w:r>
        <w:t>All</w:t>
      </w:r>
      <w:r w:rsidRPr="00765345">
        <w:t xml:space="preserve"> Wajong recipients are </w:t>
      </w:r>
      <w:r>
        <w:t xml:space="preserve">now being </w:t>
      </w:r>
      <w:r w:rsidRPr="00765345">
        <w:t>offered an individual participation plan</w:t>
      </w:r>
      <w:r>
        <w:t>, that will provide them with</w:t>
      </w:r>
      <w:r w:rsidRPr="00765345">
        <w:t xml:space="preserve"> assistance to find a job</w:t>
      </w:r>
      <w:r>
        <w:t xml:space="preserve"> or </w:t>
      </w:r>
      <w:r w:rsidRPr="00765345">
        <w:t xml:space="preserve">provide them with training </w:t>
      </w:r>
      <w:r>
        <w:t xml:space="preserve">which leads </w:t>
      </w:r>
      <w:r w:rsidRPr="00765345">
        <w:t xml:space="preserve">to an actual job offer. If recipients refuse to comply </w:t>
      </w:r>
      <w:r>
        <w:t xml:space="preserve">with </w:t>
      </w:r>
      <w:r w:rsidRPr="00765345">
        <w:t>the participation plan their benefits can be terminated</w:t>
      </w:r>
      <w:r>
        <w:rPr>
          <w:rStyle w:val="FootnoteReference"/>
        </w:rPr>
        <w:footnoteReference w:id="74"/>
      </w:r>
      <w:r>
        <w:t>.</w:t>
      </w:r>
    </w:p>
    <w:p w:rsidR="003E262E" w:rsidRPr="009E7074" w:rsidRDefault="002E1546" w:rsidP="003E262E">
      <w:pPr>
        <w:pStyle w:val="ListBullet"/>
      </w:pPr>
      <w:r>
        <w:t xml:space="preserve">Develop a </w:t>
      </w:r>
      <w:r w:rsidRPr="00765345">
        <w:t>disability awareness raising campaign for employers and employees to create inclus</w:t>
      </w:r>
      <w:r>
        <w:t>ive workplaces</w:t>
      </w:r>
      <w:r w:rsidRPr="00765345">
        <w:rPr>
          <w:rStyle w:val="FootnoteReference"/>
        </w:rPr>
        <w:footnoteReference w:id="75"/>
      </w:r>
    </w:p>
    <w:p w:rsidR="002E1546" w:rsidRDefault="002E1546" w:rsidP="002E1546">
      <w:pPr>
        <w:pStyle w:val="Heading2"/>
        <w:rPr>
          <w:lang w:val="en-US"/>
        </w:rPr>
      </w:pPr>
      <w:bookmarkStart w:id="96" w:name="_Toc269743648"/>
      <w:bookmarkStart w:id="97" w:name="_Toc286159989"/>
      <w:r>
        <w:rPr>
          <w:lang w:val="en-US"/>
        </w:rPr>
        <w:t>4.7 Transport to Disability Services</w:t>
      </w:r>
      <w:bookmarkEnd w:id="96"/>
      <w:bookmarkEnd w:id="97"/>
    </w:p>
    <w:p w:rsidR="00392F45" w:rsidRDefault="00594104" w:rsidP="002E1546">
      <w:pPr>
        <w:rPr>
          <w:lang w:val="en-US"/>
        </w:rPr>
      </w:pPr>
      <w:r>
        <w:rPr>
          <w:rFonts w:cs="Arial"/>
          <w:lang w:val="en-US"/>
        </w:rPr>
        <w:t xml:space="preserve">The  Equal Treatment Act for people with disabilities </w:t>
      </w:r>
      <w:r w:rsidR="007C77DA">
        <w:rPr>
          <w:rFonts w:cs="Arial"/>
          <w:lang w:val="en-US"/>
        </w:rPr>
        <w:t xml:space="preserve">did </w:t>
      </w:r>
      <w:r>
        <w:rPr>
          <w:rFonts w:cs="Arial"/>
          <w:lang w:val="en-US"/>
        </w:rPr>
        <w:t>not extend to include the area of transportation until 2010. However, people with disabilities do receive discounts</w:t>
      </w:r>
      <w:r w:rsidR="00392F45">
        <w:rPr>
          <w:rFonts w:cs="Arial"/>
          <w:lang w:val="en-US"/>
        </w:rPr>
        <w:t xml:space="preserve"> for using public transpo</w:t>
      </w:r>
      <w:r>
        <w:rPr>
          <w:rFonts w:cs="Arial"/>
          <w:lang w:val="en-US"/>
        </w:rPr>
        <w:t>rt</w:t>
      </w:r>
      <w:r w:rsidR="00392F45">
        <w:rPr>
          <w:rFonts w:cs="Arial"/>
          <w:lang w:val="en-US"/>
        </w:rPr>
        <w:t xml:space="preserve">. </w:t>
      </w:r>
      <w:r w:rsidR="00392F45" w:rsidRPr="00392F45">
        <w:rPr>
          <w:lang w:val="en-US"/>
        </w:rPr>
        <w:t xml:space="preserve">There are special tariffs for people with disabilities in the Netherlands. Regional and local authorities pay the difference. </w:t>
      </w:r>
    </w:p>
    <w:p w:rsidR="005C56C8" w:rsidRDefault="00392F45" w:rsidP="00392F45">
      <w:pPr>
        <w:rPr>
          <w:rFonts w:cs="Arial"/>
          <w:lang w:val="en-US"/>
        </w:rPr>
      </w:pPr>
      <w:r w:rsidRPr="00392F45">
        <w:rPr>
          <w:rFonts w:cs="Arial"/>
          <w:lang w:val="en-US"/>
        </w:rPr>
        <w:t>In</w:t>
      </w:r>
      <w:r w:rsidR="005C56C8">
        <w:rPr>
          <w:rFonts w:cs="Arial"/>
          <w:lang w:val="en-US"/>
        </w:rPr>
        <w:t xml:space="preserve"> the Netherlands,  "special"  transport such as taxis, etc are allocated for use by people  with disabilities .</w:t>
      </w:r>
      <w:r w:rsidRPr="00392F45">
        <w:rPr>
          <w:rFonts w:cs="Arial"/>
          <w:lang w:val="en-US"/>
        </w:rPr>
        <w:t>Th</w:t>
      </w:r>
      <w:r w:rsidR="005C56C8">
        <w:rPr>
          <w:rFonts w:cs="Arial"/>
          <w:lang w:val="en-US"/>
        </w:rPr>
        <w:t xml:space="preserve">ere is also a regional transport system  for people with disabilities operated by the </w:t>
      </w:r>
      <w:r w:rsidR="00A7587B">
        <w:rPr>
          <w:rFonts w:cs="Arial"/>
          <w:lang w:val="en-US"/>
        </w:rPr>
        <w:t>municipalities called the Valys-</w:t>
      </w:r>
      <w:r w:rsidR="005C56C8">
        <w:rPr>
          <w:rFonts w:cs="Arial"/>
          <w:lang w:val="en-US"/>
        </w:rPr>
        <w:t>system. It is paid for by the Dutch government.</w:t>
      </w:r>
    </w:p>
    <w:p w:rsidR="00594104" w:rsidRPr="009B088F" w:rsidRDefault="005C56C8" w:rsidP="002E1546">
      <w:pPr>
        <w:rPr>
          <w:rFonts w:cs="Arial"/>
          <w:lang w:val="en-US"/>
        </w:rPr>
      </w:pPr>
      <w:r>
        <w:rPr>
          <w:rFonts w:cs="Arial"/>
          <w:lang w:val="en-US"/>
        </w:rPr>
        <w:t>T</w:t>
      </w:r>
      <w:r w:rsidR="00392F45" w:rsidRPr="00392F45">
        <w:rPr>
          <w:rFonts w:cs="Arial"/>
          <w:lang w:val="en-US"/>
        </w:rPr>
        <w:t xml:space="preserve">here are </w:t>
      </w:r>
      <w:r>
        <w:rPr>
          <w:rFonts w:cs="Arial"/>
          <w:lang w:val="en-US"/>
        </w:rPr>
        <w:t xml:space="preserve">also </w:t>
      </w:r>
      <w:r w:rsidR="00392F45" w:rsidRPr="00392F45">
        <w:rPr>
          <w:rFonts w:cs="Arial"/>
          <w:lang w:val="en-US"/>
        </w:rPr>
        <w:t xml:space="preserve">six national programmes facilitating individual door-to-door-transport for people with disabilities. These minibuses and taxis </w:t>
      </w:r>
      <w:r>
        <w:rPr>
          <w:rFonts w:cs="Arial"/>
          <w:lang w:val="en-US"/>
        </w:rPr>
        <w:t>transport people with disabilities to school, social welfare appointments and social/ recreational activities. These programmes are paid for by the Dutch government</w:t>
      </w:r>
      <w:r>
        <w:rPr>
          <w:rStyle w:val="FootnoteReference"/>
          <w:rFonts w:cs="Arial"/>
          <w:lang w:val="en-US"/>
        </w:rPr>
        <w:footnoteReference w:id="76"/>
      </w:r>
      <w:r>
        <w:rPr>
          <w:rFonts w:cs="Arial"/>
          <w:lang w:val="en-US"/>
        </w:rPr>
        <w:t xml:space="preserve">.  </w:t>
      </w:r>
    </w:p>
    <w:p w:rsidR="002E1546" w:rsidRDefault="002E1546" w:rsidP="002E1546">
      <w:pPr>
        <w:pStyle w:val="Heading2"/>
        <w:rPr>
          <w:lang w:val="en-US" w:bidi="en-US"/>
        </w:rPr>
      </w:pPr>
      <w:bookmarkStart w:id="98" w:name="_Toc269743649"/>
      <w:bookmarkStart w:id="99" w:name="_Toc286159990"/>
      <w:r>
        <w:rPr>
          <w:lang w:val="en-US"/>
        </w:rPr>
        <w:t>4.8 Day &amp; Employment Services</w:t>
      </w:r>
      <w:bookmarkEnd w:id="98"/>
      <w:bookmarkEnd w:id="99"/>
      <w:r>
        <w:rPr>
          <w:lang w:val="en-US"/>
        </w:rPr>
        <w:t xml:space="preserve"> </w:t>
      </w:r>
    </w:p>
    <w:p w:rsidR="002E1546" w:rsidRDefault="002E1546" w:rsidP="002E1546">
      <w:pPr>
        <w:pStyle w:val="Heading3"/>
        <w:rPr>
          <w:lang w:val="en-US"/>
        </w:rPr>
      </w:pPr>
      <w:bookmarkStart w:id="100" w:name="_Toc269743650"/>
      <w:bookmarkStart w:id="101" w:name="_Toc272825569"/>
      <w:bookmarkStart w:id="102" w:name="_Toc272906716"/>
      <w:bookmarkStart w:id="103" w:name="_Toc272907344"/>
      <w:bookmarkStart w:id="104" w:name="_Toc286159991"/>
      <w:r>
        <w:rPr>
          <w:lang w:val="en-US"/>
        </w:rPr>
        <w:t>Day care services</w:t>
      </w:r>
      <w:bookmarkEnd w:id="100"/>
      <w:bookmarkEnd w:id="101"/>
      <w:bookmarkEnd w:id="102"/>
      <w:bookmarkEnd w:id="103"/>
      <w:bookmarkEnd w:id="104"/>
      <w:r>
        <w:rPr>
          <w:lang w:val="en-US"/>
        </w:rPr>
        <w:t xml:space="preserve"> </w:t>
      </w:r>
    </w:p>
    <w:p w:rsidR="00D855D5" w:rsidRDefault="00EF6452" w:rsidP="002E1546">
      <w:pPr>
        <w:rPr>
          <w:rFonts w:cs="Arial"/>
          <w:lang w:val="en-US"/>
        </w:rPr>
      </w:pPr>
      <w:r>
        <w:rPr>
          <w:rFonts w:cs="Arial"/>
          <w:lang w:val="en-US"/>
        </w:rPr>
        <w:t>While there is no legislation or regulations se</w:t>
      </w:r>
      <w:r w:rsidR="00162067">
        <w:rPr>
          <w:rFonts w:cs="Arial"/>
          <w:lang w:val="en-US"/>
        </w:rPr>
        <w:t xml:space="preserve">tting out an agreed definition </w:t>
      </w:r>
      <w:r>
        <w:rPr>
          <w:rFonts w:cs="Arial"/>
          <w:lang w:val="en-US"/>
        </w:rPr>
        <w:t>of the day supports for people with disabilities in the Netherlands, the needs assessment process set out the range of supports that can be provided</w:t>
      </w:r>
      <w:r w:rsidR="007C77DA">
        <w:rPr>
          <w:rFonts w:cs="Arial"/>
          <w:lang w:val="en-US"/>
        </w:rPr>
        <w:t xml:space="preserve"> such as</w:t>
      </w:r>
      <w:r w:rsidR="001B233A">
        <w:rPr>
          <w:rFonts w:cs="Arial"/>
          <w:lang w:val="en-US"/>
        </w:rPr>
        <w:t xml:space="preserve"> </w:t>
      </w:r>
      <w:r w:rsidR="002E1546" w:rsidRPr="00BF4148">
        <w:rPr>
          <w:rFonts w:cs="Arial"/>
          <w:lang w:val="en-US"/>
        </w:rPr>
        <w:t>p</w:t>
      </w:r>
      <w:r w:rsidR="002E1546">
        <w:rPr>
          <w:rFonts w:cs="Arial"/>
          <w:lang w:val="en-US"/>
        </w:rPr>
        <w:t xml:space="preserve">ersonal care, medical care, </w:t>
      </w:r>
      <w:r w:rsidR="001B233A">
        <w:rPr>
          <w:rFonts w:cs="Arial"/>
          <w:lang w:val="en-US"/>
        </w:rPr>
        <w:t xml:space="preserve">or </w:t>
      </w:r>
      <w:r w:rsidR="002E1546">
        <w:rPr>
          <w:rFonts w:cs="Arial"/>
          <w:lang w:val="en-US"/>
        </w:rPr>
        <w:t>attendance during activities</w:t>
      </w:r>
      <w:r w:rsidR="002E1546" w:rsidRPr="00BF4148">
        <w:rPr>
          <w:rFonts w:cs="Arial"/>
          <w:lang w:val="en-US"/>
        </w:rPr>
        <w:t xml:space="preserve">. </w:t>
      </w:r>
      <w:r>
        <w:rPr>
          <w:rFonts w:cs="Arial"/>
          <w:lang w:val="en-US"/>
        </w:rPr>
        <w:t>Providers of day supports are require</w:t>
      </w:r>
      <w:r w:rsidR="001B233A">
        <w:rPr>
          <w:rFonts w:cs="Arial"/>
          <w:lang w:val="en-US"/>
        </w:rPr>
        <w:t>d</w:t>
      </w:r>
      <w:r>
        <w:rPr>
          <w:rFonts w:cs="Arial"/>
          <w:lang w:val="en-US"/>
        </w:rPr>
        <w:t xml:space="preserve"> to </w:t>
      </w:r>
      <w:r w:rsidR="002E1546" w:rsidRPr="00BF4148">
        <w:rPr>
          <w:rFonts w:cs="Arial"/>
          <w:lang w:val="en-US"/>
        </w:rPr>
        <w:t>provide the care specified in each needs assessment</w:t>
      </w:r>
      <w:r w:rsidR="002E1546">
        <w:rPr>
          <w:rFonts w:cs="Arial"/>
          <w:lang w:val="en-US"/>
        </w:rPr>
        <w:t xml:space="preserve">. </w:t>
      </w:r>
    </w:p>
    <w:p w:rsidR="002E1546" w:rsidRDefault="002E1546" w:rsidP="002E1546">
      <w:pPr>
        <w:rPr>
          <w:rFonts w:cs="Arial"/>
          <w:lang w:val="en-US"/>
        </w:rPr>
      </w:pPr>
      <w:r>
        <w:rPr>
          <w:rFonts w:cs="Arial"/>
          <w:lang w:val="en-US"/>
        </w:rPr>
        <w:t>The Ministry for Health, Welfare and Sport funds day care and activity</w:t>
      </w:r>
      <w:r w:rsidRPr="00BF709D">
        <w:rPr>
          <w:rFonts w:cs="Arial"/>
          <w:lang w:val="en-GB"/>
        </w:rPr>
        <w:t xml:space="preserve"> centres</w:t>
      </w:r>
      <w:r>
        <w:rPr>
          <w:rFonts w:cs="Arial"/>
          <w:lang w:val="en-US"/>
        </w:rPr>
        <w:t xml:space="preserve"> for people with disabilities of all ages. The majority of people who use day care and activity centres are older people with intellectual disabilities and  children with intellectual disabilities.</w:t>
      </w:r>
      <w:r>
        <w:rPr>
          <w:rStyle w:val="CommentReference"/>
          <w:vanish/>
        </w:rPr>
        <w:t xml:space="preserve"> Chsilre Ch</w:t>
      </w:r>
      <w:r>
        <w:rPr>
          <w:rFonts w:cs="Arial"/>
          <w:lang w:val="en-US"/>
        </w:rPr>
        <w:t xml:space="preserve"> </w:t>
      </w:r>
    </w:p>
    <w:p w:rsidR="002E1546" w:rsidRDefault="002E1546" w:rsidP="002E1546">
      <w:pPr>
        <w:pStyle w:val="Heading3"/>
        <w:rPr>
          <w:lang w:eastAsia="en-IE"/>
        </w:rPr>
      </w:pPr>
      <w:bookmarkStart w:id="105" w:name="_Toc269743651"/>
      <w:bookmarkStart w:id="106" w:name="_Toc272825570"/>
      <w:bookmarkStart w:id="107" w:name="_Toc272906717"/>
      <w:bookmarkStart w:id="108" w:name="_Toc272907345"/>
      <w:bookmarkStart w:id="109" w:name="_Toc286159992"/>
      <w:r>
        <w:rPr>
          <w:lang w:eastAsia="en-IE"/>
        </w:rPr>
        <w:t>Employment services</w:t>
      </w:r>
      <w:bookmarkEnd w:id="105"/>
      <w:bookmarkEnd w:id="106"/>
      <w:bookmarkEnd w:id="107"/>
      <w:bookmarkEnd w:id="108"/>
      <w:bookmarkEnd w:id="109"/>
    </w:p>
    <w:p w:rsidR="002E1546" w:rsidRDefault="002E1546" w:rsidP="002E1546">
      <w:pPr>
        <w:pStyle w:val="ListBullet"/>
        <w:numPr>
          <w:ilvl w:val="0"/>
          <w:numId w:val="0"/>
        </w:numPr>
      </w:pPr>
      <w:r>
        <w:rPr>
          <w:lang w:eastAsia="en-IE"/>
        </w:rPr>
        <w:t>The Dutch government's policy on employing people with disabilities has focused on determining adults' capacity to work and reducing the number of  adults receiving disability benefits</w:t>
      </w:r>
      <w:r w:rsidRPr="00765345">
        <w:rPr>
          <w:rStyle w:val="FootnoteReference"/>
          <w:rFonts w:cs="Arial"/>
          <w:iCs/>
          <w:szCs w:val="28"/>
          <w:lang w:eastAsia="en-IE"/>
        </w:rPr>
        <w:footnoteReference w:id="77"/>
      </w:r>
      <w:r>
        <w:rPr>
          <w:lang w:eastAsia="en-IE"/>
        </w:rPr>
        <w:t xml:space="preserve">. </w:t>
      </w:r>
    </w:p>
    <w:p w:rsidR="002E1546" w:rsidRDefault="002E1546" w:rsidP="001B233A">
      <w:pPr>
        <w:spacing w:after="120"/>
        <w:rPr>
          <w:lang w:eastAsia="en-IE"/>
        </w:rPr>
      </w:pPr>
      <w:r w:rsidRPr="00765345">
        <w:rPr>
          <w:lang w:eastAsia="en-IE"/>
        </w:rPr>
        <w:t>In 2006</w:t>
      </w:r>
      <w:r>
        <w:rPr>
          <w:lang w:eastAsia="en-IE"/>
        </w:rPr>
        <w:t xml:space="preserve"> the Dutch government implemented a </w:t>
      </w:r>
      <w:r w:rsidRPr="00765345">
        <w:rPr>
          <w:lang w:eastAsia="en-IE"/>
        </w:rPr>
        <w:t xml:space="preserve">policy change </w:t>
      </w:r>
      <w:r>
        <w:rPr>
          <w:lang w:eastAsia="en-IE"/>
        </w:rPr>
        <w:t xml:space="preserve">regarding employment and </w:t>
      </w:r>
      <w:r w:rsidRPr="00765345">
        <w:rPr>
          <w:lang w:eastAsia="en-IE"/>
        </w:rPr>
        <w:t xml:space="preserve">employment </w:t>
      </w:r>
      <w:r>
        <w:rPr>
          <w:lang w:eastAsia="en-IE"/>
        </w:rPr>
        <w:t>disability benefits that distinguished between:</w:t>
      </w:r>
    </w:p>
    <w:p w:rsidR="002E1546" w:rsidRDefault="002E1546" w:rsidP="002E1546">
      <w:pPr>
        <w:pStyle w:val="ListBullet"/>
        <w:rPr>
          <w:lang w:eastAsia="en-IE"/>
        </w:rPr>
      </w:pPr>
      <w:r>
        <w:rPr>
          <w:lang w:eastAsia="en-IE"/>
        </w:rPr>
        <w:t>People who</w:t>
      </w:r>
      <w:r w:rsidRPr="00765345">
        <w:rPr>
          <w:lang w:eastAsia="en-IE"/>
        </w:rPr>
        <w:t xml:space="preserve"> were </w:t>
      </w:r>
      <w:r>
        <w:rPr>
          <w:lang w:eastAsia="en-IE"/>
        </w:rPr>
        <w:t>entitled</w:t>
      </w:r>
      <w:r w:rsidRPr="00765345">
        <w:rPr>
          <w:lang w:eastAsia="en-IE"/>
        </w:rPr>
        <w:t xml:space="preserve"> to </w:t>
      </w:r>
      <w:r>
        <w:rPr>
          <w:lang w:eastAsia="en-IE"/>
        </w:rPr>
        <w:t>disability</w:t>
      </w:r>
      <w:r w:rsidRPr="00765345">
        <w:rPr>
          <w:lang w:eastAsia="en-IE"/>
        </w:rPr>
        <w:t xml:space="preserve"> benefits </w:t>
      </w:r>
      <w:r>
        <w:rPr>
          <w:lang w:eastAsia="en-IE"/>
        </w:rPr>
        <w:t>because</w:t>
      </w:r>
      <w:r w:rsidRPr="00765345">
        <w:rPr>
          <w:lang w:eastAsia="en-IE"/>
        </w:rPr>
        <w:t xml:space="preserve"> they were </w:t>
      </w:r>
      <w:r>
        <w:rPr>
          <w:lang w:eastAsia="en-IE"/>
        </w:rPr>
        <w:t>permanently disabled. Their</w:t>
      </w:r>
      <w:r w:rsidRPr="00765345">
        <w:rPr>
          <w:lang w:eastAsia="en-IE"/>
        </w:rPr>
        <w:t xml:space="preserve"> </w:t>
      </w:r>
      <w:r>
        <w:rPr>
          <w:lang w:eastAsia="en-IE"/>
        </w:rPr>
        <w:t xml:space="preserve">benefits </w:t>
      </w:r>
      <w:r w:rsidRPr="00765345">
        <w:rPr>
          <w:lang w:eastAsia="en-IE"/>
        </w:rPr>
        <w:t xml:space="preserve">were </w:t>
      </w:r>
      <w:r>
        <w:rPr>
          <w:lang w:eastAsia="en-IE"/>
        </w:rPr>
        <w:t>structurally</w:t>
      </w:r>
      <w:r w:rsidRPr="00765345">
        <w:rPr>
          <w:lang w:eastAsia="en-IE"/>
        </w:rPr>
        <w:t xml:space="preserve"> increased. </w:t>
      </w:r>
    </w:p>
    <w:p w:rsidR="002E1546" w:rsidRDefault="002E1546" w:rsidP="001B233A">
      <w:pPr>
        <w:pStyle w:val="ListBullet"/>
        <w:spacing w:after="300"/>
        <w:ind w:left="357" w:hanging="357"/>
      </w:pPr>
      <w:r>
        <w:rPr>
          <w:lang w:eastAsia="en-IE"/>
        </w:rPr>
        <w:t>People who are considered to be capable of finding some kind of work. To assist this group</w:t>
      </w:r>
      <w:r w:rsidRPr="00765345">
        <w:rPr>
          <w:lang w:eastAsia="en-IE"/>
        </w:rPr>
        <w:t xml:space="preserve"> to </w:t>
      </w:r>
      <w:r>
        <w:rPr>
          <w:lang w:eastAsia="en-IE"/>
        </w:rPr>
        <w:t>get</w:t>
      </w:r>
      <w:r w:rsidRPr="00765345">
        <w:rPr>
          <w:lang w:eastAsia="en-IE"/>
        </w:rPr>
        <w:t xml:space="preserve"> employment</w:t>
      </w:r>
      <w:r>
        <w:rPr>
          <w:lang w:eastAsia="en-IE"/>
        </w:rPr>
        <w:t>,</w:t>
      </w:r>
      <w:r w:rsidRPr="00765345">
        <w:rPr>
          <w:lang w:eastAsia="en-IE"/>
        </w:rPr>
        <w:t xml:space="preserve"> financial </w:t>
      </w:r>
      <w:r>
        <w:rPr>
          <w:lang w:eastAsia="en-IE"/>
        </w:rPr>
        <w:t>risks</w:t>
      </w:r>
      <w:r w:rsidRPr="00765345">
        <w:rPr>
          <w:lang w:eastAsia="en-IE"/>
        </w:rPr>
        <w:t xml:space="preserve"> for employers were reduced and support</w:t>
      </w:r>
      <w:r>
        <w:rPr>
          <w:lang w:eastAsia="en-IE"/>
        </w:rPr>
        <w:t>s for individual job</w:t>
      </w:r>
      <w:r w:rsidRPr="00765345">
        <w:rPr>
          <w:lang w:eastAsia="en-IE"/>
        </w:rPr>
        <w:t xml:space="preserve"> </w:t>
      </w:r>
      <w:r>
        <w:rPr>
          <w:lang w:eastAsia="en-IE"/>
        </w:rPr>
        <w:t>s</w:t>
      </w:r>
      <w:r w:rsidRPr="00765345">
        <w:rPr>
          <w:lang w:eastAsia="en-IE"/>
        </w:rPr>
        <w:t xml:space="preserve">eekers were improved. </w:t>
      </w:r>
      <w:r>
        <w:rPr>
          <w:lang w:eastAsia="en-IE"/>
        </w:rPr>
        <w:t>The result</w:t>
      </w:r>
      <w:r w:rsidRPr="00765345">
        <w:rPr>
          <w:lang w:eastAsia="en-IE"/>
        </w:rPr>
        <w:t xml:space="preserve"> was a </w:t>
      </w:r>
      <w:r>
        <w:rPr>
          <w:lang w:eastAsia="en-IE"/>
        </w:rPr>
        <w:t>sharp</w:t>
      </w:r>
      <w:r w:rsidRPr="00765345">
        <w:rPr>
          <w:lang w:eastAsia="en-IE"/>
        </w:rPr>
        <w:t xml:space="preserve"> decrease in employees</w:t>
      </w:r>
      <w:r>
        <w:rPr>
          <w:lang w:eastAsia="en-IE"/>
        </w:rPr>
        <w:t xml:space="preserve"> filing for disability benefits from</w:t>
      </w:r>
      <w:r w:rsidRPr="00765345">
        <w:rPr>
          <w:lang w:eastAsia="en-IE"/>
        </w:rPr>
        <w:t xml:space="preserve"> 60,000 to </w:t>
      </w:r>
      <w:r>
        <w:rPr>
          <w:lang w:eastAsia="en-IE"/>
        </w:rPr>
        <w:t>21,000 in</w:t>
      </w:r>
      <w:r w:rsidRPr="00765345">
        <w:rPr>
          <w:lang w:eastAsia="en-IE"/>
        </w:rPr>
        <w:t xml:space="preserve"> 2006</w:t>
      </w:r>
      <w:r>
        <w:rPr>
          <w:lang w:eastAsia="en-IE"/>
        </w:rPr>
        <w:t>. However it's not clear whether</w:t>
      </w:r>
      <w:r w:rsidRPr="00765345">
        <w:rPr>
          <w:lang w:eastAsia="en-IE"/>
        </w:rPr>
        <w:t xml:space="preserve"> the decrease in applications</w:t>
      </w:r>
      <w:r>
        <w:rPr>
          <w:lang w:eastAsia="en-IE"/>
        </w:rPr>
        <w:t xml:space="preserve"> is due </w:t>
      </w:r>
      <w:r w:rsidRPr="00765345">
        <w:rPr>
          <w:lang w:eastAsia="en-IE"/>
        </w:rPr>
        <w:t>to an increase in employment rates for people with disabilities</w:t>
      </w:r>
      <w:r>
        <w:rPr>
          <w:lang w:eastAsia="en-IE"/>
        </w:rPr>
        <w:t xml:space="preserve"> </w:t>
      </w:r>
      <w:r>
        <w:rPr>
          <w:rStyle w:val="FootnoteReference"/>
        </w:rPr>
        <w:footnoteReference w:id="78"/>
      </w:r>
      <w:r>
        <w:t>.</w:t>
      </w:r>
    </w:p>
    <w:p w:rsidR="002E1546" w:rsidRDefault="002E1546" w:rsidP="001B233A">
      <w:pPr>
        <w:spacing w:after="120"/>
      </w:pPr>
      <w:r>
        <w:t>The Dutch government's policy regarding disability benefits sought to provide financial incentives for recipients to pursue work by:</w:t>
      </w:r>
    </w:p>
    <w:p w:rsidR="002E1546" w:rsidRDefault="002E1546" w:rsidP="002E1546">
      <w:pPr>
        <w:pStyle w:val="ListBullet"/>
      </w:pPr>
      <w:r>
        <w:t>Tightening the eligibility requirements for recipients to receive higher benefits</w:t>
      </w:r>
    </w:p>
    <w:p w:rsidR="002E1546" w:rsidRDefault="002E1546" w:rsidP="002E1546">
      <w:pPr>
        <w:pStyle w:val="ListBullet"/>
      </w:pPr>
      <w:r>
        <w:t>Providing employers with subsidies to hire people with disabilities</w:t>
      </w:r>
    </w:p>
    <w:p w:rsidR="002E1546" w:rsidRDefault="002E1546" w:rsidP="001B233A">
      <w:pPr>
        <w:pStyle w:val="ListBullet"/>
        <w:spacing w:after="300"/>
        <w:ind w:left="357" w:hanging="357"/>
      </w:pPr>
      <w:r>
        <w:t>Providing educational and integration support to people with disabilities who have a work capacity. The UVW (the government's co-ordinating body) is responsible for mapping employee's competencies and matching employees with reintegration companies to provide reintegration training, individual training support and job coaching</w:t>
      </w:r>
      <w:r>
        <w:rPr>
          <w:rStyle w:val="FootnoteReference"/>
        </w:rPr>
        <w:footnoteReference w:id="79"/>
      </w:r>
      <w:r>
        <w:t>.</w:t>
      </w:r>
    </w:p>
    <w:p w:rsidR="002E1546" w:rsidRDefault="002E1546" w:rsidP="002E1546">
      <w:pPr>
        <w:pStyle w:val="Heading4"/>
      </w:pPr>
      <w:r>
        <w:t>Sheltered Employment</w:t>
      </w:r>
    </w:p>
    <w:p w:rsidR="00685267" w:rsidRDefault="002E1546" w:rsidP="00685267">
      <w:pPr>
        <w:autoSpaceDE w:val="0"/>
        <w:autoSpaceDN w:val="0"/>
        <w:adjustRightInd w:val="0"/>
      </w:pPr>
      <w:r>
        <w:t xml:space="preserve">Sheltered employment is the most common form of employment in the Netherlands for people with disabilities. </w:t>
      </w:r>
      <w:r w:rsidR="00685267">
        <w:t>In the Netherlands sheltered employment is financed by the government and managed by the municipalities.</w:t>
      </w:r>
      <w:r w:rsidR="00685267">
        <w:rPr>
          <w:rStyle w:val="FootnoteReference"/>
        </w:rPr>
        <w:footnoteReference w:id="80"/>
      </w:r>
    </w:p>
    <w:p w:rsidR="002E1546" w:rsidRDefault="002E1546" w:rsidP="002E1546">
      <w:pPr>
        <w:autoSpaceDE w:val="0"/>
        <w:autoSpaceDN w:val="0"/>
        <w:adjustRightInd w:val="0"/>
      </w:pPr>
      <w:r>
        <w:t xml:space="preserve">In 2006, over </w:t>
      </w:r>
      <w:r w:rsidRPr="00765345">
        <w:t>99,000</w:t>
      </w:r>
      <w:r>
        <w:t xml:space="preserve"> </w:t>
      </w:r>
      <w:r w:rsidRPr="00765345">
        <w:t>people were in sheltered employment</w:t>
      </w:r>
      <w:r w:rsidR="00CE0C16">
        <w:rPr>
          <w:rStyle w:val="FootnoteReference"/>
        </w:rPr>
        <w:footnoteReference w:id="81"/>
      </w:r>
      <w:r w:rsidRPr="00765345">
        <w:t>.</w:t>
      </w:r>
      <w:r>
        <w:t xml:space="preserve"> </w:t>
      </w:r>
      <w:r w:rsidRPr="00765345">
        <w:t xml:space="preserve">Some </w:t>
      </w:r>
      <w:r>
        <w:t xml:space="preserve">people were employed by </w:t>
      </w:r>
      <w:r w:rsidRPr="00765345">
        <w:t xml:space="preserve">private companies under the supervision of sheltered employment providers. In 2006 there were 16,000 people </w:t>
      </w:r>
      <w:r w:rsidR="00685267">
        <w:t>o</w:t>
      </w:r>
      <w:r w:rsidRPr="00765345">
        <w:t>n waiting lists for sheltered emp</w:t>
      </w:r>
      <w:r>
        <w:t>loyment c</w:t>
      </w:r>
      <w:r w:rsidRPr="00765345">
        <w:t xml:space="preserve">ompared to 6,000 </w:t>
      </w:r>
      <w:r>
        <w:t>i</w:t>
      </w:r>
      <w:r w:rsidRPr="00765345">
        <w:t>n 2002</w:t>
      </w:r>
      <w:r>
        <w:rPr>
          <w:rStyle w:val="FootnoteReference"/>
        </w:rPr>
        <w:footnoteReference w:id="82"/>
      </w:r>
      <w:r>
        <w:t>.</w:t>
      </w:r>
    </w:p>
    <w:p w:rsidR="002E1546" w:rsidRDefault="001B233A" w:rsidP="007D36DD">
      <w:pPr>
        <w:autoSpaceDE w:val="0"/>
        <w:autoSpaceDN w:val="0"/>
        <w:adjustRightInd w:val="0"/>
        <w:spacing w:after="120"/>
      </w:pPr>
      <w:r>
        <w:t xml:space="preserve">A </w:t>
      </w:r>
      <w:r w:rsidR="002E1546">
        <w:t xml:space="preserve">majority of people with intellectual disabilities </w:t>
      </w:r>
      <w:r>
        <w:t xml:space="preserve">in employment </w:t>
      </w:r>
      <w:r w:rsidR="002E1546">
        <w:t xml:space="preserve">are employed in sheltered employment. A 2005 report stated that out of </w:t>
      </w:r>
      <w:r w:rsidR="002E1546" w:rsidRPr="00765345">
        <w:t>73,000 people with intellec</w:t>
      </w:r>
      <w:r w:rsidR="002E1546">
        <w:t>tual disabilities:</w:t>
      </w:r>
    </w:p>
    <w:p w:rsidR="002E1546" w:rsidRDefault="002E1546" w:rsidP="002E1546">
      <w:pPr>
        <w:pStyle w:val="ListBullet"/>
      </w:pPr>
      <w:r>
        <w:t>41%</w:t>
      </w:r>
      <w:r w:rsidRPr="00765345">
        <w:t xml:space="preserve"> were employed in sheltered employment</w:t>
      </w:r>
    </w:p>
    <w:p w:rsidR="002E1546" w:rsidRDefault="002E1546" w:rsidP="002E1546">
      <w:pPr>
        <w:pStyle w:val="ListBullet"/>
      </w:pPr>
      <w:r>
        <w:t xml:space="preserve">4% were employed in supported employment in the open market </w:t>
      </w:r>
    </w:p>
    <w:p w:rsidR="002E1546" w:rsidRDefault="002E1546" w:rsidP="002E1546">
      <w:pPr>
        <w:pStyle w:val="ListBullet"/>
      </w:pPr>
      <w:r>
        <w:t xml:space="preserve">21% </w:t>
      </w:r>
      <w:r w:rsidRPr="00765345">
        <w:t>were at adult day care facili</w:t>
      </w:r>
      <w:r>
        <w:t xml:space="preserve">ties doing unpaid employment </w:t>
      </w:r>
      <w:r w:rsidRPr="00765345">
        <w:t>duties</w:t>
      </w:r>
      <w:r w:rsidRPr="00765345">
        <w:rPr>
          <w:rStyle w:val="FootnoteReference"/>
        </w:rPr>
        <w:footnoteReference w:id="83"/>
      </w:r>
      <w:r>
        <w:t>.</w:t>
      </w:r>
    </w:p>
    <w:p w:rsidR="002E1546" w:rsidRDefault="002E1546" w:rsidP="002E1546">
      <w:pPr>
        <w:pStyle w:val="Heading4"/>
      </w:pPr>
      <w:r>
        <w:t>Impact of activation policies</w:t>
      </w:r>
    </w:p>
    <w:p w:rsidR="00EF6452" w:rsidRDefault="002E1546" w:rsidP="002E1546">
      <w:pPr>
        <w:pStyle w:val="ListBullet"/>
        <w:numPr>
          <w:ilvl w:val="0"/>
          <w:numId w:val="0"/>
        </w:numPr>
      </w:pPr>
      <w:r>
        <w:t>According to Schoonheim and Smits (2009), the activation policies that the Dutch government have implemented have not yet proven effective regarding improving the employment prospects of people with disabilities. They report that employers' attitudes towards hiring people with disabilities has not changed. They also state that barriers that prevent people with disabilities  entering the labour market such as bureaucracy and effective support f</w:t>
      </w:r>
      <w:r w:rsidR="00EF6452">
        <w:t>or people with intellectual</w:t>
      </w:r>
      <w:r>
        <w:t xml:space="preserve"> disabilities have not been dealt with.</w:t>
      </w:r>
      <w:r w:rsidR="007D36DD">
        <w:t xml:space="preserve"> </w:t>
      </w:r>
      <w:r>
        <w:t>Schoonheim and Smits (2009) recommend that in order to improve employment opportunities for people with disabilities the</w:t>
      </w:r>
      <w:r w:rsidR="00EF6452">
        <w:t>re is a need to:</w:t>
      </w:r>
    </w:p>
    <w:p w:rsidR="002E1546" w:rsidRPr="00765345" w:rsidRDefault="002E1546" w:rsidP="00EF6452">
      <w:pPr>
        <w:pStyle w:val="ListBullet"/>
      </w:pPr>
      <w:r w:rsidRPr="00765345">
        <w:t>Develo</w:t>
      </w:r>
      <w:r>
        <w:t>p</w:t>
      </w:r>
      <w:r w:rsidRPr="00765345">
        <w:t xml:space="preserve"> an accurate and complete statistical database on the employment position of people with disabilities, disaggregated based </w:t>
      </w:r>
      <w:r>
        <w:t>o</w:t>
      </w:r>
      <w:r w:rsidRPr="00765345">
        <w:t xml:space="preserve">n the type and severity of disability, </w:t>
      </w:r>
      <w:r>
        <w:t xml:space="preserve">the </w:t>
      </w:r>
      <w:r w:rsidRPr="00765345">
        <w:t xml:space="preserve">support needed, </w:t>
      </w:r>
      <w:r>
        <w:t xml:space="preserve">the </w:t>
      </w:r>
      <w:r w:rsidRPr="00765345">
        <w:t>support utilised, gender, age, and ethnicity. St</w:t>
      </w:r>
      <w:r>
        <w:t>atistics to be updated annually</w:t>
      </w:r>
    </w:p>
    <w:p w:rsidR="002E1546" w:rsidRPr="00765345" w:rsidRDefault="002E1546" w:rsidP="002E1546">
      <w:pPr>
        <w:pStyle w:val="ListBullet"/>
      </w:pPr>
      <w:r w:rsidRPr="00765345">
        <w:t>Focus on employment opportunities for people with disabilities in in</w:t>
      </w:r>
      <w:r>
        <w:t>stitutions and day care centres</w:t>
      </w:r>
    </w:p>
    <w:p w:rsidR="002E1546" w:rsidRDefault="002E1546" w:rsidP="002E1546">
      <w:pPr>
        <w:pStyle w:val="ListBullet"/>
        <w:rPr>
          <w:lang w:eastAsia="en-IE"/>
        </w:rPr>
      </w:pPr>
      <w:r w:rsidRPr="00765345">
        <w:t>Impose a 5% hiring quota for employers</w:t>
      </w:r>
      <w:r>
        <w:t xml:space="preserve"> and m</w:t>
      </w:r>
      <w:r w:rsidRPr="00765345">
        <w:t>onitor employer progress on this employment quota</w:t>
      </w:r>
      <w:r>
        <w:t>.</w:t>
      </w:r>
      <w:r w:rsidRPr="00F964DD">
        <w:rPr>
          <w:lang w:eastAsia="en-IE"/>
        </w:rPr>
        <w:t xml:space="preserve"> </w:t>
      </w:r>
      <w:r>
        <w:rPr>
          <w:lang w:eastAsia="en-IE"/>
        </w:rPr>
        <w:t>While there is currently no quota system in the Netherlands, t</w:t>
      </w:r>
      <w:r w:rsidRPr="001547A4">
        <w:rPr>
          <w:lang w:eastAsia="en-IE"/>
        </w:rPr>
        <w:t>he Government has urged employers to adopt</w:t>
      </w:r>
      <w:r>
        <w:rPr>
          <w:lang w:eastAsia="en-IE"/>
        </w:rPr>
        <w:t xml:space="preserve"> a voluntary 2% </w:t>
      </w:r>
      <w:r w:rsidRPr="001547A4">
        <w:rPr>
          <w:lang w:eastAsia="en-IE"/>
        </w:rPr>
        <w:t>hiring target for people with disabilities, but it is unclear if this</w:t>
      </w:r>
      <w:r>
        <w:rPr>
          <w:lang w:eastAsia="en-IE"/>
        </w:rPr>
        <w:t xml:space="preserve"> </w:t>
      </w:r>
      <w:r w:rsidRPr="001547A4">
        <w:rPr>
          <w:lang w:eastAsia="en-IE"/>
        </w:rPr>
        <w:t>system is monitored in any way</w:t>
      </w:r>
      <w:r>
        <w:rPr>
          <w:lang w:eastAsia="en-IE"/>
        </w:rPr>
        <w:t>.</w:t>
      </w:r>
      <w:r>
        <w:rPr>
          <w:rStyle w:val="FootnoteReference"/>
          <w:rFonts w:cs="Arial"/>
          <w:lang w:eastAsia="en-IE"/>
        </w:rPr>
        <w:footnoteReference w:id="84"/>
      </w:r>
    </w:p>
    <w:p w:rsidR="002E1546" w:rsidRDefault="002E1546" w:rsidP="002E1546">
      <w:pPr>
        <w:pStyle w:val="Heading2"/>
      </w:pPr>
      <w:bookmarkStart w:id="110" w:name="_Toc269743654"/>
      <w:bookmarkStart w:id="111" w:name="_Toc286159993"/>
      <w:r>
        <w:t>4.9 Supports to Independent Living</w:t>
      </w:r>
      <w:bookmarkEnd w:id="86"/>
      <w:bookmarkEnd w:id="110"/>
      <w:bookmarkEnd w:id="111"/>
    </w:p>
    <w:p w:rsidR="002E1546" w:rsidRDefault="00B45730" w:rsidP="002E1546">
      <w:pPr>
        <w:pStyle w:val="Heading4"/>
        <w:rPr>
          <w:lang w:val="en-US" w:bidi="en-US"/>
        </w:rPr>
      </w:pPr>
      <w:r>
        <w:rPr>
          <w:lang w:val="en-US" w:bidi="en-US"/>
        </w:rPr>
        <w:t>Social Supports Insurance</w:t>
      </w:r>
      <w:r w:rsidR="002E1546">
        <w:rPr>
          <w:lang w:val="en-US" w:bidi="en-US"/>
        </w:rPr>
        <w:t xml:space="preserve">, </w:t>
      </w:r>
      <w:r>
        <w:rPr>
          <w:lang w:val="en-US" w:bidi="en-US"/>
        </w:rPr>
        <w:t>(</w:t>
      </w:r>
      <w:r w:rsidR="002E1546">
        <w:rPr>
          <w:lang w:val="en-US" w:bidi="en-US"/>
        </w:rPr>
        <w:t>WMO</w:t>
      </w:r>
      <w:r>
        <w:rPr>
          <w:lang w:val="en-US" w:bidi="en-US"/>
        </w:rPr>
        <w:t>)</w:t>
      </w:r>
      <w:r w:rsidR="002E1546">
        <w:rPr>
          <w:lang w:val="en-US" w:bidi="en-US"/>
        </w:rPr>
        <w:t xml:space="preserve"> </w:t>
      </w:r>
    </w:p>
    <w:p w:rsidR="002E1546" w:rsidRDefault="002E1546" w:rsidP="002E1546">
      <w:r>
        <w:rPr>
          <w:lang w:val="en-US" w:bidi="en-US"/>
        </w:rPr>
        <w:t xml:space="preserve">The </w:t>
      </w:r>
      <w:r w:rsidR="00E95995">
        <w:rPr>
          <w:lang w:val="en-US" w:bidi="en-US"/>
        </w:rPr>
        <w:t xml:space="preserve">Social Supports Insurance </w:t>
      </w:r>
      <w:r w:rsidR="00B45730">
        <w:rPr>
          <w:lang w:val="en-US" w:bidi="en-US"/>
        </w:rPr>
        <w:t xml:space="preserve">Act (WMO) introduced in 2007, </w:t>
      </w:r>
      <w:r w:rsidRPr="003160AF">
        <w:rPr>
          <w:lang w:val="en-GB" w:bidi="en-US"/>
        </w:rPr>
        <w:t>emphasises</w:t>
      </w:r>
      <w:r>
        <w:rPr>
          <w:lang w:val="en-US" w:bidi="en-US"/>
        </w:rPr>
        <w:t xml:space="preserve"> the importance of independent living for people with disabilities. Under this Act, people with disabilities can now use their personal care budget to pay family/ friends who care for them. This makes it easier for people with physical, intellectual and other disabilities to live at home and in their communities for as long as possible. </w:t>
      </w:r>
      <w:r>
        <w:t>The Ministry for Health, Welfare and Sport estimates that 1.6m people are caregivers to a family member</w:t>
      </w:r>
      <w:r>
        <w:rPr>
          <w:rStyle w:val="FootnoteReference"/>
        </w:rPr>
        <w:footnoteReference w:id="85"/>
      </w:r>
      <w:r>
        <w:t xml:space="preserve">. </w:t>
      </w:r>
    </w:p>
    <w:p w:rsidR="002E1546" w:rsidRPr="000076AB" w:rsidRDefault="002E1546" w:rsidP="002E1546">
      <w:pPr>
        <w:rPr>
          <w:lang w:val="en-US" w:bidi="en-US"/>
        </w:rPr>
      </w:pPr>
      <w:r>
        <w:t>Under the</w:t>
      </w:r>
      <w:r w:rsidR="00E95995">
        <w:rPr>
          <w:lang w:val="en-US" w:bidi="en-US"/>
        </w:rPr>
        <w:t xml:space="preserve"> Social Supports Insurance (WMO) </w:t>
      </w:r>
      <w:r>
        <w:t>Act, each of the 441 municipalities in the Netherlands has a central information point that will provide people with disabilities and their families with assistance in applying for personal care, adjustments to their home, mobility devices, housekeeping help etc</w:t>
      </w:r>
      <w:r>
        <w:rPr>
          <w:rStyle w:val="FootnoteReference"/>
          <w:rFonts w:cs="Arial"/>
        </w:rPr>
        <w:footnoteReference w:id="86"/>
      </w:r>
      <w:r>
        <w:t>.</w:t>
      </w:r>
    </w:p>
    <w:p w:rsidR="002E1546" w:rsidRDefault="007D36DD" w:rsidP="002E1546">
      <w:pPr>
        <w:pStyle w:val="Heading4"/>
        <w:rPr>
          <w:lang w:val="en-US" w:bidi="en-US"/>
        </w:rPr>
      </w:pPr>
      <w:r>
        <w:rPr>
          <w:lang w:val="en-US" w:bidi="en-US"/>
        </w:rPr>
        <w:t>Other l</w:t>
      </w:r>
      <w:r w:rsidR="002E1546">
        <w:rPr>
          <w:lang w:val="en-US" w:bidi="en-US"/>
        </w:rPr>
        <w:t>egislation</w:t>
      </w:r>
    </w:p>
    <w:p w:rsidR="002E1546" w:rsidRPr="004F3158" w:rsidRDefault="002E1546" w:rsidP="002E1546">
      <w:pPr>
        <w:rPr>
          <w:lang w:val="en-US" w:bidi="en-US"/>
        </w:rPr>
      </w:pPr>
      <w:r>
        <w:rPr>
          <w:lang w:val="en-US" w:bidi="en-US"/>
        </w:rPr>
        <w:t>Prior to the</w:t>
      </w:r>
      <w:r w:rsidR="00E95995">
        <w:rPr>
          <w:lang w:val="en-US" w:bidi="en-US"/>
        </w:rPr>
        <w:t xml:space="preserve"> Social Supports Insurance (WMO)</w:t>
      </w:r>
      <w:r w:rsidR="00B45730">
        <w:rPr>
          <w:lang w:val="en-US" w:bidi="en-US"/>
        </w:rPr>
        <w:t xml:space="preserve"> Act</w:t>
      </w:r>
      <w:r>
        <w:rPr>
          <w:lang w:val="en-US" w:bidi="en-US"/>
        </w:rPr>
        <w:t xml:space="preserve">, the Dutch government introduced two pieces of legislation that respectively: support the right of people with mental health difficulties and intellectual disabilities to live at home; and promote the provision of accessible public buildings and houses. </w:t>
      </w:r>
    </w:p>
    <w:p w:rsidR="002E1546" w:rsidRDefault="002E1546" w:rsidP="002E1546">
      <w:r>
        <w:rPr>
          <w:lang w:val="en-GB"/>
        </w:rPr>
        <w:t xml:space="preserve">The national building code </w:t>
      </w:r>
      <w:r w:rsidRPr="00924697">
        <w:t>(Bouwbesluit</w:t>
      </w:r>
      <w:r>
        <w:t xml:space="preserve">) introduced in </w:t>
      </w:r>
      <w:r w:rsidRPr="00924697">
        <w:t>2003</w:t>
      </w:r>
      <w:r>
        <w:t xml:space="preserve"> by </w:t>
      </w:r>
      <w:r w:rsidRPr="00924697">
        <w:t xml:space="preserve">the Ministry of Housing, Spatial Planning and the Environment (VROM) </w:t>
      </w:r>
      <w:r>
        <w:t xml:space="preserve">sets out accessibility  guidelines for new buildings e.g. all buildings must be </w:t>
      </w:r>
      <w:r w:rsidRPr="00924697">
        <w:t>wheelchair accessib</w:t>
      </w:r>
      <w:r>
        <w:t>le</w:t>
      </w:r>
      <w:r w:rsidRPr="00924697">
        <w:t xml:space="preserve">. </w:t>
      </w:r>
      <w:r>
        <w:t xml:space="preserve">However older buildings do not have to be accessible. </w:t>
      </w:r>
      <w:r w:rsidRPr="004F2329">
        <w:t xml:space="preserve">The Equal Treatment Act for Disability and Chronic Illness was expanded and made effective in March 15, 2009 to prevent discrimination against people with disabilities in the sale and rental of houses. The objective of the Act is </w:t>
      </w:r>
      <w:r>
        <w:t xml:space="preserve">to </w:t>
      </w:r>
      <w:r w:rsidRPr="004F2329">
        <w:t>assist people with disabilities to live in the</w:t>
      </w:r>
      <w:r>
        <w:t xml:space="preserve"> </w:t>
      </w:r>
      <w:r w:rsidRPr="004F2329">
        <w:t>community in housing of their choice</w:t>
      </w:r>
      <w:r w:rsidRPr="004F2329">
        <w:rPr>
          <w:rStyle w:val="FootnoteReference"/>
          <w:rFonts w:cs="Arial"/>
        </w:rPr>
        <w:footnoteReference w:id="87"/>
      </w:r>
      <w:r w:rsidRPr="004F2329">
        <w:t xml:space="preserve">. The Equal Treatment </w:t>
      </w:r>
      <w:r>
        <w:t>A</w:t>
      </w:r>
      <w:r w:rsidRPr="004F2329">
        <w:t>ct also ensures that people with disabilities cannot be fo</w:t>
      </w:r>
      <w:r>
        <w:t>rced to live in an institution.</w:t>
      </w:r>
    </w:p>
    <w:p w:rsidR="002E1546" w:rsidRDefault="002E1546" w:rsidP="002E1546">
      <w:pPr>
        <w:pStyle w:val="Heading4"/>
      </w:pPr>
      <w:r>
        <w:t>Personal Care Budget</w:t>
      </w:r>
    </w:p>
    <w:p w:rsidR="002E1546" w:rsidRPr="00905A3C" w:rsidRDefault="002E1546" w:rsidP="002E1546">
      <w:pPr>
        <w:rPr>
          <w:rFonts w:cs="Arial"/>
          <w:lang w:val="en-US"/>
        </w:rPr>
      </w:pPr>
      <w:r>
        <w:rPr>
          <w:rFonts w:cs="Arial"/>
          <w:lang w:val="en-US"/>
        </w:rPr>
        <w:t xml:space="preserve">Key informants for this background paper and research evidence suggests that the introduction of the personal care budget </w:t>
      </w:r>
      <w:r w:rsidR="007D36DD">
        <w:rPr>
          <w:rFonts w:cs="Arial"/>
          <w:lang w:val="en-US"/>
        </w:rPr>
        <w:t xml:space="preserve">(see s.5.2) </w:t>
      </w:r>
      <w:r>
        <w:rPr>
          <w:rFonts w:cs="Arial"/>
          <w:lang w:val="en-US"/>
        </w:rPr>
        <w:t>has been an important  support for independent living for people with disabilities. It provides them with the means to decide on and to purchase the types of care services they wish to have</w:t>
      </w:r>
      <w:r>
        <w:rPr>
          <w:rStyle w:val="FootnoteReference"/>
          <w:rFonts w:cs="Arial"/>
        </w:rPr>
        <w:footnoteReference w:id="88"/>
      </w:r>
      <w:r>
        <w:rPr>
          <w:rFonts w:cs="Arial"/>
          <w:lang w:val="en-US"/>
        </w:rPr>
        <w:t>.</w:t>
      </w:r>
    </w:p>
    <w:p w:rsidR="002E1546" w:rsidRDefault="002E1546" w:rsidP="002E1546">
      <w:pPr>
        <w:pStyle w:val="Heading1"/>
        <w:rPr>
          <w:lang w:eastAsia="en-IE"/>
        </w:rPr>
      </w:pPr>
      <w:bookmarkStart w:id="112" w:name="_Toc268689551"/>
      <w:bookmarkStart w:id="113" w:name="_Toc269743655"/>
      <w:bookmarkStart w:id="114" w:name="_Toc286159994"/>
      <w:r>
        <w:rPr>
          <w:lang w:eastAsia="en-IE"/>
        </w:rPr>
        <w:t xml:space="preserve">5. </w:t>
      </w:r>
      <w:r w:rsidRPr="00B54AD9">
        <w:rPr>
          <w:lang w:eastAsia="en-IE"/>
        </w:rPr>
        <w:t>E</w:t>
      </w:r>
      <w:bookmarkEnd w:id="112"/>
      <w:r>
        <w:rPr>
          <w:lang w:eastAsia="en-IE"/>
        </w:rPr>
        <w:t>ntitlement, Choice and User Involvement</w:t>
      </w:r>
      <w:bookmarkEnd w:id="114"/>
      <w:r>
        <w:rPr>
          <w:lang w:eastAsia="en-IE"/>
        </w:rPr>
        <w:t xml:space="preserve"> </w:t>
      </w:r>
      <w:bookmarkEnd w:id="113"/>
    </w:p>
    <w:p w:rsidR="002E1546" w:rsidRPr="00113BB5" w:rsidRDefault="002E1546" w:rsidP="002E1546">
      <w:pPr>
        <w:pStyle w:val="Heading2"/>
        <w:rPr>
          <w:lang w:eastAsia="en-IE"/>
        </w:rPr>
      </w:pPr>
      <w:bookmarkStart w:id="115" w:name="_Toc286159995"/>
      <w:r w:rsidRPr="00113BB5">
        <w:rPr>
          <w:lang w:eastAsia="en-IE"/>
        </w:rPr>
        <w:t>5.1 Entitlement</w:t>
      </w:r>
      <w:bookmarkEnd w:id="115"/>
      <w:r w:rsidRPr="00113BB5">
        <w:rPr>
          <w:lang w:eastAsia="en-IE"/>
        </w:rPr>
        <w:t xml:space="preserve"> </w:t>
      </w:r>
    </w:p>
    <w:p w:rsidR="002E1546" w:rsidRDefault="002E1546" w:rsidP="002E1546">
      <w:pPr>
        <w:rPr>
          <w:lang w:eastAsia="en-IE"/>
        </w:rPr>
      </w:pPr>
      <w:r>
        <w:rPr>
          <w:lang w:eastAsia="en-IE"/>
        </w:rPr>
        <w:t>Health insurance</w:t>
      </w:r>
      <w:r w:rsidR="000C0F3D">
        <w:rPr>
          <w:lang w:eastAsia="en-IE"/>
        </w:rPr>
        <w:t xml:space="preserve"> and public long-term care insurance are </w:t>
      </w:r>
      <w:r>
        <w:rPr>
          <w:lang w:eastAsia="en-IE"/>
        </w:rPr>
        <w:t>mandatory in the Netherlands for people with and without disabilities. Therefore everyone is entitled to health and social services. Appendix B details the services for people with disabilities covered  by health insurance.</w:t>
      </w:r>
    </w:p>
    <w:p w:rsidR="002E1546" w:rsidRDefault="002E1546" w:rsidP="002E1546">
      <w:pPr>
        <w:pStyle w:val="ListBullet"/>
        <w:numPr>
          <w:ilvl w:val="0"/>
          <w:numId w:val="0"/>
        </w:numPr>
        <w:rPr>
          <w:rFonts w:cs="TimesNewRomanPSMT"/>
          <w:szCs w:val="22"/>
          <w:lang w:val="en-US" w:bidi="en-US"/>
        </w:rPr>
      </w:pPr>
      <w:r>
        <w:rPr>
          <w:rFonts w:cs="TimesNewRomanPSMT"/>
          <w:szCs w:val="22"/>
          <w:lang w:val="en-US" w:bidi="en-US"/>
        </w:rPr>
        <w:t xml:space="preserve">For people with disabilities there are </w:t>
      </w:r>
      <w:r w:rsidRPr="00A52C08">
        <w:rPr>
          <w:rFonts w:cs="TimesNewRomanPSMT"/>
          <w:szCs w:val="22"/>
          <w:lang w:val="en-US" w:bidi="en-US"/>
        </w:rPr>
        <w:t xml:space="preserve">two types of </w:t>
      </w:r>
      <w:r w:rsidR="000C0F3D">
        <w:rPr>
          <w:lang w:eastAsia="en-IE"/>
        </w:rPr>
        <w:t>public long-term care</w:t>
      </w:r>
      <w:r w:rsidR="000C0F3D" w:rsidRPr="00A52C08">
        <w:rPr>
          <w:rFonts w:cs="TimesNewRomanPSMT"/>
          <w:szCs w:val="22"/>
          <w:lang w:val="en-US" w:bidi="en-US"/>
        </w:rPr>
        <w:t xml:space="preserve"> </w:t>
      </w:r>
      <w:r w:rsidRPr="00A52C08">
        <w:rPr>
          <w:rFonts w:cs="TimesNewRomanPSMT"/>
          <w:szCs w:val="22"/>
          <w:lang w:val="en-US" w:bidi="en-US"/>
        </w:rPr>
        <w:t xml:space="preserve">insurance the </w:t>
      </w:r>
      <w:r w:rsidR="00CF3946">
        <w:rPr>
          <w:lang w:val="en-US" w:bidi="en-US"/>
        </w:rPr>
        <w:t>Long Term Care Insurance</w:t>
      </w:r>
      <w:r w:rsidR="00CF3946" w:rsidRPr="00D31D4D">
        <w:rPr>
          <w:lang w:val="en-US" w:bidi="en-US"/>
        </w:rPr>
        <w:t xml:space="preserve"> </w:t>
      </w:r>
      <w:r w:rsidR="00CF3946">
        <w:rPr>
          <w:lang w:val="en-US" w:bidi="en-US"/>
        </w:rPr>
        <w:t>(</w:t>
      </w:r>
      <w:r w:rsidRPr="00A52C08">
        <w:rPr>
          <w:rFonts w:cs="TimesNewRomanPSMT"/>
          <w:szCs w:val="22"/>
          <w:lang w:val="en-US" w:bidi="en-US"/>
        </w:rPr>
        <w:t>AWBZ</w:t>
      </w:r>
      <w:r w:rsidR="00CF3946">
        <w:rPr>
          <w:rFonts w:cs="TimesNewRomanPSMT"/>
          <w:szCs w:val="22"/>
          <w:lang w:val="en-US" w:bidi="en-US"/>
        </w:rPr>
        <w:t>)</w:t>
      </w:r>
      <w:r>
        <w:rPr>
          <w:rFonts w:cs="TimesNewRomanPSMT"/>
          <w:szCs w:val="22"/>
          <w:lang w:val="en-US" w:bidi="en-US"/>
        </w:rPr>
        <w:t xml:space="preserve">  </w:t>
      </w:r>
      <w:r w:rsidR="00E95995">
        <w:rPr>
          <w:rFonts w:cs="TimesNewRomanPSMT"/>
          <w:szCs w:val="22"/>
          <w:lang w:val="en-US" w:bidi="en-US"/>
        </w:rPr>
        <w:t xml:space="preserve">or the </w:t>
      </w:r>
      <w:r w:rsidR="00E95995">
        <w:rPr>
          <w:lang w:val="en-US" w:bidi="en-US"/>
        </w:rPr>
        <w:t xml:space="preserve">Social Supports Insurance (WMO) </w:t>
      </w:r>
      <w:r w:rsidR="00CF3946">
        <w:rPr>
          <w:rFonts w:cs="TimesNewRomanPSMT"/>
          <w:szCs w:val="22"/>
          <w:lang w:val="en-US" w:bidi="en-US"/>
        </w:rPr>
        <w:t>that promotes independent living</w:t>
      </w:r>
      <w:r>
        <w:rPr>
          <w:rFonts w:cs="TimesNewRomanPSMT"/>
          <w:szCs w:val="22"/>
          <w:lang w:val="en-US" w:bidi="en-US"/>
        </w:rPr>
        <w:t>. A more detailed summary of these two types of insurance is provided in section 2.4. In order to determine what type of health insurance and care services a person with a disability requires, they must first be assessed by Centre for Needs Assessment (</w:t>
      </w:r>
      <w:r w:rsidRPr="00A52C08">
        <w:rPr>
          <w:rFonts w:cs="TimesNewRomanPSMT"/>
          <w:szCs w:val="22"/>
          <w:lang w:val="en-US" w:bidi="en-US"/>
        </w:rPr>
        <w:t>CIZ</w:t>
      </w:r>
      <w:r>
        <w:rPr>
          <w:rFonts w:cs="TimesNewRomanPSMT"/>
          <w:szCs w:val="22"/>
          <w:lang w:val="en-US" w:bidi="en-US"/>
        </w:rPr>
        <w:t>)</w:t>
      </w:r>
      <w:r>
        <w:rPr>
          <w:rStyle w:val="FootnoteReference"/>
          <w:rFonts w:cs="TimesNewRomanPSMT"/>
          <w:szCs w:val="22"/>
          <w:lang w:bidi="en-US"/>
        </w:rPr>
        <w:footnoteReference w:id="89"/>
      </w:r>
      <w:r>
        <w:rPr>
          <w:rFonts w:cs="TimesNewRomanPSMT"/>
          <w:szCs w:val="22"/>
          <w:lang w:val="en-US" w:bidi="en-US"/>
        </w:rPr>
        <w:t>. This national</w:t>
      </w:r>
      <w:r w:rsidRPr="00901BE0">
        <w:rPr>
          <w:rFonts w:cs="TimesNewRomanPSMT"/>
          <w:szCs w:val="22"/>
          <w:lang w:val="en-GB" w:bidi="en-US"/>
        </w:rPr>
        <w:t xml:space="preserve"> organi</w:t>
      </w:r>
      <w:r w:rsidR="007D36DD" w:rsidRPr="00901BE0">
        <w:rPr>
          <w:rFonts w:cs="TimesNewRomanPSMT"/>
          <w:szCs w:val="22"/>
          <w:lang w:val="en-GB" w:bidi="en-US"/>
        </w:rPr>
        <w:t>s</w:t>
      </w:r>
      <w:r w:rsidRPr="00901BE0">
        <w:rPr>
          <w:rFonts w:cs="TimesNewRomanPSMT"/>
          <w:szCs w:val="22"/>
          <w:lang w:val="en-GB" w:bidi="en-US"/>
        </w:rPr>
        <w:t>ation</w:t>
      </w:r>
      <w:r>
        <w:rPr>
          <w:rFonts w:cs="TimesNewRomanPSMT"/>
          <w:szCs w:val="22"/>
          <w:lang w:val="en-US" w:bidi="en-US"/>
        </w:rPr>
        <w:t xml:space="preserve"> </w:t>
      </w:r>
      <w:r w:rsidRPr="00A52C08">
        <w:rPr>
          <w:rFonts w:cs="TimesNewRomanPSMT"/>
          <w:szCs w:val="22"/>
          <w:lang w:val="en-US" w:bidi="en-US"/>
        </w:rPr>
        <w:t>is responsible for conducting</w:t>
      </w:r>
      <w:r>
        <w:rPr>
          <w:rFonts w:cs="TimesNewRomanPSMT"/>
          <w:szCs w:val="22"/>
          <w:lang w:val="en-US" w:bidi="en-US"/>
        </w:rPr>
        <w:t xml:space="preserve"> needs assessment</w:t>
      </w:r>
      <w:r w:rsidR="007D36DD">
        <w:rPr>
          <w:rFonts w:cs="TimesNewRomanPSMT"/>
          <w:szCs w:val="22"/>
          <w:lang w:val="en-US" w:bidi="en-US"/>
        </w:rPr>
        <w:t>,</w:t>
      </w:r>
      <w:r>
        <w:rPr>
          <w:rFonts w:cs="TimesNewRomanPSMT"/>
          <w:szCs w:val="22"/>
          <w:lang w:val="en-US" w:bidi="en-US"/>
        </w:rPr>
        <w:t xml:space="preserve"> which are </w:t>
      </w:r>
      <w:r w:rsidRPr="00A52C08">
        <w:rPr>
          <w:rFonts w:cs="TimesNewRomanPSMT"/>
          <w:szCs w:val="22"/>
          <w:lang w:val="en-US" w:bidi="en-US"/>
        </w:rPr>
        <w:t>health based i.e. based on a person’s health rather than mean</w:t>
      </w:r>
      <w:r w:rsidR="007D36DD">
        <w:rPr>
          <w:rFonts w:cs="TimesNewRomanPSMT"/>
          <w:szCs w:val="22"/>
          <w:lang w:val="en-US" w:bidi="en-US"/>
        </w:rPr>
        <w:t>-</w:t>
      </w:r>
      <w:r w:rsidRPr="00A52C08">
        <w:rPr>
          <w:rFonts w:cs="TimesNewRomanPSMT"/>
          <w:szCs w:val="22"/>
          <w:lang w:val="en-US" w:bidi="en-US"/>
        </w:rPr>
        <w:t>tested.</w:t>
      </w:r>
      <w:r>
        <w:rPr>
          <w:rFonts w:cs="Times-Roman"/>
          <w:b/>
          <w:szCs w:val="22"/>
          <w:lang w:val="en-US" w:bidi="en-US"/>
        </w:rPr>
        <w:t xml:space="preserve"> </w:t>
      </w:r>
    </w:p>
    <w:p w:rsidR="002E1546" w:rsidRDefault="002E1546" w:rsidP="002E1546">
      <w:pPr>
        <w:rPr>
          <w:lang w:val="en-US" w:bidi="en-US"/>
        </w:rPr>
      </w:pPr>
      <w:r>
        <w:rPr>
          <w:lang w:val="en-US" w:bidi="en-US"/>
        </w:rPr>
        <w:t>The type of care a person receives and their choice in service providers i</w:t>
      </w:r>
      <w:r w:rsidR="000838D3">
        <w:rPr>
          <w:lang w:val="en-US" w:bidi="en-US"/>
        </w:rPr>
        <w:t>s dependent on their disability</w:t>
      </w:r>
      <w:r>
        <w:rPr>
          <w:lang w:val="en-US" w:bidi="en-US"/>
        </w:rPr>
        <w:t>.</w:t>
      </w:r>
    </w:p>
    <w:p w:rsidR="002E1546" w:rsidRDefault="002E1546" w:rsidP="002E1546">
      <w:pPr>
        <w:rPr>
          <w:lang w:val="en-US" w:bidi="en-US"/>
        </w:rPr>
      </w:pPr>
      <w:r>
        <w:rPr>
          <w:lang w:val="en-US" w:bidi="en-US"/>
        </w:rPr>
        <w:t xml:space="preserve">While </w:t>
      </w:r>
      <w:r w:rsidR="000838D3">
        <w:rPr>
          <w:lang w:val="en-US" w:bidi="en-US"/>
        </w:rPr>
        <w:t>people with disabilities may us</w:t>
      </w:r>
      <w:r>
        <w:rPr>
          <w:lang w:val="en-US" w:bidi="en-US"/>
        </w:rPr>
        <w:t>e the same typ</w:t>
      </w:r>
      <w:r w:rsidR="00E95995">
        <w:rPr>
          <w:lang w:val="en-US" w:bidi="en-US"/>
        </w:rPr>
        <w:t xml:space="preserve">e of </w:t>
      </w:r>
      <w:r w:rsidR="000C0F3D">
        <w:rPr>
          <w:lang w:eastAsia="en-IE"/>
        </w:rPr>
        <w:t>public long-term care</w:t>
      </w:r>
      <w:r w:rsidR="000C0F3D">
        <w:rPr>
          <w:lang w:val="en-US" w:bidi="en-US"/>
        </w:rPr>
        <w:t xml:space="preserve"> </w:t>
      </w:r>
      <w:r w:rsidR="00E95995">
        <w:rPr>
          <w:lang w:val="en-US" w:bidi="en-US"/>
        </w:rPr>
        <w:t xml:space="preserve">insurance as in </w:t>
      </w:r>
      <w:r w:rsidR="00CF3946">
        <w:rPr>
          <w:lang w:val="en-US" w:bidi="en-US"/>
        </w:rPr>
        <w:t>Long Term Care Insurance</w:t>
      </w:r>
      <w:r w:rsidR="00CF3946" w:rsidRPr="00D31D4D">
        <w:rPr>
          <w:lang w:val="en-US" w:bidi="en-US"/>
        </w:rPr>
        <w:t xml:space="preserve"> </w:t>
      </w:r>
      <w:r w:rsidR="00CF3946">
        <w:rPr>
          <w:lang w:val="en-US" w:bidi="en-US"/>
        </w:rPr>
        <w:t>(</w:t>
      </w:r>
      <w:r w:rsidR="00E95995">
        <w:rPr>
          <w:lang w:val="en-US" w:bidi="en-US"/>
        </w:rPr>
        <w:t>AWBZ</w:t>
      </w:r>
      <w:r w:rsidR="00CF3946">
        <w:rPr>
          <w:lang w:val="en-US" w:bidi="en-US"/>
        </w:rPr>
        <w:t>)</w:t>
      </w:r>
      <w:r w:rsidR="00E95995">
        <w:rPr>
          <w:lang w:val="en-US" w:bidi="en-US"/>
        </w:rPr>
        <w:t xml:space="preserve"> or Social Supports Insurance (WMO), </w:t>
      </w:r>
      <w:r>
        <w:rPr>
          <w:lang w:val="en-US" w:bidi="en-US"/>
        </w:rPr>
        <w:t xml:space="preserve">there are different service providers for people depending on their disability. </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szCs w:val="22"/>
          <w:lang w:val="en-US" w:bidi="en-US"/>
        </w:rPr>
      </w:pPr>
      <w:r w:rsidRPr="00F4205A">
        <w:rPr>
          <w:rFonts w:cs="Times-Roman"/>
          <w:szCs w:val="22"/>
          <w:lang w:val="en-US" w:bidi="en-US"/>
        </w:rPr>
        <w:t>When a child is diagnosed with a disability</w:t>
      </w:r>
      <w:r>
        <w:rPr>
          <w:rFonts w:cs="Times-Roman"/>
          <w:szCs w:val="22"/>
          <w:lang w:val="en-US" w:bidi="en-US"/>
        </w:rPr>
        <w:t xml:space="preserve"> between 0-4 years of age the parents and families contact their local MEE Nederland</w:t>
      </w:r>
      <w:r>
        <w:rPr>
          <w:rStyle w:val="FootnoteReference"/>
          <w:rFonts w:cs="Times-Roman"/>
          <w:szCs w:val="22"/>
        </w:rPr>
        <w:footnoteReference w:id="90"/>
      </w:r>
      <w:r>
        <w:rPr>
          <w:rFonts w:cs="Times-Roman"/>
          <w:szCs w:val="22"/>
          <w:lang w:val="en-US" w:bidi="en-US"/>
        </w:rPr>
        <w:t xml:space="preserve"> office which will inform them of the different service options that are available to them in terms of adaptations, transport etc. and answer other questions they may have</w:t>
      </w:r>
      <w:r>
        <w:rPr>
          <w:rStyle w:val="FootnoteReference"/>
          <w:rFonts w:cs="Times-Roman"/>
          <w:szCs w:val="22"/>
          <w:lang w:bidi="en-US"/>
        </w:rPr>
        <w:footnoteReference w:id="91"/>
      </w:r>
      <w:r>
        <w:rPr>
          <w:rFonts w:cs="Times-Roman"/>
          <w:szCs w:val="22"/>
          <w:lang w:val="en-US" w:bidi="en-US"/>
        </w:rPr>
        <w:t>.</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Roman"/>
          <w:b/>
          <w:szCs w:val="22"/>
          <w:lang w:val="en-US" w:bidi="en-US"/>
        </w:rPr>
      </w:pPr>
      <w:r>
        <w:rPr>
          <w:rFonts w:cs="Times-Roman"/>
          <w:szCs w:val="22"/>
          <w:lang w:val="en-US" w:bidi="en-US"/>
        </w:rPr>
        <w:t>The type of care a child with a disability requires depends on their disability. Children are assessed based on IQ tests and/or clinical observation. This assessment is carried out by an</w:t>
      </w:r>
      <w:r w:rsidRPr="0091119D">
        <w:rPr>
          <w:rFonts w:cs="Times-Roman"/>
          <w:szCs w:val="22"/>
          <w:lang w:bidi="en-US"/>
        </w:rPr>
        <w:t xml:space="preserve"> organisation</w:t>
      </w:r>
      <w:r>
        <w:rPr>
          <w:rFonts w:cs="Times-Roman"/>
          <w:szCs w:val="22"/>
          <w:lang w:val="en-US" w:bidi="en-US"/>
        </w:rPr>
        <w:t xml:space="preserve"> that is independent from the health insurance and health care providers. This assessment also provides parents and/or legal guardians with options as to how they would like the care to be funded in the form of a personal care budget or from a healthcare insurance provider</w:t>
      </w:r>
      <w:r>
        <w:rPr>
          <w:rStyle w:val="FootnoteReference"/>
          <w:rFonts w:cs="Times-Roman"/>
          <w:szCs w:val="22"/>
          <w:lang w:bidi="en-US"/>
        </w:rPr>
        <w:footnoteReference w:id="92"/>
      </w:r>
      <w:r>
        <w:rPr>
          <w:rFonts w:cs="Times-Roman"/>
          <w:szCs w:val="22"/>
          <w:lang w:val="en-US" w:bidi="en-US"/>
        </w:rPr>
        <w:t>.</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eastAsia="en-IE"/>
        </w:rPr>
      </w:pPr>
      <w:r>
        <w:rPr>
          <w:rFonts w:cs="Arial"/>
          <w:lang w:eastAsia="en-IE"/>
        </w:rPr>
        <w:t>If the parents of a child with a disability decide to place their child in residential care then institutions are obliged to provide the necessary care</w:t>
      </w:r>
      <w:r>
        <w:rPr>
          <w:rStyle w:val="FootnoteReference"/>
          <w:rFonts w:cs="Arial"/>
          <w:lang w:eastAsia="en-IE"/>
        </w:rPr>
        <w:footnoteReference w:id="93"/>
      </w:r>
      <w:r>
        <w:rPr>
          <w:rFonts w:cs="Arial"/>
          <w:lang w:eastAsia="en-IE"/>
        </w:rPr>
        <w:t xml:space="preserve">. </w:t>
      </w:r>
    </w:p>
    <w:p w:rsidR="002E1546" w:rsidRPr="0090180F" w:rsidRDefault="002E1546" w:rsidP="002E1546">
      <w:pPr>
        <w:pStyle w:val="Heading2"/>
        <w:rPr>
          <w:lang w:val="en-US" w:bidi="en-US"/>
        </w:rPr>
      </w:pPr>
      <w:bookmarkStart w:id="116" w:name="_Toc268689548"/>
      <w:bookmarkStart w:id="117" w:name="_Toc269743652"/>
      <w:bookmarkStart w:id="118" w:name="_Toc272825571"/>
      <w:bookmarkStart w:id="119" w:name="_Toc286159996"/>
      <w:r>
        <w:rPr>
          <w:lang w:val="en-US" w:bidi="en-US"/>
        </w:rPr>
        <w:t>5.2 Personal Care Budget</w:t>
      </w:r>
      <w:bookmarkEnd w:id="116"/>
      <w:bookmarkEnd w:id="117"/>
      <w:bookmarkEnd w:id="118"/>
      <w:r>
        <w:rPr>
          <w:lang w:val="en-US" w:bidi="en-US"/>
        </w:rPr>
        <w:t>s</w:t>
      </w:r>
      <w:bookmarkEnd w:id="119"/>
    </w:p>
    <w:p w:rsidR="002E1546" w:rsidRPr="003B37F5" w:rsidRDefault="002E1546" w:rsidP="002E1546">
      <w:r>
        <w:rPr>
          <w:lang w:val="en-US" w:bidi="en-US"/>
        </w:rPr>
        <w:t>The personal care budget is a form of direct payment for people with disabilities in the Netherlands</w:t>
      </w:r>
      <w:r w:rsidR="000838D3">
        <w:rPr>
          <w:lang w:val="en-US" w:bidi="en-US"/>
        </w:rPr>
        <w:t xml:space="preserve">. People who  have </w:t>
      </w:r>
      <w:r>
        <w:rPr>
          <w:lang w:val="en-US" w:bidi="en-US"/>
        </w:rPr>
        <w:t xml:space="preserve"> </w:t>
      </w:r>
      <w:r w:rsidR="00CF3946">
        <w:rPr>
          <w:lang w:val="en-US" w:bidi="en-US"/>
        </w:rPr>
        <w:t>Long Term Care Insurance</w:t>
      </w:r>
      <w:r w:rsidR="00CF3946" w:rsidRPr="00D31D4D">
        <w:rPr>
          <w:lang w:val="en-US" w:bidi="en-US"/>
        </w:rPr>
        <w:t xml:space="preserve"> </w:t>
      </w:r>
      <w:r w:rsidR="00CF3946">
        <w:rPr>
          <w:lang w:val="en-US" w:bidi="en-US"/>
        </w:rPr>
        <w:t>(</w:t>
      </w:r>
      <w:r>
        <w:rPr>
          <w:lang w:val="en-US" w:bidi="en-US"/>
        </w:rPr>
        <w:t>AWBZ</w:t>
      </w:r>
      <w:r w:rsidR="00CF3946">
        <w:rPr>
          <w:lang w:val="en-US" w:bidi="en-US"/>
        </w:rPr>
        <w:t>)</w:t>
      </w:r>
      <w:r>
        <w:rPr>
          <w:lang w:val="en-US" w:bidi="en-US"/>
        </w:rPr>
        <w:t xml:space="preserve"> or </w:t>
      </w:r>
      <w:r w:rsidR="00E95995">
        <w:rPr>
          <w:lang w:val="en-US" w:bidi="en-US"/>
        </w:rPr>
        <w:t xml:space="preserve">Social Supports Insurance (WMO) </w:t>
      </w:r>
      <w:r w:rsidRPr="00C15B7F">
        <w:rPr>
          <w:lang w:val="en-US" w:bidi="en-US"/>
        </w:rPr>
        <w:t>can choose to use a personal care budget</w:t>
      </w:r>
      <w:r>
        <w:rPr>
          <w:rStyle w:val="FootnoteReference"/>
          <w:rFonts w:cs="Arial"/>
        </w:rPr>
        <w:footnoteReference w:id="94"/>
      </w:r>
      <w:r>
        <w:t>.</w:t>
      </w:r>
    </w:p>
    <w:p w:rsidR="002E1546" w:rsidRPr="00785FF5" w:rsidRDefault="002E1546" w:rsidP="002E1546">
      <w:r w:rsidRPr="003B37F5">
        <w:t>When a person with a disability opts for a personal care budget</w:t>
      </w:r>
      <w:r>
        <w:t xml:space="preserve"> they are receiving 75% of what their care in kind would cost. I</w:t>
      </w:r>
      <w:r w:rsidRPr="003B37F5">
        <w:t>t is paid directly into their bank account by</w:t>
      </w:r>
      <w:r>
        <w:t xml:space="preserve"> the CIZ’s care liaison office.</w:t>
      </w:r>
      <w:r w:rsidRPr="003B37F5">
        <w:t xml:space="preserve"> The person can purchase the type </w:t>
      </w:r>
      <w:r>
        <w:t xml:space="preserve">of </w:t>
      </w:r>
      <w:r w:rsidRPr="003B37F5">
        <w:t xml:space="preserve">care they wish. The </w:t>
      </w:r>
      <w:r>
        <w:t xml:space="preserve">CIZ's </w:t>
      </w:r>
      <w:r w:rsidRPr="003B37F5">
        <w:t>care lia</w:t>
      </w:r>
      <w:r>
        <w:t>is</w:t>
      </w:r>
      <w:r w:rsidRPr="003B37F5">
        <w:t>on office checks in with the personal care budget users to ensure that they can account for their expenditure</w:t>
      </w:r>
      <w:r>
        <w:rPr>
          <w:rStyle w:val="FootnoteReference"/>
          <w:rFonts w:cs="TimesNewRomanPSMT"/>
          <w:szCs w:val="22"/>
          <w:lang w:bidi="en-US"/>
        </w:rPr>
        <w:footnoteReference w:id="95"/>
      </w:r>
      <w:r>
        <w:rPr>
          <w:rFonts w:cs="TimesNewRomanPSMT"/>
          <w:lang w:val="en-US" w:bidi="en-US"/>
        </w:rPr>
        <w:t>.</w:t>
      </w:r>
    </w:p>
    <w:p w:rsidR="002E1546" w:rsidRPr="00F311C3" w:rsidRDefault="002E1546" w:rsidP="00F311C3">
      <w:pPr>
        <w:rPr>
          <w:lang w:bidi="en-US"/>
        </w:rPr>
      </w:pPr>
      <w:r w:rsidRPr="00354B74">
        <w:rPr>
          <w:lang w:bidi="en-US"/>
        </w:rPr>
        <w:t xml:space="preserve">Under the </w:t>
      </w:r>
      <w:r w:rsidR="00B45730">
        <w:rPr>
          <w:rFonts w:cs="Arial"/>
        </w:rPr>
        <w:t>Social Supports Insurance</w:t>
      </w:r>
      <w:r w:rsidR="00B45730" w:rsidRPr="00354B74">
        <w:rPr>
          <w:lang w:bidi="en-US"/>
        </w:rPr>
        <w:t xml:space="preserve"> </w:t>
      </w:r>
      <w:r w:rsidR="00B45730">
        <w:rPr>
          <w:lang w:bidi="en-US"/>
        </w:rPr>
        <w:t>(</w:t>
      </w:r>
      <w:r w:rsidRPr="00354B74">
        <w:rPr>
          <w:lang w:bidi="en-US"/>
        </w:rPr>
        <w:t>WMO</w:t>
      </w:r>
      <w:r w:rsidR="00B45730">
        <w:rPr>
          <w:lang w:bidi="en-US"/>
        </w:rPr>
        <w:t>)</w:t>
      </w:r>
      <w:r w:rsidRPr="00354B74">
        <w:rPr>
          <w:lang w:bidi="en-US"/>
        </w:rPr>
        <w:t xml:space="preserve"> informal care provided by family</w:t>
      </w:r>
      <w:r>
        <w:rPr>
          <w:lang w:bidi="en-US"/>
        </w:rPr>
        <w:t xml:space="preserve"> and friends is now recognised.</w:t>
      </w:r>
      <w:r w:rsidRPr="00354B74">
        <w:rPr>
          <w:lang w:bidi="en-US"/>
        </w:rPr>
        <w:t xml:space="preserve"> A person is defined as a caregiver if they care for someone for longer than 3 months</w:t>
      </w:r>
      <w:r>
        <w:rPr>
          <w:lang w:bidi="en-US"/>
        </w:rPr>
        <w:t>. A person with a disability can use their personal care budget to pay for informal care by a family member. In 2009, the Ministry for Health, Welfare and Sports estimated that 1.6m people looked after a family member or a friend with a disability. Local governments are encouraged by the Ministry of Health to provide training for non-professional care givers and to have back</w:t>
      </w:r>
      <w:r w:rsidR="00D46068">
        <w:rPr>
          <w:lang w:bidi="en-US"/>
        </w:rPr>
        <w:t>-</w:t>
      </w:r>
      <w:r>
        <w:rPr>
          <w:lang w:bidi="en-US"/>
        </w:rPr>
        <w:t>up procedures in place that will enable carers to take adequate time off</w:t>
      </w:r>
      <w:r>
        <w:rPr>
          <w:rStyle w:val="FootnoteReference"/>
          <w:rFonts w:cs="Arial"/>
        </w:rPr>
        <w:footnoteReference w:id="96"/>
      </w:r>
      <w:r>
        <w:rPr>
          <w:lang w:bidi="en-US"/>
        </w:rPr>
        <w:t>.</w:t>
      </w:r>
      <w:r w:rsidR="00CC31E3">
        <w:rPr>
          <w:lang w:bidi="en-US"/>
        </w:rPr>
        <w:t xml:space="preserve"> </w:t>
      </w:r>
    </w:p>
    <w:p w:rsidR="00F311C3" w:rsidRDefault="00F311C3" w:rsidP="00F311C3">
      <w:pPr>
        <w:pStyle w:val="TableTitle"/>
        <w:rPr>
          <w:lang w:val="en-US" w:bidi="en-US"/>
        </w:rPr>
        <w:sectPr w:rsidR="00F311C3" w:rsidSect="002E1546">
          <w:footnotePr>
            <w:pos w:val="beneathText"/>
          </w:footnotePr>
          <w:pgSz w:w="11900" w:h="16840"/>
          <w:pgMar w:top="1440" w:right="1800" w:bottom="1440" w:left="1800" w:header="708" w:footer="708" w:gutter="0"/>
          <w:cols w:space="708"/>
        </w:sectPr>
      </w:pPr>
    </w:p>
    <w:p w:rsidR="00F311C3" w:rsidRDefault="003D62CF" w:rsidP="00F311C3">
      <w:pPr>
        <w:pStyle w:val="TableTitle"/>
        <w:rPr>
          <w:lang w:val="en-US" w:bidi="en-US"/>
        </w:rPr>
      </w:pPr>
      <w:r>
        <w:rPr>
          <w:lang w:val="en-US" w:bidi="en-US"/>
        </w:rPr>
        <w:t>Table 8</w:t>
      </w:r>
      <w:r w:rsidR="00F311C3">
        <w:rPr>
          <w:lang w:val="en-US" w:bidi="en-US"/>
        </w:rPr>
        <w:t>. Key data on</w:t>
      </w:r>
      <w:r w:rsidR="00F311C3" w:rsidRPr="009F761C">
        <w:rPr>
          <w:lang w:val="en-US" w:bidi="en-US"/>
        </w:rPr>
        <w:t xml:space="preserve"> personal care bu</w:t>
      </w:r>
      <w:r w:rsidR="00F311C3">
        <w:rPr>
          <w:lang w:val="en-US" w:bidi="en-US"/>
        </w:rPr>
        <w:t>d</w:t>
      </w:r>
      <w:r w:rsidR="00F311C3" w:rsidRPr="009F761C">
        <w:rPr>
          <w:lang w:val="en-US" w:bidi="en-US"/>
        </w:rPr>
        <w:t>get</w:t>
      </w:r>
      <w:r w:rsidR="00F311C3">
        <w:rPr>
          <w:lang w:val="en-US" w:bidi="en-US"/>
        </w:rPr>
        <w:t>s,</w:t>
      </w:r>
      <w:r w:rsidR="00F311C3" w:rsidRPr="009F761C">
        <w:rPr>
          <w:lang w:val="en-US" w:bidi="en-US"/>
        </w:rPr>
        <w:t xml:space="preserve"> 20</w:t>
      </w:r>
      <w:r w:rsidR="00F311C3">
        <w:rPr>
          <w:lang w:val="en-US" w:bidi="en-US"/>
        </w:rPr>
        <w:t>05</w:t>
      </w:r>
      <w:r w:rsidR="00F311C3">
        <w:rPr>
          <w:rStyle w:val="FootnoteReference"/>
          <w:rFonts w:cs="Times-Roman"/>
          <w:b w:val="0"/>
          <w:szCs w:val="22"/>
          <w:lang w:bidi="en-US"/>
        </w:rPr>
        <w:footnoteReference w:id="97"/>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2838"/>
        <w:gridCol w:w="2839"/>
        <w:gridCol w:w="2839"/>
      </w:tblGrid>
      <w:tr w:rsidR="00F311C3" w:rsidRPr="00751FCB">
        <w:tblPrEx>
          <w:tblCellMar>
            <w:top w:w="0" w:type="dxa"/>
            <w:bottom w:w="0" w:type="dxa"/>
          </w:tblCellMar>
        </w:tblPrEx>
        <w:trPr>
          <w:tblHeader/>
        </w:trPr>
        <w:tc>
          <w:tcPr>
            <w:tcW w:w="5677" w:type="dxa"/>
            <w:gridSpan w:val="2"/>
            <w:tcBorders>
              <w:bottom w:val="single" w:sz="12" w:space="0" w:color="000000"/>
            </w:tcBorders>
            <w:shd w:val="clear" w:color="auto" w:fill="auto"/>
          </w:tcPr>
          <w:p w:rsidR="00F311C3" w:rsidRPr="00751FCB" w:rsidRDefault="00F311C3" w:rsidP="00B70607">
            <w:pPr>
              <w:pStyle w:val="TableHead"/>
              <w:rPr>
                <w:sz w:val="20"/>
                <w:szCs w:val="20"/>
                <w:lang w:val="en-US" w:bidi="en-US"/>
              </w:rPr>
            </w:pPr>
            <w:r>
              <w:rPr>
                <w:sz w:val="20"/>
                <w:szCs w:val="20"/>
                <w:lang w:val="en-US" w:bidi="en-US"/>
              </w:rPr>
              <w:t>Number of Budget holders</w:t>
            </w:r>
          </w:p>
        </w:tc>
        <w:tc>
          <w:tcPr>
            <w:tcW w:w="2839" w:type="dxa"/>
            <w:tcBorders>
              <w:bottom w:val="single" w:sz="12" w:space="0" w:color="000000"/>
            </w:tcBorders>
            <w:shd w:val="clear" w:color="auto" w:fill="auto"/>
          </w:tcPr>
          <w:p w:rsidR="00F311C3" w:rsidRPr="00751FCB" w:rsidRDefault="00F311C3" w:rsidP="00B70607">
            <w:pPr>
              <w:pStyle w:val="TableHead"/>
              <w:jc w:val="right"/>
              <w:rPr>
                <w:sz w:val="20"/>
                <w:szCs w:val="20"/>
                <w:lang w:val="en-US" w:bidi="en-US"/>
              </w:rPr>
            </w:pPr>
            <w:r>
              <w:rPr>
                <w:sz w:val="20"/>
                <w:szCs w:val="20"/>
                <w:lang w:val="en-US" w:bidi="en-US"/>
              </w:rPr>
              <w:t>77,883</w:t>
            </w:r>
          </w:p>
        </w:tc>
      </w:tr>
      <w:tr w:rsidR="00F311C3" w:rsidRPr="00751FCB">
        <w:tblPrEx>
          <w:tblCellMar>
            <w:top w:w="0" w:type="dxa"/>
            <w:bottom w:w="0" w:type="dxa"/>
          </w:tblCellMar>
        </w:tblPrEx>
        <w:tc>
          <w:tcPr>
            <w:tcW w:w="2838" w:type="dxa"/>
            <w:vMerge w:val="restart"/>
            <w:tcBorders>
              <w:top w:val="single" w:sz="12" w:space="0" w:color="000000"/>
            </w:tcBorders>
            <w:shd w:val="clear" w:color="auto" w:fill="auto"/>
          </w:tcPr>
          <w:p w:rsidR="00F311C3" w:rsidRPr="00751FCB" w:rsidRDefault="00F311C3" w:rsidP="00B70607">
            <w:pPr>
              <w:pStyle w:val="TableRowHead"/>
              <w:rPr>
                <w:sz w:val="20"/>
                <w:szCs w:val="20"/>
                <w:lang w:val="en-US" w:bidi="en-US"/>
              </w:rPr>
            </w:pPr>
            <w:r>
              <w:rPr>
                <w:sz w:val="20"/>
                <w:szCs w:val="20"/>
                <w:lang w:val="en-US" w:bidi="en-US"/>
              </w:rPr>
              <w:t>Age distribution</w:t>
            </w:r>
          </w:p>
        </w:tc>
        <w:tc>
          <w:tcPr>
            <w:tcW w:w="2839" w:type="dxa"/>
            <w:tcBorders>
              <w:top w:val="single" w:sz="12" w:space="0" w:color="000000"/>
            </w:tcBorders>
            <w:shd w:val="clear" w:color="auto" w:fill="auto"/>
          </w:tcPr>
          <w:p w:rsidR="00F311C3" w:rsidRPr="00751FCB" w:rsidRDefault="00F311C3" w:rsidP="00B70607">
            <w:pPr>
              <w:pStyle w:val="TableCell"/>
              <w:rPr>
                <w:sz w:val="20"/>
                <w:szCs w:val="20"/>
                <w:lang w:val="en-US" w:bidi="en-US"/>
              </w:rPr>
            </w:pPr>
            <w:r>
              <w:rPr>
                <w:sz w:val="20"/>
                <w:szCs w:val="20"/>
                <w:lang w:val="en-US" w:bidi="en-US"/>
              </w:rPr>
              <w:t>18-55</w:t>
            </w:r>
          </w:p>
        </w:tc>
        <w:tc>
          <w:tcPr>
            <w:tcW w:w="2839" w:type="dxa"/>
            <w:tcBorders>
              <w:top w:val="single" w:sz="12" w:space="0" w:color="000000"/>
            </w:tcBorders>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32.5%</w:t>
            </w:r>
          </w:p>
        </w:tc>
      </w:tr>
      <w:tr w:rsidR="00F311C3" w:rsidRPr="00751FCB">
        <w:tblPrEx>
          <w:tblCellMar>
            <w:top w:w="0" w:type="dxa"/>
            <w:bottom w:w="0" w:type="dxa"/>
          </w:tblCellMar>
        </w:tblPrEx>
        <w:tc>
          <w:tcPr>
            <w:tcW w:w="2838" w:type="dxa"/>
            <w:vMerge/>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56-65</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12.6%</w:t>
            </w:r>
          </w:p>
        </w:tc>
      </w:tr>
      <w:tr w:rsidR="00F311C3" w:rsidRPr="00751FCB">
        <w:tblPrEx>
          <w:tblCellMar>
            <w:top w:w="0" w:type="dxa"/>
            <w:bottom w:w="0" w:type="dxa"/>
          </w:tblCellMar>
        </w:tblPrEx>
        <w:tc>
          <w:tcPr>
            <w:tcW w:w="2838" w:type="dxa"/>
            <w:vMerge/>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66-75</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14.3%</w:t>
            </w:r>
          </w:p>
        </w:tc>
      </w:tr>
      <w:tr w:rsidR="00F311C3" w:rsidRPr="00751FCB">
        <w:tblPrEx>
          <w:tblCellMar>
            <w:top w:w="0" w:type="dxa"/>
            <w:bottom w:w="0" w:type="dxa"/>
          </w:tblCellMar>
        </w:tblPrEx>
        <w:tc>
          <w:tcPr>
            <w:tcW w:w="2838" w:type="dxa"/>
            <w:vMerge/>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76-80</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8.7%</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r>
              <w:rPr>
                <w:sz w:val="20"/>
                <w:szCs w:val="20"/>
                <w:lang w:val="en-US" w:bidi="en-US"/>
              </w:rPr>
              <w:t>Type of Health problem</w:t>
            </w: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People with heart conditions</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67%</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Elderly people with Alzheimer's and or dementia</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Mental difficulties</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14%</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Physical disabilities</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14%</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Intellectual disability</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11%</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Sensory disability</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r>
              <w:rPr>
                <w:sz w:val="20"/>
                <w:szCs w:val="20"/>
                <w:lang w:val="en-US" w:bidi="en-US"/>
              </w:rPr>
              <w:t>Net budget amount in euro*</w:t>
            </w: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&lt;2,500</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27.7%</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2,500-5,000</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24.9%</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5,000 - 25,000</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30.5%</w:t>
            </w:r>
          </w:p>
        </w:tc>
      </w:tr>
      <w:tr w:rsidR="00F311C3" w:rsidRPr="00751FCB">
        <w:tblPrEx>
          <w:tblCellMar>
            <w:top w:w="0" w:type="dxa"/>
            <w:bottom w:w="0" w:type="dxa"/>
          </w:tblCellMar>
        </w:tblPrEx>
        <w:tc>
          <w:tcPr>
            <w:tcW w:w="2838" w:type="dxa"/>
            <w:shd w:val="clear" w:color="auto" w:fill="auto"/>
          </w:tcPr>
          <w:p w:rsidR="00F311C3" w:rsidRPr="00751FCB" w:rsidRDefault="00F311C3" w:rsidP="00B70607">
            <w:pPr>
              <w:pStyle w:val="TableRowHead"/>
              <w:rPr>
                <w:sz w:val="20"/>
                <w:szCs w:val="20"/>
                <w:lang w:val="en-US" w:bidi="en-US"/>
              </w:rPr>
            </w:pPr>
          </w:p>
        </w:tc>
        <w:tc>
          <w:tcPr>
            <w:tcW w:w="2839" w:type="dxa"/>
            <w:shd w:val="clear" w:color="auto" w:fill="auto"/>
          </w:tcPr>
          <w:p w:rsidR="00F311C3" w:rsidRPr="00751FCB" w:rsidRDefault="00F311C3" w:rsidP="00B70607">
            <w:pPr>
              <w:pStyle w:val="TableCell"/>
              <w:rPr>
                <w:sz w:val="20"/>
                <w:szCs w:val="20"/>
                <w:lang w:val="en-US" w:bidi="en-US"/>
              </w:rPr>
            </w:pPr>
            <w:r>
              <w:rPr>
                <w:sz w:val="20"/>
                <w:szCs w:val="20"/>
                <w:lang w:val="en-US" w:bidi="en-US"/>
              </w:rPr>
              <w:t>&gt;25,000</w:t>
            </w:r>
          </w:p>
        </w:tc>
        <w:tc>
          <w:tcPr>
            <w:tcW w:w="2839" w:type="dxa"/>
            <w:shd w:val="clear" w:color="auto" w:fill="auto"/>
          </w:tcPr>
          <w:p w:rsidR="00F311C3" w:rsidRPr="00751FCB" w:rsidRDefault="00F311C3" w:rsidP="00B70607">
            <w:pPr>
              <w:pStyle w:val="TableCell"/>
              <w:jc w:val="right"/>
              <w:rPr>
                <w:sz w:val="20"/>
                <w:szCs w:val="20"/>
                <w:lang w:val="en-US" w:bidi="en-US"/>
              </w:rPr>
            </w:pPr>
            <w:r>
              <w:rPr>
                <w:sz w:val="20"/>
                <w:szCs w:val="20"/>
                <w:lang w:val="en-US" w:bidi="en-US"/>
              </w:rPr>
              <w:t>16.9%</w:t>
            </w:r>
          </w:p>
        </w:tc>
      </w:tr>
    </w:tbl>
    <w:p w:rsidR="00F311C3" w:rsidRPr="00E754D7" w:rsidRDefault="00F311C3" w:rsidP="00F311C3">
      <w:pPr>
        <w:spacing w:line="240" w:lineRule="auto"/>
        <w:rPr>
          <w:sz w:val="20"/>
          <w:szCs w:val="20"/>
          <w:lang w:val="en-US" w:bidi="en-US"/>
        </w:rPr>
      </w:pPr>
      <w:r>
        <w:rPr>
          <w:lang w:val="en-US" w:bidi="en-US"/>
        </w:rPr>
        <w:t>*</w:t>
      </w:r>
      <w:r w:rsidRPr="00E754D7">
        <w:rPr>
          <w:sz w:val="20"/>
          <w:szCs w:val="20"/>
          <w:lang w:val="en-US" w:bidi="en-US"/>
        </w:rPr>
        <w:t>Net of co-payments by budget holder. The average gross personal care budget was about 14,000 euro, of which about 1,000 euro was paid by the budget-holder out-of-pocket.</w:t>
      </w:r>
    </w:p>
    <w:p w:rsidR="00F311C3" w:rsidRPr="00213239" w:rsidRDefault="00F311C3" w:rsidP="00F311C3">
      <w:pPr>
        <w:rPr>
          <w:lang w:val="en-US" w:bidi="en-US"/>
        </w:rPr>
      </w:pPr>
      <w:r>
        <w:rPr>
          <w:lang w:val="en-US" w:bidi="en-US"/>
        </w:rPr>
        <w:t>7% of long-term expenditure covered by</w:t>
      </w:r>
      <w:r w:rsidRPr="00CF3946">
        <w:rPr>
          <w:lang w:val="en-US" w:bidi="en-US"/>
        </w:rPr>
        <w:t xml:space="preserve"> </w:t>
      </w:r>
      <w:r>
        <w:rPr>
          <w:lang w:val="en-US" w:bidi="en-US"/>
        </w:rPr>
        <w:t>Long Term Care Insurance (</w:t>
      </w:r>
      <w:r w:rsidRPr="009F761C">
        <w:rPr>
          <w:lang w:val="en-US" w:bidi="en-US"/>
        </w:rPr>
        <w:t>AWBZ</w:t>
      </w:r>
      <w:r>
        <w:rPr>
          <w:lang w:val="en-US" w:bidi="en-US"/>
        </w:rPr>
        <w:t>) is used for personal care budgets. More than 10% of long-term care users opt for the personal care budget.</w:t>
      </w:r>
    </w:p>
    <w:p w:rsidR="00F311C3" w:rsidRPr="009F761C" w:rsidRDefault="00F311C3" w:rsidP="00F311C3">
      <w:pPr>
        <w:rPr>
          <w:rFonts w:cs="Times-Roman"/>
          <w:szCs w:val="22"/>
          <w:lang w:val="en-US" w:bidi="en-US"/>
        </w:rPr>
      </w:pPr>
      <w:r>
        <w:rPr>
          <w:rFonts w:cs="Times-Roman"/>
          <w:szCs w:val="22"/>
          <w:lang w:val="en-US" w:bidi="en-US"/>
        </w:rPr>
        <w:t xml:space="preserve">Every year the Dutch government puts a ceiling on the total amount that can be spent on personal care budgets. Since 2005 the demand has exceeded the agreed budget. </w:t>
      </w:r>
      <w:r w:rsidRPr="009F761C">
        <w:rPr>
          <w:rFonts w:cs="Times-Roman"/>
          <w:szCs w:val="22"/>
          <w:lang w:val="en-US" w:bidi="en-US"/>
        </w:rPr>
        <w:t>In 2007,</w:t>
      </w:r>
      <w:r>
        <w:rPr>
          <w:rFonts w:cs="Times-Roman"/>
          <w:szCs w:val="22"/>
          <w:lang w:val="en-US" w:bidi="en-US"/>
        </w:rPr>
        <w:t xml:space="preserve"> the government implemented a </w:t>
      </w:r>
      <w:r w:rsidRPr="009F761C">
        <w:rPr>
          <w:rFonts w:cs="Times-Roman"/>
          <w:szCs w:val="22"/>
          <w:lang w:val="en-US" w:bidi="en-US"/>
        </w:rPr>
        <w:t>total annual budget increase of 35% (Ministry of Health 2007)</w:t>
      </w:r>
      <w:r>
        <w:rPr>
          <w:rStyle w:val="FootnoteReference"/>
          <w:rFonts w:cs="Times-Roman"/>
          <w:szCs w:val="22"/>
          <w:lang w:bidi="en-US"/>
        </w:rPr>
        <w:footnoteReference w:id="98"/>
      </w:r>
      <w:r w:rsidRPr="009F761C">
        <w:rPr>
          <w:rFonts w:cs="Times-Roman"/>
          <w:szCs w:val="22"/>
          <w:lang w:val="en-US" w:bidi="en-US"/>
        </w:rPr>
        <w:t xml:space="preserve">. In 2008, it was estimated that total cost of personal care budgets was </w:t>
      </w:r>
      <w:r>
        <w:rPr>
          <w:rFonts w:cs="Times-Roman"/>
          <w:szCs w:val="22"/>
          <w:lang w:val="en-US" w:bidi="en-US"/>
        </w:rPr>
        <w:t>€1.3bn</w:t>
      </w:r>
      <w:r w:rsidRPr="009F761C">
        <w:rPr>
          <w:rFonts w:cs="Times-Roman"/>
          <w:szCs w:val="22"/>
          <w:lang w:val="en-US" w:bidi="en-US"/>
        </w:rPr>
        <w:t>, a</w:t>
      </w:r>
      <w:r w:rsidR="00685267">
        <w:rPr>
          <w:rFonts w:cs="Times-Roman"/>
          <w:szCs w:val="22"/>
          <w:lang w:val="en-US" w:bidi="en-US"/>
        </w:rPr>
        <w:t>n</w:t>
      </w:r>
      <w:r w:rsidRPr="009F761C">
        <w:rPr>
          <w:rFonts w:cs="Times-Roman"/>
          <w:szCs w:val="22"/>
          <w:lang w:val="en-US" w:bidi="en-US"/>
        </w:rPr>
        <w:t xml:space="preserve"> average of </w:t>
      </w:r>
      <w:r>
        <w:rPr>
          <w:rFonts w:cs="Times-Roman"/>
          <w:szCs w:val="22"/>
          <w:lang w:val="en-US" w:bidi="en-US"/>
        </w:rPr>
        <w:t xml:space="preserve">€14,500 </w:t>
      </w:r>
      <w:r w:rsidRPr="009F761C">
        <w:rPr>
          <w:rFonts w:cs="Times-Roman"/>
          <w:szCs w:val="22"/>
          <w:lang w:val="en-US" w:bidi="en-US"/>
        </w:rPr>
        <w:t>per service user</w:t>
      </w:r>
      <w:r w:rsidRPr="009F761C">
        <w:rPr>
          <w:rStyle w:val="FootnoteReference"/>
          <w:rFonts w:cs="Times-Roman"/>
          <w:szCs w:val="22"/>
        </w:rPr>
        <w:footnoteReference w:id="99"/>
      </w:r>
      <w:r w:rsidRPr="009F761C">
        <w:rPr>
          <w:rFonts w:cs="Times-Roman"/>
          <w:szCs w:val="22"/>
          <w:lang w:val="en-US" w:bidi="en-US"/>
        </w:rPr>
        <w:t>.</w:t>
      </w:r>
    </w:p>
    <w:p w:rsidR="00F311C3" w:rsidRDefault="00F311C3" w:rsidP="00F311C3">
      <w:pPr>
        <w:spacing w:after="120"/>
        <w:rPr>
          <w:rFonts w:cs="Times-Roman"/>
          <w:szCs w:val="22"/>
          <w:lang w:val="en-US" w:bidi="en-US"/>
        </w:rPr>
      </w:pPr>
      <w:r w:rsidRPr="009F761C">
        <w:rPr>
          <w:rFonts w:cs="Times-Roman"/>
          <w:szCs w:val="22"/>
          <w:lang w:val="en-US" w:bidi="en-US"/>
        </w:rPr>
        <w:t xml:space="preserve">Personal care budgets are used for: </w:t>
      </w:r>
    </w:p>
    <w:p w:rsidR="00F311C3" w:rsidRDefault="00F311C3" w:rsidP="00F311C3">
      <w:pPr>
        <w:pStyle w:val="ListBullet"/>
        <w:rPr>
          <w:lang w:val="en-US" w:bidi="en-US"/>
        </w:rPr>
      </w:pPr>
      <w:r>
        <w:rPr>
          <w:lang w:val="en-US" w:bidi="en-US"/>
        </w:rPr>
        <w:t>Assistance with everyday activities such as getting up, having a shower</w:t>
      </w:r>
      <w:r w:rsidRPr="009F761C">
        <w:rPr>
          <w:lang w:val="en-US" w:bidi="en-US"/>
        </w:rPr>
        <w:t xml:space="preserve"> </w:t>
      </w:r>
    </w:p>
    <w:p w:rsidR="00F311C3" w:rsidRDefault="00F311C3" w:rsidP="00F311C3">
      <w:pPr>
        <w:pStyle w:val="ListBullet"/>
        <w:rPr>
          <w:lang w:val="en-US" w:bidi="en-US"/>
        </w:rPr>
      </w:pPr>
      <w:r w:rsidRPr="009F761C">
        <w:rPr>
          <w:lang w:val="en-US" w:bidi="en-US"/>
        </w:rPr>
        <w:t xml:space="preserve">Paying informal care by relatives, </w:t>
      </w:r>
      <w:r w:rsidRPr="00081CDA">
        <w:rPr>
          <w:lang w:bidi="en-US"/>
        </w:rPr>
        <w:t>neighbours</w:t>
      </w:r>
      <w:r>
        <w:rPr>
          <w:lang w:val="en-US" w:bidi="en-US"/>
        </w:rPr>
        <w:t xml:space="preserve"> and friends, (which was </w:t>
      </w:r>
      <w:r w:rsidRPr="009F761C">
        <w:rPr>
          <w:lang w:val="en-US" w:bidi="en-US"/>
        </w:rPr>
        <w:t>previously often provided for free)</w:t>
      </w:r>
    </w:p>
    <w:p w:rsidR="00F311C3" w:rsidRDefault="00F311C3" w:rsidP="00F311C3">
      <w:pPr>
        <w:pStyle w:val="ListBullet"/>
        <w:rPr>
          <w:lang w:val="en-US" w:bidi="en-US"/>
        </w:rPr>
      </w:pPr>
      <w:r>
        <w:rPr>
          <w:lang w:val="en-US" w:bidi="en-US"/>
        </w:rPr>
        <w:t xml:space="preserve">Purchasing brokerage services as an </w:t>
      </w:r>
      <w:r w:rsidRPr="009F761C">
        <w:rPr>
          <w:lang w:val="en-US" w:bidi="en-US"/>
        </w:rPr>
        <w:t>increasing numbe</w:t>
      </w:r>
      <w:r>
        <w:rPr>
          <w:lang w:val="en-US" w:bidi="en-US"/>
        </w:rPr>
        <w:t xml:space="preserve">r of brokers charge a fee to </w:t>
      </w:r>
      <w:r w:rsidRPr="009F761C">
        <w:rPr>
          <w:lang w:val="en-US" w:bidi="en-US"/>
        </w:rPr>
        <w:t>assist people</w:t>
      </w:r>
      <w:r>
        <w:rPr>
          <w:lang w:val="en-US" w:bidi="en-US"/>
        </w:rPr>
        <w:t xml:space="preserve"> with disabilities </w:t>
      </w:r>
      <w:r w:rsidRPr="009F761C">
        <w:rPr>
          <w:lang w:val="en-US" w:bidi="en-US"/>
        </w:rPr>
        <w:t>in applying for a personal care budget</w:t>
      </w:r>
    </w:p>
    <w:p w:rsidR="00F311C3" w:rsidRDefault="00F311C3" w:rsidP="00F311C3">
      <w:pPr>
        <w:pStyle w:val="ListBullet"/>
        <w:rPr>
          <w:lang w:val="en-US" w:bidi="en-US"/>
        </w:rPr>
      </w:pPr>
      <w:r>
        <w:rPr>
          <w:lang w:val="en-US" w:bidi="en-US"/>
        </w:rPr>
        <w:t>To purchase supports from home health care agencies</w:t>
      </w:r>
      <w:r>
        <w:rPr>
          <w:rStyle w:val="FootnoteReference"/>
          <w:rFonts w:cs="Times-Roman"/>
          <w:szCs w:val="22"/>
          <w:lang w:bidi="en-US"/>
        </w:rPr>
        <w:footnoteReference w:id="100"/>
      </w:r>
    </w:p>
    <w:p w:rsidR="00F311C3" w:rsidRDefault="00F311C3" w:rsidP="00F311C3">
      <w:pPr>
        <w:pStyle w:val="ListBullet"/>
        <w:rPr>
          <w:lang w:val="en-US" w:bidi="en-US"/>
        </w:rPr>
      </w:pPr>
      <w:r>
        <w:rPr>
          <w:lang w:val="en-US" w:bidi="en-US"/>
        </w:rPr>
        <w:t>Supports for someone with a disability trying to reintegrate into the workplace after being absent from work due to their disability</w:t>
      </w:r>
      <w:r>
        <w:rPr>
          <w:rStyle w:val="FootnoteReference"/>
        </w:rPr>
        <w:footnoteReference w:id="101"/>
      </w:r>
    </w:p>
    <w:p w:rsidR="00F311C3" w:rsidRDefault="00F311C3" w:rsidP="00F311C3">
      <w:pPr>
        <w:pStyle w:val="ListBullet"/>
        <w:spacing w:after="300"/>
        <w:ind w:left="357" w:hanging="357"/>
        <w:rPr>
          <w:lang w:val="en-US" w:bidi="en-US"/>
        </w:rPr>
      </w:pPr>
      <w:r w:rsidRPr="001E2530">
        <w:rPr>
          <w:lang w:val="en-US"/>
        </w:rPr>
        <w:t>Weekend and respite care</w:t>
      </w:r>
      <w:r>
        <w:rPr>
          <w:rStyle w:val="FootnoteReference"/>
        </w:rPr>
        <w:footnoteReference w:id="102"/>
      </w:r>
    </w:p>
    <w:p w:rsidR="00F311C3" w:rsidRDefault="00F311C3" w:rsidP="00F311C3">
      <w:pPr>
        <w:rPr>
          <w:lang w:val="en-US" w:bidi="en-US"/>
        </w:rPr>
      </w:pPr>
      <w:r>
        <w:rPr>
          <w:lang w:val="en-US" w:bidi="en-US"/>
        </w:rPr>
        <w:t>Per</w:t>
      </w:r>
      <w:r w:rsidRPr="00424B1B">
        <w:rPr>
          <w:lang w:val="en-GB" w:bidi="en-US"/>
        </w:rPr>
        <w:t xml:space="preserve"> Saldo</w:t>
      </w:r>
      <w:r>
        <w:rPr>
          <w:lang w:val="en-US" w:bidi="en-US"/>
        </w:rPr>
        <w:t xml:space="preserve"> is an umbrella</w:t>
      </w:r>
      <w:r w:rsidRPr="0099737C">
        <w:rPr>
          <w:lang w:bidi="en-US"/>
        </w:rPr>
        <w:t xml:space="preserve"> organisation</w:t>
      </w:r>
      <w:r>
        <w:rPr>
          <w:lang w:val="en-US" w:bidi="en-US"/>
        </w:rPr>
        <w:t xml:space="preserve"> established  and run by  people with disabilities using personal care budgets. It is a not for profit voluntary</w:t>
      </w:r>
      <w:r w:rsidRPr="00424B1B">
        <w:rPr>
          <w:lang w:val="en-GB" w:bidi="en-US"/>
        </w:rPr>
        <w:t xml:space="preserve"> organisation</w:t>
      </w:r>
      <w:r>
        <w:rPr>
          <w:lang w:val="en-US" w:bidi="en-US"/>
        </w:rPr>
        <w:t xml:space="preserve"> that provides information, publications </w:t>
      </w:r>
      <w:r w:rsidRPr="00953F16">
        <w:rPr>
          <w:lang w:val="en-US" w:bidi="en-US"/>
        </w:rPr>
        <w:t>and advice on everything to do with personal budgets</w:t>
      </w:r>
      <w:r>
        <w:rPr>
          <w:rStyle w:val="FootnoteReference"/>
        </w:rPr>
        <w:footnoteReference w:id="103"/>
      </w:r>
      <w:r>
        <w:rPr>
          <w:lang w:val="en-US" w:bidi="en-US"/>
        </w:rPr>
        <w:t xml:space="preserve">.   </w:t>
      </w:r>
    </w:p>
    <w:p w:rsidR="00F311C3" w:rsidRDefault="00F311C3" w:rsidP="00F311C3">
      <w:pPr>
        <w:rPr>
          <w:lang w:val="en-US" w:bidi="en-US"/>
        </w:rPr>
      </w:pPr>
      <w:r>
        <w:rPr>
          <w:lang w:val="en-US" w:bidi="en-US"/>
        </w:rPr>
        <w:t xml:space="preserve">It also </w:t>
      </w:r>
      <w:r w:rsidRPr="00953F16">
        <w:rPr>
          <w:lang w:val="en-US" w:bidi="en-US"/>
        </w:rPr>
        <w:t>provides support and representation (including legal representation where necessary) for its members through its service department.</w:t>
      </w:r>
      <w:r>
        <w:rPr>
          <w:lang w:val="en-US" w:bidi="en-US"/>
        </w:rPr>
        <w:t xml:space="preserve"> It represents people with disabilities if they have issues with </w:t>
      </w:r>
      <w:r w:rsidRPr="00953F16">
        <w:rPr>
          <w:lang w:val="en-US" w:bidi="en-US"/>
        </w:rPr>
        <w:t>needs assessment, the allocation of the budget or making arrangements with help providers and</w:t>
      </w:r>
      <w:r w:rsidRPr="00424B1B">
        <w:rPr>
          <w:lang w:val="en-GB" w:bidi="en-US"/>
        </w:rPr>
        <w:t xml:space="preserve"> organisations</w:t>
      </w:r>
      <w:r w:rsidRPr="00953F16">
        <w:rPr>
          <w:lang w:val="en-US" w:bidi="en-US"/>
        </w:rPr>
        <w:t xml:space="preserve">. </w:t>
      </w:r>
      <w:r>
        <w:rPr>
          <w:lang w:val="en-US" w:bidi="en-US"/>
        </w:rPr>
        <w:t xml:space="preserve"> </w:t>
      </w:r>
    </w:p>
    <w:p w:rsidR="00F311C3" w:rsidRDefault="00F311C3" w:rsidP="00F311C3">
      <w:pPr>
        <w:spacing w:after="120"/>
        <w:rPr>
          <w:lang w:val="en-US" w:bidi="en-US"/>
        </w:rPr>
      </w:pPr>
      <w:r>
        <w:rPr>
          <w:lang w:val="en-US" w:bidi="en-US"/>
        </w:rPr>
        <w:t>Per Saldo is also an advocacy</w:t>
      </w:r>
      <w:r w:rsidRPr="00424B1B">
        <w:rPr>
          <w:lang w:val="en-GB" w:bidi="en-US"/>
        </w:rPr>
        <w:t xml:space="preserve"> organisation</w:t>
      </w:r>
      <w:r>
        <w:rPr>
          <w:lang w:val="en-US" w:bidi="en-US"/>
        </w:rPr>
        <w:t xml:space="preserve"> that is  campaigning  on a number of issues such as:</w:t>
      </w:r>
    </w:p>
    <w:p w:rsidR="00F311C3" w:rsidRPr="00953F16" w:rsidRDefault="00F311C3" w:rsidP="00F311C3">
      <w:pPr>
        <w:pStyle w:val="ListBullet"/>
        <w:rPr>
          <w:lang w:val="en-US" w:bidi="en-US"/>
        </w:rPr>
      </w:pPr>
      <w:r>
        <w:rPr>
          <w:lang w:val="en-US" w:bidi="en-US"/>
        </w:rPr>
        <w:t>B</w:t>
      </w:r>
      <w:r w:rsidRPr="00953F16">
        <w:rPr>
          <w:lang w:val="en-US" w:bidi="en-US"/>
        </w:rPr>
        <w:t xml:space="preserve">etter PGB scheme for care, help and support under the Exceptional Medical Expenses Act (AWBZ), with more straightforward implementation, realistic tariffs and simpler accounting. </w:t>
      </w:r>
    </w:p>
    <w:p w:rsidR="00F311C3" w:rsidRPr="00953F16" w:rsidRDefault="00F311C3" w:rsidP="00F311C3">
      <w:pPr>
        <w:pStyle w:val="ListBullet"/>
        <w:rPr>
          <w:lang w:val="en-US" w:bidi="en-US"/>
        </w:rPr>
      </w:pPr>
      <w:r w:rsidRPr="00953F16">
        <w:rPr>
          <w:lang w:val="en-US" w:bidi="en-US"/>
        </w:rPr>
        <w:t>The widespread introduction of personal financing in a variety of areas, e.g. for education, for the provision of aids and facilities, and for reintegration into the</w:t>
      </w:r>
      <w:r w:rsidRPr="00424B1B">
        <w:rPr>
          <w:lang w:val="en-GB" w:bidi="en-US"/>
        </w:rPr>
        <w:t xml:space="preserve"> labour</w:t>
      </w:r>
      <w:r w:rsidRPr="00953F16">
        <w:rPr>
          <w:lang w:val="en-US" w:bidi="en-US"/>
        </w:rPr>
        <w:t xml:space="preserve"> market. </w:t>
      </w:r>
    </w:p>
    <w:p w:rsidR="00F311C3" w:rsidRPr="00953F16" w:rsidRDefault="00F311C3" w:rsidP="00F311C3">
      <w:pPr>
        <w:pStyle w:val="ListBullet"/>
        <w:rPr>
          <w:lang w:val="en-US" w:bidi="en-US"/>
        </w:rPr>
      </w:pPr>
      <w:r>
        <w:rPr>
          <w:lang w:val="en-US" w:bidi="en-US"/>
        </w:rPr>
        <w:t>A</w:t>
      </w:r>
      <w:r w:rsidRPr="00953F16">
        <w:rPr>
          <w:lang w:val="en-US" w:bidi="en-US"/>
        </w:rPr>
        <w:t>n integrated participation budget putting the control of the whole of people's lives back into their own hands</w:t>
      </w:r>
      <w:r>
        <w:rPr>
          <w:rStyle w:val="FootnoteReference"/>
          <w:lang w:val="en-US" w:bidi="en-US"/>
        </w:rPr>
        <w:footnoteReference w:id="104"/>
      </w:r>
      <w:r w:rsidRPr="00953F16">
        <w:rPr>
          <w:lang w:val="en-US" w:bidi="en-US"/>
        </w:rPr>
        <w:t>.</w:t>
      </w:r>
    </w:p>
    <w:p w:rsidR="00F311C3" w:rsidRDefault="00F311C3" w:rsidP="00F311C3">
      <w:pPr>
        <w:rPr>
          <w:lang w:eastAsia="en-IE"/>
        </w:rPr>
      </w:pPr>
      <w:bookmarkStart w:id="120" w:name="_Toc272825578"/>
      <w:bookmarkStart w:id="121" w:name="_Toc272906722"/>
      <w:r w:rsidRPr="007A63CD">
        <w:t>Re</w:t>
      </w:r>
      <w:r w:rsidRPr="007A63CD">
        <w:rPr>
          <w:lang w:eastAsia="en-IE"/>
        </w:rPr>
        <w:t>search and key informants have stated that the personal care budget provides people with disabilities with a choice and the potential to be creative in their service provision because they can decide on the types of service they wish to purchase themselves. The number of people with disabilities, choosing to use personal care budgets is slowly increasing</w:t>
      </w:r>
      <w:r>
        <w:rPr>
          <w:rStyle w:val="FootnoteReference"/>
          <w:lang w:eastAsia="en-IE"/>
        </w:rPr>
        <w:footnoteReference w:id="105"/>
      </w:r>
      <w:r w:rsidRPr="007A63CD">
        <w:rPr>
          <w:lang w:eastAsia="en-IE"/>
        </w:rPr>
        <w:t xml:space="preserve">. </w:t>
      </w:r>
      <w:bookmarkEnd w:id="120"/>
      <w:bookmarkEnd w:id="121"/>
    </w:p>
    <w:p w:rsidR="00F311C3" w:rsidRDefault="00F311C3" w:rsidP="00F311C3">
      <w:pPr>
        <w:rPr>
          <w:lang w:val="en-US"/>
        </w:rPr>
      </w:pPr>
    </w:p>
    <w:p w:rsidR="00F311C3" w:rsidRDefault="00F311C3" w:rsidP="00F311C3">
      <w:pPr>
        <w:pStyle w:val="Heading1"/>
        <w:spacing w:line="240" w:lineRule="auto"/>
        <w:rPr>
          <w:lang w:eastAsia="en-IE"/>
        </w:rPr>
      </w:pPr>
      <w:bookmarkStart w:id="122" w:name="_Toc268689554"/>
      <w:bookmarkStart w:id="123" w:name="_Toc272825579"/>
      <w:bookmarkStart w:id="124" w:name="_Toc286159997"/>
      <w:r>
        <w:rPr>
          <w:lang w:eastAsia="en-IE"/>
        </w:rPr>
        <w:t>5.3 User Involvement</w:t>
      </w:r>
      <w:bookmarkEnd w:id="124"/>
      <w:r>
        <w:rPr>
          <w:lang w:eastAsia="en-IE"/>
        </w:rPr>
        <w:t xml:space="preserve"> </w:t>
      </w:r>
      <w:bookmarkEnd w:id="122"/>
      <w:bookmarkEnd w:id="123"/>
    </w:p>
    <w:p w:rsidR="00F311C3" w:rsidRDefault="00F311C3" w:rsidP="00F311C3">
      <w:pPr>
        <w:rPr>
          <w:lang w:eastAsia="en-IE"/>
        </w:rPr>
      </w:pPr>
      <w:r>
        <w:rPr>
          <w:lang w:eastAsia="en-IE"/>
        </w:rPr>
        <w:t>A key informant for this background paper indicated that people with disabilities were involved in Social Supports Insurance (WMO) advisory boards at local level. Local authorities also have consultative platforms for people with disabilities.</w:t>
      </w:r>
    </w:p>
    <w:p w:rsidR="00F06887" w:rsidRDefault="002C0E58" w:rsidP="002E1546">
      <w:pPr>
        <w:rPr>
          <w:lang w:eastAsia="en-IE"/>
        </w:rPr>
      </w:pPr>
      <w:r>
        <w:rPr>
          <w:lang w:eastAsia="en-IE"/>
        </w:rPr>
        <w:t xml:space="preserve">People with disabilities are also represented on the several </w:t>
      </w:r>
      <w:r w:rsidRPr="002C0E58">
        <w:rPr>
          <w:lang w:eastAsia="en-IE"/>
        </w:rPr>
        <w:t xml:space="preserve">advisory bodies </w:t>
      </w:r>
      <w:r>
        <w:rPr>
          <w:lang w:eastAsia="en-IE"/>
        </w:rPr>
        <w:t xml:space="preserve">that assist the government. These advisory bodies consist of councils of people with specialist knowledge who advise the minister on request or on pending issues. Examples of advisory boards in the Dutch government are: </w:t>
      </w:r>
      <w:r w:rsidRPr="002C0E58">
        <w:rPr>
          <w:lang w:eastAsia="en-IE"/>
        </w:rPr>
        <w:t xml:space="preserve"> Health Council, the Election Council and the Transport Safety Board. Occasionally the government may decide to appoint a temporary committee to advise it on a particular matter.</w:t>
      </w:r>
      <w:r>
        <w:rPr>
          <w:lang w:eastAsia="en-IE"/>
        </w:rPr>
        <w:t xml:space="preserve"> </w:t>
      </w:r>
    </w:p>
    <w:p w:rsidR="00F06887" w:rsidRDefault="00485D5B" w:rsidP="00F06887">
      <w:pPr>
        <w:rPr>
          <w:rFonts w:cs="Times-Roman"/>
          <w:lang w:val="en-US" w:bidi="en-US"/>
        </w:rPr>
      </w:pPr>
      <w:r>
        <w:rPr>
          <w:rFonts w:cs="Times-Roman"/>
          <w:lang w:val="en-US" w:bidi="en-US"/>
        </w:rPr>
        <w:t>The following</w:t>
      </w:r>
      <w:r w:rsidRPr="00424B1B">
        <w:rPr>
          <w:rFonts w:cs="Times-Roman"/>
          <w:lang w:val="en-GB" w:bidi="en-US"/>
        </w:rPr>
        <w:t xml:space="preserve"> organisations</w:t>
      </w:r>
      <w:r>
        <w:rPr>
          <w:rFonts w:cs="Times-Roman"/>
          <w:lang w:val="en-US" w:bidi="en-US"/>
        </w:rPr>
        <w:t xml:space="preserve"> advocate </w:t>
      </w:r>
      <w:r w:rsidR="00D71897">
        <w:rPr>
          <w:rFonts w:cs="Times-Roman"/>
          <w:lang w:val="en-US" w:bidi="en-US"/>
        </w:rPr>
        <w:t xml:space="preserve">for the </w:t>
      </w:r>
      <w:r>
        <w:rPr>
          <w:rFonts w:cs="Times-Roman"/>
          <w:lang w:val="en-US" w:bidi="en-US"/>
        </w:rPr>
        <w:t>inclusion of people with disabilities into mainstream Dutch society</w:t>
      </w:r>
      <w:r w:rsidR="00F06887">
        <w:rPr>
          <w:rFonts w:cs="Times-Roman"/>
          <w:lang w:val="en-US" w:bidi="en-US"/>
        </w:rPr>
        <w:t>:</w:t>
      </w:r>
      <w:r>
        <w:rPr>
          <w:rFonts w:cs="Times-Roman"/>
          <w:lang w:val="en-US" w:bidi="en-US"/>
        </w:rPr>
        <w:t xml:space="preserve"> </w:t>
      </w:r>
    </w:p>
    <w:p w:rsidR="00BF2DC9" w:rsidRPr="00485D5B" w:rsidRDefault="00BF2DC9" w:rsidP="00F06887">
      <w:pPr>
        <w:numPr>
          <w:ilvl w:val="0"/>
          <w:numId w:val="24"/>
        </w:numPr>
        <w:rPr>
          <w:rFonts w:cs="Times-Roman"/>
          <w:lang w:val="en-US" w:bidi="en-US"/>
        </w:rPr>
      </w:pPr>
      <w:r>
        <w:rPr>
          <w:lang w:eastAsia="en-IE"/>
        </w:rPr>
        <w:t xml:space="preserve">The Dutch National Disability Council (VGPN) </w:t>
      </w:r>
      <w:r>
        <w:rPr>
          <w:lang w:val="en"/>
        </w:rPr>
        <w:t>is a non-profit organisation made up of disability organistaions and individuals with disabilities that represent the interests of people with physical and intellectual disabilities, mental health difficulties and chronic diseases. It is primarily an advovacy organisation on behalf of the interests of the disability community in the Netherlands</w:t>
      </w:r>
      <w:r>
        <w:rPr>
          <w:rStyle w:val="FootnoteReference"/>
        </w:rPr>
        <w:footnoteReference w:id="106"/>
      </w:r>
      <w:r>
        <w:rPr>
          <w:lang w:val="en"/>
        </w:rPr>
        <w:t xml:space="preserve">. It is affiliated with the European Disability Fourm </w:t>
      </w:r>
    </w:p>
    <w:p w:rsidR="00485D5B" w:rsidRDefault="00D30E3B" w:rsidP="00F06887">
      <w:pPr>
        <w:pStyle w:val="ListBullet"/>
        <w:numPr>
          <w:ilvl w:val="0"/>
          <w:numId w:val="24"/>
        </w:numPr>
        <w:rPr>
          <w:rFonts w:cs="Times-Roman"/>
          <w:lang w:val="en-US" w:bidi="en-US"/>
        </w:rPr>
      </w:pPr>
      <w:r>
        <w:rPr>
          <w:rFonts w:cs="Times-Roman"/>
          <w:lang w:val="en-US" w:bidi="en-US"/>
        </w:rPr>
        <w:t xml:space="preserve">The Dutch Council on Disability  and Chronic Illnesses (CG-Raad) promotes the rights of people with physical disabilities. </w:t>
      </w:r>
    </w:p>
    <w:p w:rsidR="00BF2DC9" w:rsidRDefault="00D30E3B" w:rsidP="00F06887">
      <w:pPr>
        <w:pStyle w:val="ListBullet"/>
        <w:numPr>
          <w:ilvl w:val="0"/>
          <w:numId w:val="24"/>
        </w:numPr>
        <w:rPr>
          <w:rFonts w:cs="Times-Roman"/>
          <w:lang w:val="en-US" w:bidi="en-US"/>
        </w:rPr>
      </w:pPr>
      <w:r>
        <w:rPr>
          <w:rFonts w:cs="Times-Roman"/>
          <w:lang w:val="en-US" w:bidi="en-US"/>
        </w:rPr>
        <w:t>Kanplus promotes the inclusion of people with intellectual disabilities and mental heath issues into society</w:t>
      </w:r>
      <w:r w:rsidR="00485D5B">
        <w:rPr>
          <w:rStyle w:val="FootnoteReference"/>
          <w:lang w:val="en"/>
        </w:rPr>
        <w:footnoteReference w:id="107"/>
      </w:r>
      <w:r>
        <w:rPr>
          <w:rFonts w:cs="Times-Roman"/>
          <w:lang w:val="en-US" w:bidi="en-US"/>
        </w:rPr>
        <w:t xml:space="preserve">. </w:t>
      </w:r>
    </w:p>
    <w:p w:rsidR="00F06887" w:rsidRPr="00D71897" w:rsidRDefault="00F06887" w:rsidP="00F06887">
      <w:pPr>
        <w:rPr>
          <w:lang w:eastAsia="en-IE"/>
        </w:rPr>
      </w:pPr>
      <w:r>
        <w:rPr>
          <w:rFonts w:cs="Times-Roman"/>
          <w:lang w:val="en-US" w:bidi="en-US"/>
        </w:rPr>
        <w:t>The Dutch Coalition on Disability and Development (DCDD) does advise the  Dutch government on promoting the inclusion of people with disabilities in societies  worldwide through co-operation and development. This group is made up of individual members and international disability</w:t>
      </w:r>
      <w:r w:rsidRPr="00424B1B">
        <w:rPr>
          <w:rFonts w:cs="Times-Roman"/>
          <w:lang w:val="en-GB" w:bidi="en-US"/>
        </w:rPr>
        <w:t xml:space="preserve"> organisations</w:t>
      </w:r>
      <w:r>
        <w:rPr>
          <w:rFonts w:cs="Times-Roman"/>
          <w:lang w:val="en-US" w:bidi="en-US"/>
        </w:rPr>
        <w:t>.</w:t>
      </w:r>
      <w:r>
        <w:rPr>
          <w:rStyle w:val="FootnoteReference"/>
          <w:rFonts w:cs="Times-Roman"/>
          <w:lang w:val="en-US" w:bidi="en-US"/>
        </w:rPr>
        <w:footnoteReference w:id="108"/>
      </w:r>
    </w:p>
    <w:p w:rsidR="00F06887" w:rsidRDefault="00F06887" w:rsidP="00F06887">
      <w:pPr>
        <w:pStyle w:val="ListBullet"/>
        <w:numPr>
          <w:ilvl w:val="0"/>
          <w:numId w:val="0"/>
        </w:numPr>
        <w:rPr>
          <w:rFonts w:cs="Times-Roman"/>
          <w:lang w:val="en-US" w:bidi="en-US"/>
        </w:rPr>
      </w:pPr>
    </w:p>
    <w:p w:rsidR="00D71897" w:rsidRDefault="00D71897" w:rsidP="00D71897">
      <w:pPr>
        <w:pStyle w:val="Heading1"/>
        <w:ind w:left="0"/>
        <w:rPr>
          <w:lang w:val="en-US" w:bidi="en-US"/>
        </w:rPr>
      </w:pPr>
      <w:bookmarkStart w:id="125" w:name="_Toc286159998"/>
      <w:r>
        <w:rPr>
          <w:lang w:val="en-US" w:bidi="en-US"/>
        </w:rPr>
        <w:t>6. Summary of Key Learning Points</w:t>
      </w:r>
      <w:bookmarkEnd w:id="125"/>
    </w:p>
    <w:p w:rsidR="00D71897" w:rsidRDefault="00D71897" w:rsidP="00D71897">
      <w:pPr>
        <w:autoSpaceDE w:val="0"/>
        <w:autoSpaceDN w:val="0"/>
        <w:adjustRightInd w:val="0"/>
        <w:spacing w:after="0" w:line="240" w:lineRule="atLeast"/>
        <w:rPr>
          <w:rFonts w:cs="Arial"/>
          <w:color w:val="000000"/>
          <w:lang w:eastAsia="en-IE"/>
        </w:rPr>
      </w:pPr>
      <w:r w:rsidRPr="00D63C70">
        <w:rPr>
          <w:rFonts w:cs="Arial"/>
          <w:color w:val="000000"/>
          <w:lang w:eastAsia="en-IE"/>
        </w:rPr>
        <w:t xml:space="preserve">Legislative changes in the Netherlands have been key in underpinning system reform </w:t>
      </w:r>
      <w:r>
        <w:rPr>
          <w:rFonts w:cs="Arial"/>
          <w:color w:val="000000"/>
          <w:lang w:eastAsia="en-IE"/>
        </w:rPr>
        <w:t xml:space="preserve">in the health sector </w:t>
      </w:r>
      <w:r w:rsidRPr="00D63C70">
        <w:rPr>
          <w:rFonts w:cs="Arial"/>
          <w:color w:val="000000"/>
          <w:lang w:eastAsia="en-IE"/>
        </w:rPr>
        <w:t xml:space="preserve">with the aim of promoting choice and person centred services. </w:t>
      </w:r>
    </w:p>
    <w:p w:rsidR="002E1546" w:rsidRDefault="002E1546" w:rsidP="002E1546">
      <w:pPr>
        <w:pStyle w:val="Heading4"/>
        <w:rPr>
          <w:lang w:eastAsia="en-IE"/>
        </w:rPr>
      </w:pPr>
      <w:bookmarkStart w:id="126" w:name="_Toc268689572"/>
      <w:bookmarkStart w:id="127" w:name="_Toc269743662"/>
      <w:r>
        <w:rPr>
          <w:lang w:eastAsia="en-IE"/>
        </w:rPr>
        <w:t>Personal Care Budget</w:t>
      </w:r>
    </w:p>
    <w:p w:rsidR="002E1546" w:rsidRDefault="002E1546" w:rsidP="002E1546">
      <w:pPr>
        <w:autoSpaceDE w:val="0"/>
        <w:autoSpaceDN w:val="0"/>
        <w:adjustRightInd w:val="0"/>
        <w:spacing w:after="0" w:line="240" w:lineRule="atLeast"/>
        <w:rPr>
          <w:lang w:val="en-US" w:bidi="en-US"/>
        </w:rPr>
      </w:pPr>
      <w:r>
        <w:rPr>
          <w:rFonts w:cs="Arial"/>
          <w:color w:val="000000"/>
          <w:lang w:eastAsia="en-IE"/>
        </w:rPr>
        <w:t xml:space="preserve">The </w:t>
      </w:r>
      <w:r>
        <w:rPr>
          <w:lang w:val="en-US" w:bidi="en-US"/>
        </w:rPr>
        <w:t>Personal Care Budget as detailed in section 5.2 is an example of an existing person</w:t>
      </w:r>
      <w:r w:rsidRPr="00534733">
        <w:rPr>
          <w:lang w:val="en-GB" w:bidi="en-US"/>
        </w:rPr>
        <w:t xml:space="preserve"> centred</w:t>
      </w:r>
      <w:r>
        <w:rPr>
          <w:lang w:val="en-US" w:bidi="en-US"/>
        </w:rPr>
        <w:t xml:space="preserve"> service that provides people with disabilities with the right to chose the type of care they wished to receive and who would care for them</w:t>
      </w:r>
      <w:r>
        <w:rPr>
          <w:rStyle w:val="FootnoteReference"/>
          <w:lang w:val="en-US" w:bidi="en-US"/>
        </w:rPr>
        <w:footnoteReference w:id="109"/>
      </w:r>
      <w:r>
        <w:rPr>
          <w:lang w:val="en-US" w:bidi="en-US"/>
        </w:rPr>
        <w:t xml:space="preserve">. </w:t>
      </w:r>
    </w:p>
    <w:p w:rsidR="002E1546" w:rsidRDefault="002E1546" w:rsidP="002E1546">
      <w:pPr>
        <w:pStyle w:val="Heading4"/>
        <w:rPr>
          <w:lang w:val="en-US" w:bidi="en-US"/>
        </w:rPr>
      </w:pPr>
      <w:bookmarkStart w:id="128" w:name="_Toc268689560"/>
      <w:r>
        <w:rPr>
          <w:lang w:val="en-US" w:bidi="en-US"/>
        </w:rPr>
        <w:t xml:space="preserve">Quality </w:t>
      </w:r>
      <w:r w:rsidR="00B834A1">
        <w:rPr>
          <w:lang w:val="en-US" w:bidi="en-US"/>
        </w:rPr>
        <w:t xml:space="preserve">and transparency in </w:t>
      </w:r>
      <w:r>
        <w:rPr>
          <w:lang w:val="en-US" w:bidi="en-US"/>
        </w:rPr>
        <w:t>healthcare</w:t>
      </w:r>
      <w:bookmarkEnd w:id="128"/>
      <w:r w:rsidR="00B834A1">
        <w:rPr>
          <w:lang w:val="en-US" w:bidi="en-US"/>
        </w:rPr>
        <w:t xml:space="preserve"> provision</w:t>
      </w:r>
    </w:p>
    <w:p w:rsidR="002E1546" w:rsidRDefault="002E1546" w:rsidP="002E1546">
      <w:pPr>
        <w:rPr>
          <w:lang w:val="en-US" w:bidi="en-US"/>
        </w:rPr>
      </w:pPr>
      <w:r>
        <w:rPr>
          <w:lang w:val="en-US" w:bidi="en-US"/>
        </w:rPr>
        <w:t>Recent legislation regarding the NZA</w:t>
      </w:r>
      <w:r w:rsidRPr="006B7492">
        <w:rPr>
          <w:lang w:val="en-US" w:bidi="en-US"/>
        </w:rPr>
        <w:t xml:space="preserve"> </w:t>
      </w:r>
      <w:r>
        <w:rPr>
          <w:lang w:val="en-US" w:bidi="en-US"/>
        </w:rPr>
        <w:t xml:space="preserve">(the national authority that controls the market) has provided the Netherlands with a system of indicators that control and measure </w:t>
      </w:r>
      <w:r w:rsidR="008B5653">
        <w:rPr>
          <w:lang w:val="en-US" w:bidi="en-US"/>
        </w:rPr>
        <w:t>q</w:t>
      </w:r>
      <w:r>
        <w:rPr>
          <w:lang w:val="en-US" w:bidi="en-US"/>
        </w:rPr>
        <w:t>uality of health care</w:t>
      </w:r>
      <w:r w:rsidR="008B5653">
        <w:rPr>
          <w:lang w:val="en-US" w:bidi="en-US"/>
        </w:rPr>
        <w:t xml:space="preserve">. </w:t>
      </w:r>
      <w:r w:rsidR="00B834A1">
        <w:rPr>
          <w:lang w:val="en-US" w:bidi="en-US"/>
        </w:rPr>
        <w:t>The system also aims to improve the transparency of the market and pricing system for he</w:t>
      </w:r>
      <w:r>
        <w:rPr>
          <w:lang w:val="en-US" w:bidi="en-US"/>
        </w:rPr>
        <w:t>alth care provision in the Netherlands</w:t>
      </w:r>
      <w:r>
        <w:rPr>
          <w:rStyle w:val="FootnoteReference"/>
          <w:lang w:val="en-US" w:bidi="en-US"/>
        </w:rPr>
        <w:footnoteReference w:id="110"/>
      </w:r>
      <w:r>
        <w:rPr>
          <w:lang w:val="en-US" w:bidi="en-US"/>
        </w:rPr>
        <w:t xml:space="preserve">. </w:t>
      </w:r>
    </w:p>
    <w:p w:rsidR="00667704" w:rsidRDefault="00667704" w:rsidP="00667704">
      <w:pPr>
        <w:pStyle w:val="Heading4"/>
        <w:rPr>
          <w:rFonts w:cs="Arial"/>
          <w:lang w:val="en-US"/>
        </w:rPr>
      </w:pPr>
      <w:r w:rsidRPr="00667704">
        <w:t>Strengthening Advocacy and Services User Voices</w:t>
      </w:r>
      <w:r>
        <w:rPr>
          <w:rFonts w:cs="Arial"/>
          <w:lang w:val="en-US"/>
        </w:rPr>
        <w:t xml:space="preserve"> </w:t>
      </w:r>
    </w:p>
    <w:p w:rsidR="002E1546" w:rsidRPr="00667704" w:rsidRDefault="00667704" w:rsidP="002E1546">
      <w:pPr>
        <w:rPr>
          <w:rFonts w:cs="Arial"/>
          <w:lang w:val="en-US"/>
        </w:rPr>
      </w:pPr>
      <w:r>
        <w:rPr>
          <w:rFonts w:cs="Arial"/>
          <w:lang w:val="en-US"/>
        </w:rPr>
        <w:t xml:space="preserve">According to Schoonheim, </w:t>
      </w:r>
      <w:r w:rsidR="00B834A1">
        <w:rPr>
          <w:rFonts w:cs="Arial"/>
          <w:lang w:val="en-US"/>
        </w:rPr>
        <w:t xml:space="preserve">there is </w:t>
      </w:r>
      <w:r>
        <w:rPr>
          <w:rFonts w:cs="Arial"/>
          <w:lang w:val="en-US"/>
        </w:rPr>
        <w:t xml:space="preserve">a </w:t>
      </w:r>
      <w:r w:rsidR="00B834A1">
        <w:rPr>
          <w:rFonts w:cs="Arial"/>
          <w:lang w:val="en-US"/>
        </w:rPr>
        <w:t>need to improve the central funding of advocacy supports in the Netherlands to enhance the engagement of non-statutory and representative bodi</w:t>
      </w:r>
      <w:r w:rsidR="008009EE">
        <w:rPr>
          <w:rFonts w:cs="Arial"/>
          <w:lang w:val="en-US"/>
        </w:rPr>
        <w:t>es in the policy making process</w:t>
      </w:r>
      <w:r w:rsidR="002E1546">
        <w:rPr>
          <w:rStyle w:val="FootnoteReference"/>
          <w:lang w:val="en-US" w:bidi="en-US"/>
        </w:rPr>
        <w:footnoteReference w:id="111"/>
      </w:r>
      <w:r w:rsidR="008009EE">
        <w:rPr>
          <w:rFonts w:cs="Arial"/>
          <w:lang w:val="en-US"/>
        </w:rPr>
        <w:t>.</w:t>
      </w:r>
    </w:p>
    <w:p w:rsidR="002E1546" w:rsidRDefault="002E1546" w:rsidP="002E1546">
      <w:pPr>
        <w:pStyle w:val="Heading4"/>
        <w:rPr>
          <w:lang w:val="en-US" w:bidi="en-US"/>
        </w:rPr>
      </w:pPr>
      <w:bookmarkStart w:id="129" w:name="_Toc268689569"/>
      <w:r>
        <w:rPr>
          <w:lang w:val="en-US" w:bidi="en-US"/>
        </w:rPr>
        <w:t>Employment</w:t>
      </w:r>
      <w:bookmarkEnd w:id="129"/>
    </w:p>
    <w:p w:rsidR="002E1546" w:rsidRDefault="002E1546" w:rsidP="002E1546">
      <w:r>
        <w:t xml:space="preserve">In 2006, the Dutch government's policy regarding disability benefits </w:t>
      </w:r>
      <w:r w:rsidR="00B834A1">
        <w:t xml:space="preserve">re-oriented its </w:t>
      </w:r>
      <w:r>
        <w:t xml:space="preserve">focus </w:t>
      </w:r>
      <w:r w:rsidR="00B834A1">
        <w:t xml:space="preserve">to highlight </w:t>
      </w:r>
      <w:r>
        <w:t>people’s capacity rather than their incapacity to work. The government sought to provide financial incentives for recipients to pursue work by:</w:t>
      </w:r>
    </w:p>
    <w:p w:rsidR="002E1546" w:rsidRDefault="002E1546" w:rsidP="002E1546">
      <w:pPr>
        <w:pStyle w:val="ListBullet"/>
      </w:pPr>
      <w:r>
        <w:t>Providing employers with subsidies to hire people with disabilities</w:t>
      </w:r>
    </w:p>
    <w:p w:rsidR="002E1546" w:rsidRDefault="002E1546" w:rsidP="002E1546">
      <w:pPr>
        <w:pStyle w:val="ListBullet"/>
      </w:pPr>
      <w:r>
        <w:t xml:space="preserve">Providing educational and integration support to people with disabilities who have a work capacity. </w:t>
      </w:r>
    </w:p>
    <w:p w:rsidR="00B834A1" w:rsidRDefault="00B834A1" w:rsidP="00B834A1">
      <w:pPr>
        <w:pStyle w:val="ListBullet"/>
      </w:pPr>
      <w:r>
        <w:t>Tightening the eligibility requirements for recipients at the higher level of benefits</w:t>
      </w:r>
    </w:p>
    <w:p w:rsidR="002E1546" w:rsidRDefault="002E1546" w:rsidP="002E1546">
      <w:pPr>
        <w:pStyle w:val="ListBullet"/>
        <w:numPr>
          <w:ilvl w:val="0"/>
          <w:numId w:val="0"/>
        </w:numPr>
      </w:pPr>
      <w:r>
        <w:t>Despite these incentives there are still barriers to people with disabilities entering the open labour market</w:t>
      </w:r>
      <w:r>
        <w:rPr>
          <w:rStyle w:val="FootnoteReference"/>
        </w:rPr>
        <w:footnoteReference w:id="112"/>
      </w:r>
      <w:r>
        <w:t>.</w:t>
      </w:r>
    </w:p>
    <w:p w:rsidR="002E1546" w:rsidRDefault="002E1546" w:rsidP="002E1546">
      <w:pPr>
        <w:pStyle w:val="Heading1"/>
        <w:rPr>
          <w:lang w:val="en-US" w:bidi="en-US"/>
        </w:rPr>
      </w:pPr>
      <w:bookmarkStart w:id="130" w:name="_Toc286159999"/>
      <w:r w:rsidRPr="00E23E52">
        <w:rPr>
          <w:lang w:val="en-US" w:bidi="en-US"/>
        </w:rPr>
        <w:t>References</w:t>
      </w:r>
      <w:bookmarkEnd w:id="126"/>
      <w:bookmarkEnd w:id="127"/>
      <w:bookmarkEnd w:id="130"/>
    </w:p>
    <w:p w:rsidR="00350284" w:rsidRDefault="00350284" w:rsidP="00350284">
      <w:r>
        <w:t>ANED (2009) The Netherlands country profile.</w:t>
      </w:r>
      <w:r w:rsidRPr="00037EFD">
        <w:t xml:space="preserve"> http://www.disability-europe.net/content/pdf/Netherlands%20ANED%20country%20profile.pdf</w:t>
      </w:r>
    </w:p>
    <w:p w:rsidR="002E1546" w:rsidRPr="005809E5" w:rsidRDefault="002E1546" w:rsidP="002E1546">
      <w:r w:rsidRPr="00593488">
        <w:t>Applica &amp; CESEP &amp; European Centre (2007) Study of the Compilation of Disability Statistical Data from the Administrative registers of Members States</w:t>
      </w:r>
      <w:r>
        <w:t>.</w:t>
      </w:r>
    </w:p>
    <w:p w:rsidR="002E1546" w:rsidRDefault="002E1546" w:rsidP="002E1546">
      <w:pPr>
        <w:autoSpaceDE w:val="0"/>
        <w:autoSpaceDN w:val="0"/>
        <w:adjustRightInd w:val="0"/>
        <w:rPr>
          <w:rFonts w:cs="TimesNewRomanPS-BoldMT"/>
          <w:bCs/>
          <w:szCs w:val="22"/>
          <w:lang w:val="en-US" w:bidi="en-US"/>
        </w:rPr>
      </w:pPr>
      <w:r>
        <w:t xml:space="preserve">de Boer, F., Schuttel, P., and </w:t>
      </w:r>
      <w:r w:rsidR="00A7587B">
        <w:t>Slippers</w:t>
      </w:r>
      <w:r>
        <w:t>, T. (2009) Personal Budgets (PGB)s for long term care in the Netherlands. Presentation to Ministry of Health, Welfare and Sport</w:t>
      </w:r>
      <w:r>
        <w:rPr>
          <w:rFonts w:cs="TimesNewRomanPS-BoldMT"/>
          <w:bCs/>
          <w:szCs w:val="22"/>
          <w:lang w:val="en-US" w:bidi="en-US"/>
        </w:rPr>
        <w:t xml:space="preserve"> </w:t>
      </w:r>
    </w:p>
    <w:p w:rsidR="002E1546" w:rsidRDefault="002E1546" w:rsidP="002E1546">
      <w:pPr>
        <w:autoSpaceDE w:val="0"/>
        <w:autoSpaceDN w:val="0"/>
        <w:adjustRightInd w:val="0"/>
        <w:rPr>
          <w:rFonts w:cs="Arial"/>
          <w:lang w:eastAsia="en-IE"/>
        </w:rPr>
      </w:pPr>
      <w:r>
        <w:rPr>
          <w:rFonts w:cs="TimesNewRomanPS-BoldMT"/>
          <w:bCs/>
          <w:szCs w:val="22"/>
          <w:lang w:val="en-US" w:bidi="en-US"/>
        </w:rPr>
        <w:t>Declerq, A., Demaerschalk, M., and De Keyser, H. (2007)</w:t>
      </w:r>
      <w:r>
        <w:rPr>
          <w:rFonts w:cs="TimesNewRomanPS-BoldMT"/>
          <w:bCs/>
          <w:szCs w:val="22"/>
          <w:lang w:bidi="en-US"/>
        </w:rPr>
        <w:t xml:space="preserve"> </w:t>
      </w:r>
      <w:r w:rsidRPr="001F065D">
        <w:rPr>
          <w:rFonts w:cs="TimesNewRomanPS-BoldMT"/>
          <w:bCs/>
          <w:szCs w:val="22"/>
          <w:lang w:bidi="en-US"/>
        </w:rPr>
        <w:t>Deinstitutionalisation</w:t>
      </w:r>
      <w:r>
        <w:rPr>
          <w:rFonts w:cs="TimesNewRomanPS-BoldMT"/>
          <w:bCs/>
          <w:szCs w:val="22"/>
          <w:lang w:val="en-US" w:bidi="en-US"/>
        </w:rPr>
        <w:t xml:space="preserve"> and community living - outcomes and costs: report of a European study country report the Netherlands in </w:t>
      </w:r>
      <w:r w:rsidRPr="007B5953">
        <w:rPr>
          <w:rFonts w:cs="Arial"/>
          <w:lang w:eastAsia="en-IE"/>
        </w:rPr>
        <w:t>Be</w:t>
      </w:r>
      <w:r>
        <w:rPr>
          <w:rFonts w:cs="Arial"/>
          <w:lang w:eastAsia="en-IE"/>
        </w:rPr>
        <w:t xml:space="preserve">adle-Brown J and Kozma A (2007) </w:t>
      </w:r>
      <w:r w:rsidRPr="007B5953">
        <w:rPr>
          <w:rFonts w:cs="Arial"/>
          <w:lang w:eastAsia="en-IE"/>
        </w:rPr>
        <w:t>Deinstitutionalisation and community living – outcomes and costs: report of a</w:t>
      </w:r>
      <w:r>
        <w:rPr>
          <w:rFonts w:cs="Arial"/>
          <w:lang w:eastAsia="en-IE"/>
        </w:rPr>
        <w:t xml:space="preserve"> </w:t>
      </w:r>
      <w:r w:rsidRPr="007B5953">
        <w:rPr>
          <w:rFonts w:cs="Arial"/>
          <w:lang w:eastAsia="en-IE"/>
        </w:rPr>
        <w:t>European Study. Volume 3: Country Reports. Canter</w:t>
      </w:r>
      <w:r>
        <w:rPr>
          <w:rFonts w:cs="Arial"/>
          <w:lang w:eastAsia="en-IE"/>
        </w:rPr>
        <w:t xml:space="preserve">bury: Tizard Centre, University </w:t>
      </w:r>
      <w:r w:rsidRPr="007B5953">
        <w:rPr>
          <w:rFonts w:cs="Arial"/>
          <w:lang w:eastAsia="en-IE"/>
        </w:rPr>
        <w:t>of Kent.</w:t>
      </w:r>
    </w:p>
    <w:p w:rsidR="002E1546" w:rsidRPr="00C321BB" w:rsidRDefault="002E1546" w:rsidP="002E1546">
      <w:pPr>
        <w:rPr>
          <w:bCs/>
          <w:lang w:val="en-US" w:bidi="en-US"/>
        </w:rPr>
      </w:pPr>
      <w:r w:rsidRPr="00C321BB">
        <w:t>De Klerk</w:t>
      </w:r>
      <w:r>
        <w:t>,</w:t>
      </w:r>
      <w:r w:rsidRPr="00C321BB">
        <w:t xml:space="preserve"> M</w:t>
      </w:r>
      <w:r>
        <w:t>.,</w:t>
      </w:r>
      <w:r w:rsidRPr="00C321BB">
        <w:t xml:space="preserve"> (2002) 7</w:t>
      </w:r>
      <w:r w:rsidRPr="00C321BB">
        <w:rPr>
          <w:vertAlign w:val="superscript"/>
        </w:rPr>
        <w:t>th</w:t>
      </w:r>
      <w:r w:rsidRPr="00C321BB">
        <w:t xml:space="preserve"> report on people with an impairment. </w:t>
      </w:r>
      <w:hyperlink r:id="rId10" w:history="1">
        <w:r w:rsidRPr="00C321BB">
          <w:rPr>
            <w:rStyle w:val="Hyperlink"/>
            <w:rFonts w:cs="Arial"/>
          </w:rPr>
          <w:t>www.scp.nl</w:t>
        </w:r>
      </w:hyperlink>
      <w:r w:rsidRPr="00C321BB">
        <w:t xml:space="preserve"> in </w:t>
      </w:r>
      <w:r w:rsidRPr="00C321BB">
        <w:rPr>
          <w:lang w:val="en-US" w:bidi="en-US"/>
        </w:rPr>
        <w:t xml:space="preserve">Public Transport Systems Access for People with Disabilities in Europe (2008) State of the Accessibility of Public Transport Systems for People with Disabilities in the Netherlands (NL) </w:t>
      </w:r>
    </w:p>
    <w:p w:rsidR="00A7587B" w:rsidRDefault="00A7587B" w:rsidP="002E1546">
      <w:r>
        <w:t xml:space="preserve">Dutch Coalition on Disability and Development website </w:t>
      </w:r>
      <w:r w:rsidRPr="0060420D">
        <w:t>http://www.dcdd.nl/default.asp?3079</w:t>
      </w:r>
    </w:p>
    <w:p w:rsidR="002E1546" w:rsidRPr="00A47932" w:rsidRDefault="002E1546" w:rsidP="002E1546">
      <w:r>
        <w:t xml:space="preserve">EC Europa (2008) Mental Health Briefing Sheets, Fact and Activities in Member States: </w:t>
      </w:r>
      <w:r w:rsidRPr="00A47932">
        <w:t>http://ec.europa.eu/health/ph_determinants/life_style/mental/docs/Netherlands.pdf</w:t>
      </w:r>
    </w:p>
    <w:p w:rsidR="002E1546" w:rsidRPr="00194B20"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rPr>
          <w:rFonts w:cs="TimesNewRomanPS-BoldMT"/>
          <w:bCs/>
          <w:szCs w:val="22"/>
          <w:lang w:val="en-US" w:bidi="en-US"/>
        </w:rPr>
        <w:t>EU Monitoring and Advocacy Program</w:t>
      </w:r>
      <w:r w:rsidR="00194B20">
        <w:rPr>
          <w:rFonts w:cs="TimesNewRomanPS-BoldMT"/>
          <w:bCs/>
          <w:szCs w:val="22"/>
          <w:lang w:val="en-US" w:bidi="en-US"/>
        </w:rPr>
        <w:t>me, Open Society Institute (2006</w:t>
      </w:r>
      <w:r>
        <w:rPr>
          <w:rFonts w:cs="TimesNewRomanPS-BoldMT"/>
          <w:bCs/>
          <w:szCs w:val="22"/>
          <w:lang w:val="en-US" w:bidi="en-US"/>
        </w:rPr>
        <w:t>) Rights of people with Intellectual Disabilities: Access to Education and Employment. Summary Reports, The Netherlands. Open Society Institute, Hungary. www.eumap.org</w:t>
      </w:r>
      <w:r w:rsidR="00194B20" w:rsidRPr="00194B20">
        <w:t xml:space="preserve"> </w:t>
      </w:r>
      <w:r w:rsidR="00194B20" w:rsidRPr="00194B20">
        <w:rPr>
          <w:rFonts w:cs="TimesNewRomanPS-BoldMT"/>
          <w:bCs/>
          <w:szCs w:val="22"/>
          <w:lang w:val="en-US" w:bidi="en-US"/>
        </w:rPr>
        <w:t>http://www.osmhi.org/contentpics/202/id_nl.pdf</w:t>
      </w:r>
    </w:p>
    <w:p w:rsidR="002E1546" w:rsidRDefault="002E1546" w:rsidP="002E1546">
      <w:r w:rsidRPr="003266CC">
        <w:t>Goedheijt, T.S., Visser-Jansen, G., and Pijl, M. (2004) Mantelzorg in the Netherlands: Family care: characteristics, care policies, support and research. Utrecht 2004.</w:t>
      </w:r>
    </w:p>
    <w:p w:rsidR="00A7587B" w:rsidRPr="00A7587B" w:rsidRDefault="00A7587B" w:rsidP="00A7587B">
      <w:r w:rsidRPr="00A7587B">
        <w:t>McKenney, S</w:t>
      </w:r>
      <w:r w:rsidR="00901BE0">
        <w:t>.</w:t>
      </w:r>
      <w:r w:rsidRPr="00A7587B">
        <w:t xml:space="preserve"> (2009) Early Childhood Intervention Project Update. Country Report: The Netherlands. European Agency for Development in Special Needs Education</w:t>
      </w:r>
    </w:p>
    <w:p w:rsidR="00162067" w:rsidRPr="00261232" w:rsidRDefault="00162067" w:rsidP="00162067">
      <w:r>
        <w:t xml:space="preserve">Ministry of Health, Welfare and Sport (2004) Equal treatment in practice. </w:t>
      </w:r>
      <w:r w:rsidRPr="00261232">
        <w:t>http://english.minvws.nl/en/themes/disabled_people/default.asp</w:t>
      </w:r>
    </w:p>
    <w:p w:rsidR="002E1546" w:rsidRDefault="002E1546" w:rsidP="002E1546">
      <w:r w:rsidRPr="00B8138F">
        <w:t>Ministry of Health (2007) Letter to Parliament, DLZ/ZI-U-2811809, November 9, 2007. Den Haag in Schut, F.T and Van den Berg, B. (2009) Sustainability of Comprehensive Universal Long - Term Care Insurance in the Netherlands. Accepted for publication in Social Policy and Administration</w:t>
      </w:r>
    </w:p>
    <w:p w:rsidR="002E1546" w:rsidRDefault="002E1546" w:rsidP="002E1546">
      <w:r w:rsidRPr="00B8138F">
        <w:rPr>
          <w:rFonts w:cs="TimesNewRomanPS-BoldMT"/>
          <w:bCs/>
          <w:lang w:val="en-US" w:bidi="en-US"/>
        </w:rPr>
        <w:t xml:space="preserve">Ministry of Health (2008) Letter to Parliaments DLZ/KZ-2856771 June 13, 2008. Den Haag in </w:t>
      </w:r>
      <w:r w:rsidRPr="00B8138F">
        <w:t>Schut, F.T and Van den Berg, B. (2009) Sustainability of Comprehensive Universal Long - Term Care Insurance in the Netherlands. Accepted for publication in Social Policy and Administration</w:t>
      </w:r>
    </w:p>
    <w:p w:rsidR="002E1546" w:rsidRPr="00D45792" w:rsidRDefault="002E1546" w:rsidP="002E1546">
      <w:r>
        <w:t xml:space="preserve">Ministry of Health, Welfare and Sport website </w:t>
      </w:r>
      <w:r w:rsidRPr="00D45792">
        <w:t>http://english.minvws.nl/en/themes/disabled_people/default.asp</w:t>
      </w:r>
    </w:p>
    <w:p w:rsidR="002E1546" w:rsidRPr="001E03E9" w:rsidRDefault="002E1546" w:rsidP="002E1546">
      <w:r>
        <w:t xml:space="preserve">Ministry of Housing, Spatial Planning and the Environment website </w:t>
      </w:r>
      <w:r w:rsidRPr="001E03E9">
        <w:t>http://www.vrom.nl/pagina.html?id=37413</w:t>
      </w:r>
    </w:p>
    <w:p w:rsidR="00162067" w:rsidRPr="007D4753" w:rsidRDefault="00162067" w:rsidP="00162067">
      <w:r>
        <w:t xml:space="preserve">Mot, E. (2010) The Dutch system of  long-term care. CPB Netherlands Bureau  for Economic Policy Analysis. The Hague. Netherlands. </w:t>
      </w:r>
      <w:r w:rsidRPr="007D4753">
        <w:t>http://www.ceps.eu/book/dutch-system-long-term-care</w:t>
      </w:r>
    </w:p>
    <w:p w:rsidR="002E1546" w:rsidRDefault="002E1546" w:rsidP="002E1546">
      <w:pPr>
        <w:rPr>
          <w:lang w:eastAsia="en-IE"/>
        </w:rPr>
      </w:pPr>
      <w:r w:rsidRPr="00254C9C">
        <w:rPr>
          <w:lang w:eastAsia="en-IE"/>
        </w:rPr>
        <w:t>Neeleman</w:t>
      </w:r>
      <w:r w:rsidR="00901BE0">
        <w:rPr>
          <w:lang w:eastAsia="en-IE"/>
        </w:rPr>
        <w:t>,</w:t>
      </w:r>
      <w:r w:rsidRPr="00254C9C">
        <w:rPr>
          <w:lang w:eastAsia="en-IE"/>
        </w:rPr>
        <w:t xml:space="preserve"> J</w:t>
      </w:r>
      <w:r w:rsidR="00901BE0">
        <w:rPr>
          <w:lang w:eastAsia="en-IE"/>
        </w:rPr>
        <w:t>.</w:t>
      </w:r>
      <w:r w:rsidRPr="00254C9C">
        <w:rPr>
          <w:lang w:eastAsia="en-IE"/>
        </w:rPr>
        <w:t>, Sytema</w:t>
      </w:r>
      <w:r w:rsidR="00901BE0">
        <w:rPr>
          <w:lang w:eastAsia="en-IE"/>
        </w:rPr>
        <w:t>,</w:t>
      </w:r>
      <w:r w:rsidRPr="00254C9C">
        <w:rPr>
          <w:lang w:eastAsia="en-IE"/>
        </w:rPr>
        <w:t xml:space="preserve"> S</w:t>
      </w:r>
      <w:r w:rsidR="00901BE0">
        <w:rPr>
          <w:lang w:eastAsia="en-IE"/>
        </w:rPr>
        <w:t>.</w:t>
      </w:r>
      <w:r w:rsidRPr="00254C9C">
        <w:rPr>
          <w:lang w:eastAsia="en-IE"/>
        </w:rPr>
        <w:t>, Wadsworth</w:t>
      </w:r>
      <w:r w:rsidR="00901BE0">
        <w:rPr>
          <w:lang w:eastAsia="en-IE"/>
        </w:rPr>
        <w:t>,</w:t>
      </w:r>
      <w:r w:rsidRPr="00254C9C">
        <w:rPr>
          <w:lang w:eastAsia="en-IE"/>
        </w:rPr>
        <w:t xml:space="preserve"> M.</w:t>
      </w:r>
      <w:r w:rsidR="00901BE0">
        <w:rPr>
          <w:lang w:eastAsia="en-IE"/>
        </w:rPr>
        <w:t>(2003)</w:t>
      </w:r>
      <w:r w:rsidRPr="00254C9C">
        <w:rPr>
          <w:lang w:eastAsia="en-IE"/>
        </w:rPr>
        <w:t xml:space="preserve"> Propensity to psychiatric and somatic ill health: evidence from a birth cohort. P</w:t>
      </w:r>
      <w:r w:rsidR="00901BE0">
        <w:rPr>
          <w:lang w:eastAsia="en-IE"/>
        </w:rPr>
        <w:t>sychological Medicine</w:t>
      </w:r>
      <w:r>
        <w:rPr>
          <w:lang w:eastAsia="en-IE"/>
        </w:rPr>
        <w:t>, 32, 793-803.</w:t>
      </w:r>
    </w:p>
    <w:p w:rsidR="00B508E1" w:rsidRDefault="00B508E1" w:rsidP="00B508E1">
      <w:r>
        <w:t>OECD (2008) Sickness, Disability and Work: Denmark, Finland, Ireland and the Netherlands. Breaking the Barriers. Vol. 3</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rPr>
          <w:rFonts w:cs="TimesNewRomanPS-BoldMT"/>
          <w:bCs/>
          <w:szCs w:val="22"/>
          <w:lang w:val="en-US" w:bidi="en-US"/>
        </w:rPr>
        <w:t xml:space="preserve">Overheid. nl: Information website for government organisations in the Netherlands. </w:t>
      </w:r>
      <w:r w:rsidRPr="00C06CA5">
        <w:rPr>
          <w:rFonts w:cs="TimesNewRomanPS-BoldMT"/>
          <w:bCs/>
          <w:szCs w:val="22"/>
          <w:lang w:val="en-US" w:bidi="en-US"/>
        </w:rPr>
        <w:t>http://www.overheid.nl/english</w:t>
      </w:r>
    </w:p>
    <w:p w:rsidR="00A7587B" w:rsidRDefault="00A7587B"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rsidRPr="00A7587B">
        <w:t>Per Saldo website. http://www.pgb.nl/persaldo/english/?waxtrapp=tdtvrMsHcwOhcPjBCAU</w:t>
      </w:r>
      <w:r>
        <w:rPr>
          <w:rFonts w:cs="TimesNewRomanPS-BoldMT"/>
          <w:bCs/>
          <w:szCs w:val="22"/>
          <w:lang w:val="en-US" w:bidi="en-US"/>
        </w:rPr>
        <w:t xml:space="preserve"> </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rPr>
          <w:rFonts w:cs="TimesNewRomanPS-BoldMT"/>
          <w:bCs/>
          <w:szCs w:val="22"/>
          <w:lang w:val="en-US" w:bidi="en-US"/>
        </w:rPr>
        <w:t xml:space="preserve">Public Transport Systems Access for People with Disabilities in Europe (2008) State of the Accessibility of Public Transport Systems for People with Disabilities in the Netherlands (NL) </w:t>
      </w:r>
      <w:r w:rsidRPr="00C06CA5">
        <w:rPr>
          <w:rFonts w:cs="TimesNewRomanPS-BoldMT"/>
          <w:bCs/>
          <w:szCs w:val="22"/>
          <w:lang w:val="en-US" w:bidi="en-US"/>
        </w:rPr>
        <w:t>http://</w:t>
      </w:r>
      <w:r>
        <w:rPr>
          <w:rFonts w:cs="TimesNewRomanPS-BoldMT"/>
          <w:bCs/>
          <w:szCs w:val="22"/>
          <w:lang w:val="en-US" w:bidi="en-US"/>
        </w:rPr>
        <w:t xml:space="preserve">www. </w:t>
      </w:r>
      <w:r w:rsidRPr="00C06CA5">
        <w:rPr>
          <w:rFonts w:cs="TimesNewRomanPS-BoldMT"/>
          <w:bCs/>
          <w:szCs w:val="22"/>
          <w:lang w:val="en-US" w:bidi="en-US"/>
        </w:rPr>
        <w:t>ptaccess.eu/Downloads.phtml</w:t>
      </w:r>
    </w:p>
    <w:p w:rsidR="002E1546" w:rsidRPr="00DC56A1"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TMLCite"/>
          <w:rFonts w:cs="Arial"/>
          <w:i w:val="0"/>
          <w:color w:val="000000"/>
        </w:rPr>
      </w:pPr>
      <w:r w:rsidRPr="00DC56A1">
        <w:rPr>
          <w:rFonts w:cs="Arial"/>
          <w:bCs/>
          <w:szCs w:val="22"/>
          <w:lang w:val="en-US" w:bidi="en-US"/>
        </w:rPr>
        <w:t>Schoonheim, J.  and Smits</w:t>
      </w:r>
      <w:r w:rsidR="00901BE0">
        <w:rPr>
          <w:rFonts w:cs="Arial"/>
          <w:bCs/>
          <w:szCs w:val="22"/>
          <w:lang w:val="en-US" w:bidi="en-US"/>
        </w:rPr>
        <w:t>,</w:t>
      </w:r>
      <w:r w:rsidRPr="00DC56A1">
        <w:rPr>
          <w:rFonts w:cs="Arial"/>
          <w:bCs/>
          <w:szCs w:val="22"/>
          <w:lang w:val="en-US" w:bidi="en-US"/>
        </w:rPr>
        <w:t xml:space="preserve"> J. (2009) Report on the employment of disabled people in European countries. The Netherlands. ANED (Academic Network of  European Disability Experts) </w:t>
      </w:r>
      <w:r w:rsidRPr="00DC56A1">
        <w:rPr>
          <w:rStyle w:val="HTMLCite"/>
          <w:rFonts w:cs="Arial"/>
          <w:i w:val="0"/>
          <w:color w:val="000000"/>
        </w:rPr>
        <w:t>www.disability-europe.net/</w:t>
      </w:r>
    </w:p>
    <w:p w:rsidR="002E1546" w:rsidRPr="00A049EF"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rPr>
          <w:rFonts w:cs="TimesNewRomanPS-BoldMT"/>
          <w:bCs/>
          <w:szCs w:val="22"/>
          <w:lang w:val="en-US" w:bidi="en-US"/>
        </w:rPr>
        <w:t xml:space="preserve">Schoonheim, J (2009). ANED country report on the implementation of policies supporting independent living for disabled people in the Netherlands. </w:t>
      </w:r>
      <w:r w:rsidRPr="00565617">
        <w:rPr>
          <w:rFonts w:cs="Arial"/>
          <w:bCs/>
          <w:szCs w:val="22"/>
          <w:lang w:val="en-US" w:bidi="en-US"/>
        </w:rPr>
        <w:t xml:space="preserve">ANED (Academic Network of  European Disability Experts) </w:t>
      </w:r>
      <w:r w:rsidRPr="00565617">
        <w:rPr>
          <w:rStyle w:val="HTMLCite"/>
          <w:rFonts w:cs="Arial"/>
          <w:i w:val="0"/>
          <w:color w:val="000000"/>
        </w:rPr>
        <w:t>www.disability-europe.net/</w:t>
      </w:r>
    </w:p>
    <w:p w:rsidR="002E1546" w:rsidRPr="00DC56A1" w:rsidRDefault="002E1546" w:rsidP="002E1546">
      <w:pPr>
        <w:rPr>
          <w:rFonts w:cs="Arial"/>
          <w:lang w:val="en-US"/>
        </w:rPr>
      </w:pPr>
      <w:r>
        <w:t xml:space="preserve">Schoonheim, J., and Smits, J. (2009) Report on the social inclusion and social protection of people with disabilities in  European countries. The Netherlands. ANED </w:t>
      </w:r>
      <w:r w:rsidRPr="00D44D07">
        <w:rPr>
          <w:lang w:val="en-US" w:bidi="en-US"/>
        </w:rPr>
        <w:t xml:space="preserve">(Academic Network of  European Disability Experts) </w:t>
      </w:r>
      <w:r w:rsidRPr="00485465">
        <w:rPr>
          <w:rFonts w:cs="Arial"/>
          <w:lang w:val="en-US"/>
        </w:rPr>
        <w:t>www.disability-europe.net/</w:t>
      </w:r>
    </w:p>
    <w:p w:rsidR="002E1546" w:rsidRPr="00565617" w:rsidRDefault="002E1546" w:rsidP="002E1546">
      <w:r w:rsidRPr="00565617">
        <w:t>Schut, F.T and Van den Berg, B. (2009) Sustainability of Comprehensive Universal Long - Term Care Insurance in the Netherlands. Accepted for publication in Social Policy and Administration</w:t>
      </w:r>
    </w:p>
    <w:p w:rsidR="00A7587B" w:rsidRDefault="002E1546" w:rsidP="00A7587B">
      <w:r w:rsidRPr="00255F0F">
        <w:t>S</w:t>
      </w:r>
      <w:r>
        <w:t>ocial and Economic Council (2008)</w:t>
      </w:r>
      <w:r w:rsidR="00901BE0">
        <w:t>,</w:t>
      </w:r>
      <w:r>
        <w:t xml:space="preserve"> Langdurige zorg verzekerd:Over de toekomst can de AWBZ, Pubolicatienummer 3. Den Haag in Shut, F.T  and Van der Berg, B. (2009) </w:t>
      </w:r>
      <w:r w:rsidRPr="00565617">
        <w:t xml:space="preserve">Sustainability of Comprehensive Universal Long - </w:t>
      </w:r>
    </w:p>
    <w:p w:rsidR="002E1546" w:rsidRPr="00565617" w:rsidRDefault="002E1546" w:rsidP="002E1546">
      <w:r w:rsidRPr="00565617">
        <w:t>Term Care Insurance in the Netherlands. Accepted for publication in Social Policy and Administration</w:t>
      </w:r>
    </w:p>
    <w:p w:rsidR="00901BE0" w:rsidRDefault="002E1546" w:rsidP="002E1546">
      <w:pPr>
        <w:rPr>
          <w:lang w:val="en-US" w:bidi="en-US"/>
        </w:rPr>
      </w:pPr>
      <w:r w:rsidRPr="00C321BB">
        <w:t xml:space="preserve">Statistics of the Netherlands  in </w:t>
      </w:r>
      <w:r w:rsidRPr="00C321BB">
        <w:rPr>
          <w:lang w:val="en-US" w:bidi="en-US"/>
        </w:rPr>
        <w:t xml:space="preserve">Public Transport Systems Access for People with Disabilities in Europe (2008) </w:t>
      </w:r>
      <w:r w:rsidR="00901BE0" w:rsidRPr="00C321BB">
        <w:t>www.cbs.nl</w:t>
      </w:r>
    </w:p>
    <w:p w:rsidR="002E1546" w:rsidRPr="00C321BB" w:rsidRDefault="002E1546" w:rsidP="002E1546">
      <w:pPr>
        <w:rPr>
          <w:bCs/>
          <w:lang w:val="en-US" w:bidi="en-US"/>
        </w:rPr>
      </w:pPr>
      <w:r w:rsidRPr="00C321BB">
        <w:rPr>
          <w:lang w:val="en-US" w:bidi="en-US"/>
        </w:rPr>
        <w:t xml:space="preserve">State of the Accessibility of Public Transport Systems for People with Disabilities in the Netherlands (NL) </w:t>
      </w:r>
      <w:r w:rsidRPr="00C321BB">
        <w:t>www.cbs.nl</w:t>
      </w:r>
    </w:p>
    <w:p w:rsidR="002E1546" w:rsidRPr="00A048B0" w:rsidRDefault="002E1546" w:rsidP="002E1546">
      <w:r>
        <w:t xml:space="preserve">Statistics Nederland (2009) </w:t>
      </w:r>
      <w:r w:rsidRPr="00A048B0">
        <w:t>http://www.cbs.nl/en-GB/menu/cijfers/default.htm</w:t>
      </w:r>
    </w:p>
    <w:p w:rsidR="00A7587B" w:rsidRDefault="00A7587B" w:rsidP="00A7587B">
      <w:r w:rsidRPr="00924697">
        <w:t>Stichting Fokus</w:t>
      </w:r>
      <w:r w:rsidRPr="004E16E6">
        <w:t xml:space="preserve"> </w:t>
      </w:r>
      <w:r>
        <w:t xml:space="preserve">website </w:t>
      </w:r>
      <w:r w:rsidRPr="004E16E6">
        <w:t>http://www.fokuswonen.nl/317-Missie-van-Fokus.html</w:t>
      </w:r>
      <w:r>
        <w:t>.</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rsidRPr="009E5FBA">
        <w:rPr>
          <w:rFonts w:cs="Arial"/>
          <w:szCs w:val="20"/>
        </w:rPr>
        <w:t>Tamsna, N. (2008)  Quality in and Equality of Access to Healthcare Services.  European Commission</w:t>
      </w:r>
      <w:r w:rsidRPr="009E5FBA">
        <w:rPr>
          <w:rFonts w:cs="TimesNewRomanPS-BoldMT"/>
          <w:bCs/>
          <w:szCs w:val="22"/>
          <w:lang w:val="en-US" w:bidi="en-US"/>
        </w:rPr>
        <w:t xml:space="preserve"> </w:t>
      </w:r>
    </w:p>
    <w:p w:rsidR="00A7587B" w:rsidRDefault="00A7587B"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BoldMT"/>
          <w:bCs/>
          <w:szCs w:val="22"/>
          <w:lang w:val="en-US" w:bidi="en-US"/>
        </w:rPr>
      </w:pPr>
      <w:r>
        <w:t xml:space="preserve">Thomas Houses website </w:t>
      </w:r>
      <w:r w:rsidRPr="00953F16">
        <w:t>http://www.thomashuizen.nl/wat_is_een_thomashuis.aspx</w:t>
      </w:r>
      <w:r>
        <w:rPr>
          <w:rFonts w:cs="TimesNewRomanPS-BoldMT"/>
          <w:bCs/>
          <w:szCs w:val="22"/>
          <w:lang w:val="en-US" w:bidi="en-US"/>
        </w:rPr>
        <w:t xml:space="preserve"> </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eastAsia="en-IE"/>
        </w:rPr>
      </w:pPr>
      <w:r>
        <w:rPr>
          <w:rFonts w:cs="TimesNewRomanPS-BoldMT"/>
          <w:bCs/>
          <w:szCs w:val="22"/>
          <w:lang w:val="en-US" w:bidi="en-US"/>
        </w:rPr>
        <w:t>Van der Voort, H</w:t>
      </w:r>
      <w:r w:rsidR="00901BE0">
        <w:rPr>
          <w:rFonts w:cs="TimesNewRomanPS-BoldMT"/>
          <w:bCs/>
          <w:szCs w:val="22"/>
          <w:lang w:val="en-US" w:bidi="en-US"/>
        </w:rPr>
        <w:t>.,</w:t>
      </w:r>
      <w:r>
        <w:rPr>
          <w:rFonts w:cs="TimesNewRomanPS-BoldMT"/>
          <w:bCs/>
          <w:szCs w:val="22"/>
          <w:lang w:val="en-US" w:bidi="en-US"/>
        </w:rPr>
        <w:t xml:space="preserve"> and Kerpershoek, E</w:t>
      </w:r>
      <w:r w:rsidR="00901BE0">
        <w:rPr>
          <w:rFonts w:cs="TimesNewRomanPS-BoldMT"/>
          <w:bCs/>
          <w:szCs w:val="22"/>
          <w:lang w:val="en-US" w:bidi="en-US"/>
        </w:rPr>
        <w:t>.</w:t>
      </w:r>
      <w:r>
        <w:rPr>
          <w:rFonts w:cs="TimesNewRomanPS-BoldMT"/>
          <w:bCs/>
          <w:szCs w:val="22"/>
          <w:lang w:val="en-US" w:bidi="en-US"/>
        </w:rPr>
        <w:t xml:space="preserve"> (2008) Introducing performance management in the Dutch health care sector: joining up in a multi actor self regulatory system. Paper presented at the </w:t>
      </w:r>
      <w:r>
        <w:rPr>
          <w:rFonts w:cs="Arial"/>
          <w:color w:val="000000"/>
          <w:lang w:eastAsia="en-IE"/>
        </w:rPr>
        <w:t xml:space="preserve">2008 ECPR </w:t>
      </w:r>
      <w:r w:rsidRPr="0056229C">
        <w:rPr>
          <w:rFonts w:cs="Arial"/>
          <w:color w:val="000000"/>
          <w:lang w:eastAsia="en-IE"/>
        </w:rPr>
        <w:t>conference in Utrecht.</w:t>
      </w:r>
    </w:p>
    <w:p w:rsidR="002E1546" w:rsidRDefault="002E1546" w:rsidP="002E15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lang w:eastAsia="en-IE"/>
        </w:rPr>
      </w:pPr>
      <w:r>
        <w:rPr>
          <w:rFonts w:cs="Arial"/>
          <w:color w:val="000000"/>
          <w:lang w:eastAsia="en-IE"/>
        </w:rPr>
        <w:br w:type="page"/>
      </w:r>
    </w:p>
    <w:p w:rsidR="002E1546" w:rsidRDefault="002E1546" w:rsidP="002E1546">
      <w:pPr>
        <w:pStyle w:val="Heading1"/>
        <w:spacing w:before="120" w:after="0"/>
        <w:rPr>
          <w:color w:val="000000"/>
          <w:sz w:val="28"/>
          <w:szCs w:val="28"/>
        </w:rPr>
      </w:pPr>
      <w:bookmarkStart w:id="131" w:name="_Toc268689573"/>
      <w:bookmarkStart w:id="132" w:name="_Toc269743663"/>
      <w:bookmarkStart w:id="133" w:name="_Toc286160000"/>
      <w:r w:rsidRPr="00747EE4">
        <w:rPr>
          <w:color w:val="000000"/>
          <w:sz w:val="28"/>
          <w:szCs w:val="28"/>
        </w:rPr>
        <w:t xml:space="preserve">APPENDIX A: </w:t>
      </w:r>
      <w:r>
        <w:rPr>
          <w:color w:val="000000"/>
          <w:sz w:val="28"/>
          <w:szCs w:val="28"/>
        </w:rPr>
        <w:t>List of Key informants</w:t>
      </w:r>
      <w:bookmarkEnd w:id="133"/>
      <w:r>
        <w:rPr>
          <w:color w:val="000000"/>
          <w:sz w:val="28"/>
          <w:szCs w:val="28"/>
        </w:rPr>
        <w:t xml:space="preserve"> </w:t>
      </w:r>
    </w:p>
    <w:p w:rsidR="002E1546" w:rsidRPr="007A63CD" w:rsidRDefault="002E1546" w:rsidP="002E1546">
      <w:pPr>
        <w:rPr>
          <w:rFonts w:ascii="Verdana" w:hAnsi="Verdana"/>
        </w:rPr>
      </w:pPr>
    </w:p>
    <w:p w:rsidR="002E1546" w:rsidRDefault="002E1546" w:rsidP="002E1546">
      <w:pPr>
        <w:rPr>
          <w:rFonts w:cs="TimesNewRomanPS-BoldMT"/>
          <w:b/>
          <w:bCs/>
          <w:lang w:val="en-US" w:bidi="en-US"/>
        </w:rPr>
      </w:pPr>
      <w:r w:rsidRPr="0077537F">
        <w:rPr>
          <w:rFonts w:cs="TimesNewRomanPS-BoldMT"/>
          <w:b/>
          <w:bCs/>
          <w:lang w:val="en-US" w:bidi="en-US"/>
        </w:rPr>
        <w:t xml:space="preserve">Jacqueline Schoonheim </w:t>
      </w:r>
      <w:r w:rsidRPr="0077537F">
        <w:t>is a researcher of disability and education law, and a lecturer of private law at Maastricht University</w:t>
      </w:r>
    </w:p>
    <w:p w:rsidR="002E1546" w:rsidRDefault="002E1546" w:rsidP="002E1546">
      <w:pPr>
        <w:rPr>
          <w:rFonts w:cs="TimesNewRomanPS-BoldMT"/>
          <w:bCs/>
          <w:lang w:val="en-US" w:bidi="en-US"/>
        </w:rPr>
      </w:pPr>
      <w:r w:rsidRPr="0077537F">
        <w:rPr>
          <w:rFonts w:cs="TimesNewRomanPS-BoldMT"/>
          <w:b/>
          <w:bCs/>
          <w:lang w:val="en-US" w:bidi="en-US"/>
        </w:rPr>
        <w:t xml:space="preserve">Ms. Jose Smits </w:t>
      </w:r>
      <w:r w:rsidRPr="0077537F">
        <w:rPr>
          <w:rFonts w:cs="TimesNewRomanPS-BoldMT"/>
          <w:bCs/>
          <w:lang w:val="en-US" w:bidi="en-US"/>
        </w:rPr>
        <w:t>member of ANED (Academic Network of European Disability Experts)</w:t>
      </w:r>
    </w:p>
    <w:p w:rsidR="002E1546" w:rsidRDefault="002E1546" w:rsidP="002E1546">
      <w:pPr>
        <w:rPr>
          <w:rFonts w:cs="TimesNewRomanPS-BoldMT"/>
          <w:b/>
          <w:bCs/>
          <w:lang w:val="en-US" w:bidi="en-US"/>
        </w:rPr>
      </w:pPr>
      <w:r w:rsidRPr="0077537F">
        <w:rPr>
          <w:rFonts w:cs="TimesNewRomanPS-BoldMT"/>
          <w:b/>
          <w:bCs/>
          <w:lang w:val="en-US" w:bidi="en-US"/>
        </w:rPr>
        <w:t xml:space="preserve">Senior Policy &amp; Public Affairs Advisor from the </w:t>
      </w:r>
      <w:r>
        <w:rPr>
          <w:rFonts w:cs="TimesNewRomanPS-BoldMT"/>
          <w:b/>
          <w:bCs/>
          <w:lang w:val="en-US" w:bidi="en-US"/>
        </w:rPr>
        <w:t xml:space="preserve">Dutch </w:t>
      </w:r>
      <w:r w:rsidRPr="0077537F">
        <w:rPr>
          <w:rFonts w:cs="TimesNewRomanPS-BoldMT"/>
          <w:b/>
          <w:bCs/>
          <w:lang w:val="en-US" w:bidi="en-US"/>
        </w:rPr>
        <w:t>Ministry of Healt</w:t>
      </w:r>
      <w:r>
        <w:rPr>
          <w:rFonts w:cs="TimesNewRomanPS-BoldMT"/>
          <w:b/>
          <w:bCs/>
          <w:lang w:val="en-US" w:bidi="en-US"/>
        </w:rPr>
        <w:t>h, Welfare and Sport</w:t>
      </w:r>
      <w:r w:rsidRPr="0077537F">
        <w:rPr>
          <w:rFonts w:cs="TimesNewRomanPS-BoldMT"/>
          <w:b/>
          <w:bCs/>
          <w:lang w:val="en-US" w:bidi="en-US"/>
        </w:rPr>
        <w:t xml:space="preserve"> </w:t>
      </w:r>
      <w:r w:rsidRPr="0077537F">
        <w:rPr>
          <w:rFonts w:cs="TimesNewRomanPS-BoldMT"/>
          <w:bCs/>
          <w:lang w:val="en-US" w:bidi="en-US"/>
        </w:rPr>
        <w:t>who wishes to remain anonymous</w:t>
      </w:r>
    </w:p>
    <w:p w:rsidR="002E1546" w:rsidRDefault="002E1546" w:rsidP="002E1546">
      <w:r w:rsidRPr="005233BB">
        <w:rPr>
          <w:lang w:eastAsia="en-IE"/>
        </w:rPr>
        <w:t xml:space="preserve">A key informant from </w:t>
      </w:r>
      <w:r w:rsidRPr="005233BB">
        <w:rPr>
          <w:b/>
          <w:lang w:eastAsia="en-IE"/>
        </w:rPr>
        <w:t>Zichtbare Zorg</w:t>
      </w:r>
      <w:r>
        <w:rPr>
          <w:b/>
          <w:lang w:eastAsia="en-IE"/>
        </w:rPr>
        <w:t xml:space="preserve"> </w:t>
      </w:r>
      <w:r w:rsidRPr="0077537F">
        <w:rPr>
          <w:rFonts w:cs="TimesNewRomanPS-BoldMT"/>
          <w:bCs/>
          <w:lang w:val="en-US" w:bidi="en-US"/>
        </w:rPr>
        <w:t>who wishes to remain anonymous</w:t>
      </w:r>
      <w:r>
        <w:rPr>
          <w:b/>
          <w:lang w:eastAsia="en-IE"/>
        </w:rPr>
        <w:t xml:space="preserve">. </w:t>
      </w:r>
      <w:r w:rsidRPr="005233BB">
        <w:rPr>
          <w:lang w:eastAsia="en-IE"/>
        </w:rPr>
        <w:t>This organisation is a Health Care Transparency Programme established at national level, by the Ministry of Health, to standardise the development, monitoring and maintenance of quality indicators across the health care sector, going forward</w:t>
      </w: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Pr>
        <w:pStyle w:val="Heading1"/>
        <w:spacing w:before="120" w:after="0"/>
        <w:rPr>
          <w:color w:val="000000"/>
          <w:sz w:val="28"/>
          <w:szCs w:val="28"/>
        </w:rPr>
      </w:pPr>
    </w:p>
    <w:p w:rsidR="002E1546" w:rsidRDefault="002E1546" w:rsidP="002E1546"/>
    <w:p w:rsidR="002E1546" w:rsidRPr="0084656B" w:rsidRDefault="002E1546" w:rsidP="002E1546"/>
    <w:p w:rsidR="002E1546" w:rsidRPr="000141AC" w:rsidRDefault="002E1546" w:rsidP="002E1546">
      <w:pPr>
        <w:pStyle w:val="Heading1"/>
        <w:rPr>
          <w:color w:val="000000"/>
          <w:sz w:val="28"/>
          <w:szCs w:val="28"/>
        </w:rPr>
      </w:pPr>
      <w:bookmarkStart w:id="134" w:name="_Toc286160001"/>
      <w:r>
        <w:t>Appendix B: H</w:t>
      </w:r>
      <w:r w:rsidRPr="00747EE4">
        <w:t>ow health and personal services are overseen and monitored in the Netherlands</w:t>
      </w:r>
      <w:bookmarkEnd w:id="131"/>
      <w:bookmarkEnd w:id="132"/>
      <w:bookmarkEnd w:id="134"/>
    </w:p>
    <w:p w:rsidR="002E1546" w:rsidRPr="007A63CD" w:rsidRDefault="002E1546" w:rsidP="002E1546">
      <w:pPr>
        <w:rPr>
          <w:color w:val="000000"/>
          <w:sz w:val="28"/>
          <w:szCs w:val="28"/>
        </w:rPr>
      </w:pPr>
      <w:bookmarkStart w:id="135" w:name="_Toc272825584"/>
      <w:r w:rsidRPr="007A63CD">
        <w:rPr>
          <w:color w:val="000000"/>
        </w:rPr>
        <w:t xml:space="preserve">The Dutch health care sector is undergoing significant ongoing reform at present. </w:t>
      </w:r>
      <w:r w:rsidRPr="007A63CD">
        <w:rPr>
          <w:lang w:eastAsia="en-IE"/>
        </w:rPr>
        <w:t>Services are now, in the main, arranged and provided as 'standard service basket' entitlements based on mandatory private insurance (and, where applicable, a system of assessed need) under the 2006 Health Insurance Act (</w:t>
      </w:r>
      <w:r w:rsidRPr="007A63CD">
        <w:rPr>
          <w:i/>
          <w:iCs/>
          <w:lang w:eastAsia="en-IE"/>
        </w:rPr>
        <w:t>Zorgverzekeringswet, Zvw</w:t>
      </w:r>
      <w:r w:rsidRPr="007A63CD">
        <w:rPr>
          <w:lang w:eastAsia="en-IE"/>
        </w:rPr>
        <w:t>). Government retains ultimate responsibility for the:</w:t>
      </w:r>
      <w:bookmarkEnd w:id="135"/>
    </w:p>
    <w:p w:rsidR="002E1546" w:rsidRPr="00781798" w:rsidRDefault="002E1546" w:rsidP="002E1546">
      <w:pPr>
        <w:numPr>
          <w:ilvl w:val="0"/>
          <w:numId w:val="7"/>
        </w:numPr>
        <w:spacing w:before="120"/>
        <w:rPr>
          <w:rFonts w:cs="Arial"/>
          <w:lang w:eastAsia="en-IE"/>
        </w:rPr>
      </w:pPr>
      <w:r w:rsidRPr="00781798">
        <w:rPr>
          <w:rFonts w:cs="Arial"/>
          <w:lang w:eastAsia="en-IE"/>
        </w:rPr>
        <w:t>accessibility</w:t>
      </w:r>
    </w:p>
    <w:p w:rsidR="002E1546" w:rsidRPr="00781798" w:rsidRDefault="002E1546" w:rsidP="002E1546">
      <w:pPr>
        <w:numPr>
          <w:ilvl w:val="0"/>
          <w:numId w:val="7"/>
        </w:numPr>
        <w:spacing w:before="120"/>
        <w:rPr>
          <w:rFonts w:cs="Arial"/>
          <w:lang w:eastAsia="en-IE"/>
        </w:rPr>
      </w:pPr>
      <w:r w:rsidRPr="00781798">
        <w:rPr>
          <w:rFonts w:cs="Arial"/>
          <w:lang w:eastAsia="en-IE"/>
        </w:rPr>
        <w:t>affordability</w:t>
      </w:r>
    </w:p>
    <w:p w:rsidR="002E1546" w:rsidRPr="00781798" w:rsidRDefault="002E1546" w:rsidP="002E1546">
      <w:pPr>
        <w:numPr>
          <w:ilvl w:val="0"/>
          <w:numId w:val="7"/>
        </w:numPr>
        <w:spacing w:before="120"/>
        <w:rPr>
          <w:rFonts w:cs="Arial"/>
          <w:lang w:eastAsia="en-IE"/>
        </w:rPr>
      </w:pPr>
      <w:r w:rsidRPr="00781798">
        <w:rPr>
          <w:rFonts w:cs="Arial"/>
          <w:lang w:eastAsia="en-IE"/>
        </w:rPr>
        <w:t>durability (sustainability)</w:t>
      </w:r>
    </w:p>
    <w:p w:rsidR="002E1546" w:rsidRPr="00781798" w:rsidRDefault="002E1546" w:rsidP="002E1546">
      <w:pPr>
        <w:numPr>
          <w:ilvl w:val="0"/>
          <w:numId w:val="7"/>
        </w:numPr>
        <w:spacing w:before="120"/>
        <w:rPr>
          <w:rFonts w:cs="Arial"/>
          <w:lang w:eastAsia="en-IE"/>
        </w:rPr>
      </w:pPr>
      <w:r w:rsidRPr="00781798">
        <w:rPr>
          <w:rFonts w:cs="Arial"/>
          <w:lang w:eastAsia="en-IE"/>
        </w:rPr>
        <w:t>solidarity (cohesion)</w:t>
      </w:r>
    </w:p>
    <w:p w:rsidR="002E1546" w:rsidRPr="00781798" w:rsidRDefault="002E1546" w:rsidP="002E1546">
      <w:pPr>
        <w:numPr>
          <w:ilvl w:val="0"/>
          <w:numId w:val="7"/>
        </w:numPr>
        <w:spacing w:before="120"/>
        <w:rPr>
          <w:rFonts w:cs="Arial"/>
          <w:lang w:eastAsia="en-IE"/>
        </w:rPr>
      </w:pPr>
      <w:r w:rsidRPr="00781798">
        <w:rPr>
          <w:rFonts w:cs="Arial"/>
          <w:lang w:eastAsia="en-IE"/>
        </w:rPr>
        <w:t>choice</w:t>
      </w:r>
    </w:p>
    <w:p w:rsidR="002E1546" w:rsidRPr="00781798" w:rsidRDefault="002E1546" w:rsidP="002E1546">
      <w:pPr>
        <w:numPr>
          <w:ilvl w:val="0"/>
          <w:numId w:val="7"/>
        </w:numPr>
        <w:spacing w:before="120"/>
        <w:rPr>
          <w:rFonts w:cs="Arial"/>
          <w:lang w:eastAsia="en-IE"/>
        </w:rPr>
      </w:pPr>
      <w:r w:rsidRPr="00781798">
        <w:rPr>
          <w:rFonts w:cs="Arial"/>
          <w:lang w:eastAsia="en-IE"/>
        </w:rPr>
        <w:t>quality</w:t>
      </w:r>
    </w:p>
    <w:p w:rsidR="002E1546" w:rsidRPr="00781798" w:rsidRDefault="002E1546" w:rsidP="002E1546">
      <w:pPr>
        <w:numPr>
          <w:ilvl w:val="0"/>
          <w:numId w:val="7"/>
        </w:numPr>
        <w:spacing w:before="120"/>
        <w:rPr>
          <w:rFonts w:cs="Arial"/>
          <w:lang w:eastAsia="en-IE"/>
        </w:rPr>
      </w:pPr>
      <w:r w:rsidRPr="00781798">
        <w:rPr>
          <w:rFonts w:cs="Arial"/>
          <w:lang w:eastAsia="en-IE"/>
        </w:rPr>
        <w:t>efficiency and</w:t>
      </w:r>
    </w:p>
    <w:p w:rsidR="002E1546" w:rsidRPr="00781798" w:rsidRDefault="002E1546" w:rsidP="002E1546">
      <w:pPr>
        <w:numPr>
          <w:ilvl w:val="0"/>
          <w:numId w:val="7"/>
        </w:numPr>
        <w:spacing w:before="120"/>
        <w:rPr>
          <w:rFonts w:cs="Arial"/>
          <w:bCs/>
          <w:lang w:eastAsia="en-IE"/>
        </w:rPr>
      </w:pPr>
      <w:r w:rsidRPr="00781798">
        <w:rPr>
          <w:rFonts w:cs="Arial"/>
          <w:lang w:eastAsia="en-IE"/>
        </w:rPr>
        <w:t>quality of health care</w:t>
      </w:r>
      <w:r>
        <w:rPr>
          <w:rFonts w:cs="Arial"/>
          <w:lang w:eastAsia="en-IE"/>
        </w:rPr>
        <w:t>.</w:t>
      </w:r>
    </w:p>
    <w:p w:rsidR="002E1546" w:rsidRDefault="002E1546" w:rsidP="002E1546">
      <w:pPr>
        <w:spacing w:before="120"/>
        <w:rPr>
          <w:rFonts w:cs="Arial"/>
          <w:bCs/>
          <w:lang w:eastAsia="en-IE"/>
        </w:rPr>
      </w:pPr>
      <w:r w:rsidRPr="00781798">
        <w:rPr>
          <w:rFonts w:cs="Arial"/>
          <w:bCs/>
          <w:lang w:eastAsia="en-IE"/>
        </w:rPr>
        <w:t>(Dutch Ministry of Health</w:t>
      </w:r>
      <w:r>
        <w:rPr>
          <w:rFonts w:cs="Arial"/>
          <w:bCs/>
          <w:lang w:eastAsia="en-IE"/>
        </w:rPr>
        <w:t>,</w:t>
      </w:r>
      <w:r w:rsidRPr="00781798">
        <w:rPr>
          <w:rFonts w:cs="Arial"/>
          <w:bCs/>
          <w:lang w:eastAsia="en-IE"/>
        </w:rPr>
        <w:t xml:space="preserve"> Welfare and Sport). </w:t>
      </w:r>
    </w:p>
    <w:p w:rsidR="002E1546" w:rsidRPr="00781798" w:rsidRDefault="002E1546" w:rsidP="002E1546">
      <w:pPr>
        <w:spacing w:before="120"/>
        <w:rPr>
          <w:rFonts w:cs="Arial"/>
          <w:lang w:eastAsia="en-IE"/>
        </w:rPr>
      </w:pPr>
      <w:r w:rsidRPr="00781798">
        <w:rPr>
          <w:rFonts w:cs="Arial"/>
          <w:bCs/>
          <w:lang w:eastAsia="en-IE"/>
        </w:rPr>
        <w:t>The new care system in the Netherlands - including the Zvw is administered by the Ministry of Health, Welfare and Sport, in collaboration with a range of 'regulatory' bodies. These include, for example:</w:t>
      </w:r>
    </w:p>
    <w:p w:rsidR="002E1546" w:rsidRPr="00781798" w:rsidRDefault="002E1546" w:rsidP="002E1546">
      <w:pPr>
        <w:pStyle w:val="ListBullet"/>
        <w:numPr>
          <w:ilvl w:val="0"/>
          <w:numId w:val="8"/>
        </w:numPr>
        <w:rPr>
          <w:rFonts w:cs="Arial"/>
          <w:lang w:eastAsia="en-IE"/>
        </w:rPr>
      </w:pPr>
      <w:r w:rsidRPr="00781798">
        <w:rPr>
          <w:rFonts w:cs="Arial"/>
          <w:lang w:eastAsia="en-IE"/>
        </w:rPr>
        <w:t>The Dutch Health Care Authority (NZa): the supervisory body for all healthcare markets in the Netherlands. NZa oversees the implementation of insurance legislation in healthcare and produces an annual audit report on the state of the acute health care market</w:t>
      </w:r>
    </w:p>
    <w:p w:rsidR="002E1546" w:rsidRPr="00781798" w:rsidRDefault="002E1546" w:rsidP="002E1546">
      <w:pPr>
        <w:pStyle w:val="ListBullet"/>
        <w:numPr>
          <w:ilvl w:val="0"/>
          <w:numId w:val="8"/>
        </w:numPr>
        <w:rPr>
          <w:rFonts w:cs="Arial"/>
          <w:color w:val="000000"/>
        </w:rPr>
      </w:pPr>
      <w:r w:rsidRPr="00781798">
        <w:rPr>
          <w:rFonts w:cs="Arial"/>
        </w:rPr>
        <w:t>The Health Care Insurance Board (CVZ) which:</w:t>
      </w:r>
    </w:p>
    <w:p w:rsidR="002E1546" w:rsidRPr="00781798" w:rsidRDefault="002E1546" w:rsidP="002E1546">
      <w:pPr>
        <w:pStyle w:val="ListBullet"/>
        <w:numPr>
          <w:ilvl w:val="0"/>
          <w:numId w:val="0"/>
        </w:numPr>
        <w:ind w:left="360" w:right="-180"/>
        <w:rPr>
          <w:rFonts w:cs="Arial"/>
        </w:rPr>
      </w:pPr>
      <w:r w:rsidRPr="00781798">
        <w:rPr>
          <w:rFonts w:cs="Arial"/>
        </w:rPr>
        <w:t xml:space="preserve">- co-ordinates the implementation and funding of the Zvw and the long term care, Exceptional Medical Expenses Act (AWBZ) and </w:t>
      </w:r>
    </w:p>
    <w:p w:rsidR="002E1546" w:rsidRPr="00781798" w:rsidRDefault="002E1546" w:rsidP="002E1546">
      <w:pPr>
        <w:pStyle w:val="ListBullet"/>
        <w:numPr>
          <w:ilvl w:val="0"/>
          <w:numId w:val="0"/>
        </w:numPr>
        <w:ind w:left="360"/>
        <w:rPr>
          <w:rFonts w:cs="Arial"/>
          <w:color w:val="000000"/>
        </w:rPr>
      </w:pPr>
      <w:r w:rsidRPr="00781798">
        <w:rPr>
          <w:rFonts w:cs="Arial"/>
        </w:rPr>
        <w:t>- has a monitoring role in relation to:</w:t>
      </w:r>
    </w:p>
    <w:p w:rsidR="002E1546" w:rsidRPr="00781798" w:rsidRDefault="002E1546" w:rsidP="002E1546">
      <w:pPr>
        <w:pStyle w:val="ListBullet"/>
        <w:numPr>
          <w:ilvl w:val="0"/>
          <w:numId w:val="4"/>
        </w:numPr>
        <w:rPr>
          <w:rFonts w:cs="Arial"/>
          <w:color w:val="000000"/>
        </w:rPr>
      </w:pPr>
      <w:r w:rsidRPr="00781798">
        <w:rPr>
          <w:rFonts w:cs="Arial"/>
          <w:color w:val="000000"/>
        </w:rPr>
        <w:t>adherence to the regulations of international conventions and</w:t>
      </w:r>
    </w:p>
    <w:p w:rsidR="002E1546" w:rsidRPr="00781798" w:rsidRDefault="002E1546" w:rsidP="002E1546">
      <w:pPr>
        <w:pStyle w:val="ListBullet"/>
        <w:numPr>
          <w:ilvl w:val="0"/>
          <w:numId w:val="4"/>
        </w:numPr>
        <w:spacing w:after="0"/>
        <w:rPr>
          <w:rFonts w:cs="Arial"/>
          <w:color w:val="000000"/>
          <w:lang w:val="en-US" w:bidi="en-US"/>
        </w:rPr>
      </w:pPr>
      <w:r w:rsidRPr="00781798">
        <w:rPr>
          <w:rFonts w:cs="Arial"/>
          <w:color w:val="000000"/>
        </w:rPr>
        <w:t>the feasibility and efficiency of Government plans</w:t>
      </w:r>
      <w:r>
        <w:rPr>
          <w:rFonts w:cs="Arial"/>
          <w:color w:val="000000"/>
        </w:rPr>
        <w:t>.</w:t>
      </w:r>
    </w:p>
    <w:p w:rsidR="002E1546" w:rsidRPr="00781798" w:rsidRDefault="002E1546" w:rsidP="002E1546">
      <w:pPr>
        <w:pStyle w:val="ListBullet"/>
        <w:numPr>
          <w:ilvl w:val="0"/>
          <w:numId w:val="9"/>
        </w:numPr>
        <w:rPr>
          <w:rFonts w:cs="Arial"/>
          <w:lang w:eastAsia="en-IE"/>
        </w:rPr>
      </w:pPr>
      <w:r w:rsidRPr="00781798">
        <w:rPr>
          <w:rFonts w:cs="Arial"/>
          <w:lang w:eastAsia="en-IE"/>
        </w:rPr>
        <w:t>The Dutch foundation for complaints and disputes (SKGZ) which incorporates an Ombudsman's role and handles patient complaints and disputes in relation to insurers</w:t>
      </w:r>
    </w:p>
    <w:p w:rsidR="002E1546" w:rsidRPr="00781798" w:rsidRDefault="002E1546" w:rsidP="002E1546">
      <w:pPr>
        <w:pStyle w:val="ListBullet"/>
        <w:numPr>
          <w:ilvl w:val="0"/>
          <w:numId w:val="9"/>
        </w:numPr>
        <w:rPr>
          <w:rFonts w:cs="Arial"/>
          <w:lang w:eastAsia="en-IE"/>
        </w:rPr>
      </w:pPr>
      <w:r w:rsidRPr="00781798">
        <w:rPr>
          <w:rFonts w:cs="Arial"/>
          <w:lang w:eastAsia="en-IE"/>
        </w:rPr>
        <w:t xml:space="preserve">The Dutch National Institute for Public Health and the Environment (RIVM) which </w:t>
      </w:r>
    </w:p>
    <w:p w:rsidR="002E1546" w:rsidRPr="00781798" w:rsidRDefault="002E1546" w:rsidP="002E1546">
      <w:pPr>
        <w:pStyle w:val="ListBullet"/>
        <w:numPr>
          <w:ilvl w:val="0"/>
          <w:numId w:val="0"/>
        </w:numPr>
        <w:ind w:left="360"/>
        <w:rPr>
          <w:rFonts w:cs="Arial"/>
          <w:lang w:eastAsia="en-IE"/>
        </w:rPr>
      </w:pPr>
      <w:r w:rsidRPr="00781798">
        <w:rPr>
          <w:rFonts w:cs="Arial"/>
          <w:lang w:eastAsia="en-IE"/>
        </w:rPr>
        <w:t xml:space="preserve">- produces an annual 'Dutch Health Performance Report' </w:t>
      </w:r>
      <w:r>
        <w:rPr>
          <w:rFonts w:cs="Arial"/>
          <w:lang w:eastAsia="en-IE"/>
        </w:rPr>
        <w:t>and other reports such as waiting times for services</w:t>
      </w:r>
    </w:p>
    <w:p w:rsidR="002E1546" w:rsidRPr="00781798" w:rsidRDefault="002E1546" w:rsidP="002E1546">
      <w:pPr>
        <w:pStyle w:val="ListBullet"/>
        <w:numPr>
          <w:ilvl w:val="0"/>
          <w:numId w:val="0"/>
        </w:numPr>
        <w:ind w:left="360"/>
        <w:rPr>
          <w:rFonts w:cs="Arial"/>
          <w:lang w:eastAsia="en-IE"/>
        </w:rPr>
      </w:pPr>
      <w:r w:rsidRPr="00781798">
        <w:rPr>
          <w:rFonts w:cs="Arial"/>
          <w:lang w:eastAsia="en-IE"/>
        </w:rPr>
        <w:t>- operates a consumer health information portal that provides a range of information including information on selecting a health insurer and health and</w:t>
      </w:r>
      <w:r>
        <w:rPr>
          <w:rFonts w:cs="Arial"/>
          <w:lang w:eastAsia="en-IE"/>
        </w:rPr>
        <w:t xml:space="preserve"> personal services providers</w:t>
      </w:r>
    </w:p>
    <w:p w:rsidR="002E1546" w:rsidRPr="00781798" w:rsidRDefault="002E1546" w:rsidP="002E1546">
      <w:pPr>
        <w:pStyle w:val="ListBullet"/>
        <w:numPr>
          <w:ilvl w:val="0"/>
          <w:numId w:val="0"/>
        </w:numPr>
        <w:ind w:left="360"/>
        <w:rPr>
          <w:rFonts w:cs="Arial"/>
          <w:lang w:eastAsia="en-IE"/>
        </w:rPr>
      </w:pPr>
      <w:r w:rsidRPr="00781798">
        <w:rPr>
          <w:rFonts w:cs="Arial"/>
          <w:lang w:eastAsia="en-IE"/>
        </w:rPr>
        <w:t>- has a particular role in relation to people at risk of social exclusion.</w:t>
      </w:r>
    </w:p>
    <w:p w:rsidR="002E1546" w:rsidRPr="00781798" w:rsidRDefault="002E1546" w:rsidP="002E1546">
      <w:pPr>
        <w:pStyle w:val="ListBullet"/>
        <w:numPr>
          <w:ilvl w:val="0"/>
          <w:numId w:val="0"/>
        </w:numPr>
        <w:spacing w:after="0"/>
        <w:rPr>
          <w:rFonts w:cs="Arial"/>
          <w:lang w:val="en"/>
        </w:rPr>
      </w:pPr>
      <w:r w:rsidRPr="00781798">
        <w:rPr>
          <w:rFonts w:cs="Arial"/>
          <w:lang w:eastAsia="en-IE"/>
        </w:rPr>
        <w:t xml:space="preserve">In addition, local Government continues to have some responsibility for managing a number of elements of the national social benefits package on behalf of citizens on social income support. Local authorities negotiate collective contracts and commission community development services in respect of this budget (the </w:t>
      </w:r>
      <w:r w:rsidRPr="00781798">
        <w:rPr>
          <w:rFonts w:cs="Arial"/>
          <w:lang w:val="en"/>
        </w:rPr>
        <w:t>2006 Social Supports Act refers).</w:t>
      </w:r>
      <w:r w:rsidRPr="00781798">
        <w:rPr>
          <w:rFonts w:cs="Arial"/>
          <w:lang w:val="en"/>
        </w:rPr>
        <w:br/>
      </w:r>
    </w:p>
    <w:p w:rsidR="002E1546" w:rsidRPr="00781798" w:rsidRDefault="002E1546" w:rsidP="002E1546">
      <w:pPr>
        <w:pStyle w:val="ListBullet"/>
        <w:numPr>
          <w:ilvl w:val="0"/>
          <w:numId w:val="0"/>
        </w:numPr>
        <w:spacing w:after="0"/>
        <w:rPr>
          <w:rFonts w:cs="Arial"/>
          <w:color w:val="000000"/>
          <w:lang w:eastAsia="en-IE"/>
        </w:rPr>
      </w:pPr>
      <w:r>
        <w:rPr>
          <w:rFonts w:cs="Arial"/>
          <w:color w:val="000000"/>
          <w:lang w:eastAsia="en-IE"/>
        </w:rPr>
        <w:t>T</w:t>
      </w:r>
      <w:r w:rsidRPr="00781798">
        <w:rPr>
          <w:rFonts w:cs="Arial"/>
          <w:color w:val="000000"/>
          <w:lang w:eastAsia="en-IE"/>
        </w:rPr>
        <w:t>he Dutch Government has put a number of quality and performance safeguards in place at national level, including, for example:</w:t>
      </w:r>
    </w:p>
    <w:p w:rsidR="002E1546" w:rsidRPr="00781798" w:rsidRDefault="002E1546" w:rsidP="002E1546">
      <w:pPr>
        <w:pStyle w:val="ListBullet"/>
        <w:numPr>
          <w:ilvl w:val="0"/>
          <w:numId w:val="10"/>
        </w:numPr>
        <w:rPr>
          <w:rFonts w:cs="Arial"/>
          <w:lang w:eastAsia="en-IE"/>
        </w:rPr>
      </w:pPr>
      <w:r w:rsidRPr="00781798">
        <w:rPr>
          <w:rFonts w:cs="Arial"/>
          <w:lang w:eastAsia="en-IE"/>
        </w:rPr>
        <w:t xml:space="preserve">prescribing the content of standard package of essential health and personal care referred to as 'standard service baskets', consisting of preventative, standard and long term care provisions </w:t>
      </w:r>
    </w:p>
    <w:p w:rsidR="002E1546" w:rsidRPr="00781798" w:rsidRDefault="002E1546" w:rsidP="002E1546">
      <w:pPr>
        <w:pStyle w:val="ListBullet"/>
        <w:numPr>
          <w:ilvl w:val="0"/>
          <w:numId w:val="10"/>
        </w:numPr>
        <w:rPr>
          <w:rFonts w:cs="Arial"/>
          <w:lang w:eastAsia="en-IE"/>
        </w:rPr>
      </w:pPr>
      <w:r w:rsidRPr="00781798">
        <w:rPr>
          <w:rFonts w:cs="Arial"/>
          <w:lang w:eastAsia="en-IE"/>
        </w:rPr>
        <w:t>taking measures to ensure access, quality and solidarity</w:t>
      </w:r>
    </w:p>
    <w:p w:rsidR="002E1546" w:rsidRPr="00781798" w:rsidRDefault="002E1546" w:rsidP="002E1546">
      <w:pPr>
        <w:pStyle w:val="ListBullet"/>
        <w:numPr>
          <w:ilvl w:val="0"/>
          <w:numId w:val="10"/>
        </w:numPr>
        <w:rPr>
          <w:rFonts w:cs="Arial"/>
          <w:lang w:eastAsia="en-IE"/>
        </w:rPr>
      </w:pPr>
      <w:r w:rsidRPr="00781798">
        <w:rPr>
          <w:rFonts w:cs="Arial"/>
          <w:lang w:eastAsia="en-IE"/>
        </w:rPr>
        <w:t>developing a comprehensive new instrument in consultation with key stakeholders to monitor the performance of the overall healthcare system on a regular basis</w:t>
      </w:r>
    </w:p>
    <w:p w:rsidR="002E1546" w:rsidRDefault="002E1546" w:rsidP="002E1546">
      <w:pPr>
        <w:pStyle w:val="ListBullet"/>
        <w:numPr>
          <w:ilvl w:val="0"/>
          <w:numId w:val="10"/>
        </w:numPr>
        <w:rPr>
          <w:rFonts w:cs="Arial"/>
          <w:lang w:eastAsia="en-IE"/>
        </w:rPr>
      </w:pPr>
      <w:r w:rsidRPr="00781798">
        <w:rPr>
          <w:rFonts w:cs="Arial"/>
          <w:lang w:eastAsia="en-IE"/>
        </w:rPr>
        <w:t>issuing regular Health Care Performance Reports (Zorgbalans) from 2006</w:t>
      </w:r>
      <w:r w:rsidRPr="00781798">
        <w:rPr>
          <w:rStyle w:val="FootnoteReference"/>
          <w:rFonts w:cs="Arial"/>
          <w:color w:val="000000"/>
          <w:lang w:eastAsia="en-IE"/>
        </w:rPr>
        <w:footnoteReference w:id="113"/>
      </w:r>
      <w:r w:rsidRPr="00781798">
        <w:rPr>
          <w:rFonts w:cs="Arial"/>
          <w:lang w:eastAsia="en-IE"/>
        </w:rPr>
        <w:t>.</w:t>
      </w:r>
    </w:p>
    <w:p w:rsidR="002E1546" w:rsidRPr="00781798" w:rsidRDefault="002E1546" w:rsidP="002E1546">
      <w:pPr>
        <w:spacing w:before="120"/>
        <w:rPr>
          <w:rFonts w:cs="Arial"/>
          <w:color w:val="000000"/>
        </w:rPr>
      </w:pPr>
      <w:r w:rsidRPr="00781798">
        <w:rPr>
          <w:rFonts w:cs="Arial"/>
          <w:color w:val="000000"/>
        </w:rPr>
        <w:t xml:space="preserve">Other Government initiatives in the area of monitoring include commissioned reports from: </w:t>
      </w:r>
    </w:p>
    <w:p w:rsidR="002E1546" w:rsidRPr="00781798" w:rsidRDefault="002E1546" w:rsidP="002E1546">
      <w:pPr>
        <w:numPr>
          <w:ilvl w:val="0"/>
          <w:numId w:val="3"/>
        </w:numPr>
        <w:spacing w:before="120"/>
        <w:rPr>
          <w:rFonts w:cs="Arial"/>
          <w:color w:val="000000"/>
        </w:rPr>
      </w:pPr>
      <w:r w:rsidRPr="00781798">
        <w:rPr>
          <w:rFonts w:cs="Arial"/>
          <w:color w:val="000000"/>
        </w:rPr>
        <w:t xml:space="preserve">CIZ - to assess user satisfaction with </w:t>
      </w:r>
      <w:r w:rsidR="00CF3946">
        <w:rPr>
          <w:lang w:val="en-US" w:bidi="en-US"/>
        </w:rPr>
        <w:t>Long Term Care Insurance</w:t>
      </w:r>
      <w:r w:rsidR="00CF3946" w:rsidRPr="00D31D4D">
        <w:rPr>
          <w:lang w:val="en-US" w:bidi="en-US"/>
        </w:rPr>
        <w:t xml:space="preserve"> </w:t>
      </w:r>
      <w:r w:rsidR="00CF3946">
        <w:rPr>
          <w:lang w:val="en-US" w:bidi="en-US"/>
        </w:rPr>
        <w:t>(</w:t>
      </w:r>
      <w:r w:rsidRPr="00781798">
        <w:rPr>
          <w:rFonts w:cs="Arial"/>
          <w:color w:val="000000"/>
        </w:rPr>
        <w:t>AWBZ</w:t>
      </w:r>
      <w:r w:rsidR="00CF3946">
        <w:rPr>
          <w:rFonts w:cs="Arial"/>
          <w:color w:val="000000"/>
        </w:rPr>
        <w:t>)</w:t>
      </w:r>
      <w:r w:rsidRPr="00781798">
        <w:rPr>
          <w:rFonts w:cs="Arial"/>
          <w:color w:val="000000"/>
        </w:rPr>
        <w:t xml:space="preserve"> and</w:t>
      </w:r>
    </w:p>
    <w:p w:rsidR="002E1546" w:rsidRDefault="002E1546" w:rsidP="002E1546">
      <w:pPr>
        <w:numPr>
          <w:ilvl w:val="0"/>
          <w:numId w:val="3"/>
        </w:numPr>
        <w:spacing w:before="120"/>
        <w:rPr>
          <w:rFonts w:cs="Arial"/>
          <w:color w:val="000000"/>
        </w:rPr>
      </w:pPr>
      <w:r w:rsidRPr="00781798">
        <w:rPr>
          <w:rFonts w:cs="Arial"/>
          <w:color w:val="000000"/>
        </w:rPr>
        <w:t>NIVEL - to investigate quality of life in nursing and residential homes.</w:t>
      </w:r>
    </w:p>
    <w:p w:rsidR="002E1546" w:rsidRPr="00747EE4" w:rsidRDefault="002E1546" w:rsidP="002E1546">
      <w:pPr>
        <w:pStyle w:val="Heading4"/>
      </w:pPr>
      <w:bookmarkStart w:id="136" w:name="_Toc268689577"/>
      <w:bookmarkStart w:id="137" w:name="_Toc269743665"/>
      <w:r>
        <w:t>Licensing &amp; Regulatory Framework</w:t>
      </w:r>
      <w:bookmarkEnd w:id="136"/>
      <w:bookmarkEnd w:id="137"/>
    </w:p>
    <w:p w:rsidR="002E1546" w:rsidRPr="00781798" w:rsidRDefault="002E1546" w:rsidP="002E1546">
      <w:pPr>
        <w:pStyle w:val="ListBullet"/>
        <w:numPr>
          <w:ilvl w:val="0"/>
          <w:numId w:val="11"/>
        </w:numPr>
        <w:spacing w:after="0"/>
        <w:rPr>
          <w:rFonts w:cs="Arial"/>
          <w:color w:val="000000"/>
          <w:lang w:eastAsia="en-IE"/>
        </w:rPr>
      </w:pPr>
      <w:r w:rsidRPr="00781798">
        <w:rPr>
          <w:rFonts w:cs="Arial"/>
          <w:color w:val="000000"/>
          <w:lang w:eastAsia="en-IE"/>
        </w:rPr>
        <w:t xml:space="preserve">A system of voluntary hospital </w:t>
      </w:r>
      <w:r>
        <w:rPr>
          <w:rFonts w:cs="Arial"/>
          <w:color w:val="000000"/>
          <w:lang w:eastAsia="en-IE"/>
        </w:rPr>
        <w:t xml:space="preserve">registration, </w:t>
      </w:r>
      <w:r w:rsidRPr="00781798">
        <w:rPr>
          <w:rFonts w:cs="Arial"/>
          <w:color w:val="000000"/>
          <w:lang w:eastAsia="en-IE"/>
        </w:rPr>
        <w:t>performance measurement and incentivisation has been established by IGZ.</w:t>
      </w:r>
    </w:p>
    <w:p w:rsidR="002E1546" w:rsidRDefault="002E1546" w:rsidP="002E1546">
      <w:pPr>
        <w:pStyle w:val="ListBullet"/>
        <w:numPr>
          <w:ilvl w:val="0"/>
          <w:numId w:val="11"/>
        </w:numPr>
        <w:spacing w:after="0"/>
        <w:rPr>
          <w:rFonts w:cs="Arial"/>
          <w:color w:val="000000"/>
          <w:lang w:eastAsia="en-IE"/>
        </w:rPr>
      </w:pPr>
      <w:r w:rsidRPr="00781798">
        <w:rPr>
          <w:rFonts w:cs="Arial"/>
          <w:color w:val="000000"/>
        </w:rPr>
        <w:t>Otherwise a system of professional and management-based regulation applies.</w:t>
      </w:r>
      <w:r w:rsidRPr="00781798">
        <w:rPr>
          <w:rStyle w:val="FootnoteReference"/>
          <w:rFonts w:cs="Arial"/>
          <w:color w:val="000000"/>
        </w:rPr>
        <w:footnoteReference w:id="114"/>
      </w:r>
    </w:p>
    <w:p w:rsidR="002E1546" w:rsidRPr="00781798" w:rsidRDefault="002E1546" w:rsidP="002E1546">
      <w:pPr>
        <w:ind w:left="360"/>
        <w:rPr>
          <w:rFonts w:cs="Arial"/>
          <w:lang w:eastAsia="en-IE"/>
        </w:rPr>
      </w:pPr>
      <w:r w:rsidRPr="00781798">
        <w:rPr>
          <w:rFonts w:cs="Arial"/>
          <w:lang w:eastAsia="en-IE"/>
        </w:rPr>
        <w:t>"Government is devoting less and less attention to the requirements for providing health care (e.g. norms and conditions for recognition and regulations for training), and more to the quality of the health care process. There are two important new pieces of legislation in this respect: the Individual Health Care Professions Act and the Care Institutions (Quality) Act." (IGZ Fact Sheet, 2002).</w:t>
      </w:r>
    </w:p>
    <w:p w:rsidR="002E1546" w:rsidRPr="00781798" w:rsidRDefault="002E1546" w:rsidP="002E1546">
      <w:pPr>
        <w:pStyle w:val="ListBullet"/>
        <w:numPr>
          <w:ilvl w:val="0"/>
          <w:numId w:val="0"/>
        </w:numPr>
        <w:spacing w:after="0"/>
        <w:ind w:left="360"/>
        <w:rPr>
          <w:rFonts w:cs="Arial"/>
          <w:color w:val="000000"/>
          <w:lang w:eastAsia="en-IE"/>
        </w:rPr>
      </w:pPr>
      <w:r w:rsidRPr="00781798">
        <w:rPr>
          <w:rFonts w:cs="Arial"/>
          <w:color w:val="000000"/>
          <w:lang w:eastAsia="en-IE"/>
        </w:rPr>
        <w:t xml:space="preserve">The </w:t>
      </w:r>
      <w:r w:rsidRPr="00781798">
        <w:rPr>
          <w:rFonts w:cs="Arial"/>
          <w:lang w:eastAsia="en-IE"/>
        </w:rPr>
        <w:t>Care Institutions (Quality) Act</w:t>
      </w:r>
      <w:r w:rsidRPr="00781798">
        <w:rPr>
          <w:rFonts w:cs="Arial"/>
          <w:color w:val="000000"/>
          <w:lang w:eastAsia="en-IE"/>
        </w:rPr>
        <w:t xml:space="preserve"> establishes a number of key requirements that all providers of care must fulfil. </w:t>
      </w:r>
    </w:p>
    <w:p w:rsidR="002E1546" w:rsidRPr="00781798" w:rsidRDefault="002E1546" w:rsidP="002E1546">
      <w:pPr>
        <w:numPr>
          <w:ilvl w:val="0"/>
          <w:numId w:val="5"/>
        </w:numPr>
        <w:spacing w:before="120"/>
        <w:rPr>
          <w:rFonts w:cs="Arial"/>
          <w:color w:val="000000"/>
          <w:lang w:eastAsia="en-IE"/>
        </w:rPr>
      </w:pPr>
      <w:r w:rsidRPr="00781798">
        <w:rPr>
          <w:rFonts w:cs="Arial"/>
          <w:color w:val="000000"/>
          <w:lang w:eastAsia="en-IE"/>
        </w:rPr>
        <w:t>Service providers must provide 'responsible care' i.e. care that is characterised as being of a good level, effective, suitable, patient oriented, and geared towards the real needs of service users</w:t>
      </w:r>
    </w:p>
    <w:p w:rsidR="002E1546" w:rsidRPr="00781798" w:rsidRDefault="002E1546" w:rsidP="002E1546">
      <w:pPr>
        <w:numPr>
          <w:ilvl w:val="0"/>
          <w:numId w:val="5"/>
        </w:numPr>
        <w:spacing w:before="120"/>
        <w:rPr>
          <w:rFonts w:cs="Arial"/>
          <w:color w:val="000000"/>
          <w:lang w:eastAsia="en-IE"/>
        </w:rPr>
      </w:pPr>
      <w:r w:rsidRPr="00781798">
        <w:rPr>
          <w:rFonts w:cs="Arial"/>
          <w:color w:val="000000"/>
          <w:lang w:eastAsia="en-IE"/>
        </w:rPr>
        <w:t xml:space="preserve">Service providers must make clear what they are doing to achieve and maintain 'responsible care' </w:t>
      </w:r>
    </w:p>
    <w:p w:rsidR="002E1546" w:rsidRPr="00781798" w:rsidRDefault="002E1546" w:rsidP="002E1546">
      <w:pPr>
        <w:numPr>
          <w:ilvl w:val="0"/>
          <w:numId w:val="5"/>
        </w:numPr>
        <w:spacing w:before="120"/>
        <w:rPr>
          <w:rFonts w:cs="Arial"/>
          <w:color w:val="000000"/>
          <w:lang w:eastAsia="en-IE"/>
        </w:rPr>
      </w:pPr>
      <w:r w:rsidRPr="00781798">
        <w:rPr>
          <w:rFonts w:cs="Arial"/>
          <w:color w:val="000000"/>
          <w:lang w:eastAsia="en-IE"/>
        </w:rPr>
        <w:t>Service providers must - to the greatest extent possible - systematically protect and, improve the quality of care they provide ... this includes taking measures such as establishing</w:t>
      </w:r>
      <w:r w:rsidRPr="00781798">
        <w:rPr>
          <w:rFonts w:cs="Arial"/>
          <w:color w:val="000000"/>
        </w:rPr>
        <w:t xml:space="preserve"> and monitoring a system of quality control</w:t>
      </w:r>
    </w:p>
    <w:p w:rsidR="002E1546" w:rsidRPr="00781798" w:rsidRDefault="002E1546" w:rsidP="002E1546">
      <w:pPr>
        <w:numPr>
          <w:ilvl w:val="0"/>
          <w:numId w:val="5"/>
        </w:numPr>
        <w:spacing w:before="120"/>
        <w:rPr>
          <w:rFonts w:cs="Arial"/>
          <w:color w:val="000000"/>
          <w:lang w:eastAsia="en-IE"/>
        </w:rPr>
      </w:pPr>
      <w:r w:rsidRPr="00781798">
        <w:rPr>
          <w:rFonts w:cs="Arial"/>
          <w:color w:val="000000"/>
          <w:lang w:eastAsia="en-IE"/>
        </w:rPr>
        <w:t xml:space="preserve">Service providers must publish an annual report indicating the quality control policies they have adopted and report on the quality of care they deliver. </w:t>
      </w:r>
    </w:p>
    <w:p w:rsidR="002E1546" w:rsidRPr="00781798" w:rsidRDefault="002E1546" w:rsidP="002E1546">
      <w:pPr>
        <w:pStyle w:val="ListBullet"/>
        <w:numPr>
          <w:ilvl w:val="0"/>
          <w:numId w:val="12"/>
        </w:numPr>
        <w:rPr>
          <w:rFonts w:cs="Arial"/>
          <w:lang w:val="en"/>
        </w:rPr>
      </w:pPr>
      <w:r w:rsidRPr="00781798">
        <w:rPr>
          <w:rFonts w:cs="Arial"/>
          <w:lang w:val="en"/>
        </w:rPr>
        <w:t>Under the Health Act, all serious incident</w:t>
      </w:r>
      <w:r>
        <w:rPr>
          <w:rFonts w:cs="Arial"/>
          <w:lang w:val="en"/>
        </w:rPr>
        <w:t>s</w:t>
      </w:r>
      <w:r w:rsidRPr="00781798">
        <w:rPr>
          <w:rFonts w:cs="Arial"/>
          <w:lang w:val="en"/>
        </w:rPr>
        <w:t>, adverse effects and crises must be reported to IGZ.</w:t>
      </w:r>
    </w:p>
    <w:p w:rsidR="002E1546" w:rsidRPr="00781798" w:rsidRDefault="002E1546" w:rsidP="002E1546">
      <w:pPr>
        <w:pStyle w:val="ListBullet"/>
        <w:numPr>
          <w:ilvl w:val="0"/>
          <w:numId w:val="12"/>
        </w:numPr>
        <w:rPr>
          <w:rFonts w:cs="Arial"/>
          <w:lang w:val="en"/>
        </w:rPr>
      </w:pPr>
      <w:r w:rsidRPr="00781798">
        <w:rPr>
          <w:rFonts w:cs="Arial"/>
          <w:lang w:val="en"/>
        </w:rPr>
        <w:t>The Individual Health Care Professions Act (Wet BIG) regulates the provision of care by professional practitioners, focusing on the quality of professional practice and patient protection</w:t>
      </w:r>
      <w:r>
        <w:rPr>
          <w:rFonts w:cs="Arial"/>
          <w:lang w:val="en"/>
        </w:rPr>
        <w:t>.</w:t>
      </w:r>
    </w:p>
    <w:p w:rsidR="002E1546" w:rsidRPr="00781798" w:rsidRDefault="002E1546" w:rsidP="002E1546">
      <w:pPr>
        <w:pStyle w:val="ListBullet"/>
        <w:numPr>
          <w:ilvl w:val="0"/>
          <w:numId w:val="12"/>
        </w:numPr>
        <w:rPr>
          <w:rFonts w:cs="Arial"/>
          <w:lang w:eastAsia="en-IE"/>
        </w:rPr>
      </w:pPr>
      <w:r w:rsidRPr="00781798">
        <w:rPr>
          <w:rFonts w:cs="Arial"/>
          <w:lang w:eastAsia="en-IE"/>
        </w:rPr>
        <w:t>People with mental health difficulties and mental health service users are supported through, for example:</w:t>
      </w:r>
    </w:p>
    <w:p w:rsidR="002E1546" w:rsidRPr="00781798" w:rsidRDefault="002E1546" w:rsidP="002E1546">
      <w:pPr>
        <w:pStyle w:val="ListBullet"/>
        <w:numPr>
          <w:ilvl w:val="0"/>
          <w:numId w:val="0"/>
        </w:numPr>
        <w:ind w:left="360"/>
        <w:rPr>
          <w:rFonts w:cs="Arial"/>
          <w:lang w:eastAsia="en-IE"/>
        </w:rPr>
      </w:pPr>
      <w:r w:rsidRPr="00781798">
        <w:rPr>
          <w:rFonts w:cs="Arial"/>
          <w:lang w:eastAsia="en-IE"/>
        </w:rPr>
        <w:t xml:space="preserve">- the Law on Contracts for Medical Treatment </w:t>
      </w:r>
      <w:r w:rsidRPr="00781798">
        <w:rPr>
          <w:rFonts w:cs="Arial"/>
          <w:i/>
          <w:iCs/>
          <w:lang w:eastAsia="en-IE"/>
        </w:rPr>
        <w:t xml:space="preserve">(Wet op de Geneeskundige Behandelingsovereenkomst) </w:t>
      </w:r>
      <w:r w:rsidRPr="00781798">
        <w:rPr>
          <w:rFonts w:cs="Arial"/>
          <w:lang w:eastAsia="en-IE"/>
        </w:rPr>
        <w:t xml:space="preserve">which set out health professionals’ responsibilities to provide good quality care. It also safeguards patient rights. </w:t>
      </w:r>
    </w:p>
    <w:p w:rsidR="002E1546" w:rsidRPr="00781798" w:rsidRDefault="002E1546" w:rsidP="002E1546">
      <w:pPr>
        <w:pStyle w:val="ListBullet"/>
        <w:numPr>
          <w:ilvl w:val="0"/>
          <w:numId w:val="0"/>
        </w:numPr>
        <w:ind w:left="360"/>
        <w:rPr>
          <w:rFonts w:cs="Arial"/>
          <w:lang w:eastAsia="en-IE"/>
        </w:rPr>
      </w:pPr>
      <w:r w:rsidRPr="00781798">
        <w:rPr>
          <w:rFonts w:cs="Arial"/>
          <w:lang w:eastAsia="en-IE"/>
        </w:rPr>
        <w:t>- the General Complaints in Healthcare Act and Psychiatric Hospitals (Compulsory Admissions) Act and the Client’s Right of Complaint (Care Sector) Act (</w:t>
      </w:r>
      <w:r w:rsidRPr="00781798">
        <w:rPr>
          <w:rFonts w:cs="Arial"/>
          <w:i/>
          <w:iCs/>
          <w:lang w:eastAsia="en-IE"/>
        </w:rPr>
        <w:t>Wet klachtrecht cliënten zorgsector</w:t>
      </w:r>
      <w:r w:rsidRPr="00781798">
        <w:rPr>
          <w:rFonts w:cs="Arial"/>
          <w:lang w:eastAsia="en-IE"/>
        </w:rPr>
        <w:t xml:space="preserve">) which, in the case of the former, require that complaints mechanisms are established on a statutory basis in relation to each institution and, in the case of the latter, provide for appeals through official complaints committees. </w:t>
      </w:r>
    </w:p>
    <w:p w:rsidR="002E1546" w:rsidRDefault="002E1546" w:rsidP="002E1546">
      <w:pPr>
        <w:pStyle w:val="ListBullet"/>
        <w:numPr>
          <w:ilvl w:val="0"/>
          <w:numId w:val="0"/>
        </w:numPr>
        <w:ind w:left="360"/>
        <w:rPr>
          <w:rFonts w:cs="Arial"/>
          <w:color w:val="000000"/>
          <w:lang w:eastAsia="en-IE"/>
        </w:rPr>
      </w:pPr>
      <w:r w:rsidRPr="00781798">
        <w:rPr>
          <w:rFonts w:cs="Arial"/>
          <w:lang w:eastAsia="en-IE"/>
        </w:rPr>
        <w:t>- the Participation (Clients of Care Institutions) Act (</w:t>
      </w:r>
      <w:r w:rsidRPr="00781798">
        <w:rPr>
          <w:rFonts w:cs="Arial"/>
          <w:i/>
          <w:iCs/>
          <w:lang w:eastAsia="en-IE"/>
        </w:rPr>
        <w:t>Wet medezeggenschap cliënten zorginstellingen</w:t>
      </w:r>
      <w:r w:rsidRPr="00781798">
        <w:rPr>
          <w:rFonts w:cs="Arial"/>
          <w:lang w:eastAsia="en-IE"/>
        </w:rPr>
        <w:t>) - which requires that the voice of clients is heard within residential and in-patient settings through mandatory client councils to be set up with legal competence to advise service providers on matters related to health service quality.</w:t>
      </w:r>
    </w:p>
    <w:p w:rsidR="002E1546" w:rsidRPr="00747EE4" w:rsidRDefault="002E1546" w:rsidP="002E1546">
      <w:pPr>
        <w:pStyle w:val="Heading4"/>
      </w:pPr>
      <w:bookmarkStart w:id="138" w:name="_Toc268689578"/>
      <w:bookmarkStart w:id="139" w:name="_Toc269743666"/>
      <w:r>
        <w:t>Inspection of Services</w:t>
      </w:r>
      <w:bookmarkEnd w:id="138"/>
      <w:bookmarkEnd w:id="139"/>
    </w:p>
    <w:p w:rsidR="002E1546" w:rsidRDefault="002E1546" w:rsidP="002E1546">
      <w:pPr>
        <w:spacing w:before="120"/>
        <w:rPr>
          <w:rFonts w:cs="Arial"/>
          <w:color w:val="000000"/>
          <w:lang w:val="en" w:eastAsia="en-IE"/>
        </w:rPr>
      </w:pPr>
      <w:r w:rsidRPr="00781798">
        <w:rPr>
          <w:rFonts w:cs="Arial"/>
          <w:color w:val="000000"/>
          <w:lang w:val="en" w:eastAsia="en-IE"/>
        </w:rPr>
        <w:t>IGZ</w:t>
      </w:r>
      <w:r>
        <w:rPr>
          <w:rFonts w:cs="Arial"/>
          <w:color w:val="000000"/>
          <w:lang w:val="en" w:eastAsia="en-IE"/>
        </w:rPr>
        <w:t xml:space="preserve"> </w:t>
      </w:r>
      <w:r w:rsidRPr="00781798">
        <w:rPr>
          <w:rFonts w:cs="Arial"/>
          <w:color w:val="000000"/>
          <w:lang w:val="en" w:eastAsia="en-IE"/>
        </w:rPr>
        <w:t xml:space="preserve">is an independent, statutory body that has an important role in relation to ensuring that health and personal social care providers comply with laws and regulations. Its main focus is safety and effective client-centred care. </w:t>
      </w:r>
    </w:p>
    <w:p w:rsidR="002E1546" w:rsidRDefault="002E1546" w:rsidP="002E1546">
      <w:pPr>
        <w:spacing w:before="120"/>
        <w:rPr>
          <w:rFonts w:cs="Arial"/>
          <w:color w:val="000000"/>
          <w:lang w:val="en" w:eastAsia="en-IE"/>
        </w:rPr>
      </w:pPr>
      <w:r w:rsidRPr="00781798">
        <w:rPr>
          <w:rFonts w:cs="Arial"/>
          <w:color w:val="000000"/>
          <w:lang w:val="en" w:eastAsia="en-IE"/>
        </w:rPr>
        <w:t xml:space="preserve">IGZ </w:t>
      </w:r>
      <w:r>
        <w:rPr>
          <w:rFonts w:cs="Arial"/>
          <w:color w:val="000000"/>
          <w:lang w:val="en" w:eastAsia="en-IE"/>
        </w:rPr>
        <w:t>operates a mandatory inspection system based on its own risk assessment of self-report monitoring data submitted by service providers in respect of agreed quality indicators. It has significant powers of enforcement, including those of direction, sanction and initiation of further investigation under criminal law where it finds reasonable grounds for suspecting breaches of the law.</w:t>
      </w:r>
    </w:p>
    <w:p w:rsidR="002E1546" w:rsidRPr="00781798" w:rsidRDefault="002E1546" w:rsidP="002E1546">
      <w:pPr>
        <w:spacing w:before="120"/>
        <w:rPr>
          <w:rFonts w:cs="Arial"/>
          <w:color w:val="000000"/>
          <w:lang w:val="en" w:eastAsia="en-IE"/>
        </w:rPr>
      </w:pPr>
      <w:r>
        <w:rPr>
          <w:rFonts w:cs="Arial"/>
          <w:color w:val="000000"/>
          <w:lang w:val="en" w:eastAsia="en-IE"/>
        </w:rPr>
        <w:t xml:space="preserve">The inspectorate </w:t>
      </w:r>
      <w:r w:rsidRPr="00781798">
        <w:rPr>
          <w:rFonts w:cs="Arial"/>
          <w:color w:val="000000"/>
          <w:lang w:val="en" w:eastAsia="en-IE"/>
        </w:rPr>
        <w:t xml:space="preserve">reports - both on request and at its own initiative - to the Minister of Health, Welfare and Sport. It is legally obliged to follow any orders the Minister decides to issue with a view to regulating inspection policy. </w:t>
      </w:r>
    </w:p>
    <w:p w:rsidR="002E1546" w:rsidRPr="00781798" w:rsidRDefault="002E1546" w:rsidP="002E1546">
      <w:pPr>
        <w:spacing w:before="120"/>
        <w:rPr>
          <w:rFonts w:cs="Arial"/>
          <w:color w:val="000000"/>
          <w:lang w:eastAsia="en-IE"/>
        </w:rPr>
      </w:pPr>
      <w:r>
        <w:rPr>
          <w:rFonts w:cs="Arial"/>
          <w:color w:val="000000"/>
        </w:rPr>
        <w:t>IGZ</w:t>
      </w:r>
      <w:r w:rsidRPr="00781798">
        <w:rPr>
          <w:rFonts w:cs="Arial"/>
          <w:color w:val="000000"/>
        </w:rPr>
        <w:t xml:space="preserve"> </w:t>
      </w:r>
      <w:r w:rsidRPr="00781798">
        <w:rPr>
          <w:rFonts w:cs="Arial"/>
          <w:color w:val="000000"/>
          <w:lang w:eastAsia="en-IE"/>
        </w:rPr>
        <w:t>is subdivided into three sub-inspectorates:</w:t>
      </w:r>
    </w:p>
    <w:p w:rsidR="002E1546" w:rsidRPr="00781798" w:rsidRDefault="002E1546" w:rsidP="002E1546">
      <w:pPr>
        <w:pStyle w:val="ListBullet"/>
        <w:numPr>
          <w:ilvl w:val="0"/>
          <w:numId w:val="13"/>
        </w:numPr>
        <w:spacing w:after="0"/>
        <w:rPr>
          <w:rFonts w:cs="Arial"/>
          <w:color w:val="000000"/>
          <w:lang w:eastAsia="en-IE"/>
        </w:rPr>
      </w:pPr>
      <w:r w:rsidRPr="00781798">
        <w:rPr>
          <w:rFonts w:cs="Arial"/>
          <w:color w:val="000000"/>
          <w:lang w:eastAsia="en-IE"/>
        </w:rPr>
        <w:t xml:space="preserve">preventive and curative health care </w:t>
      </w:r>
    </w:p>
    <w:p w:rsidR="002E1546" w:rsidRPr="00781798" w:rsidRDefault="002E1546" w:rsidP="002E1546">
      <w:pPr>
        <w:pStyle w:val="ListBullet"/>
        <w:numPr>
          <w:ilvl w:val="0"/>
          <w:numId w:val="13"/>
        </w:numPr>
        <w:spacing w:after="0"/>
        <w:rPr>
          <w:rFonts w:cs="Arial"/>
          <w:color w:val="000000"/>
          <w:lang w:eastAsia="en-IE"/>
        </w:rPr>
      </w:pPr>
      <w:r w:rsidRPr="00781798">
        <w:rPr>
          <w:rFonts w:cs="Arial"/>
          <w:color w:val="000000"/>
          <w:lang w:eastAsia="en-IE"/>
        </w:rPr>
        <w:t xml:space="preserve">mental health care (covering paediatric and general psychiatric hospitals, centres for drug and alcohol addiction and services for people with intellectual disabilities and nursing homes for the elderly) </w:t>
      </w:r>
    </w:p>
    <w:p w:rsidR="002E1546" w:rsidRPr="00781798" w:rsidRDefault="002E1546" w:rsidP="002E1546">
      <w:pPr>
        <w:pStyle w:val="ListBullet"/>
        <w:numPr>
          <w:ilvl w:val="0"/>
          <w:numId w:val="13"/>
        </w:numPr>
        <w:spacing w:after="0"/>
        <w:rPr>
          <w:rFonts w:cs="Arial"/>
          <w:color w:val="000000"/>
          <w:lang w:eastAsia="en-IE"/>
        </w:rPr>
      </w:pPr>
      <w:r w:rsidRPr="00781798">
        <w:rPr>
          <w:rFonts w:cs="Arial"/>
          <w:color w:val="000000"/>
          <w:lang w:eastAsia="en-IE"/>
        </w:rPr>
        <w:t>pharmacy and medical technology</w:t>
      </w:r>
      <w:r>
        <w:rPr>
          <w:rFonts w:cs="Arial"/>
          <w:color w:val="000000"/>
          <w:lang w:eastAsia="en-IE"/>
        </w:rPr>
        <w:t xml:space="preserve"> (medical devices and assistive technology)</w:t>
      </w:r>
      <w:r w:rsidRPr="00781798">
        <w:rPr>
          <w:rFonts w:cs="Arial"/>
          <w:color w:val="000000"/>
          <w:lang w:eastAsia="en-IE"/>
        </w:rPr>
        <w:t>.</w:t>
      </w:r>
    </w:p>
    <w:p w:rsidR="002E1546" w:rsidRPr="00781798" w:rsidRDefault="002E1546" w:rsidP="002E1546">
      <w:pPr>
        <w:spacing w:before="120"/>
        <w:rPr>
          <w:rFonts w:cs="Arial"/>
          <w:color w:val="000000"/>
          <w:lang w:eastAsia="en-IE"/>
        </w:rPr>
      </w:pPr>
      <w:r w:rsidRPr="00781798">
        <w:rPr>
          <w:rFonts w:cs="Arial"/>
          <w:color w:val="000000"/>
          <w:lang w:eastAsia="en-IE"/>
        </w:rPr>
        <w:t>It also has a special role in the supervision of involuntary placement and treatment in psychiatric institutions and inspects about 10% formally each year - incl</w:t>
      </w:r>
      <w:r>
        <w:rPr>
          <w:rFonts w:cs="Arial"/>
          <w:color w:val="000000"/>
          <w:lang w:eastAsia="en-IE"/>
        </w:rPr>
        <w:t>uding</w:t>
      </w:r>
      <w:r w:rsidRPr="00781798">
        <w:rPr>
          <w:rFonts w:cs="Arial"/>
          <w:color w:val="000000"/>
          <w:lang w:eastAsia="en-IE"/>
        </w:rPr>
        <w:t xml:space="preserve"> examining medical records and treatment team and patient and/or representative interviews. </w:t>
      </w:r>
    </w:p>
    <w:p w:rsidR="002E1546" w:rsidRDefault="002E1546" w:rsidP="002E1546">
      <w:pPr>
        <w:spacing w:before="120"/>
        <w:rPr>
          <w:rFonts w:cs="Arial"/>
          <w:color w:val="000000"/>
          <w:lang w:eastAsia="en-IE"/>
        </w:rPr>
      </w:pPr>
      <w:r w:rsidRPr="00781798">
        <w:rPr>
          <w:rFonts w:cs="Arial"/>
          <w:color w:val="000000"/>
          <w:lang w:eastAsia="en-IE"/>
        </w:rPr>
        <w:t>IGZ carries out general supervision through regular visits to designated centres to ensure that the quality of care is up to prescribed standards</w:t>
      </w:r>
      <w:r w:rsidRPr="00781798">
        <w:rPr>
          <w:rStyle w:val="FootnoteReference"/>
          <w:rFonts w:cs="Arial"/>
          <w:color w:val="000000"/>
          <w:lang w:eastAsia="en-IE"/>
        </w:rPr>
        <w:footnoteReference w:id="115"/>
      </w:r>
      <w:r w:rsidRPr="00781798">
        <w:rPr>
          <w:rFonts w:cs="Arial"/>
          <w:color w:val="000000"/>
          <w:lang w:eastAsia="en-IE"/>
        </w:rPr>
        <w:t xml:space="preserve">. </w:t>
      </w:r>
    </w:p>
    <w:p w:rsidR="002E1546" w:rsidRPr="00781798" w:rsidRDefault="002E1546" w:rsidP="002E1546">
      <w:pPr>
        <w:spacing w:before="120"/>
        <w:rPr>
          <w:rFonts w:cs="Arial"/>
          <w:color w:val="000000"/>
          <w:lang w:eastAsia="en-IE"/>
        </w:rPr>
      </w:pPr>
      <w:r w:rsidRPr="00781798">
        <w:rPr>
          <w:rFonts w:cs="Arial"/>
          <w:color w:val="000000"/>
          <w:lang w:eastAsia="en-IE"/>
        </w:rPr>
        <w:t>The inspectorate is currently developing a new, three-phase, risk-driven approach to inspection as follows:</w:t>
      </w:r>
    </w:p>
    <w:p w:rsidR="002E1546" w:rsidRPr="00781798" w:rsidRDefault="002E1546" w:rsidP="002E1546">
      <w:pPr>
        <w:pStyle w:val="ListNumber"/>
        <w:spacing w:before="120"/>
        <w:rPr>
          <w:rFonts w:cs="Arial"/>
          <w:color w:val="000000"/>
          <w:lang w:eastAsia="en-IE"/>
        </w:rPr>
      </w:pPr>
      <w:r w:rsidRPr="00781798">
        <w:rPr>
          <w:rFonts w:cs="Arial"/>
          <w:color w:val="000000"/>
          <w:lang w:eastAsia="en-IE"/>
        </w:rPr>
        <w:t>identify</w:t>
      </w:r>
      <w:r>
        <w:rPr>
          <w:rFonts w:cs="Arial"/>
          <w:color w:val="000000"/>
          <w:lang w:eastAsia="en-IE"/>
        </w:rPr>
        <w:t>ing institutions with higher risks -</w:t>
      </w:r>
      <w:r w:rsidRPr="00781798">
        <w:rPr>
          <w:rFonts w:cs="Arial"/>
          <w:color w:val="000000"/>
          <w:lang w:eastAsia="en-IE"/>
        </w:rPr>
        <w:t xml:space="preserve"> initial assessments are made by the Inspectorate on the basis of information collected via an electronic inspection questionnaire completed by all institution</w:t>
      </w:r>
    </w:p>
    <w:p w:rsidR="002E1546" w:rsidRPr="00781798" w:rsidRDefault="002E1546" w:rsidP="002E1546">
      <w:pPr>
        <w:pStyle w:val="ListNumber"/>
        <w:spacing w:before="120"/>
        <w:rPr>
          <w:rFonts w:cs="Arial"/>
          <w:color w:val="000000"/>
          <w:lang w:eastAsia="en-IE"/>
        </w:rPr>
      </w:pPr>
      <w:r w:rsidRPr="00781798">
        <w:rPr>
          <w:rFonts w:cs="Arial"/>
          <w:color w:val="000000"/>
          <w:lang w:eastAsia="en-IE"/>
        </w:rPr>
        <w:t>conducting on-site inspection of the institutions</w:t>
      </w:r>
    </w:p>
    <w:p w:rsidR="002E1546" w:rsidRPr="00781798" w:rsidRDefault="002E1546" w:rsidP="002E1546">
      <w:pPr>
        <w:pStyle w:val="ListNumber"/>
        <w:spacing w:before="120"/>
        <w:rPr>
          <w:rFonts w:cs="Arial"/>
          <w:color w:val="000000"/>
          <w:lang w:eastAsia="en-IE"/>
        </w:rPr>
      </w:pPr>
      <w:r w:rsidRPr="00781798">
        <w:rPr>
          <w:rFonts w:cs="Arial"/>
          <w:color w:val="000000"/>
          <w:lang w:eastAsia="en-IE"/>
        </w:rPr>
        <w:t xml:space="preserve">conducting assessments of quality of care against required standards. </w:t>
      </w:r>
    </w:p>
    <w:p w:rsidR="002E1546" w:rsidRPr="00781798" w:rsidRDefault="002E1546" w:rsidP="002E1546">
      <w:pPr>
        <w:spacing w:before="120"/>
        <w:rPr>
          <w:rFonts w:cs="Arial"/>
          <w:color w:val="000000"/>
          <w:lang w:eastAsia="en-IE"/>
        </w:rPr>
      </w:pPr>
      <w:r w:rsidRPr="00781798">
        <w:rPr>
          <w:rFonts w:cs="Arial"/>
          <w:color w:val="000000"/>
          <w:lang w:eastAsia="en-IE"/>
        </w:rPr>
        <w:t xml:space="preserve">Investigations into reports of serious problems, adverse events or other crises in the provision of care and other services will continue in parallel with this approach - and reports on these investigations and key quality assurance and risk reduction themes will continue to issue as appropriate. </w:t>
      </w:r>
    </w:p>
    <w:p w:rsidR="002E1546" w:rsidRPr="00781798" w:rsidRDefault="002E1546" w:rsidP="002E1546">
      <w:pPr>
        <w:spacing w:before="120"/>
        <w:rPr>
          <w:rFonts w:cs="Arial"/>
          <w:color w:val="000000"/>
          <w:lang w:eastAsia="en-IE"/>
        </w:rPr>
      </w:pPr>
      <w:r w:rsidRPr="00781798">
        <w:rPr>
          <w:rFonts w:cs="Arial"/>
          <w:color w:val="000000"/>
          <w:lang w:eastAsia="en-IE"/>
        </w:rPr>
        <w:t>The Inspectorate will also continue to publish an annual report on developments in healthcare and its work.</w:t>
      </w:r>
    </w:p>
    <w:p w:rsidR="002E1546" w:rsidRPr="00781798" w:rsidRDefault="002E1546" w:rsidP="002E1546">
      <w:pPr>
        <w:pStyle w:val="ListBullet"/>
        <w:numPr>
          <w:ilvl w:val="0"/>
          <w:numId w:val="0"/>
        </w:numPr>
        <w:rPr>
          <w:rFonts w:cs="Arial"/>
        </w:rPr>
      </w:pPr>
      <w:r>
        <w:rPr>
          <w:rFonts w:cs="Arial"/>
        </w:rPr>
        <w:t>I</w:t>
      </w:r>
      <w:r w:rsidRPr="00781798">
        <w:rPr>
          <w:rFonts w:cs="Arial"/>
        </w:rPr>
        <w:t>t is worth noting two significant initiatives in which IGZ has recently become involved:</w:t>
      </w:r>
    </w:p>
    <w:p w:rsidR="002E1546" w:rsidRPr="00781798" w:rsidRDefault="002E1546" w:rsidP="002E1546">
      <w:pPr>
        <w:spacing w:before="120"/>
        <w:rPr>
          <w:rFonts w:cs="Arial"/>
          <w:color w:val="000000"/>
        </w:rPr>
      </w:pPr>
      <w:r w:rsidRPr="00781798">
        <w:rPr>
          <w:rFonts w:cs="Arial"/>
          <w:color w:val="000000"/>
        </w:rPr>
        <w:t>1</w:t>
      </w:r>
      <w:r>
        <w:rPr>
          <w:rFonts w:cs="Arial"/>
          <w:color w:val="000000"/>
        </w:rPr>
        <w:t>.</w:t>
      </w:r>
      <w:r w:rsidRPr="00781798">
        <w:rPr>
          <w:rFonts w:cs="Arial"/>
          <w:color w:val="000000"/>
        </w:rPr>
        <w:t xml:space="preserve"> </w:t>
      </w:r>
      <w:r>
        <w:rPr>
          <w:rFonts w:cs="Arial"/>
          <w:color w:val="000000"/>
        </w:rPr>
        <w:t>"</w:t>
      </w:r>
      <w:r w:rsidRPr="00781798">
        <w:rPr>
          <w:rFonts w:cs="Arial"/>
          <w:color w:val="000000"/>
        </w:rPr>
        <w:t>Basisset</w:t>
      </w:r>
      <w:r>
        <w:rPr>
          <w:rFonts w:cs="Arial"/>
          <w:color w:val="000000"/>
        </w:rPr>
        <w:t>"</w:t>
      </w:r>
      <w:r w:rsidRPr="00781798">
        <w:rPr>
          <w:rFonts w:cs="Arial"/>
          <w:color w:val="000000"/>
        </w:rPr>
        <w:t xml:space="preserve"> which focuses on:</w:t>
      </w:r>
    </w:p>
    <w:p w:rsidR="002E1546" w:rsidRPr="00781798" w:rsidRDefault="002E1546" w:rsidP="002E1546">
      <w:pPr>
        <w:numPr>
          <w:ilvl w:val="0"/>
          <w:numId w:val="2"/>
        </w:numPr>
        <w:tabs>
          <w:tab w:val="clear" w:pos="720"/>
          <w:tab w:val="num" w:pos="540"/>
        </w:tabs>
        <w:spacing w:before="120"/>
        <w:ind w:left="540"/>
        <w:rPr>
          <w:rFonts w:cs="Arial"/>
          <w:color w:val="000000"/>
        </w:rPr>
      </w:pPr>
      <w:r w:rsidRPr="00781798">
        <w:rPr>
          <w:rFonts w:cs="Arial"/>
          <w:color w:val="000000"/>
        </w:rPr>
        <w:t>transparency mainly using process indicators for accreditation</w:t>
      </w:r>
    </w:p>
    <w:p w:rsidR="002E1546" w:rsidRPr="00781798" w:rsidRDefault="002E1546" w:rsidP="002E1546">
      <w:pPr>
        <w:numPr>
          <w:ilvl w:val="0"/>
          <w:numId w:val="2"/>
        </w:numPr>
        <w:tabs>
          <w:tab w:val="clear" w:pos="720"/>
          <w:tab w:val="num" w:pos="540"/>
        </w:tabs>
        <w:spacing w:before="120"/>
        <w:ind w:left="540"/>
        <w:rPr>
          <w:rFonts w:cs="Arial"/>
          <w:color w:val="000000"/>
        </w:rPr>
      </w:pPr>
      <w:r w:rsidRPr="00781798">
        <w:rPr>
          <w:rFonts w:cs="Arial"/>
          <w:color w:val="000000"/>
        </w:rPr>
        <w:t>selective overseeing using risk analysis</w:t>
      </w:r>
    </w:p>
    <w:p w:rsidR="002E1546" w:rsidRPr="00781798" w:rsidRDefault="002E1546" w:rsidP="002E1546">
      <w:pPr>
        <w:numPr>
          <w:ilvl w:val="0"/>
          <w:numId w:val="2"/>
        </w:numPr>
        <w:tabs>
          <w:tab w:val="clear" w:pos="720"/>
          <w:tab w:val="num" w:pos="540"/>
        </w:tabs>
        <w:spacing w:before="120"/>
        <w:ind w:left="540"/>
        <w:rPr>
          <w:rFonts w:cs="Arial"/>
          <w:color w:val="000000"/>
        </w:rPr>
      </w:pPr>
      <w:r w:rsidRPr="00781798">
        <w:rPr>
          <w:rFonts w:cs="Arial"/>
          <w:color w:val="000000"/>
        </w:rPr>
        <w:t>inviting hospitals to cooperate with the enforcement tasks of the Inspectorate</w:t>
      </w:r>
    </w:p>
    <w:p w:rsidR="002E1546" w:rsidRPr="00781798" w:rsidRDefault="002E1546" w:rsidP="002E1546">
      <w:pPr>
        <w:numPr>
          <w:ilvl w:val="0"/>
          <w:numId w:val="2"/>
        </w:numPr>
        <w:tabs>
          <w:tab w:val="clear" w:pos="720"/>
          <w:tab w:val="num" w:pos="540"/>
        </w:tabs>
        <w:spacing w:before="120"/>
        <w:ind w:left="540"/>
        <w:rPr>
          <w:rFonts w:cs="Arial"/>
          <w:color w:val="000000"/>
        </w:rPr>
      </w:pPr>
      <w:r w:rsidRPr="00781798">
        <w:rPr>
          <w:rFonts w:cs="Arial"/>
          <w:color w:val="000000"/>
        </w:rPr>
        <w:t>quality assurance of indicators by involvement of scientific communities</w:t>
      </w:r>
      <w:r>
        <w:rPr>
          <w:rFonts w:cs="Arial"/>
          <w:color w:val="000000"/>
        </w:rPr>
        <w:t>.</w:t>
      </w:r>
    </w:p>
    <w:p w:rsidR="002E1546" w:rsidRDefault="002E1546" w:rsidP="002E1546">
      <w:pPr>
        <w:spacing w:before="120"/>
        <w:rPr>
          <w:rFonts w:cs="Arial"/>
          <w:color w:val="000000"/>
        </w:rPr>
      </w:pPr>
      <w:r w:rsidRPr="00781798">
        <w:rPr>
          <w:rFonts w:cs="Arial"/>
          <w:color w:val="000000"/>
        </w:rPr>
        <w:t>2</w:t>
      </w:r>
      <w:r>
        <w:rPr>
          <w:rFonts w:cs="Arial"/>
          <w:color w:val="000000"/>
        </w:rPr>
        <w:t>.</w:t>
      </w:r>
      <w:r w:rsidRPr="00781798">
        <w:rPr>
          <w:rFonts w:cs="Arial"/>
          <w:color w:val="000000"/>
        </w:rPr>
        <w:t xml:space="preserve"> The introduction of Transparency Lists to enable clients and insurance companies to choose between health care services based on bottom up ZN (Insurance Sector) Transparency Sets - Purchase Guides indicators that are quality assured through the involvement of all stakeholders in their development. </w:t>
      </w:r>
    </w:p>
    <w:p w:rsidR="002E1546" w:rsidRPr="005D71E6" w:rsidRDefault="002E1546" w:rsidP="002E1546">
      <w:pPr>
        <w:pStyle w:val="Heading4"/>
      </w:pPr>
      <w:bookmarkStart w:id="140" w:name="_Toc268689580"/>
      <w:bookmarkStart w:id="141" w:name="_Toc269743668"/>
      <w:r>
        <w:t>5</w:t>
      </w:r>
      <w:r w:rsidRPr="005D71E6">
        <w:t>) Other developments of note</w:t>
      </w:r>
      <w:bookmarkEnd w:id="140"/>
      <w:bookmarkEnd w:id="141"/>
    </w:p>
    <w:p w:rsidR="002E1546" w:rsidRPr="00781798" w:rsidRDefault="002E1546" w:rsidP="002E1546">
      <w:pPr>
        <w:pStyle w:val="Heading4"/>
        <w:rPr>
          <w:lang w:eastAsia="en-IE"/>
        </w:rPr>
      </w:pPr>
      <w:r w:rsidRPr="00781798">
        <w:rPr>
          <w:lang w:eastAsia="en-IE"/>
        </w:rPr>
        <w:t>Further Government initiatives:</w:t>
      </w:r>
    </w:p>
    <w:p w:rsidR="002E1546" w:rsidRPr="00781798" w:rsidRDefault="002E1546" w:rsidP="002E1546">
      <w:pPr>
        <w:pStyle w:val="ListBullet"/>
        <w:numPr>
          <w:ilvl w:val="0"/>
          <w:numId w:val="0"/>
        </w:numPr>
        <w:spacing w:after="0"/>
        <w:ind w:left="360"/>
        <w:rPr>
          <w:rFonts w:cs="Arial"/>
          <w:color w:val="000000"/>
          <w:lang w:eastAsia="en-IE"/>
        </w:rPr>
      </w:pPr>
      <w:r w:rsidRPr="00781798">
        <w:rPr>
          <w:rFonts w:cs="Arial"/>
          <w:color w:val="000000"/>
          <w:lang w:eastAsia="en-IE"/>
        </w:rPr>
        <w:t xml:space="preserve">In 2003, the Ministry of Health, Welfare and Sports launched a </w:t>
      </w:r>
      <w:r w:rsidRPr="00781798">
        <w:rPr>
          <w:rFonts w:cs="Arial"/>
          <w:i/>
          <w:iCs/>
          <w:color w:val="000000"/>
          <w:lang w:eastAsia="en-IE"/>
        </w:rPr>
        <w:t>Sneller Beter (</w:t>
      </w:r>
      <w:r w:rsidRPr="00781798">
        <w:rPr>
          <w:rFonts w:cs="Arial"/>
          <w:color w:val="000000"/>
          <w:lang w:eastAsia="en-IE"/>
        </w:rPr>
        <w:t xml:space="preserve">Better Quicker) programme to increase efficiency, improve quality and encourage innovation </w:t>
      </w:r>
      <w:r>
        <w:rPr>
          <w:rFonts w:cs="Arial"/>
          <w:color w:val="000000"/>
          <w:lang w:eastAsia="en-IE"/>
        </w:rPr>
        <w:t>and embed transparency as a quality improvement tool across</w:t>
      </w:r>
      <w:r w:rsidRPr="00781798">
        <w:rPr>
          <w:rFonts w:cs="Arial"/>
          <w:color w:val="000000"/>
          <w:lang w:eastAsia="en-IE"/>
        </w:rPr>
        <w:t xml:space="preserve"> hospital</w:t>
      </w:r>
      <w:r>
        <w:rPr>
          <w:rFonts w:cs="Arial"/>
          <w:color w:val="000000"/>
          <w:lang w:eastAsia="en-IE"/>
        </w:rPr>
        <w:t>s, clinical specialists</w:t>
      </w:r>
      <w:r w:rsidRPr="00781798">
        <w:rPr>
          <w:rFonts w:cs="Arial"/>
          <w:color w:val="000000"/>
          <w:lang w:eastAsia="en-IE"/>
        </w:rPr>
        <w:t xml:space="preserve"> </w:t>
      </w:r>
      <w:r>
        <w:rPr>
          <w:rFonts w:cs="Arial"/>
          <w:color w:val="000000"/>
          <w:lang w:eastAsia="en-IE"/>
        </w:rPr>
        <w:t>and general practitioners</w:t>
      </w:r>
      <w:r w:rsidRPr="00781798">
        <w:rPr>
          <w:rFonts w:cs="Arial"/>
          <w:color w:val="000000"/>
          <w:lang w:eastAsia="en-IE"/>
        </w:rPr>
        <w:t xml:space="preserve">. </w:t>
      </w:r>
    </w:p>
    <w:p w:rsidR="002E1546" w:rsidRPr="00781798" w:rsidRDefault="002E1546" w:rsidP="002E1546">
      <w:pPr>
        <w:pStyle w:val="ListBullet"/>
        <w:numPr>
          <w:ilvl w:val="0"/>
          <w:numId w:val="0"/>
        </w:numPr>
        <w:spacing w:after="0"/>
        <w:ind w:left="360"/>
        <w:rPr>
          <w:rFonts w:cs="Arial"/>
          <w:color w:val="000000"/>
          <w:lang w:eastAsia="en-IE"/>
        </w:rPr>
      </w:pPr>
      <w:r w:rsidRPr="00781798">
        <w:rPr>
          <w:rFonts w:cs="Arial"/>
          <w:color w:val="000000"/>
          <w:lang w:eastAsia="en-IE"/>
        </w:rPr>
        <w:t xml:space="preserve">A similar programme, </w:t>
      </w:r>
      <w:r w:rsidRPr="00781798">
        <w:rPr>
          <w:rFonts w:cs="Arial"/>
          <w:i/>
          <w:iCs/>
          <w:color w:val="000000"/>
          <w:lang w:eastAsia="en-IE"/>
        </w:rPr>
        <w:t xml:space="preserve">Zorg voor Beter </w:t>
      </w:r>
      <w:r w:rsidRPr="00781798">
        <w:rPr>
          <w:rFonts w:cs="Arial"/>
          <w:color w:val="000000"/>
          <w:lang w:eastAsia="en-IE"/>
        </w:rPr>
        <w:t xml:space="preserve">(Making it Better), was established for the long-term care sector to improve the client centredness and more general quality of health and personal services provided within the scope of the </w:t>
      </w:r>
      <w:r w:rsidR="00CF3946">
        <w:rPr>
          <w:lang w:val="en-US" w:bidi="en-US"/>
        </w:rPr>
        <w:t>Long Term Care Insurance</w:t>
      </w:r>
      <w:r w:rsidR="00CF3946" w:rsidRPr="00D31D4D">
        <w:rPr>
          <w:lang w:val="en-US" w:bidi="en-US"/>
        </w:rPr>
        <w:t xml:space="preserve"> </w:t>
      </w:r>
      <w:r w:rsidR="00CF3946">
        <w:rPr>
          <w:lang w:val="en-US" w:bidi="en-US"/>
        </w:rPr>
        <w:t>(</w:t>
      </w:r>
      <w:r w:rsidRPr="00781798">
        <w:rPr>
          <w:rFonts w:cs="Arial"/>
          <w:i/>
          <w:iCs/>
          <w:color w:val="000000"/>
          <w:lang w:eastAsia="en-IE"/>
        </w:rPr>
        <w:t>AWBZ</w:t>
      </w:r>
      <w:r w:rsidR="00CF3946">
        <w:rPr>
          <w:rFonts w:cs="Arial"/>
          <w:i/>
          <w:iCs/>
          <w:color w:val="000000"/>
          <w:lang w:eastAsia="en-IE"/>
        </w:rPr>
        <w:t>)</w:t>
      </w:r>
      <w:r w:rsidRPr="00781798">
        <w:rPr>
          <w:rFonts w:cs="Arial"/>
          <w:color w:val="000000"/>
          <w:lang w:eastAsia="en-IE"/>
        </w:rPr>
        <w:t xml:space="preserve">. This E36.6 million programme is co-ordinated by the National Health and Healthcare Research Fund and implemented by Vilans and TNO Quality of Life. </w:t>
      </w:r>
    </w:p>
    <w:p w:rsidR="002E1546" w:rsidRPr="00781798" w:rsidRDefault="002E1546" w:rsidP="002E1546">
      <w:pPr>
        <w:pStyle w:val="ListBullet"/>
        <w:numPr>
          <w:ilvl w:val="0"/>
          <w:numId w:val="0"/>
        </w:numPr>
        <w:spacing w:after="0"/>
        <w:ind w:left="360"/>
        <w:rPr>
          <w:rFonts w:cs="Arial"/>
          <w:color w:val="000000"/>
          <w:lang w:eastAsia="en-IE"/>
        </w:rPr>
      </w:pPr>
      <w:r w:rsidRPr="00781798">
        <w:rPr>
          <w:rFonts w:cs="Arial"/>
          <w:color w:val="000000"/>
          <w:lang w:eastAsia="en-IE"/>
        </w:rPr>
        <w:t xml:space="preserve">Other national programmes are being rolled out on specific themes including dementia services, fall prevention and safe medication. </w:t>
      </w:r>
    </w:p>
    <w:p w:rsidR="002E1546" w:rsidRDefault="002E1546" w:rsidP="002E1546">
      <w:pPr>
        <w:pStyle w:val="ListBullet"/>
        <w:numPr>
          <w:ilvl w:val="0"/>
          <w:numId w:val="0"/>
        </w:numPr>
        <w:spacing w:after="0"/>
        <w:ind w:left="360"/>
        <w:rPr>
          <w:rFonts w:cs="Arial"/>
          <w:color w:val="000000"/>
          <w:lang w:eastAsia="en-IE"/>
        </w:rPr>
      </w:pPr>
      <w:r w:rsidRPr="00781798">
        <w:rPr>
          <w:rFonts w:cs="Arial"/>
          <w:color w:val="000000"/>
          <w:lang w:eastAsia="en-IE"/>
        </w:rPr>
        <w:t xml:space="preserve">Notably, national innovation and quality improvement schemes increasingly include initiatives that aim to improve mental health services. </w:t>
      </w:r>
    </w:p>
    <w:p w:rsidR="002E1546" w:rsidRDefault="002E1546" w:rsidP="002E1546">
      <w:pPr>
        <w:pStyle w:val="ListBullet"/>
        <w:numPr>
          <w:ilvl w:val="0"/>
          <w:numId w:val="0"/>
        </w:numPr>
        <w:spacing w:after="0"/>
        <w:ind w:left="360"/>
        <w:rPr>
          <w:rFonts w:cs="Arial"/>
          <w:lang w:val="en"/>
        </w:rPr>
      </w:pPr>
      <w:r w:rsidRPr="00781798">
        <w:rPr>
          <w:rFonts w:cs="Arial"/>
          <w:lang w:val="en"/>
        </w:rPr>
        <w:t xml:space="preserve">The Ministry of Health, Welfare and Sport has also established a framework to support local government in respect of the 2006 Social Support Act (WMO) developing policies based on the composition and demands of citizens within their catchment areas. </w:t>
      </w:r>
    </w:p>
    <w:p w:rsidR="002E1546" w:rsidRPr="00781798" w:rsidRDefault="002E1546" w:rsidP="002E1546">
      <w:pPr>
        <w:pStyle w:val="ListBullet"/>
        <w:numPr>
          <w:ilvl w:val="0"/>
          <w:numId w:val="0"/>
        </w:numPr>
        <w:spacing w:after="0"/>
        <w:ind w:left="360"/>
        <w:rPr>
          <w:rFonts w:cs="Arial"/>
          <w:color w:val="000000"/>
          <w:lang w:val="en-US" w:bidi="en-US"/>
        </w:rPr>
      </w:pPr>
      <w:r w:rsidRPr="00781798">
        <w:rPr>
          <w:rFonts w:cs="Arial"/>
          <w:color w:val="000000"/>
          <w:lang w:val="en-US" w:bidi="en-US"/>
        </w:rPr>
        <w:t>In June 2008 the Dutch Government endorsed a number of further reforms in the area of health and personal social services relevant to people with disabilities that had been recommended by the Social and Economic Council. These include:</w:t>
      </w:r>
    </w:p>
    <w:p w:rsidR="002E1546" w:rsidRPr="00781798" w:rsidRDefault="002E1546" w:rsidP="002E1546">
      <w:pPr>
        <w:pStyle w:val="ListBullet"/>
        <w:numPr>
          <w:ilvl w:val="0"/>
          <w:numId w:val="6"/>
        </w:numPr>
        <w:spacing w:after="0"/>
        <w:rPr>
          <w:rFonts w:cs="Arial"/>
          <w:color w:val="000000"/>
          <w:lang w:val="en-US" w:bidi="en-US"/>
        </w:rPr>
      </w:pPr>
      <w:r w:rsidRPr="00781798">
        <w:rPr>
          <w:rFonts w:cs="Arial"/>
          <w:color w:val="000000"/>
          <w:lang w:val="en-US" w:bidi="en-US"/>
        </w:rPr>
        <w:t>decoupling of service and support financing from accommodation subsidi</w:t>
      </w:r>
      <w:r>
        <w:rPr>
          <w:rFonts w:cs="Arial"/>
          <w:color w:val="000000"/>
          <w:lang w:val="en-US" w:bidi="en-US"/>
        </w:rPr>
        <w:t>s</w:t>
      </w:r>
      <w:r w:rsidRPr="00781798">
        <w:rPr>
          <w:rFonts w:cs="Arial"/>
          <w:color w:val="000000"/>
          <w:lang w:val="en-US" w:bidi="en-US"/>
        </w:rPr>
        <w:t>ation</w:t>
      </w:r>
    </w:p>
    <w:p w:rsidR="002E1546" w:rsidRPr="00781798" w:rsidRDefault="002E1546" w:rsidP="002E1546">
      <w:pPr>
        <w:pStyle w:val="ListBullet"/>
        <w:numPr>
          <w:ilvl w:val="0"/>
          <w:numId w:val="6"/>
        </w:numPr>
        <w:spacing w:after="0"/>
        <w:rPr>
          <w:rFonts w:cs="Arial"/>
          <w:color w:val="000000"/>
          <w:lang w:val="en-US" w:bidi="en-US"/>
        </w:rPr>
      </w:pPr>
      <w:r w:rsidRPr="00781798">
        <w:rPr>
          <w:rFonts w:cs="Arial"/>
          <w:color w:val="000000"/>
          <w:lang w:val="en-US" w:bidi="en-US"/>
        </w:rPr>
        <w:t>increased real control over personal budgets for people with disabilities with services offering clearly defined care service packages (ZZPs) setting out details of service provision for each service user</w:t>
      </w:r>
    </w:p>
    <w:p w:rsidR="002E1546" w:rsidRDefault="002E1546" w:rsidP="002E1546">
      <w:pPr>
        <w:pStyle w:val="ListBullet"/>
        <w:numPr>
          <w:ilvl w:val="0"/>
          <w:numId w:val="6"/>
        </w:numPr>
        <w:spacing w:after="0"/>
        <w:rPr>
          <w:rFonts w:cs="Arial"/>
          <w:color w:val="000000"/>
          <w:lang w:val="en-US" w:bidi="en-US"/>
        </w:rPr>
      </w:pPr>
      <w:r w:rsidRPr="00781798">
        <w:rPr>
          <w:rFonts w:cs="Arial"/>
          <w:color w:val="000000"/>
          <w:lang w:val="en-US" w:bidi="en-US"/>
        </w:rPr>
        <w:t>opportunities for further standards development in the area of needs assessment and definition of entitlements.</w:t>
      </w:r>
    </w:p>
    <w:p w:rsidR="002E1546" w:rsidRDefault="002E1546" w:rsidP="002E1546">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360"/>
        <w:rPr>
          <w:rFonts w:cs="Arial"/>
          <w:color w:val="000000"/>
          <w:szCs w:val="22"/>
          <w:lang w:val="en-US" w:bidi="en-US"/>
        </w:rPr>
      </w:pPr>
      <w:r w:rsidRPr="00781798">
        <w:rPr>
          <w:rFonts w:cs="Arial"/>
          <w:color w:val="000000"/>
          <w:szCs w:val="22"/>
          <w:lang w:val="en-US" w:bidi="en-US"/>
        </w:rPr>
        <w:t>Other opportunities for standards development have been identified for early attention in relation to the quality of job coaches.</w:t>
      </w:r>
    </w:p>
    <w:p w:rsidR="002E1546" w:rsidRPr="00781798" w:rsidRDefault="002E1546" w:rsidP="002E1546">
      <w:pPr>
        <w:pStyle w:val="Heading4"/>
        <w:rPr>
          <w:lang w:eastAsia="en-IE"/>
        </w:rPr>
      </w:pPr>
      <w:r w:rsidRPr="00781798">
        <w:rPr>
          <w:lang w:eastAsia="en-IE"/>
        </w:rPr>
        <w:t xml:space="preserve">Other </w:t>
      </w:r>
      <w:r>
        <w:rPr>
          <w:lang w:eastAsia="en-IE"/>
        </w:rPr>
        <w:t>quality i</w:t>
      </w:r>
      <w:r w:rsidRPr="00781798">
        <w:rPr>
          <w:lang w:eastAsia="en-IE"/>
        </w:rPr>
        <w:t>nitiatives</w:t>
      </w:r>
      <w:r>
        <w:rPr>
          <w:lang w:eastAsia="en-IE"/>
        </w:rPr>
        <w:t xml:space="preserve"> include the following</w:t>
      </w:r>
      <w:r w:rsidRPr="00781798">
        <w:rPr>
          <w:lang w:eastAsia="en-IE"/>
        </w:rPr>
        <w:t>:</w:t>
      </w:r>
    </w:p>
    <w:p w:rsidR="002E1546" w:rsidRPr="00A66628" w:rsidRDefault="002E1546" w:rsidP="002E1546">
      <w:pPr>
        <w:spacing w:before="120"/>
        <w:ind w:left="360"/>
        <w:rPr>
          <w:rFonts w:cs="Arial"/>
        </w:rPr>
      </w:pPr>
      <w:r w:rsidRPr="00781798">
        <w:rPr>
          <w:rFonts w:cs="Arial"/>
        </w:rPr>
        <w:t>The Association of Dutch healthcare insurers has developed a common code of conduct. This code of conduct presents guidelines for proper insurance behaviour and deals with the aspects of quality and accessibility. The code of conduct can be viewed at: http://www.zn.nl/international/issues/code_conduct_quality/The_Code_of_Conduct_and_Quality.asp</w:t>
      </w:r>
    </w:p>
    <w:p w:rsidR="002E1546" w:rsidRDefault="002E1546" w:rsidP="002E1546">
      <w:pPr>
        <w:autoSpaceDE w:val="0"/>
        <w:autoSpaceDN w:val="0"/>
        <w:adjustRightInd w:val="0"/>
        <w:ind w:left="360"/>
        <w:rPr>
          <w:rFonts w:cs="Arial"/>
          <w:lang w:eastAsia="en-IE"/>
        </w:rPr>
      </w:pPr>
      <w:r w:rsidRPr="000636F0">
        <w:rPr>
          <w:rFonts w:cs="Arial"/>
          <w:lang w:eastAsia="en-IE"/>
        </w:rPr>
        <w:t>A Health Care Transparency Programme (Zichtbare Zorg) has</w:t>
      </w:r>
      <w:r>
        <w:rPr>
          <w:rFonts w:cs="Arial"/>
          <w:lang w:eastAsia="en-IE"/>
        </w:rPr>
        <w:t xml:space="preserve"> </w:t>
      </w:r>
      <w:r w:rsidRPr="000636F0">
        <w:rPr>
          <w:rFonts w:cs="Arial"/>
          <w:lang w:eastAsia="en-IE"/>
        </w:rPr>
        <w:t xml:space="preserve">been established </w:t>
      </w:r>
      <w:r>
        <w:rPr>
          <w:rFonts w:cs="Arial"/>
          <w:lang w:eastAsia="en-IE"/>
        </w:rPr>
        <w:t xml:space="preserve">at national level, </w:t>
      </w:r>
      <w:r w:rsidRPr="000636F0">
        <w:rPr>
          <w:rFonts w:cs="Arial"/>
          <w:lang w:eastAsia="en-IE"/>
        </w:rPr>
        <w:t>by the Ministry of Health</w:t>
      </w:r>
      <w:r>
        <w:rPr>
          <w:rFonts w:cs="Arial"/>
          <w:lang w:eastAsia="en-IE"/>
        </w:rPr>
        <w:t>,</w:t>
      </w:r>
      <w:r w:rsidRPr="000636F0">
        <w:rPr>
          <w:rFonts w:cs="Arial"/>
          <w:lang w:eastAsia="en-IE"/>
        </w:rPr>
        <w:t xml:space="preserve"> to standardi</w:t>
      </w:r>
      <w:r>
        <w:rPr>
          <w:rFonts w:cs="Arial"/>
          <w:lang w:eastAsia="en-IE"/>
        </w:rPr>
        <w:t>s</w:t>
      </w:r>
      <w:r w:rsidRPr="000636F0">
        <w:rPr>
          <w:rFonts w:cs="Arial"/>
          <w:lang w:eastAsia="en-IE"/>
        </w:rPr>
        <w:t>e the development, monitoring and maintenance of quality indicators across the health care sector</w:t>
      </w:r>
      <w:r>
        <w:rPr>
          <w:rFonts w:cs="Arial"/>
          <w:lang w:eastAsia="en-IE"/>
        </w:rPr>
        <w:t>,</w:t>
      </w:r>
      <w:r w:rsidRPr="000636F0">
        <w:rPr>
          <w:rFonts w:cs="Arial"/>
          <w:lang w:eastAsia="en-IE"/>
        </w:rPr>
        <w:t xml:space="preserve"> going forward</w:t>
      </w:r>
      <w:r>
        <w:rPr>
          <w:rFonts w:cs="Arial"/>
          <w:lang w:eastAsia="en-IE"/>
        </w:rPr>
        <w:t>, however</w:t>
      </w:r>
      <w:r w:rsidRPr="000636F0">
        <w:rPr>
          <w:rFonts w:cs="Arial"/>
          <w:lang w:eastAsia="en-IE"/>
        </w:rPr>
        <w:t xml:space="preserve">. The </w:t>
      </w:r>
      <w:r>
        <w:rPr>
          <w:rFonts w:cs="Arial"/>
          <w:lang w:eastAsia="en-IE"/>
        </w:rPr>
        <w:t>Programme Bureau</w:t>
      </w:r>
      <w:r w:rsidRPr="000636F0">
        <w:rPr>
          <w:rFonts w:cs="Arial"/>
          <w:lang w:eastAsia="en-IE"/>
        </w:rPr>
        <w:t xml:space="preserve"> currently works on behalf of fifteen steering groups working across the health and personal health care </w:t>
      </w:r>
      <w:r w:rsidRPr="00C3773B">
        <w:rPr>
          <w:rFonts w:cs="Arial"/>
          <w:lang w:eastAsia="en-IE"/>
        </w:rPr>
        <w:t xml:space="preserve">sector. </w:t>
      </w:r>
      <w:r w:rsidRPr="00C3773B">
        <w:rPr>
          <w:rFonts w:cs="Arial"/>
        </w:rPr>
        <w:t>A formal system of service provider</w:t>
      </w:r>
      <w:r>
        <w:rPr>
          <w:rFonts w:cs="Arial"/>
        </w:rPr>
        <w:t>/</w:t>
      </w:r>
      <w:r w:rsidRPr="00C3773B">
        <w:rPr>
          <w:rFonts w:cs="Arial"/>
        </w:rPr>
        <w:t>data registration applies</w:t>
      </w:r>
      <w:r>
        <w:rPr>
          <w:rFonts w:cs="Arial"/>
          <w:lang w:eastAsia="en-IE"/>
        </w:rPr>
        <w:t xml:space="preserve">. </w:t>
      </w:r>
    </w:p>
    <w:p w:rsidR="002E1546" w:rsidRDefault="002E1546" w:rsidP="002E1546">
      <w:pPr>
        <w:autoSpaceDE w:val="0"/>
        <w:autoSpaceDN w:val="0"/>
        <w:adjustRightInd w:val="0"/>
        <w:ind w:left="360"/>
        <w:rPr>
          <w:rFonts w:cs="Arial"/>
          <w:lang w:eastAsia="en-IE"/>
        </w:rPr>
      </w:pPr>
      <w:r>
        <w:rPr>
          <w:rFonts w:cs="Arial"/>
          <w:lang w:eastAsia="en-IE"/>
        </w:rPr>
        <w:t>The Bureau</w:t>
      </w:r>
      <w:r w:rsidRPr="00C3773B">
        <w:rPr>
          <w:rFonts w:cs="Arial"/>
          <w:lang w:eastAsia="en-IE"/>
        </w:rPr>
        <w:t xml:space="preserve"> published a consultation</w:t>
      </w:r>
      <w:r>
        <w:rPr>
          <w:rFonts w:cs="Arial"/>
          <w:lang w:eastAsia="en-IE"/>
        </w:rPr>
        <w:t xml:space="preserve"> document 'Framework for Quality Indicators' in early 2010. It received responses from a variety of stakeholders including service providers, consumer organisations and umbrella groups and one health care insurer.</w:t>
      </w:r>
    </w:p>
    <w:p w:rsidR="002E1546" w:rsidRDefault="002E1546" w:rsidP="002E1546">
      <w:pPr>
        <w:rPr>
          <w:rFonts w:cs="TimesNewRomanPSMT"/>
          <w:sz w:val="16"/>
          <w:szCs w:val="16"/>
          <w:lang w:val="en-US" w:bidi="en-US"/>
        </w:rPr>
        <w:sectPr w:rsidR="002E1546" w:rsidSect="002E1546">
          <w:footnotePr>
            <w:pos w:val="beneathText"/>
          </w:footnotePr>
          <w:pgSz w:w="11900" w:h="16840"/>
          <w:pgMar w:top="1440" w:right="1800" w:bottom="1440" w:left="1800" w:header="708" w:footer="708" w:gutter="0"/>
          <w:cols w:space="708"/>
        </w:sectPr>
      </w:pPr>
    </w:p>
    <w:p w:rsidR="002E1546" w:rsidRDefault="002E1546" w:rsidP="002E1546">
      <w:pPr>
        <w:pStyle w:val="Heading1"/>
        <w:rPr>
          <w:lang w:val="en-US" w:bidi="en-US"/>
        </w:rPr>
      </w:pPr>
      <w:bookmarkStart w:id="142" w:name="_Toc268689581"/>
      <w:bookmarkStart w:id="143" w:name="_Toc269743669"/>
      <w:bookmarkStart w:id="144" w:name="_Toc286160002"/>
      <w:r>
        <w:rPr>
          <w:lang w:val="en-US" w:bidi="en-US"/>
        </w:rPr>
        <w:t xml:space="preserve">Appendix C: Services covered </w:t>
      </w:r>
      <w:r>
        <w:rPr>
          <w:rFonts w:hint="eastAsia"/>
          <w:lang w:val="en-US" w:bidi="en-US"/>
        </w:rPr>
        <w:t>by Dutch health insurance</w:t>
      </w:r>
      <w:bookmarkEnd w:id="142"/>
      <w:bookmarkEnd w:id="143"/>
      <w:bookmarkEnd w:id="144"/>
    </w:p>
    <w:p w:rsidR="002E1546" w:rsidRDefault="002E1546" w:rsidP="002E1546">
      <w:pPr>
        <w:pStyle w:val="ListBullet"/>
        <w:rPr>
          <w:lang w:eastAsia="en-IE"/>
        </w:rPr>
      </w:pPr>
      <w:r>
        <w:rPr>
          <w:lang w:eastAsia="en-IE"/>
        </w:rPr>
        <w:t>M</w:t>
      </w:r>
      <w:r w:rsidRPr="00B260D0">
        <w:rPr>
          <w:lang w:eastAsia="en-IE"/>
        </w:rPr>
        <w:t>edical care and services by medi</w:t>
      </w:r>
      <w:r>
        <w:rPr>
          <w:lang w:eastAsia="en-IE"/>
        </w:rPr>
        <w:t>cal and nursing professionals</w:t>
      </w:r>
    </w:p>
    <w:p w:rsidR="002E1546" w:rsidRDefault="002E1546" w:rsidP="002E1546">
      <w:pPr>
        <w:pStyle w:val="ListBullet"/>
        <w:rPr>
          <w:lang w:eastAsia="en-IE"/>
        </w:rPr>
      </w:pPr>
      <w:r>
        <w:rPr>
          <w:lang w:eastAsia="en-IE"/>
        </w:rPr>
        <w:t>GP services</w:t>
      </w:r>
    </w:p>
    <w:p w:rsidR="002E1546" w:rsidRPr="00B260D0" w:rsidRDefault="002E1546" w:rsidP="002E1546">
      <w:pPr>
        <w:pStyle w:val="ListBullet"/>
        <w:rPr>
          <w:lang w:eastAsia="en-IE"/>
        </w:rPr>
      </w:pPr>
      <w:r>
        <w:rPr>
          <w:lang w:eastAsia="en-IE"/>
        </w:rPr>
        <w:t>In-patient hospital costs</w:t>
      </w:r>
    </w:p>
    <w:p w:rsidR="002E1546" w:rsidRPr="00B260D0" w:rsidRDefault="002E1546" w:rsidP="002E1546">
      <w:pPr>
        <w:pStyle w:val="ListBullet"/>
        <w:rPr>
          <w:lang w:eastAsia="en-IE"/>
        </w:rPr>
      </w:pPr>
      <w:r w:rsidRPr="00B260D0">
        <w:rPr>
          <w:lang w:eastAsia="en-IE"/>
        </w:rPr>
        <w:t>Dental care up to the age of 18 (for others specialist dental care only)</w:t>
      </w:r>
    </w:p>
    <w:p w:rsidR="002E1546" w:rsidRPr="00B260D0" w:rsidRDefault="002E1546" w:rsidP="002E1546">
      <w:pPr>
        <w:pStyle w:val="ListBullet"/>
        <w:rPr>
          <w:lang w:eastAsia="en-IE"/>
        </w:rPr>
      </w:pPr>
      <w:r w:rsidRPr="00B260D0">
        <w:rPr>
          <w:lang w:eastAsia="en-IE"/>
        </w:rPr>
        <w:t>Medical –</w:t>
      </w:r>
      <w:r>
        <w:rPr>
          <w:lang w:eastAsia="en-IE"/>
        </w:rPr>
        <w:t xml:space="preserve"> </w:t>
      </w:r>
      <w:r w:rsidRPr="00B260D0">
        <w:rPr>
          <w:lang w:eastAsia="en-IE"/>
        </w:rPr>
        <w:t>assistance devices including dentures</w:t>
      </w:r>
      <w:r>
        <w:rPr>
          <w:lang w:eastAsia="en-IE"/>
        </w:rPr>
        <w:t xml:space="preserve">, glasses for people with a serious visual impairment; </w:t>
      </w:r>
      <w:r w:rsidRPr="00B260D0">
        <w:rPr>
          <w:lang w:eastAsia="en-IE"/>
        </w:rPr>
        <w:t>walking aids/wheelchairs/</w:t>
      </w:r>
      <w:r>
        <w:rPr>
          <w:lang w:eastAsia="en-IE"/>
        </w:rPr>
        <w:t>Z</w:t>
      </w:r>
      <w:r w:rsidRPr="00B260D0">
        <w:rPr>
          <w:lang w:eastAsia="en-IE"/>
        </w:rPr>
        <w:t xml:space="preserve">immer frames </w:t>
      </w:r>
    </w:p>
    <w:p w:rsidR="002E1546" w:rsidRPr="00B260D0" w:rsidRDefault="002E1546" w:rsidP="002E1546">
      <w:pPr>
        <w:pStyle w:val="ListBullet"/>
        <w:rPr>
          <w:lang w:eastAsia="en-IE"/>
        </w:rPr>
      </w:pPr>
      <w:r w:rsidRPr="00B260D0">
        <w:rPr>
          <w:lang w:eastAsia="en-IE"/>
        </w:rPr>
        <w:t>Pharmaceuticals:</w:t>
      </w:r>
      <w:r>
        <w:rPr>
          <w:lang w:eastAsia="en-IE"/>
        </w:rPr>
        <w:t xml:space="preserve"> Prescription drugs only</w:t>
      </w:r>
    </w:p>
    <w:p w:rsidR="002E1546" w:rsidRDefault="002E1546" w:rsidP="002E1546">
      <w:pPr>
        <w:pStyle w:val="ListBullet"/>
        <w:rPr>
          <w:lang w:eastAsia="en-IE"/>
        </w:rPr>
      </w:pPr>
      <w:r w:rsidRPr="00B260D0">
        <w:rPr>
          <w:lang w:eastAsia="en-IE"/>
        </w:rPr>
        <w:t>Obstetric and maternity (pre/postnatal services up to age of 6 months) care</w:t>
      </w:r>
    </w:p>
    <w:p w:rsidR="002E1546" w:rsidRPr="00B260D0" w:rsidRDefault="002E1546" w:rsidP="002E1546">
      <w:pPr>
        <w:pStyle w:val="ListBullet"/>
        <w:rPr>
          <w:lang w:eastAsia="en-IE"/>
        </w:rPr>
      </w:pPr>
      <w:r>
        <w:rPr>
          <w:lang w:eastAsia="en-IE"/>
        </w:rPr>
        <w:t>Paramedical care</w:t>
      </w:r>
    </w:p>
    <w:p w:rsidR="002E1546" w:rsidRPr="00F0523B" w:rsidRDefault="002E1546" w:rsidP="002E1546">
      <w:pPr>
        <w:pStyle w:val="ListBullet"/>
      </w:pPr>
      <w:r w:rsidRPr="00F0523B">
        <w:t>Physiotherapy</w:t>
      </w:r>
    </w:p>
    <w:p w:rsidR="002E1546" w:rsidRPr="00B260D0" w:rsidRDefault="002E1546" w:rsidP="002E1546">
      <w:pPr>
        <w:pStyle w:val="ListBullet"/>
        <w:rPr>
          <w:lang w:eastAsia="en-IE"/>
        </w:rPr>
      </w:pPr>
      <w:r w:rsidRPr="00B260D0">
        <w:rPr>
          <w:lang w:eastAsia="en-IE"/>
        </w:rPr>
        <w:t>Rehabilitative care:</w:t>
      </w:r>
      <w:r>
        <w:rPr>
          <w:lang w:eastAsia="en-IE"/>
        </w:rPr>
        <w:t xml:space="preserve"> </w:t>
      </w:r>
      <w:r w:rsidRPr="00B260D0">
        <w:rPr>
          <w:lang w:eastAsia="en-IE"/>
        </w:rPr>
        <w:t>Fully covered for first 365 days</w:t>
      </w:r>
    </w:p>
    <w:p w:rsidR="002E1546" w:rsidRPr="00B260D0" w:rsidRDefault="002E1546" w:rsidP="002E1546">
      <w:pPr>
        <w:pStyle w:val="ListBullet"/>
        <w:rPr>
          <w:lang w:eastAsia="en-IE"/>
        </w:rPr>
      </w:pPr>
      <w:r w:rsidRPr="00B260D0">
        <w:rPr>
          <w:lang w:eastAsia="en-IE"/>
        </w:rPr>
        <w:t>Emergency ambulance</w:t>
      </w:r>
    </w:p>
    <w:p w:rsidR="002E1546" w:rsidRPr="008B7F41" w:rsidRDefault="002E1546" w:rsidP="002E1546">
      <w:pPr>
        <w:pStyle w:val="ListBullet"/>
        <w:rPr>
          <w:lang w:eastAsia="en-IE"/>
        </w:rPr>
      </w:pPr>
      <w:r w:rsidRPr="00B260D0">
        <w:rPr>
          <w:lang w:eastAsia="en-IE"/>
        </w:rPr>
        <w:t>Chronic intermittent ventilation (use of equipment in own home</w:t>
      </w:r>
      <w:r>
        <w:rPr>
          <w:lang w:eastAsia="en-IE"/>
        </w:rPr>
        <w:t xml:space="preserve"> </w:t>
      </w:r>
      <w:r w:rsidRPr="00B260D0">
        <w:rPr>
          <w:rFonts w:cs="Arial"/>
          <w:lang w:eastAsia="en-IE"/>
        </w:rPr>
        <w:t>requires authorisation)</w:t>
      </w:r>
    </w:p>
    <w:p w:rsidR="002E1546" w:rsidRPr="00B260D0" w:rsidRDefault="002E1546" w:rsidP="002E1546">
      <w:pPr>
        <w:pStyle w:val="ListBullet"/>
        <w:rPr>
          <w:lang w:eastAsia="en-IE"/>
        </w:rPr>
      </w:pPr>
      <w:r w:rsidRPr="00B260D0">
        <w:rPr>
          <w:lang w:eastAsia="en-IE"/>
        </w:rPr>
        <w:t>First three sets of IVF treatment</w:t>
      </w:r>
    </w:p>
    <w:p w:rsidR="002E1546" w:rsidRPr="00B260D0" w:rsidRDefault="002E1546" w:rsidP="002E1546">
      <w:pPr>
        <w:pStyle w:val="ListBullet"/>
        <w:rPr>
          <w:lang w:eastAsia="en-IE"/>
        </w:rPr>
      </w:pPr>
      <w:r w:rsidRPr="00B260D0">
        <w:rPr>
          <w:lang w:eastAsia="en-IE"/>
        </w:rPr>
        <w:t>Audiological advice for people with hearing</w:t>
      </w:r>
      <w:r>
        <w:rPr>
          <w:lang w:eastAsia="en-IE"/>
        </w:rPr>
        <w:t xml:space="preserve"> impairments</w:t>
      </w:r>
    </w:p>
    <w:p w:rsidR="002E1546" w:rsidRPr="00B260D0" w:rsidRDefault="002E1546" w:rsidP="002E1546">
      <w:pPr>
        <w:pStyle w:val="ListBullet"/>
        <w:rPr>
          <w:lang w:eastAsia="en-IE"/>
        </w:rPr>
      </w:pPr>
      <w:r>
        <w:rPr>
          <w:lang w:eastAsia="en-IE"/>
        </w:rPr>
        <w:t>Genetic testing including</w:t>
      </w:r>
      <w:r w:rsidRPr="00B260D0">
        <w:rPr>
          <w:lang w:eastAsia="en-IE"/>
        </w:rPr>
        <w:t xml:space="preserve"> counse</w:t>
      </w:r>
      <w:r>
        <w:rPr>
          <w:lang w:eastAsia="en-IE"/>
        </w:rPr>
        <w:t>l</w:t>
      </w:r>
      <w:r w:rsidRPr="00B260D0">
        <w:rPr>
          <w:lang w:eastAsia="en-IE"/>
        </w:rPr>
        <w:t>ling for people at risk</w:t>
      </w:r>
    </w:p>
    <w:p w:rsidR="002E1546" w:rsidRPr="00B260D0" w:rsidRDefault="002E1546" w:rsidP="002E1546">
      <w:pPr>
        <w:pStyle w:val="ListBullet"/>
        <w:rPr>
          <w:lang w:eastAsia="en-IE"/>
        </w:rPr>
      </w:pPr>
      <w:r w:rsidRPr="00B260D0">
        <w:rPr>
          <w:lang w:eastAsia="en-IE"/>
        </w:rPr>
        <w:t>Transportation for people confined to wheelchairs, people who need</w:t>
      </w:r>
      <w:r>
        <w:rPr>
          <w:lang w:eastAsia="en-IE"/>
        </w:rPr>
        <w:t xml:space="preserve"> </w:t>
      </w:r>
      <w:r w:rsidRPr="00B260D0">
        <w:rPr>
          <w:lang w:eastAsia="en-IE"/>
        </w:rPr>
        <w:t>out</w:t>
      </w:r>
      <w:r>
        <w:rPr>
          <w:lang w:eastAsia="en-IE"/>
        </w:rPr>
        <w:t xml:space="preserve"> </w:t>
      </w:r>
      <w:r w:rsidRPr="00B260D0">
        <w:rPr>
          <w:lang w:eastAsia="en-IE"/>
        </w:rPr>
        <w:t>-</w:t>
      </w:r>
      <w:r>
        <w:rPr>
          <w:lang w:eastAsia="en-IE"/>
        </w:rPr>
        <w:t xml:space="preserve"> </w:t>
      </w:r>
      <w:r w:rsidRPr="00B260D0">
        <w:rPr>
          <w:lang w:eastAsia="en-IE"/>
        </w:rPr>
        <w:t xml:space="preserve">patient haemodialysis; and </w:t>
      </w:r>
      <w:r>
        <w:rPr>
          <w:lang w:eastAsia="en-IE"/>
        </w:rPr>
        <w:t xml:space="preserve">people who are </w:t>
      </w:r>
      <w:r w:rsidRPr="00B260D0">
        <w:rPr>
          <w:lang w:eastAsia="en-IE"/>
        </w:rPr>
        <w:t>visually impaired</w:t>
      </w:r>
    </w:p>
    <w:p w:rsidR="002E1546" w:rsidRPr="00B260D0" w:rsidRDefault="002E1546" w:rsidP="002E1546">
      <w:pPr>
        <w:pStyle w:val="ListBullet"/>
        <w:rPr>
          <w:lang w:eastAsia="en-IE"/>
        </w:rPr>
      </w:pPr>
      <w:r w:rsidRPr="00B260D0">
        <w:rPr>
          <w:lang w:eastAsia="en-IE"/>
        </w:rPr>
        <w:t>Haemodialysis</w:t>
      </w:r>
    </w:p>
    <w:p w:rsidR="002E1546" w:rsidRPr="00AE5522" w:rsidRDefault="002E1546" w:rsidP="002E1546">
      <w:pPr>
        <w:rPr>
          <w:rFonts w:ascii="Verdana" w:hAnsi="Verdana"/>
          <w:lang w:val="en-US"/>
        </w:rPr>
        <w:sectPr w:rsidR="002E1546" w:rsidRPr="00AE5522" w:rsidSect="002E1546">
          <w:footnotePr>
            <w:pos w:val="beneathText"/>
          </w:footnotePr>
          <w:pgSz w:w="11900" w:h="16840"/>
          <w:pgMar w:top="1440" w:right="1800" w:bottom="1440" w:left="1800" w:header="708" w:footer="708" w:gutter="0"/>
          <w:cols w:space="708"/>
        </w:sectPr>
      </w:pPr>
      <w:r>
        <w:rPr>
          <w:lang w:eastAsia="en-IE"/>
        </w:rPr>
        <w:t>P</w:t>
      </w:r>
      <w:r w:rsidRPr="00B260D0">
        <w:rPr>
          <w:lang w:eastAsia="en-IE"/>
        </w:rPr>
        <w:t>rimary and out-patient mental health care</w:t>
      </w:r>
      <w:r>
        <w:rPr>
          <w:lang w:eastAsia="en-IE"/>
        </w:rPr>
        <w:t>, u</w:t>
      </w:r>
      <w:r w:rsidRPr="00B260D0">
        <w:rPr>
          <w:lang w:eastAsia="en-IE"/>
        </w:rPr>
        <w:t>p to a maximum of eight sessions;</w:t>
      </w:r>
      <w:r>
        <w:rPr>
          <w:lang w:eastAsia="en-IE"/>
        </w:rPr>
        <w:t xml:space="preserve"> c</w:t>
      </w:r>
      <w:r w:rsidRPr="00B260D0">
        <w:rPr>
          <w:lang w:eastAsia="en-IE"/>
        </w:rPr>
        <w:t>o</w:t>
      </w:r>
      <w:r>
        <w:rPr>
          <w:lang w:eastAsia="en-IE"/>
        </w:rPr>
        <w:t xml:space="preserve"> </w:t>
      </w:r>
      <w:r w:rsidRPr="00B260D0">
        <w:rPr>
          <w:lang w:eastAsia="en-IE"/>
        </w:rPr>
        <w:t>-</w:t>
      </w:r>
      <w:r>
        <w:rPr>
          <w:lang w:eastAsia="en-IE"/>
        </w:rPr>
        <w:t xml:space="preserve"> </w:t>
      </w:r>
      <w:r w:rsidRPr="00B260D0">
        <w:rPr>
          <w:lang w:eastAsia="en-IE"/>
        </w:rPr>
        <w:t>payment of 10 Euro per session</w:t>
      </w:r>
      <w:r>
        <w:rPr>
          <w:rStyle w:val="FootnoteReference"/>
          <w:rFonts w:cs="Arial"/>
          <w:lang w:eastAsia="en-IE"/>
        </w:rPr>
        <w:footnoteReference w:id="116"/>
      </w:r>
    </w:p>
    <w:p w:rsidR="002E1546" w:rsidRPr="0084656B" w:rsidRDefault="002E1546" w:rsidP="002E1546">
      <w:pPr>
        <w:tabs>
          <w:tab w:val="left" w:pos="1080"/>
        </w:tabs>
      </w:pPr>
    </w:p>
    <w:sectPr w:rsidR="002E1546" w:rsidRPr="0084656B" w:rsidSect="002E1546">
      <w:footnotePr>
        <w:pos w:val="beneathText"/>
      </w:foot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A87" w:rsidRDefault="00C51A87">
      <w:pPr>
        <w:spacing w:after="0" w:line="240" w:lineRule="auto"/>
      </w:pPr>
      <w:r>
        <w:separator/>
      </w:r>
    </w:p>
  </w:endnote>
  <w:endnote w:type="continuationSeparator" w:id="0">
    <w:p w:rsidR="00C51A87" w:rsidRDefault="00C5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8C" w:rsidRDefault="00EB278C" w:rsidP="002E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03E">
      <w:rPr>
        <w:rStyle w:val="PageNumber"/>
        <w:noProof/>
      </w:rPr>
      <w:t>1</w:t>
    </w:r>
    <w:r>
      <w:rPr>
        <w:rStyle w:val="PageNumber"/>
      </w:rPr>
      <w:fldChar w:fldCharType="end"/>
    </w:r>
  </w:p>
  <w:p w:rsidR="00EB278C" w:rsidRDefault="00EB278C" w:rsidP="002E1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8C" w:rsidRDefault="00EB278C" w:rsidP="002E15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C35">
      <w:rPr>
        <w:rStyle w:val="PageNumber"/>
        <w:noProof/>
      </w:rPr>
      <w:t>1</w:t>
    </w:r>
    <w:r>
      <w:rPr>
        <w:rStyle w:val="PageNumber"/>
      </w:rPr>
      <w:fldChar w:fldCharType="end"/>
    </w:r>
  </w:p>
  <w:p w:rsidR="00EB278C" w:rsidRDefault="00EB278C" w:rsidP="002E15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A87" w:rsidRDefault="00C51A87">
      <w:pPr>
        <w:spacing w:after="0" w:line="240" w:lineRule="auto"/>
      </w:pPr>
      <w:r>
        <w:separator/>
      </w:r>
    </w:p>
  </w:footnote>
  <w:footnote w:type="continuationSeparator" w:id="0">
    <w:p w:rsidR="00C51A87" w:rsidRDefault="00C51A87">
      <w:pPr>
        <w:spacing w:after="0" w:line="240" w:lineRule="auto"/>
      </w:pPr>
      <w:r>
        <w:continuationSeparator/>
      </w:r>
    </w:p>
  </w:footnote>
  <w:footnote w:id="1">
    <w:p w:rsidR="00EB278C" w:rsidRPr="00D21591" w:rsidRDefault="00EB278C" w:rsidP="002E1546">
      <w:pPr>
        <w:pStyle w:val="FootnoteText"/>
        <w:rPr>
          <w:sz w:val="18"/>
          <w:szCs w:val="18"/>
        </w:rPr>
      </w:pPr>
      <w:r>
        <w:rPr>
          <w:rStyle w:val="FootnoteReference"/>
        </w:rPr>
        <w:footnoteRef/>
      </w:r>
      <w:r>
        <w:t xml:space="preserve"> </w:t>
      </w:r>
      <w:r w:rsidRPr="00D21591">
        <w:rPr>
          <w:sz w:val="18"/>
          <w:szCs w:val="18"/>
        </w:rPr>
        <w:t>Central Statistics Office. Population and Migration Estimates April 2009 http://www.cso.ie accessed 1</w:t>
      </w:r>
      <w:r>
        <w:rPr>
          <w:sz w:val="18"/>
          <w:szCs w:val="18"/>
        </w:rPr>
        <w:t>7</w:t>
      </w:r>
      <w:r w:rsidRPr="00D21591">
        <w:rPr>
          <w:sz w:val="18"/>
          <w:szCs w:val="18"/>
        </w:rPr>
        <w:t xml:space="preserve"> August 2010</w:t>
      </w:r>
      <w:r>
        <w:rPr>
          <w:sz w:val="18"/>
          <w:szCs w:val="18"/>
        </w:rPr>
        <w:t xml:space="preserve"> </w:t>
      </w:r>
    </w:p>
  </w:footnote>
  <w:footnote w:id="2">
    <w:p w:rsidR="00EB278C" w:rsidRPr="00D21591" w:rsidRDefault="00EB278C" w:rsidP="002E1546">
      <w:pPr>
        <w:pStyle w:val="FootnoteText"/>
        <w:rPr>
          <w:sz w:val="18"/>
          <w:szCs w:val="18"/>
        </w:rPr>
      </w:pPr>
      <w:r w:rsidRPr="00D21591">
        <w:rPr>
          <w:rStyle w:val="FootnoteReference"/>
          <w:sz w:val="18"/>
          <w:szCs w:val="18"/>
        </w:rPr>
        <w:footnoteRef/>
      </w:r>
      <w:r w:rsidRPr="00D21591">
        <w:rPr>
          <w:sz w:val="18"/>
          <w:szCs w:val="18"/>
        </w:rPr>
        <w:t xml:space="preserve"> Office for National Statistics. http://www.statistics.gov.uk/pdfdir/pop0610.pdf, accessed 1</w:t>
      </w:r>
      <w:r>
        <w:rPr>
          <w:sz w:val="18"/>
          <w:szCs w:val="18"/>
        </w:rPr>
        <w:t>7</w:t>
      </w:r>
      <w:r w:rsidRPr="00D21591">
        <w:rPr>
          <w:sz w:val="18"/>
          <w:szCs w:val="18"/>
        </w:rPr>
        <w:t xml:space="preserve"> August 2010</w:t>
      </w:r>
    </w:p>
  </w:footnote>
  <w:footnote w:id="3">
    <w:p w:rsidR="00EB278C" w:rsidRPr="00D21591" w:rsidRDefault="00EB278C" w:rsidP="002E1546">
      <w:pPr>
        <w:pStyle w:val="FootnoteText"/>
        <w:rPr>
          <w:sz w:val="18"/>
          <w:szCs w:val="18"/>
        </w:rPr>
      </w:pPr>
      <w:r w:rsidRPr="00D21591">
        <w:rPr>
          <w:rStyle w:val="FootnoteReference"/>
          <w:sz w:val="18"/>
          <w:szCs w:val="18"/>
        </w:rPr>
        <w:footnoteRef/>
      </w:r>
      <w:r w:rsidRPr="00D21591">
        <w:rPr>
          <w:sz w:val="18"/>
          <w:szCs w:val="18"/>
        </w:rPr>
        <w:t xml:space="preserve"> General Register Office for Scotland. </w:t>
      </w:r>
      <w:r w:rsidRPr="00D21591">
        <w:rPr>
          <w:rFonts w:cs="Arial"/>
          <w:sz w:val="18"/>
          <w:szCs w:val="18"/>
          <w:lang w:eastAsia="en-IE"/>
        </w:rPr>
        <w:t>http://www.statistics.gov.uk/pdfdir/pop0610.pdf, accessed 1</w:t>
      </w:r>
      <w:r>
        <w:rPr>
          <w:rFonts w:cs="Arial"/>
          <w:sz w:val="18"/>
          <w:szCs w:val="18"/>
          <w:lang w:eastAsia="en-IE"/>
        </w:rPr>
        <w:t>7</w:t>
      </w:r>
      <w:r w:rsidRPr="00D21591">
        <w:rPr>
          <w:rFonts w:cs="Arial"/>
          <w:sz w:val="18"/>
          <w:szCs w:val="18"/>
          <w:lang w:eastAsia="en-IE"/>
        </w:rPr>
        <w:t xml:space="preserve"> August 2010 </w:t>
      </w:r>
    </w:p>
  </w:footnote>
  <w:footnote w:id="4">
    <w:p w:rsidR="00EB278C" w:rsidRPr="00D21591" w:rsidRDefault="00EB278C" w:rsidP="002E1546">
      <w:pPr>
        <w:pStyle w:val="FootnoteText"/>
        <w:rPr>
          <w:sz w:val="18"/>
          <w:szCs w:val="18"/>
        </w:rPr>
      </w:pPr>
      <w:r w:rsidRPr="00D21591">
        <w:rPr>
          <w:rStyle w:val="FootnoteReference"/>
          <w:sz w:val="18"/>
          <w:szCs w:val="18"/>
        </w:rPr>
        <w:footnoteRef/>
      </w:r>
      <w:r w:rsidRPr="00D21591">
        <w:rPr>
          <w:sz w:val="18"/>
          <w:szCs w:val="18"/>
        </w:rPr>
        <w:t xml:space="preserve"> Statistics Netherlands. </w:t>
      </w:r>
      <w:r w:rsidRPr="00D21591">
        <w:rPr>
          <w:rFonts w:cs="Arial"/>
          <w:sz w:val="18"/>
          <w:szCs w:val="18"/>
          <w:lang w:eastAsia="en-IE"/>
        </w:rPr>
        <w:t>Centraal Bureau voor de Statistiek http://statline.cbs.nl/StatWeb/publication/?DM=SLEN&amp;PA=37296eng&amp;D1=0-51,56-68&amp;D2=56&amp;LA=EN&amp;VW=T, accessed 1</w:t>
      </w:r>
      <w:r>
        <w:rPr>
          <w:rFonts w:cs="Arial"/>
          <w:sz w:val="18"/>
          <w:szCs w:val="18"/>
          <w:lang w:eastAsia="en-IE"/>
        </w:rPr>
        <w:t>7</w:t>
      </w:r>
      <w:r w:rsidRPr="00D21591">
        <w:rPr>
          <w:rFonts w:cs="Arial"/>
          <w:sz w:val="18"/>
          <w:szCs w:val="18"/>
          <w:lang w:eastAsia="en-IE"/>
        </w:rPr>
        <w:t xml:space="preserve"> August 2010</w:t>
      </w:r>
    </w:p>
  </w:footnote>
  <w:footnote w:id="5">
    <w:p w:rsidR="00EB278C" w:rsidRPr="00D21591" w:rsidRDefault="00EB278C" w:rsidP="002E1546">
      <w:pPr>
        <w:pStyle w:val="FootnoteText"/>
        <w:rPr>
          <w:sz w:val="18"/>
          <w:szCs w:val="18"/>
        </w:rPr>
      </w:pPr>
      <w:r w:rsidRPr="00D21591">
        <w:rPr>
          <w:rStyle w:val="FootnoteReference"/>
          <w:sz w:val="18"/>
          <w:szCs w:val="18"/>
        </w:rPr>
        <w:footnoteRef/>
      </w:r>
      <w:r w:rsidRPr="00D21591">
        <w:rPr>
          <w:sz w:val="18"/>
          <w:szCs w:val="18"/>
        </w:rPr>
        <w:t xml:space="preserve"> Statistics Norway. http://www.ssb.no/folkber_en/tab-2009-12-17-01-en.html, accessed 1</w:t>
      </w:r>
      <w:r>
        <w:rPr>
          <w:sz w:val="18"/>
          <w:szCs w:val="18"/>
        </w:rPr>
        <w:t>7</w:t>
      </w:r>
      <w:r w:rsidRPr="00D21591">
        <w:rPr>
          <w:sz w:val="18"/>
          <w:szCs w:val="18"/>
        </w:rPr>
        <w:t xml:space="preserve"> August 2010 </w:t>
      </w:r>
    </w:p>
  </w:footnote>
  <w:footnote w:id="6">
    <w:p w:rsidR="00EB278C" w:rsidRPr="00D21591" w:rsidRDefault="00EB278C" w:rsidP="002E1546">
      <w:pPr>
        <w:pStyle w:val="FootnoteText"/>
        <w:rPr>
          <w:sz w:val="18"/>
          <w:szCs w:val="18"/>
        </w:rPr>
      </w:pPr>
      <w:r w:rsidRPr="00D21591">
        <w:rPr>
          <w:rStyle w:val="FootnoteReference"/>
          <w:sz w:val="18"/>
          <w:szCs w:val="18"/>
        </w:rPr>
        <w:footnoteRef/>
      </w:r>
      <w:r w:rsidRPr="00D21591">
        <w:rPr>
          <w:sz w:val="18"/>
          <w:szCs w:val="18"/>
        </w:rPr>
        <w:t xml:space="preserve"> Bureau of Statistics. Australian Demographic Statistics (cat. no 3101.0) </w:t>
      </w:r>
      <w:r w:rsidRPr="00D21591">
        <w:rPr>
          <w:rFonts w:cs="Arial"/>
          <w:sz w:val="18"/>
          <w:szCs w:val="18"/>
          <w:lang w:eastAsia="en-IE"/>
        </w:rPr>
        <w:t>http://www.ausstats.abs.gov.au/Ausstats/subscriber.nsf/0/4B3D2204865A8CCCCA25772900202261/$File/13672do002_201003.xls accessed, 1</w:t>
      </w:r>
      <w:r>
        <w:rPr>
          <w:rFonts w:cs="Arial"/>
          <w:sz w:val="18"/>
          <w:szCs w:val="18"/>
          <w:lang w:eastAsia="en-IE"/>
        </w:rPr>
        <w:t>7</w:t>
      </w:r>
      <w:r w:rsidRPr="00D21591">
        <w:rPr>
          <w:rFonts w:cs="Arial"/>
          <w:sz w:val="18"/>
          <w:szCs w:val="18"/>
          <w:lang w:eastAsia="en-IE"/>
        </w:rPr>
        <w:t xml:space="preserve"> August 2010 </w:t>
      </w:r>
    </w:p>
  </w:footnote>
  <w:footnote w:id="7">
    <w:p w:rsidR="00EB278C" w:rsidRPr="00D21591" w:rsidRDefault="00EB278C" w:rsidP="002E1546">
      <w:pPr>
        <w:pStyle w:val="FootnoteText"/>
        <w:rPr>
          <w:sz w:val="18"/>
          <w:szCs w:val="18"/>
        </w:rPr>
      </w:pPr>
      <w:r w:rsidRPr="00D21591">
        <w:rPr>
          <w:rStyle w:val="FootnoteReference"/>
          <w:sz w:val="18"/>
          <w:szCs w:val="18"/>
        </w:rPr>
        <w:footnoteRef/>
      </w:r>
      <w:r w:rsidRPr="00D21591">
        <w:rPr>
          <w:sz w:val="18"/>
          <w:szCs w:val="18"/>
        </w:rPr>
        <w:t>Statistics New Zealand. http://www.stats.govt.nz/browse_for_stats/population/estimates_and_projections/NationalPopulationEstimates_HOTPJun09qtr.aspx, accessed 1</w:t>
      </w:r>
      <w:r>
        <w:rPr>
          <w:sz w:val="18"/>
          <w:szCs w:val="18"/>
        </w:rPr>
        <w:t>7</w:t>
      </w:r>
      <w:r w:rsidRPr="00D21591">
        <w:rPr>
          <w:sz w:val="18"/>
          <w:szCs w:val="18"/>
        </w:rPr>
        <w:t xml:space="preserve"> August 2010</w:t>
      </w:r>
    </w:p>
  </w:footnote>
  <w:footnote w:id="8">
    <w:p w:rsidR="00EB278C" w:rsidRPr="00427369" w:rsidRDefault="00EB278C">
      <w:pPr>
        <w:pStyle w:val="FootnoteText"/>
      </w:pPr>
      <w:r>
        <w:rPr>
          <w:rStyle w:val="FootnoteReference"/>
        </w:rPr>
        <w:footnoteRef/>
      </w:r>
      <w:r>
        <w:t xml:space="preserve"> Academic Network of Experts on Disability (ANED) (2009) </w:t>
      </w:r>
      <w:r w:rsidRPr="00427369">
        <w:t xml:space="preserve">The Netherlands – ANED country profile </w:t>
      </w:r>
      <w:r>
        <w:t>http://www.disability-</w:t>
      </w:r>
      <w:r w:rsidRPr="00427369">
        <w:t>europe.net/content/pdf/Netherlands%20ANED%20country%20profile.pdf</w:t>
      </w:r>
      <w:r>
        <w:t>. In their report ANED cites estimates from the (SCP) Netherlands Institute of Social Research report (2007).</w:t>
      </w:r>
    </w:p>
  </w:footnote>
  <w:footnote w:id="9">
    <w:p w:rsidR="00EB278C" w:rsidRDefault="00EB278C">
      <w:pPr>
        <w:pStyle w:val="FootnoteText"/>
      </w:pPr>
      <w:r>
        <w:rPr>
          <w:rStyle w:val="FootnoteReference"/>
        </w:rPr>
        <w:footnoteRef/>
      </w:r>
      <w:r>
        <w:t xml:space="preserve"> ibid</w:t>
      </w:r>
    </w:p>
  </w:footnote>
  <w:footnote w:id="10">
    <w:p w:rsidR="00EB278C" w:rsidRDefault="00EB278C">
      <w:pPr>
        <w:pStyle w:val="FootnoteText"/>
      </w:pPr>
      <w:r>
        <w:rPr>
          <w:rStyle w:val="FootnoteReference"/>
        </w:rPr>
        <w:footnoteRef/>
      </w:r>
      <w:r>
        <w:t xml:space="preserve"> The figures and percentages cited in the SCP report are from 2007. </w:t>
      </w:r>
    </w:p>
  </w:footnote>
  <w:footnote w:id="11">
    <w:p w:rsidR="00EB278C" w:rsidRPr="00194B20" w:rsidRDefault="00EB278C" w:rsidP="00441546">
      <w:pPr>
        <w:pStyle w:val="FootnoteText"/>
        <w:rPr>
          <w:lang w:val="en-US" w:bidi="en-US"/>
        </w:rPr>
      </w:pPr>
      <w:r>
        <w:rPr>
          <w:rStyle w:val="FootnoteReference"/>
        </w:rPr>
        <w:footnoteRef/>
      </w:r>
      <w:r>
        <w:t xml:space="preserve"> ANED (2009) </w:t>
      </w:r>
      <w:r w:rsidRPr="00427369">
        <w:t xml:space="preserve">The Netherlands – ANED country profile </w:t>
      </w:r>
      <w:r>
        <w:t>http://www.disability-</w:t>
      </w:r>
      <w:r w:rsidRPr="00427369">
        <w:t>europe.net/content/pdf/Netherlands%20ANED%20country%20profile.pdf</w:t>
      </w:r>
      <w:r>
        <w:t xml:space="preserve">. In their report ANED cites estimates from the </w:t>
      </w:r>
      <w:r w:rsidRPr="00AF6ED5">
        <w:rPr>
          <w:lang w:val="en-US" w:bidi="en-US"/>
        </w:rPr>
        <w:t>EU Monitoring and Advocacy</w:t>
      </w:r>
      <w:r w:rsidRPr="00424B1B">
        <w:rPr>
          <w:lang w:val="en-GB" w:bidi="en-US"/>
        </w:rPr>
        <w:t xml:space="preserve"> Programme</w:t>
      </w:r>
      <w:r>
        <w:rPr>
          <w:lang w:val="en-US" w:bidi="en-US"/>
        </w:rPr>
        <w:t>, Open Society Institute (2006</w:t>
      </w:r>
      <w:r w:rsidRPr="00AF6ED5">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p w:rsidR="00EB278C" w:rsidRDefault="00EB278C" w:rsidP="00441546">
      <w:pPr>
        <w:pStyle w:val="FootnoteText"/>
      </w:pPr>
    </w:p>
    <w:p w:rsidR="00EB278C" w:rsidRPr="00427369" w:rsidRDefault="00EB278C">
      <w:pPr>
        <w:pStyle w:val="FootnoteText"/>
      </w:pPr>
    </w:p>
  </w:footnote>
  <w:footnote w:id="12">
    <w:p w:rsidR="00EB278C" w:rsidRPr="00901CD2" w:rsidRDefault="00EB278C" w:rsidP="002E1546">
      <w:pPr>
        <w:pStyle w:val="FootnoteText"/>
      </w:pPr>
      <w:r>
        <w:rPr>
          <w:rStyle w:val="FootnoteReference"/>
        </w:rPr>
        <w:footnoteRef/>
      </w:r>
      <w:r>
        <w:t xml:space="preserve"> </w:t>
      </w:r>
      <w:r w:rsidRPr="00901CD2">
        <w:rPr>
          <w:rFonts w:cs="Arial"/>
        </w:rPr>
        <w:t>Tamsna, N. (2008) Quality in and Equality of  Access to Healthcare Services, European Commission.</w:t>
      </w:r>
      <w:r w:rsidRPr="00901CD2">
        <w:t xml:space="preserve"> Schoonheim, J.(2009) ANED country report  on the implementation of policies supporting independent living for disabled people in the Netherlands.</w:t>
      </w:r>
      <w:r w:rsidRPr="001A3D77">
        <w:t xml:space="preserve"> </w:t>
      </w:r>
    </w:p>
    <w:p w:rsidR="00EB278C" w:rsidRDefault="00EB278C">
      <w:pPr>
        <w:pStyle w:val="FootnoteText"/>
      </w:pPr>
    </w:p>
  </w:footnote>
  <w:footnote w:id="13">
    <w:p w:rsidR="00EB278C" w:rsidRPr="003D1D0A" w:rsidRDefault="00EB278C" w:rsidP="002E1546">
      <w:pPr>
        <w:pStyle w:val="FootnoteText"/>
      </w:pPr>
      <w:r>
        <w:rPr>
          <w:rStyle w:val="FootnoteReference"/>
        </w:rPr>
        <w:footnoteRef/>
      </w:r>
      <w:r>
        <w:t xml:space="preserve"> </w:t>
      </w:r>
      <w:r w:rsidRPr="003D1D0A">
        <w:rPr>
          <w:rFonts w:cs="TimesNewRomanPS-BoldMT"/>
          <w:bCs/>
          <w:lang w:val="en-US" w:bidi="en-US"/>
        </w:rPr>
        <w:t xml:space="preserve">Van der Voort, H and Kerpershoek, E (2008) Introducing performance management in the Dutch health care sector: joining up in a multi actor self regulatory system. Paper presented at the </w:t>
      </w:r>
      <w:r w:rsidRPr="003D1D0A">
        <w:rPr>
          <w:color w:val="000000"/>
          <w:lang w:eastAsia="en-IE"/>
        </w:rPr>
        <w:t>2008 ECPR conference in Utrecht.</w:t>
      </w:r>
    </w:p>
  </w:footnote>
  <w:footnote w:id="14">
    <w:p w:rsidR="00EB278C" w:rsidRPr="004539C4" w:rsidRDefault="00EB278C" w:rsidP="002E1546">
      <w:pPr>
        <w:pStyle w:val="FootnoteText1"/>
      </w:pPr>
      <w:r>
        <w:rPr>
          <w:rStyle w:val="FootnoteReference"/>
          <w:color w:val="000000"/>
          <w:lang w:eastAsia="en-IE"/>
        </w:rPr>
        <w:footnoteRef/>
      </w:r>
      <w:r w:rsidRPr="004539C4">
        <w:t>Tamsna, N. (2008) Quality in and Equality of Access to Healthcare Services. European Commission</w:t>
      </w:r>
    </w:p>
  </w:footnote>
  <w:footnote w:id="15">
    <w:p w:rsidR="00EB278C" w:rsidRPr="004539C4" w:rsidRDefault="00EB278C" w:rsidP="002E1546">
      <w:pPr>
        <w:pStyle w:val="FootnoteText"/>
      </w:pPr>
      <w:r w:rsidRPr="004539C4">
        <w:rPr>
          <w:rStyle w:val="FootnoteReference"/>
          <w:rFonts w:cs="Arial"/>
        </w:rPr>
        <w:footnoteRef/>
      </w:r>
      <w:r w:rsidRPr="004539C4">
        <w:t xml:space="preserve"> </w:t>
      </w:r>
      <w:r>
        <w:t xml:space="preserve">ibid  </w:t>
      </w:r>
    </w:p>
  </w:footnote>
  <w:footnote w:id="16">
    <w:p w:rsidR="00EB278C" w:rsidRPr="004539C4" w:rsidRDefault="00EB278C" w:rsidP="002E1546">
      <w:pPr>
        <w:pStyle w:val="FootnoteText"/>
        <w:rPr>
          <w:bCs/>
          <w:lang w:val="en-US" w:bidi="en-US"/>
        </w:rPr>
      </w:pPr>
      <w:r w:rsidRPr="004539C4">
        <w:rPr>
          <w:rStyle w:val="FootnoteReference"/>
          <w:rFonts w:cs="Arial"/>
        </w:rPr>
        <w:footnoteRef/>
      </w:r>
      <w:r w:rsidRPr="004539C4">
        <w:t xml:space="preserve"> </w:t>
      </w:r>
      <w:r w:rsidRPr="004539C4">
        <w:rPr>
          <w:lang w:val="en-US" w:bidi="en-US"/>
        </w:rPr>
        <w:t xml:space="preserve">Van der Voort, H and Kerpershoek, E (2008) </w:t>
      </w:r>
      <w:r w:rsidRPr="003D1D0A">
        <w:rPr>
          <w:rFonts w:cs="TimesNewRomanPS-BoldMT"/>
          <w:bCs/>
          <w:lang w:val="en-US" w:bidi="en-US"/>
        </w:rPr>
        <w:t xml:space="preserve">Introducing performance management in the Dutch health care sector: joining up in a multi actor self regulatory system. Paper presented at the </w:t>
      </w:r>
      <w:r w:rsidRPr="003D1D0A">
        <w:rPr>
          <w:color w:val="000000"/>
          <w:lang w:eastAsia="en-IE"/>
        </w:rPr>
        <w:t>2008 ECPR conference in Utrecht.</w:t>
      </w:r>
    </w:p>
  </w:footnote>
  <w:footnote w:id="17">
    <w:p w:rsidR="00EB278C" w:rsidRPr="004539C4" w:rsidRDefault="00EB278C" w:rsidP="002E1546">
      <w:pPr>
        <w:pStyle w:val="FootnoteText"/>
      </w:pPr>
      <w:r w:rsidRPr="004539C4">
        <w:rPr>
          <w:rStyle w:val="FootnoteReference"/>
          <w:rFonts w:cs="Arial"/>
        </w:rPr>
        <w:footnoteRef/>
      </w:r>
      <w:r w:rsidRPr="004539C4">
        <w:t xml:space="preserve"> Tamsna, N. (2008) Quality in and Equality of Access to Healthcare Services. European Commission</w:t>
      </w:r>
    </w:p>
  </w:footnote>
  <w:footnote w:id="18">
    <w:p w:rsidR="00EB278C" w:rsidRDefault="00EB278C" w:rsidP="002E1546">
      <w:pPr>
        <w:pStyle w:val="FootnoteText"/>
      </w:pPr>
      <w:r>
        <w:rPr>
          <w:rStyle w:val="FootnoteReference"/>
          <w:vertAlign w:val="baseline"/>
        </w:rPr>
        <w:footnoteRef/>
      </w:r>
      <w:r>
        <w:t xml:space="preserve"> </w:t>
      </w:r>
      <w:r w:rsidRPr="00C220BC">
        <w:rPr>
          <w:rFonts w:cs="Arial"/>
          <w:bCs/>
          <w:lang w:val="en-US" w:bidi="en-US"/>
        </w:rPr>
        <w:t xml:space="preserve">Ministry of Health (2008) Letter to Parliaments DLZ/KZ-2856771 June 13, 2008. Den Haag in </w:t>
      </w:r>
      <w:r>
        <w:rPr>
          <w:rFonts w:cs="Arial"/>
        </w:rPr>
        <w:t xml:space="preserve">Schut, F.T and Van den Berg, B. (2009) Sustainability of Comprehensive Universal Long- Term Care Insurance in the Netherlands. </w:t>
      </w:r>
      <w:r w:rsidRPr="003D1D0A">
        <w:rPr>
          <w:rFonts w:cs="Arial"/>
        </w:rPr>
        <w:t>Accepted for publication in Social Policy and Administration</w:t>
      </w:r>
    </w:p>
    <w:p w:rsidR="00EB278C" w:rsidRPr="000D4F90" w:rsidRDefault="00EB278C" w:rsidP="002E1546">
      <w:pPr>
        <w:pStyle w:val="FootnoteText1"/>
        <w:rPr>
          <w:rFonts w:cs="Times-Roman"/>
          <w:szCs w:val="22"/>
          <w:lang w:bidi="en-US"/>
        </w:rPr>
      </w:pPr>
      <w:r>
        <w:rPr>
          <w:rStyle w:val="FootnoteReference"/>
          <w:rFonts w:cs="Times-Roman"/>
          <w:szCs w:val="22"/>
          <w:lang w:bidi="en-US"/>
        </w:rPr>
        <w:t>17</w:t>
      </w:r>
      <w:r>
        <w:rPr>
          <w:rFonts w:cs="Times-Roman"/>
          <w:szCs w:val="22"/>
          <w:lang w:bidi="en-US"/>
        </w:rPr>
        <w:t xml:space="preserve"> ibid</w:t>
      </w:r>
    </w:p>
    <w:p w:rsidR="00EB278C" w:rsidRPr="000D4F90" w:rsidRDefault="00EB278C" w:rsidP="002E1546">
      <w:pPr>
        <w:pStyle w:val="FootnoteText"/>
      </w:pPr>
      <w:r>
        <w:rPr>
          <w:rStyle w:val="FootnoteReference"/>
          <w:vertAlign w:val="baseline"/>
        </w:rPr>
        <w:t>1</w:t>
      </w:r>
      <w:r>
        <w:t>8</w:t>
      </w:r>
      <w:r w:rsidRPr="00C220BC">
        <w:t xml:space="preserve"> </w:t>
      </w:r>
      <w:r>
        <w:t xml:space="preserve">Mot, E. (2010) The Dutch system of  long-term care. CPB Netherlands Bureau  for Economic Policy Analysis. The Hague. Netherlands. </w:t>
      </w:r>
      <w:r w:rsidRPr="007D4753">
        <w:t>http://www.ceps.eu/book/dutch-system-long-term-care</w:t>
      </w:r>
    </w:p>
    <w:p w:rsidR="00EB278C" w:rsidRPr="005B22B4" w:rsidRDefault="00EB278C" w:rsidP="00A676B4">
      <w:pPr>
        <w:pStyle w:val="FootnoteText"/>
        <w:rPr>
          <w:bCs/>
          <w:lang w:val="en-US" w:bidi="en-US"/>
        </w:rPr>
      </w:pPr>
      <w:r>
        <w:t>19</w:t>
      </w:r>
      <w:r w:rsidRPr="004539C4">
        <w:t xml:space="preserve"> </w:t>
      </w:r>
      <w:r w:rsidRPr="004539C4">
        <w:rPr>
          <w:lang w:val="en-US" w:bidi="en-US"/>
        </w:rPr>
        <w:t>Schoonheim J (2009). ANED country report on the implementation of policies supporting independent living for disabled people in the Netherlands</w:t>
      </w:r>
      <w:r>
        <w:rPr>
          <w:lang w:val="en-US" w:bidi="en-US"/>
        </w:rPr>
        <w:t>. ANED</w:t>
      </w:r>
    </w:p>
    <w:p w:rsidR="00EB278C" w:rsidRPr="004539C4" w:rsidRDefault="00EB278C" w:rsidP="00A676B4">
      <w:pPr>
        <w:pStyle w:val="FootnoteText1"/>
      </w:pPr>
      <w:r w:rsidRPr="004539C4">
        <w:t>.</w:t>
      </w:r>
    </w:p>
    <w:p w:rsidR="00EB278C" w:rsidRPr="00255F0F" w:rsidRDefault="00EB278C" w:rsidP="002E1546">
      <w:pPr>
        <w:pStyle w:val="FootnoteText1"/>
      </w:pPr>
    </w:p>
    <w:p w:rsidR="00EB278C" w:rsidRPr="00C220BC" w:rsidRDefault="00EB278C" w:rsidP="002E1546">
      <w:pPr>
        <w:pStyle w:val="FootnoteText1"/>
      </w:pPr>
    </w:p>
    <w:p w:rsidR="00EB278C" w:rsidRPr="00FE03E3" w:rsidRDefault="00EB278C" w:rsidP="002E1546">
      <w:pPr>
        <w:pStyle w:val="FootnoteText1"/>
      </w:pPr>
    </w:p>
  </w:footnote>
  <w:footnote w:id="19">
    <w:p w:rsidR="00EB278C" w:rsidRPr="00C220BC" w:rsidRDefault="00EB278C" w:rsidP="002E1546">
      <w:pPr>
        <w:pStyle w:val="FootnoteText1"/>
      </w:pPr>
    </w:p>
  </w:footnote>
  <w:footnote w:id="20">
    <w:p w:rsidR="00EB278C" w:rsidRDefault="00EB278C">
      <w:pPr>
        <w:pStyle w:val="FootnoteText"/>
      </w:pPr>
    </w:p>
  </w:footnote>
  <w:footnote w:id="21">
    <w:p w:rsidR="00EB278C" w:rsidRPr="004539C4" w:rsidRDefault="00EB278C" w:rsidP="002E1546">
      <w:pPr>
        <w:pStyle w:val="FootnoteText"/>
        <w:rPr>
          <w:bCs/>
          <w:lang w:val="en-US" w:bidi="en-US"/>
        </w:rPr>
      </w:pPr>
    </w:p>
  </w:footnote>
  <w:footnote w:id="22">
    <w:p w:rsidR="00EB278C" w:rsidRPr="00255F0F" w:rsidRDefault="00EB278C" w:rsidP="00672F9A">
      <w:pPr>
        <w:pStyle w:val="FootnoteText"/>
        <w:rPr>
          <w:rFonts w:cs="Arial"/>
        </w:rPr>
      </w:pPr>
      <w:r w:rsidRPr="00255F0F">
        <w:rPr>
          <w:rStyle w:val="FootnoteReference"/>
          <w:rFonts w:cs="Arial"/>
        </w:rPr>
        <w:footnoteRef/>
      </w:r>
      <w:r w:rsidRPr="00255F0F">
        <w:rPr>
          <w:rFonts w:cs="Arial"/>
        </w:rPr>
        <w:t xml:space="preserve"> </w:t>
      </w:r>
      <w:r w:rsidRPr="004539C4">
        <w:t>Van der Voort, H and Kerpershoek, E (2008) Introducing performance management in the Dutch health care sector: joining up in a multi actor self regulatory system. Paper presented at the 2008 ECPR conference in Utrecht</w:t>
      </w:r>
      <w:r>
        <w:t xml:space="preserve"> </w:t>
      </w:r>
    </w:p>
  </w:footnote>
  <w:footnote w:id="23">
    <w:p w:rsidR="00EB278C" w:rsidRDefault="00EB278C" w:rsidP="00672F9A">
      <w:pPr>
        <w:pStyle w:val="FootnoteText"/>
      </w:pPr>
      <w:r>
        <w:rPr>
          <w:rStyle w:val="FootnoteReference"/>
        </w:rPr>
        <w:footnoteRef/>
      </w:r>
      <w:r>
        <w:t xml:space="preserve"> </w:t>
      </w:r>
      <w:r>
        <w:rPr>
          <w:rFonts w:cs="Arial"/>
        </w:rPr>
        <w:t xml:space="preserve">Schut, F.T and Van den Berg, B. (2009) Sustainability of Comprehensive Universal Long- Term Care Insurance in the Netherlands. </w:t>
      </w:r>
      <w:r w:rsidRPr="003D1D0A">
        <w:rPr>
          <w:rFonts w:cs="Arial"/>
        </w:rPr>
        <w:t>Accepted for publication in Social Policy and Administration</w:t>
      </w:r>
      <w:r>
        <w:t xml:space="preserve"> </w:t>
      </w:r>
    </w:p>
  </w:footnote>
  <w:footnote w:id="24">
    <w:p w:rsidR="00EB278C" w:rsidRDefault="00EB278C">
      <w:pPr>
        <w:pStyle w:val="FootnoteText"/>
      </w:pPr>
      <w:r>
        <w:rPr>
          <w:rStyle w:val="FootnoteReference"/>
        </w:rPr>
        <w:footnoteRef/>
      </w:r>
      <w:r>
        <w:t xml:space="preserve"> Jose Smits, a key informant</w:t>
      </w:r>
    </w:p>
  </w:footnote>
  <w:footnote w:id="25">
    <w:p w:rsidR="00EB278C" w:rsidRPr="007D4753" w:rsidRDefault="00EB278C" w:rsidP="007D4753">
      <w:pPr>
        <w:pStyle w:val="FootnoteText"/>
      </w:pPr>
      <w:r>
        <w:rPr>
          <w:rStyle w:val="FootnoteReference"/>
        </w:rPr>
        <w:footnoteRef/>
      </w:r>
      <w:r>
        <w:t xml:space="preserve"> Mot, E. (2010) The Dutch system of  long-term care. CPB Netherlands Bureau  for Economic Policy Analysis. The Hague. Netherlands. </w:t>
      </w:r>
      <w:r w:rsidRPr="007D4753">
        <w:t>http://www.ceps.eu/book/dutch-system-long-term-care</w:t>
      </w:r>
    </w:p>
    <w:p w:rsidR="00EB278C" w:rsidRDefault="00EB278C">
      <w:pPr>
        <w:pStyle w:val="FootnoteText"/>
      </w:pPr>
    </w:p>
  </w:footnote>
  <w:footnote w:id="26">
    <w:p w:rsidR="00EB278C" w:rsidRPr="00255F0F" w:rsidRDefault="00EB278C" w:rsidP="001F6C64">
      <w:pPr>
        <w:pStyle w:val="FootnoteText"/>
        <w:rPr>
          <w:rFonts w:cs="Arial"/>
        </w:rPr>
      </w:pPr>
      <w:r w:rsidRPr="00255F0F">
        <w:rPr>
          <w:rStyle w:val="FootnoteReference"/>
          <w:rFonts w:cs="Arial"/>
        </w:rPr>
        <w:footnoteRef/>
      </w:r>
      <w:r w:rsidRPr="00255F0F">
        <w:rPr>
          <w:rFonts w:cs="Arial"/>
        </w:rPr>
        <w:t xml:space="preserve"> S</w:t>
      </w:r>
      <w:r>
        <w:rPr>
          <w:rFonts w:cs="Arial"/>
        </w:rPr>
        <w:t>ocial and Economic Council (2008) Langdurige zorg verzekerd:Over de toekomst can de AWBZ, Pubolicatienummer 3. Den Haag in Shut, F.T and Van der Berg, B. (2009)</w:t>
      </w:r>
    </w:p>
  </w:footnote>
  <w:footnote w:id="27">
    <w:p w:rsidR="00EB278C" w:rsidRPr="007D4753" w:rsidRDefault="00EB278C" w:rsidP="00116252">
      <w:pPr>
        <w:pStyle w:val="FootnoteText"/>
      </w:pPr>
      <w:r>
        <w:rPr>
          <w:rStyle w:val="FootnoteReference"/>
        </w:rPr>
        <w:footnoteRef/>
      </w:r>
      <w:r>
        <w:t xml:space="preserve"> Mot, E. (2010) The Dutch system of  long-term care. CPB Netherlands Bureau  for Economic Policy Analysis. The Hague. Netherlands. </w:t>
      </w:r>
      <w:r w:rsidRPr="007D4753">
        <w:t>http://www.ceps.eu/book/dutch-system-long-term-care</w:t>
      </w:r>
    </w:p>
  </w:footnote>
  <w:footnote w:id="28">
    <w:p w:rsidR="00EB278C" w:rsidRPr="007D4753" w:rsidRDefault="00EB278C" w:rsidP="00A36D9A">
      <w:pPr>
        <w:pStyle w:val="FootnoteText"/>
      </w:pPr>
      <w:r>
        <w:rPr>
          <w:rStyle w:val="FootnoteReference"/>
        </w:rPr>
        <w:footnoteRef/>
      </w:r>
      <w:r>
        <w:t xml:space="preserve"> Mot, E. (2010) The Dutch system of  long-term care. CPB Netherlands Bureau  for Economic Policy Analysis. The Hague. Netherlands. </w:t>
      </w:r>
      <w:r w:rsidRPr="007D4753">
        <w:t>http://www.ceps.eu/book/dutch-system-long-term-care</w:t>
      </w:r>
    </w:p>
    <w:p w:rsidR="00EB278C" w:rsidRDefault="00EB278C">
      <w:pPr>
        <w:pStyle w:val="FootnoteText"/>
      </w:pPr>
    </w:p>
  </w:footnote>
  <w:footnote w:id="29">
    <w:p w:rsidR="00EB278C" w:rsidRPr="00353824" w:rsidRDefault="00EB278C" w:rsidP="002E1546">
      <w:pPr>
        <w:pStyle w:val="FootnoteText"/>
        <w:rPr>
          <w:bCs/>
          <w:lang w:val="en-US" w:bidi="en-US"/>
        </w:rPr>
      </w:pPr>
      <w:r>
        <w:rPr>
          <w:rStyle w:val="FootnoteReference"/>
        </w:rPr>
        <w:footnoteRef/>
      </w:r>
      <w:r>
        <w:t xml:space="preserve"> </w:t>
      </w:r>
      <w:r w:rsidRPr="004539C4">
        <w:rPr>
          <w:bCs/>
          <w:lang w:val="en-US" w:bidi="en-US"/>
        </w:rPr>
        <w:t>Schoonheim</w:t>
      </w:r>
      <w:r>
        <w:rPr>
          <w:bCs/>
          <w:lang w:val="en-US" w:bidi="en-US"/>
        </w:rPr>
        <w:t>,</w:t>
      </w:r>
      <w:r w:rsidRPr="004539C4">
        <w:rPr>
          <w:bCs/>
          <w:lang w:val="en-US" w:bidi="en-US"/>
        </w:rPr>
        <w:t xml:space="preserve"> J</w:t>
      </w:r>
      <w:r>
        <w:rPr>
          <w:bCs/>
          <w:lang w:val="en-US" w:bidi="en-US"/>
        </w:rPr>
        <w:t>.</w:t>
      </w:r>
      <w:r w:rsidRPr="004539C4">
        <w:rPr>
          <w:bCs/>
          <w:lang w:val="en-US" w:bidi="en-US"/>
        </w:rPr>
        <w:t xml:space="preserve"> (2009). ANED country report on the implementation of policies supporting independent living for disabled people in the Netherlands</w:t>
      </w:r>
      <w:r>
        <w:rPr>
          <w:bCs/>
          <w:lang w:val="en-US" w:bidi="en-US"/>
        </w:rPr>
        <w:t>. ANED</w:t>
      </w:r>
    </w:p>
  </w:footnote>
  <w:footnote w:id="30">
    <w:p w:rsidR="00EB278C" w:rsidRPr="00137A30" w:rsidRDefault="00EB278C" w:rsidP="00A12716">
      <w:pPr>
        <w:pStyle w:val="FootnoteText"/>
        <w:rPr>
          <w:rFonts w:cs="Arial"/>
        </w:rPr>
      </w:pPr>
      <w:r>
        <w:rPr>
          <w:rStyle w:val="FootnoteReference"/>
        </w:rPr>
        <w:footnoteRef/>
      </w:r>
      <w:r>
        <w:t xml:space="preserve"> </w:t>
      </w:r>
      <w:r>
        <w:rPr>
          <w:rFonts w:cs="Arial"/>
          <w:color w:val="000000"/>
          <w:lang w:eastAsia="en-IE"/>
        </w:rPr>
        <w:t>Zichtbare Z</w:t>
      </w:r>
      <w:r w:rsidRPr="00326C6F">
        <w:rPr>
          <w:rFonts w:cs="Arial"/>
          <w:color w:val="000000"/>
          <w:lang w:eastAsia="en-IE"/>
        </w:rPr>
        <w:t xml:space="preserve">org </w:t>
      </w:r>
      <w:r>
        <w:rPr>
          <w:rFonts w:cs="Arial"/>
          <w:color w:val="000000"/>
          <w:lang w:eastAsia="en-IE"/>
        </w:rPr>
        <w:t xml:space="preserve">is </w:t>
      </w:r>
      <w:r>
        <w:rPr>
          <w:rFonts w:cs="Arial"/>
          <w:lang w:eastAsia="en-IE"/>
        </w:rPr>
        <w:t>a</w:t>
      </w:r>
      <w:r w:rsidRPr="00137A30">
        <w:rPr>
          <w:rFonts w:cs="Arial"/>
          <w:lang w:eastAsia="en-IE"/>
        </w:rPr>
        <w:t xml:space="preserve"> Health Care Transparency Programme established at national level, by the Ministry of Health,</w:t>
      </w:r>
      <w:r>
        <w:rPr>
          <w:rFonts w:cs="Arial"/>
          <w:lang w:eastAsia="en-IE"/>
        </w:rPr>
        <w:t xml:space="preserve"> to standardis</w:t>
      </w:r>
      <w:r w:rsidRPr="00137A30">
        <w:rPr>
          <w:rFonts w:cs="Arial"/>
          <w:lang w:eastAsia="en-IE"/>
        </w:rPr>
        <w:t>e the development, monitoring and maintenance of quality indicators across the health care sector, going forward</w:t>
      </w:r>
    </w:p>
  </w:footnote>
  <w:footnote w:id="31">
    <w:p w:rsidR="00EB278C" w:rsidRPr="00753F7F" w:rsidRDefault="00EB278C">
      <w:pPr>
        <w:pStyle w:val="FootnoteText"/>
        <w:rPr>
          <w:rFonts w:cs="Arial"/>
          <w:lang w:val="en-US"/>
        </w:rPr>
      </w:pPr>
      <w:r>
        <w:rPr>
          <w:rStyle w:val="FootnoteReference"/>
        </w:rPr>
        <w:footnoteRef/>
      </w:r>
      <w:r>
        <w:t xml:space="preserve"> Schoonheim, J., and Smits, J. (2009) Report on the social inclusion and social protection of people with disabilities in  European countries. The Netherlands. ANED</w:t>
      </w:r>
      <w:r w:rsidRPr="00D44D07">
        <w:rPr>
          <w:lang w:val="en-US" w:bidi="en-US"/>
        </w:rPr>
        <w:t xml:space="preserve">(Academic Network of  European Disability Experts) </w:t>
      </w:r>
      <w:r>
        <w:rPr>
          <w:rFonts w:cs="Arial"/>
          <w:lang w:val="en-US"/>
        </w:rPr>
        <w:t>www.disability-europe.net/</w:t>
      </w:r>
    </w:p>
  </w:footnote>
  <w:footnote w:id="32">
    <w:p w:rsidR="00EB278C" w:rsidRPr="00261232" w:rsidRDefault="00EB278C" w:rsidP="00153C0F">
      <w:pPr>
        <w:pStyle w:val="FootnoteText"/>
      </w:pPr>
      <w:r>
        <w:rPr>
          <w:rStyle w:val="FootnoteReference"/>
        </w:rPr>
        <w:footnoteRef/>
      </w:r>
      <w:r>
        <w:t xml:space="preserve"> Ministry of Health, Welfare and Sport (2004) Equal treatment in practice. </w:t>
      </w:r>
      <w:r w:rsidRPr="00261232">
        <w:t>http://english.minvws.nl/en/themes/disabled_people/default.asp</w:t>
      </w:r>
    </w:p>
  </w:footnote>
  <w:footnote w:id="33">
    <w:p w:rsidR="00EB278C" w:rsidRPr="00485465" w:rsidRDefault="00EB278C" w:rsidP="00F81E1C">
      <w:pPr>
        <w:pStyle w:val="FootnoteText"/>
        <w:rPr>
          <w:rFonts w:cs="Arial"/>
          <w:bCs/>
          <w:lang w:val="en-US" w:bidi="en-US"/>
        </w:rPr>
      </w:pPr>
      <w:r w:rsidRPr="00D44D07">
        <w:rPr>
          <w:rStyle w:val="FootnoteReference"/>
          <w:rFonts w:cs="Arial"/>
        </w:rPr>
        <w:footnoteRef/>
      </w:r>
      <w:r w:rsidRPr="00D44D07">
        <w:t xml:space="preserve"> </w:t>
      </w:r>
      <w:r w:rsidRPr="00D44D07">
        <w:rPr>
          <w:lang w:val="en-US" w:bidi="en-US"/>
        </w:rPr>
        <w:t>Schoonheim</w:t>
      </w:r>
      <w:r>
        <w:rPr>
          <w:lang w:val="en-US" w:bidi="en-US"/>
        </w:rPr>
        <w:t>,</w:t>
      </w:r>
      <w:r w:rsidRPr="00D44D07">
        <w:rPr>
          <w:lang w:val="en-US" w:bidi="en-US"/>
        </w:rPr>
        <w:t xml:space="preserve"> J</w:t>
      </w:r>
      <w:r>
        <w:rPr>
          <w:lang w:val="en-US" w:bidi="en-US"/>
        </w:rPr>
        <w:t>.</w:t>
      </w:r>
      <w:r w:rsidRPr="00D44D07">
        <w:rPr>
          <w:lang w:val="en-US" w:bidi="en-US"/>
        </w:rPr>
        <w:t xml:space="preserve"> (2009). ANED country report on the implementation of policies supporting independent living for disabled people in the Netherlands. ANED (Academic Network of  European Disability Experts) </w:t>
      </w:r>
      <w:r w:rsidRPr="00485465">
        <w:rPr>
          <w:rStyle w:val="HTMLCite"/>
          <w:rFonts w:cs="Arial"/>
          <w:i w:val="0"/>
          <w:color w:val="000000"/>
        </w:rPr>
        <w:t>www.disability-europe.net/</w:t>
      </w:r>
    </w:p>
  </w:footnote>
  <w:footnote w:id="34">
    <w:p w:rsidR="00EB278C" w:rsidRPr="006B3F4C" w:rsidRDefault="00EB278C">
      <w:pPr>
        <w:pStyle w:val="FootnoteText"/>
        <w:rPr>
          <w:rFonts w:cs="Arial"/>
          <w:lang w:val="en-US"/>
        </w:rPr>
      </w:pPr>
      <w:r>
        <w:rPr>
          <w:rStyle w:val="FootnoteReference"/>
        </w:rPr>
        <w:footnoteRef/>
      </w:r>
      <w:r>
        <w:t xml:space="preserve"> Schoonheim, J., and Smits, J. (2009) Report on the social inclusion and social protection of people with disabilities in  European countries. The Netherlands. ANED</w:t>
      </w:r>
      <w:r w:rsidRPr="00D44D07">
        <w:rPr>
          <w:lang w:val="en-US" w:bidi="en-US"/>
        </w:rPr>
        <w:t xml:space="preserve">(Academic Network of  European Disability Experts) </w:t>
      </w:r>
      <w:r>
        <w:rPr>
          <w:rFonts w:cs="Arial"/>
          <w:lang w:val="en-US"/>
        </w:rPr>
        <w:t>www.disability-europe.net/</w:t>
      </w:r>
    </w:p>
  </w:footnote>
  <w:footnote w:id="35">
    <w:p w:rsidR="00EB278C" w:rsidRPr="003266CC" w:rsidRDefault="00EB278C" w:rsidP="002E1546">
      <w:pPr>
        <w:pStyle w:val="FootnoteText"/>
        <w:rPr>
          <w:lang w:eastAsia="en-IE"/>
        </w:rPr>
      </w:pPr>
      <w:r w:rsidRPr="003266CC">
        <w:rPr>
          <w:rStyle w:val="FootnoteReference"/>
          <w:rFonts w:cs="Arial"/>
        </w:rPr>
        <w:footnoteRef/>
      </w:r>
      <w:r w:rsidRPr="003266CC">
        <w:t xml:space="preserve"> </w:t>
      </w:r>
      <w:r>
        <w:t>de Boer, F., Schuttel, P., and Slippens, T. (2009) Personal Budgets (PGB)s for long term care in the Netherlands. Presentation to Ministry of Health, Welfare and Sport.</w:t>
      </w:r>
    </w:p>
  </w:footnote>
  <w:footnote w:id="36">
    <w:p w:rsidR="00EB278C" w:rsidRDefault="00EB278C">
      <w:pPr>
        <w:pStyle w:val="FootnoteText"/>
      </w:pPr>
      <w:r>
        <w:rPr>
          <w:rStyle w:val="FootnoteReference"/>
        </w:rPr>
        <w:footnoteRef/>
      </w:r>
      <w:r>
        <w:t xml:space="preserve"> ibid</w:t>
      </w:r>
    </w:p>
  </w:footnote>
  <w:footnote w:id="37">
    <w:p w:rsidR="00EB278C" w:rsidRPr="005809E5" w:rsidRDefault="00EB278C" w:rsidP="002E1546">
      <w:pPr>
        <w:pStyle w:val="FootnoteText"/>
        <w:rPr>
          <w:rFonts w:cs="Arial"/>
        </w:rPr>
      </w:pPr>
      <w:r w:rsidRPr="00593488">
        <w:rPr>
          <w:rStyle w:val="FootnoteReference"/>
          <w:rFonts w:cs="Arial"/>
        </w:rPr>
        <w:footnoteRef/>
      </w:r>
      <w:r w:rsidRPr="00593488">
        <w:rPr>
          <w:rFonts w:cs="Arial"/>
        </w:rPr>
        <w:t xml:space="preserve"> Applica &amp; CESEP &amp; European Centre (2007) Study of the Compilation of Disability Statistical Data from the Administrative registers of Members States</w:t>
      </w:r>
      <w:r>
        <w:rPr>
          <w:rFonts w:cs="Arial"/>
        </w:rPr>
        <w:t>.</w:t>
      </w:r>
    </w:p>
  </w:footnote>
  <w:footnote w:id="38">
    <w:p w:rsidR="00EB278C" w:rsidRPr="00A574CF" w:rsidRDefault="00EB278C" w:rsidP="002E1546">
      <w:pPr>
        <w:pStyle w:val="FootnoteText"/>
      </w:pPr>
      <w:r w:rsidRPr="00A574CF">
        <w:rPr>
          <w:rStyle w:val="FootnoteReference"/>
        </w:rPr>
        <w:footnoteRef/>
      </w:r>
      <w:r>
        <w:rPr>
          <w:lang w:eastAsia="en-IE"/>
        </w:rPr>
        <w:t xml:space="preserve"> </w:t>
      </w:r>
      <w:r>
        <w:t>Jose Smith key informant from Academic Network of Disability Experts (ANED)</w:t>
      </w:r>
    </w:p>
  </w:footnote>
  <w:footnote w:id="39">
    <w:p w:rsidR="00EB278C" w:rsidRPr="00D31594" w:rsidRDefault="00EB278C" w:rsidP="002E1546">
      <w:pPr>
        <w:pStyle w:val="FootnoteText1"/>
        <w:rPr>
          <w:bCs/>
          <w:lang w:val="en-US" w:bidi="en-US"/>
        </w:rPr>
      </w:pPr>
      <w:r>
        <w:rPr>
          <w:rStyle w:val="FootnoteReference"/>
        </w:rPr>
        <w:footnoteRef/>
      </w:r>
      <w:r>
        <w:t xml:space="preserve"> </w:t>
      </w:r>
      <w:r w:rsidRPr="005809E5">
        <w:rPr>
          <w:lang w:val="en-US" w:bidi="en-US"/>
        </w:rPr>
        <w:t>Schoonheim</w:t>
      </w:r>
      <w:r>
        <w:rPr>
          <w:lang w:val="en-US" w:bidi="en-US"/>
        </w:rPr>
        <w:t>,</w:t>
      </w:r>
      <w:r w:rsidRPr="005809E5">
        <w:rPr>
          <w:lang w:val="en-US" w:bidi="en-US"/>
        </w:rPr>
        <w:t xml:space="preserve"> J</w:t>
      </w:r>
      <w:r>
        <w:rPr>
          <w:lang w:val="en-US" w:bidi="en-US"/>
        </w:rPr>
        <w:t>.</w:t>
      </w:r>
      <w:r w:rsidRPr="005809E5">
        <w:rPr>
          <w:lang w:val="en-US" w:bidi="en-US"/>
        </w:rPr>
        <w:t xml:space="preserve"> (2009). ANED country report on the implementation of policies supporting independent living for disabled people in the Netherlands. ANED (Academic Network of  European Disability Experts) </w:t>
      </w:r>
      <w:r w:rsidRPr="00785FF5">
        <w:rPr>
          <w:rStyle w:val="HTMLCite"/>
          <w:i w:val="0"/>
          <w:color w:val="000000"/>
        </w:rPr>
        <w:t>www.disability-europe.net/</w:t>
      </w:r>
    </w:p>
  </w:footnote>
  <w:footnote w:id="40">
    <w:p w:rsidR="00EB278C" w:rsidRDefault="00EB278C" w:rsidP="002E1546">
      <w:pPr>
        <w:pStyle w:val="FootnoteText"/>
      </w:pPr>
      <w:r>
        <w:rPr>
          <w:rStyle w:val="FootnoteReference"/>
        </w:rPr>
        <w:footnoteRef/>
      </w:r>
      <w:r>
        <w:t xml:space="preserve"> de Boer, F., Schuttel, P., and Slippens, T. (2009) Personal Budgets (PGB)s for long term care in the Netherlands. Presentation to Ministry of Health, Welfare and Sport.</w:t>
      </w:r>
    </w:p>
  </w:footnote>
  <w:footnote w:id="41">
    <w:p w:rsidR="00EB278C" w:rsidRPr="001E03E9" w:rsidRDefault="00EB278C" w:rsidP="006F6642">
      <w:pPr>
        <w:pStyle w:val="FootnoteText"/>
      </w:pPr>
      <w:r>
        <w:rPr>
          <w:rStyle w:val="FootnoteReference"/>
        </w:rPr>
        <w:footnoteRef/>
      </w:r>
      <w:r>
        <w:t xml:space="preserve"> Ministry of Housing, Spatial Planning and the Environment website </w:t>
      </w:r>
      <w:r w:rsidRPr="001E03E9">
        <w:t>http://www.vrom.nl/pagina.html?id=37413</w:t>
      </w:r>
    </w:p>
  </w:footnote>
  <w:footnote w:id="42">
    <w:p w:rsidR="00EB278C" w:rsidRPr="00DC56A1" w:rsidRDefault="00EB278C" w:rsidP="006F6642">
      <w:pPr>
        <w:pStyle w:val="FootnoteText1"/>
        <w:rPr>
          <w:bCs/>
          <w:lang w:val="en-US" w:bidi="en-US"/>
        </w:rPr>
      </w:pPr>
      <w:r>
        <w:rPr>
          <w:rStyle w:val="FootnoteReference"/>
        </w:rPr>
        <w:footnoteRef/>
      </w:r>
      <w:r>
        <w:t xml:space="preserve"> </w:t>
      </w:r>
      <w:r w:rsidRPr="005809E5">
        <w:rPr>
          <w:lang w:val="en-US" w:bidi="en-US"/>
        </w:rPr>
        <w:t>Schoonheim</w:t>
      </w:r>
      <w:r>
        <w:rPr>
          <w:lang w:val="en-US" w:bidi="en-US"/>
        </w:rPr>
        <w:t>,</w:t>
      </w:r>
      <w:r w:rsidRPr="005809E5">
        <w:rPr>
          <w:lang w:val="en-US" w:bidi="en-US"/>
        </w:rPr>
        <w:t xml:space="preserve"> J</w:t>
      </w:r>
      <w:r>
        <w:rPr>
          <w:lang w:val="en-US" w:bidi="en-US"/>
        </w:rPr>
        <w:t>.</w:t>
      </w:r>
      <w:r w:rsidRPr="005809E5">
        <w:rPr>
          <w:lang w:val="en-US" w:bidi="en-US"/>
        </w:rPr>
        <w:t xml:space="preserve"> (2009). ANED country report on the implementation of policies supporting independent living for disabled people in the Netherlands. ANED (Academic Network of  European Disability Experts) </w:t>
      </w:r>
      <w:r w:rsidRPr="00785FF5">
        <w:rPr>
          <w:rStyle w:val="HTMLCite"/>
          <w:i w:val="0"/>
          <w:color w:val="000000"/>
        </w:rPr>
        <w:t>www.disability-europe.net/</w:t>
      </w:r>
    </w:p>
  </w:footnote>
  <w:footnote w:id="43">
    <w:p w:rsidR="00EB278C" w:rsidRDefault="00EB278C" w:rsidP="006F6642">
      <w:pPr>
        <w:pStyle w:val="FootnoteText"/>
      </w:pPr>
      <w:r>
        <w:rPr>
          <w:rStyle w:val="FootnoteReference"/>
        </w:rPr>
        <w:footnoteRef/>
      </w:r>
      <w:r>
        <w:t xml:space="preserve"> </w:t>
      </w:r>
      <w:r w:rsidRPr="00924697">
        <w:t>Stichting Fokus</w:t>
      </w:r>
      <w:r w:rsidRPr="004E16E6">
        <w:t xml:space="preserve"> </w:t>
      </w:r>
      <w:r>
        <w:t xml:space="preserve">website </w:t>
      </w:r>
      <w:r w:rsidRPr="004E16E6">
        <w:t>http://www.fokuswonen.nl/317-Missie-van-Fokus.html</w:t>
      </w:r>
      <w:r>
        <w:t>.</w:t>
      </w:r>
    </w:p>
  </w:footnote>
  <w:footnote w:id="44">
    <w:p w:rsidR="00EB278C" w:rsidRDefault="00EB278C" w:rsidP="006F6642">
      <w:pPr>
        <w:pStyle w:val="FootnoteText"/>
      </w:pPr>
      <w:r>
        <w:rPr>
          <w:rStyle w:val="FootnoteReference"/>
        </w:rPr>
        <w:footnoteRef/>
      </w:r>
      <w:r>
        <w:t xml:space="preserve"> ibid</w:t>
      </w:r>
    </w:p>
  </w:footnote>
  <w:footnote w:id="45">
    <w:p w:rsidR="00EB278C" w:rsidRDefault="00EB278C" w:rsidP="006F6642">
      <w:pPr>
        <w:pStyle w:val="FootnoteText"/>
      </w:pPr>
      <w:r>
        <w:rPr>
          <w:rStyle w:val="FootnoteReference"/>
        </w:rPr>
        <w:footnoteRef/>
      </w:r>
      <w:r>
        <w:t xml:space="preserve"> </w:t>
      </w:r>
      <w:r w:rsidRPr="005809E5">
        <w:rPr>
          <w:lang w:val="en-US" w:bidi="en-US"/>
        </w:rPr>
        <w:t>Schoonheim, J</w:t>
      </w:r>
      <w:r>
        <w:rPr>
          <w:lang w:val="en-US" w:bidi="en-US"/>
        </w:rPr>
        <w:t>.</w:t>
      </w:r>
      <w:r w:rsidRPr="005809E5">
        <w:rPr>
          <w:lang w:val="en-US" w:bidi="en-US"/>
        </w:rPr>
        <w:t xml:space="preserve"> (2009). ANED country report on the implementation of policies supporting independent living for disabled people in the Netherlands. ANED (Academic Network of  European Disability Experts) </w:t>
      </w:r>
      <w:r w:rsidRPr="006A1C52">
        <w:rPr>
          <w:rStyle w:val="HTMLCite"/>
          <w:rFonts w:cs="Arial"/>
          <w:i w:val="0"/>
          <w:color w:val="000000"/>
        </w:rPr>
        <w:t>www.disability-europe.net/</w:t>
      </w:r>
    </w:p>
  </w:footnote>
  <w:footnote w:id="46">
    <w:p w:rsidR="00EB278C" w:rsidRPr="004E16E6" w:rsidRDefault="00EB278C" w:rsidP="006F6642">
      <w:pPr>
        <w:pStyle w:val="FootnoteText"/>
        <w:rPr>
          <w:rFonts w:cs="Arial"/>
          <w:bCs/>
          <w:lang w:val="en-US" w:bidi="en-US"/>
        </w:rPr>
      </w:pPr>
      <w:r>
        <w:rPr>
          <w:rStyle w:val="FootnoteReference"/>
        </w:rPr>
        <w:footnoteRef/>
      </w:r>
      <w:r>
        <w:t xml:space="preserve"> Thomas Houses website </w:t>
      </w:r>
      <w:r w:rsidRPr="00953F16">
        <w:t>http://www.thomashuizen.nl/wat_is_een_thomashuis.aspx</w:t>
      </w:r>
    </w:p>
  </w:footnote>
  <w:footnote w:id="47">
    <w:p w:rsidR="00EB278C" w:rsidRDefault="00EB278C" w:rsidP="006F6642">
      <w:pPr>
        <w:pStyle w:val="FootnoteText"/>
      </w:pPr>
      <w:r>
        <w:rPr>
          <w:rStyle w:val="FootnoteReference"/>
        </w:rPr>
        <w:footnoteRef/>
      </w:r>
      <w:r>
        <w:t xml:space="preserve"> ibid</w:t>
      </w:r>
    </w:p>
  </w:footnote>
  <w:footnote w:id="48">
    <w:p w:rsidR="00EB278C" w:rsidRDefault="00EB278C" w:rsidP="00B6798F">
      <w:pPr>
        <w:pStyle w:val="FootnoteText"/>
        <w:rPr>
          <w:lang w:eastAsia="en-IE"/>
        </w:rPr>
      </w:pPr>
      <w:r>
        <w:rPr>
          <w:rStyle w:val="FootnoteReference"/>
        </w:rPr>
        <w:footnoteRef/>
      </w:r>
      <w:r>
        <w:t xml:space="preserve"> de Boer, F., Schuttel, P., and Slippens, T. (2009) Personal Budgets (PGB)s for long term care in the Netherlands. Presentation to Ministry of Health, Welfare and Sport.</w:t>
      </w:r>
    </w:p>
  </w:footnote>
  <w:footnote w:id="49">
    <w:p w:rsidR="00EB278C" w:rsidRPr="008916BE" w:rsidRDefault="00EB278C" w:rsidP="002E1546">
      <w:pPr>
        <w:pStyle w:val="FootnoteText"/>
        <w:rPr>
          <w:bCs/>
          <w:lang w:val="en-US" w:bidi="en-US"/>
        </w:rPr>
      </w:pPr>
      <w:r>
        <w:rPr>
          <w:rStyle w:val="FootnoteReference"/>
        </w:rPr>
        <w:footnoteRef/>
      </w:r>
      <w:r>
        <w:t xml:space="preserve"> </w:t>
      </w:r>
      <w:r w:rsidRPr="008916BE">
        <w:rPr>
          <w:lang w:val="en-US" w:bidi="en-US"/>
        </w:rPr>
        <w:t xml:space="preserve">Schoonheim, J (2009). ANED country report on the implementation of policies supporting independent living for disabled people in the Netherlands. ANED (Academic Network of  European Disability Experts) </w:t>
      </w:r>
      <w:r w:rsidRPr="008916BE">
        <w:rPr>
          <w:rStyle w:val="HTMLCite"/>
          <w:rFonts w:cs="Arial"/>
          <w:i w:val="0"/>
          <w:color w:val="000000"/>
        </w:rPr>
        <w:t>www.disability-europe.net/</w:t>
      </w:r>
    </w:p>
    <w:p w:rsidR="00EB278C" w:rsidRDefault="00EB278C">
      <w:pPr>
        <w:pStyle w:val="FootnoteText"/>
      </w:pPr>
    </w:p>
  </w:footnote>
  <w:footnote w:id="50">
    <w:p w:rsidR="00EB278C" w:rsidRPr="003D2299" w:rsidRDefault="00EB278C" w:rsidP="002E1546">
      <w:pPr>
        <w:pStyle w:val="FootnoteText1"/>
      </w:pPr>
      <w:r w:rsidRPr="00593488">
        <w:rPr>
          <w:rStyle w:val="FootnoteReference"/>
        </w:rPr>
        <w:footnoteRef/>
      </w:r>
      <w:r w:rsidRPr="00593488">
        <w:t xml:space="preserve"> </w:t>
      </w:r>
      <w:r w:rsidRPr="003D2299">
        <w:t>Goedheijt, T.S., Visser-Jansen, G., and Pijl, M. (2004) Mantelzorg in the Netherlands: Family care: characteristics, care policies, support and research. Utrecht 2004.</w:t>
      </w:r>
    </w:p>
  </w:footnote>
  <w:footnote w:id="51">
    <w:p w:rsidR="00EB278C" w:rsidRPr="00194B20" w:rsidRDefault="00EB278C" w:rsidP="00E26B09">
      <w:pPr>
        <w:pStyle w:val="FootnoteText"/>
        <w:rPr>
          <w:lang w:val="en-US" w:bidi="en-US"/>
        </w:rPr>
      </w:pPr>
      <w:r>
        <w:rPr>
          <w:rStyle w:val="FootnoteReference"/>
        </w:rPr>
        <w:footnoteRef/>
      </w:r>
      <w:r>
        <w:t xml:space="preserve"> </w:t>
      </w:r>
      <w:r w:rsidRPr="00AF6ED5">
        <w:rPr>
          <w:lang w:val="en-US" w:bidi="en-US"/>
        </w:rPr>
        <w:t>EU Monitoring and Advocacy Program</w:t>
      </w:r>
      <w:r>
        <w:rPr>
          <w:lang w:val="en-US" w:bidi="en-US"/>
        </w:rPr>
        <w:t>me, Open Society Institute (2006</w:t>
      </w:r>
      <w:r w:rsidRPr="00AF6ED5">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52">
    <w:p w:rsidR="00EB278C" w:rsidRPr="00A7587B" w:rsidRDefault="00EB278C" w:rsidP="00E26B09">
      <w:pPr>
        <w:pStyle w:val="FootnoteText"/>
      </w:pPr>
      <w:r>
        <w:rPr>
          <w:rStyle w:val="FootnoteReference"/>
        </w:rPr>
        <w:footnoteRef/>
      </w:r>
      <w:r>
        <w:t xml:space="preserve"> McKenney, S (2009) Early Childhood Intervention Project Update. Country Report: The Netherlands. </w:t>
      </w:r>
      <w:r w:rsidRPr="00A7587B">
        <w:t>European Agency for Development in Special Needs Education</w:t>
      </w:r>
    </w:p>
  </w:footnote>
  <w:footnote w:id="53">
    <w:p w:rsidR="00EB278C" w:rsidRPr="00194B20" w:rsidRDefault="00EB278C" w:rsidP="002E1546">
      <w:pPr>
        <w:pStyle w:val="FootnoteText1"/>
        <w:rPr>
          <w:lang w:val="en-US" w:bidi="en-US"/>
        </w:rPr>
      </w:pPr>
      <w:r w:rsidRPr="003C4109">
        <w:rPr>
          <w:rStyle w:val="FootnoteReference"/>
        </w:rPr>
        <w:footnoteRef/>
      </w:r>
      <w:r w:rsidRPr="003C4109">
        <w:t xml:space="preserve"> </w:t>
      </w:r>
      <w:r w:rsidRPr="00166B6F">
        <w:rPr>
          <w:lang w:val="en-US" w:bidi="en-US"/>
        </w:rPr>
        <w:t>EU Monitoring and Advocacy Program</w:t>
      </w:r>
      <w:r>
        <w:rPr>
          <w:lang w:val="en-US" w:bidi="en-US"/>
        </w:rPr>
        <w:t>me, Open Society Institute (2006</w:t>
      </w:r>
      <w:r w:rsidRPr="00166B6F">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54">
    <w:p w:rsidR="00EB278C" w:rsidRPr="00AF6ED5" w:rsidRDefault="00EB278C" w:rsidP="002E1546">
      <w:pPr>
        <w:pStyle w:val="FootnoteText1"/>
        <w:rPr>
          <w:bCs/>
          <w:lang w:val="en-US" w:bidi="en-US"/>
        </w:rPr>
      </w:pPr>
      <w:r w:rsidRPr="00AF6ED5">
        <w:rPr>
          <w:rStyle w:val="FootnoteReference"/>
        </w:rPr>
        <w:footnoteRef/>
      </w:r>
      <w:r w:rsidRPr="00AF6ED5">
        <w:t xml:space="preserve"> ibid </w:t>
      </w:r>
    </w:p>
  </w:footnote>
  <w:footnote w:id="55">
    <w:p w:rsidR="00EB278C" w:rsidRPr="00053A76" w:rsidRDefault="00EB278C">
      <w:pPr>
        <w:pStyle w:val="FootnoteText"/>
      </w:pPr>
      <w:r>
        <w:rPr>
          <w:rStyle w:val="FootnoteReference"/>
        </w:rPr>
        <w:footnoteRef/>
      </w:r>
      <w:r>
        <w:t xml:space="preserve"> Ministry of Education Culture and Sport </w:t>
      </w:r>
      <w:r w:rsidRPr="00053A76">
        <w:t>http://english.minocw.nl/</w:t>
      </w:r>
    </w:p>
  </w:footnote>
  <w:footnote w:id="56">
    <w:p w:rsidR="00EB278C" w:rsidRPr="00194B20" w:rsidRDefault="00EB278C" w:rsidP="002E1546">
      <w:pPr>
        <w:pStyle w:val="FootnoteText1"/>
        <w:rPr>
          <w:lang w:val="en-US" w:bidi="en-US"/>
        </w:rPr>
      </w:pPr>
      <w:r w:rsidRPr="00166B6F">
        <w:rPr>
          <w:rStyle w:val="FootnoteReference"/>
        </w:rPr>
        <w:footnoteRef/>
      </w:r>
      <w:r w:rsidRPr="00166B6F">
        <w:t xml:space="preserve"> </w:t>
      </w:r>
      <w:r w:rsidRPr="00166B6F">
        <w:rPr>
          <w:lang w:val="en-US" w:bidi="en-US"/>
        </w:rPr>
        <w:t>EU Monitoring and Advocacy Program</w:t>
      </w:r>
      <w:r>
        <w:rPr>
          <w:lang w:val="en-US" w:bidi="en-US"/>
        </w:rPr>
        <w:t>me, Open Society Institute (2006</w:t>
      </w:r>
      <w:r w:rsidRPr="00166B6F">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57">
    <w:p w:rsidR="00EB278C" w:rsidRPr="00194B20" w:rsidRDefault="00EB278C" w:rsidP="002E1546">
      <w:pPr>
        <w:pStyle w:val="FootnoteText1"/>
        <w:rPr>
          <w:lang w:val="en-US" w:bidi="en-US"/>
        </w:rPr>
      </w:pPr>
      <w:r>
        <w:rPr>
          <w:rStyle w:val="FootnoteReference"/>
        </w:rPr>
        <w:footnoteRef/>
      </w:r>
      <w:r>
        <w:t xml:space="preserve"> </w:t>
      </w:r>
      <w:r w:rsidRPr="00A7587B">
        <w:rPr>
          <w:lang w:eastAsia="en-IE"/>
        </w:rPr>
        <w:t xml:space="preserve">Education Inspectorate, </w:t>
      </w:r>
      <w:r w:rsidRPr="00A7587B">
        <w:rPr>
          <w:i/>
          <w:iCs/>
          <w:lang w:eastAsia="en-IE"/>
        </w:rPr>
        <w:t>Waiting Lists for Special Schools</w:t>
      </w:r>
      <w:r w:rsidRPr="00A7587B">
        <w:rPr>
          <w:lang w:eastAsia="en-IE"/>
        </w:rPr>
        <w:t xml:space="preserve">, p. 13. </w:t>
      </w:r>
      <w:r w:rsidRPr="00A7587B">
        <w:t xml:space="preserve">in </w:t>
      </w:r>
      <w:r w:rsidRPr="00A7587B">
        <w:rPr>
          <w:lang w:val="en-US" w:bidi="en-US"/>
        </w:rPr>
        <w:t>EU Monitoring and Advocacy</w:t>
      </w:r>
      <w:r w:rsidRPr="00166B6F">
        <w:rPr>
          <w:lang w:val="en-US" w:bidi="en-US"/>
        </w:rPr>
        <w:t xml:space="preserve"> Program</w:t>
      </w:r>
      <w:r>
        <w:rPr>
          <w:lang w:val="en-US" w:bidi="en-US"/>
        </w:rPr>
        <w:t>me, Open Society Institute (2006</w:t>
      </w:r>
      <w:r w:rsidRPr="00166B6F">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58">
    <w:p w:rsidR="00EB278C" w:rsidRPr="00166B6F" w:rsidRDefault="00EB278C" w:rsidP="002E1546">
      <w:pPr>
        <w:pStyle w:val="FootnoteText1"/>
        <w:rPr>
          <w:bCs/>
          <w:lang w:val="en-US" w:bidi="en-US"/>
        </w:rPr>
      </w:pPr>
      <w:r w:rsidRPr="00166B6F">
        <w:rPr>
          <w:rStyle w:val="FootnoteReference"/>
        </w:rPr>
        <w:footnoteRef/>
      </w:r>
      <w:r w:rsidRPr="00166B6F">
        <w:t xml:space="preserve"> </w:t>
      </w:r>
      <w:r w:rsidRPr="00166B6F">
        <w:rPr>
          <w:lang w:val="en-US" w:bidi="en-US"/>
        </w:rPr>
        <w:t>ibid</w:t>
      </w:r>
    </w:p>
  </w:footnote>
  <w:footnote w:id="59">
    <w:p w:rsidR="00EB278C" w:rsidRPr="00194B20" w:rsidRDefault="00EB278C" w:rsidP="002E1546">
      <w:pPr>
        <w:pStyle w:val="FootnoteText1"/>
        <w:rPr>
          <w:lang w:val="en-US" w:bidi="en-US"/>
        </w:rPr>
      </w:pPr>
      <w:r w:rsidRPr="00AF6ED5">
        <w:rPr>
          <w:rStyle w:val="FootnoteReference"/>
        </w:rPr>
        <w:footnoteRef/>
      </w:r>
      <w:r w:rsidRPr="00AF6ED5">
        <w:t xml:space="preserve"> </w:t>
      </w:r>
      <w:r w:rsidRPr="00A7587B">
        <w:rPr>
          <w:lang w:eastAsia="en-IE"/>
        </w:rPr>
        <w:t xml:space="preserve">Education Inspectorate, </w:t>
      </w:r>
      <w:r w:rsidRPr="00A7587B">
        <w:rPr>
          <w:i/>
          <w:iCs/>
          <w:lang w:eastAsia="en-IE"/>
        </w:rPr>
        <w:t>Waiting Lists for Special Schools</w:t>
      </w:r>
      <w:r w:rsidRPr="00A7587B">
        <w:rPr>
          <w:lang w:eastAsia="en-IE"/>
        </w:rPr>
        <w:t xml:space="preserve">, p. 13. </w:t>
      </w:r>
      <w:r w:rsidRPr="00A7587B">
        <w:t xml:space="preserve">in </w:t>
      </w:r>
      <w:r w:rsidRPr="00A7587B">
        <w:rPr>
          <w:lang w:val="en-US" w:bidi="en-US"/>
        </w:rPr>
        <w:t>EU Monitoring and Advocacy</w:t>
      </w:r>
      <w:r w:rsidRPr="00166B6F">
        <w:rPr>
          <w:lang w:val="en-US" w:bidi="en-US"/>
        </w:rPr>
        <w:t xml:space="preserve"> Program</w:t>
      </w:r>
      <w:r>
        <w:rPr>
          <w:lang w:val="en-US" w:bidi="en-US"/>
        </w:rPr>
        <w:t>me, Open Society Institute (2006</w:t>
      </w:r>
      <w:r w:rsidRPr="00166B6F">
        <w:rPr>
          <w:lang w:val="en-US" w:bidi="en-US"/>
        </w:rPr>
        <w:t>) Rights of people with Intellectual Disabilities: Access to Education and Employment. Summary Reports, The Netherlands. Open Society Institute, Hungary. www.eumap.org</w:t>
      </w:r>
      <w:r>
        <w:t xml:space="preserve"> </w:t>
      </w:r>
      <w:r w:rsidRPr="00194B20">
        <w:rPr>
          <w:lang w:val="en-US" w:bidi="en-US"/>
        </w:rPr>
        <w:t>http://www.osmhi.org/contentpics/202/id_nl.pdf</w:t>
      </w:r>
    </w:p>
  </w:footnote>
  <w:footnote w:id="60">
    <w:p w:rsidR="00EB278C" w:rsidRPr="00166B6F" w:rsidRDefault="00EB278C" w:rsidP="002E1546">
      <w:pPr>
        <w:pStyle w:val="FootnoteText1"/>
        <w:rPr>
          <w:bCs/>
          <w:lang w:val="en-US" w:bidi="en-US"/>
        </w:rPr>
      </w:pPr>
      <w:r w:rsidRPr="00166B6F">
        <w:rPr>
          <w:rStyle w:val="FootnoteReference"/>
        </w:rPr>
        <w:footnoteRef/>
      </w:r>
      <w:r w:rsidRPr="00166B6F">
        <w:t xml:space="preserve"> </w:t>
      </w:r>
      <w:r w:rsidRPr="00166B6F">
        <w:rPr>
          <w:lang w:val="en-US" w:bidi="en-US"/>
        </w:rPr>
        <w:t>ibid</w:t>
      </w:r>
    </w:p>
  </w:footnote>
  <w:footnote w:id="61">
    <w:p w:rsidR="00EB278C" w:rsidRPr="009502C4" w:rsidRDefault="00EB278C">
      <w:pPr>
        <w:pStyle w:val="FootnoteText"/>
      </w:pPr>
      <w:r>
        <w:rPr>
          <w:rStyle w:val="FootnoteReference"/>
        </w:rPr>
        <w:footnoteRef/>
      </w:r>
      <w:r>
        <w:t xml:space="preserve"> </w:t>
      </w:r>
      <w:r w:rsidRPr="009502C4">
        <w:t>http://www.european-agency.org/country-information/netherlands/national-overview/complete-national-overview</w:t>
      </w:r>
    </w:p>
  </w:footnote>
  <w:footnote w:id="62">
    <w:p w:rsidR="00EB278C" w:rsidRPr="00194B20" w:rsidRDefault="00EB278C" w:rsidP="002E1546">
      <w:pPr>
        <w:pStyle w:val="FootnoteText1"/>
        <w:rPr>
          <w:lang w:val="en-US" w:bidi="en-US"/>
        </w:rPr>
      </w:pPr>
      <w:r>
        <w:rPr>
          <w:rStyle w:val="FootnoteReference"/>
        </w:rPr>
        <w:footnoteRef/>
      </w:r>
      <w:r>
        <w:t xml:space="preserve"> </w:t>
      </w:r>
      <w:r w:rsidRPr="00AF6ED5">
        <w:rPr>
          <w:lang w:val="en-US" w:bidi="en-US"/>
        </w:rPr>
        <w:t>EU Monitoring and Advocacy Program</w:t>
      </w:r>
      <w:r>
        <w:rPr>
          <w:lang w:val="en-US" w:bidi="en-US"/>
        </w:rPr>
        <w:t>me, Open Society Institute (2006</w:t>
      </w:r>
      <w:r w:rsidRPr="00AF6ED5">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63">
    <w:p w:rsidR="00EB278C" w:rsidRPr="00AF6ED5" w:rsidRDefault="00EB278C" w:rsidP="002E1546">
      <w:pPr>
        <w:pStyle w:val="FootnoteText1"/>
        <w:rPr>
          <w:bCs/>
          <w:lang w:val="en-US" w:bidi="en-US"/>
        </w:rPr>
      </w:pPr>
      <w:r w:rsidRPr="00AF6ED5">
        <w:rPr>
          <w:rStyle w:val="FootnoteReference"/>
        </w:rPr>
        <w:footnoteRef/>
      </w:r>
      <w:r w:rsidRPr="00AF6ED5">
        <w:t xml:space="preserve"> </w:t>
      </w:r>
      <w:r>
        <w:rPr>
          <w:lang w:val="en-US" w:bidi="en-US"/>
        </w:rPr>
        <w:t>ibid</w:t>
      </w:r>
    </w:p>
  </w:footnote>
  <w:footnote w:id="64">
    <w:p w:rsidR="00EB278C" w:rsidRPr="003C4109" w:rsidRDefault="00EB278C" w:rsidP="002E1546">
      <w:pPr>
        <w:pStyle w:val="FootnoteText1"/>
        <w:rPr>
          <w:bCs/>
          <w:lang w:val="en-US" w:bidi="en-US"/>
        </w:rPr>
      </w:pPr>
      <w:r w:rsidRPr="00AF6ED5">
        <w:rPr>
          <w:rStyle w:val="FootnoteReference"/>
        </w:rPr>
        <w:footnoteRef/>
      </w:r>
      <w:r w:rsidRPr="00AF6ED5">
        <w:t xml:space="preserve"> </w:t>
      </w:r>
      <w:r w:rsidRPr="00AF6ED5">
        <w:rPr>
          <w:lang w:val="en-US" w:bidi="en-US"/>
        </w:rPr>
        <w:t>ibid</w:t>
      </w:r>
    </w:p>
  </w:footnote>
  <w:footnote w:id="65">
    <w:p w:rsidR="00EB278C" w:rsidRPr="00D334EB" w:rsidRDefault="00EB278C">
      <w:pPr>
        <w:pStyle w:val="FootnoteText"/>
        <w:rPr>
          <w:rFonts w:cs="Arial"/>
        </w:rPr>
      </w:pPr>
      <w:r>
        <w:rPr>
          <w:rStyle w:val="FootnoteReference"/>
        </w:rPr>
        <w:footnoteRef/>
      </w:r>
      <w:r>
        <w:t xml:space="preserve"> </w:t>
      </w:r>
      <w:r w:rsidRPr="00593488">
        <w:rPr>
          <w:rFonts w:cs="Arial"/>
        </w:rPr>
        <w:t>Applica &amp; CESEP &amp; European Centre (2007) Study of the Compilation of Disability Statistical Data from the Administrative registers of Members States</w:t>
      </w:r>
      <w:r>
        <w:rPr>
          <w:rFonts w:cs="Arial"/>
        </w:rPr>
        <w:t>.</w:t>
      </w:r>
    </w:p>
  </w:footnote>
  <w:footnote w:id="66">
    <w:p w:rsidR="00EB278C" w:rsidRDefault="00EB278C">
      <w:pPr>
        <w:pStyle w:val="FootnoteText"/>
      </w:pPr>
      <w:r>
        <w:rPr>
          <w:rStyle w:val="FootnoteReference"/>
        </w:rPr>
        <w:footnoteRef/>
      </w:r>
      <w:r>
        <w:t xml:space="preserve"> Jose Smits, a key informant</w:t>
      </w:r>
    </w:p>
  </w:footnote>
  <w:footnote w:id="67">
    <w:p w:rsidR="00EB278C" w:rsidRPr="00AF6ED5" w:rsidRDefault="00EB278C" w:rsidP="002E1546">
      <w:pPr>
        <w:pStyle w:val="FootnoteText1"/>
        <w:rPr>
          <w:bCs/>
          <w:lang w:val="en-US" w:bidi="en-US"/>
        </w:rPr>
      </w:pPr>
      <w:r w:rsidRPr="00AF6ED5">
        <w:rPr>
          <w:rStyle w:val="FootnoteReference"/>
        </w:rPr>
        <w:footnoteRef/>
      </w:r>
      <w:r w:rsidRPr="00AF6ED5">
        <w:t xml:space="preserve"> ibid</w:t>
      </w:r>
    </w:p>
  </w:footnote>
  <w:footnote w:id="68">
    <w:p w:rsidR="00EB278C" w:rsidRPr="00321CDE" w:rsidRDefault="00EB278C">
      <w:pPr>
        <w:pStyle w:val="FootnoteText"/>
        <w:rPr>
          <w:rFonts w:cs="Arial"/>
        </w:rPr>
      </w:pPr>
      <w:r>
        <w:rPr>
          <w:rStyle w:val="FootnoteReference"/>
        </w:rPr>
        <w:footnoteRef/>
      </w:r>
      <w:r>
        <w:t xml:space="preserve"> </w:t>
      </w:r>
      <w:r w:rsidRPr="00593488">
        <w:rPr>
          <w:rFonts w:cs="Arial"/>
        </w:rPr>
        <w:t>Applica &amp; CESEP &amp; European Centre (2007) Study of the Compilation of Disability Statistical Data from the Administrative registers of Members States</w:t>
      </w:r>
      <w:r>
        <w:rPr>
          <w:rFonts w:cs="Arial"/>
        </w:rPr>
        <w:t>.</w:t>
      </w:r>
    </w:p>
  </w:footnote>
  <w:footnote w:id="69">
    <w:p w:rsidR="00EB278C" w:rsidRDefault="00EB278C" w:rsidP="002E1546">
      <w:pPr>
        <w:pStyle w:val="FootnoteText"/>
      </w:pPr>
      <w:r>
        <w:rPr>
          <w:rStyle w:val="FootnoteReference"/>
        </w:rPr>
        <w:footnoteRef/>
      </w:r>
      <w:r>
        <w:t xml:space="preserve"> </w:t>
      </w:r>
      <w:r w:rsidRPr="00DC56A1">
        <w:rPr>
          <w:rFonts w:cs="Arial"/>
          <w:bCs/>
          <w:szCs w:val="22"/>
          <w:lang w:val="en-US" w:bidi="en-US"/>
        </w:rPr>
        <w:t xml:space="preserve">Schoonheim, J.  and Smits J. (2009) Report on the employment of disabled people in European countries. The Netherlands. ANED (Academic Network of  European Disability Experts) </w:t>
      </w:r>
      <w:r w:rsidRPr="00DC56A1">
        <w:rPr>
          <w:rStyle w:val="HTMLCite"/>
          <w:rFonts w:cs="Arial"/>
          <w:i w:val="0"/>
          <w:color w:val="000000"/>
        </w:rPr>
        <w:t>www.disability-europe.net/</w:t>
      </w:r>
    </w:p>
  </w:footnote>
  <w:footnote w:id="70">
    <w:p w:rsidR="00EB278C" w:rsidRDefault="00EB278C" w:rsidP="002E1546">
      <w:pPr>
        <w:pStyle w:val="FootnoteText"/>
        <w:rPr>
          <w:lang w:eastAsia="en-IE"/>
        </w:rPr>
      </w:pPr>
      <w:r>
        <w:rPr>
          <w:rStyle w:val="FootnoteReference"/>
        </w:rPr>
        <w:footnoteRef/>
      </w:r>
      <w:r>
        <w:t xml:space="preserve"> ibid</w:t>
      </w:r>
    </w:p>
  </w:footnote>
  <w:footnote w:id="71">
    <w:p w:rsidR="00EB278C" w:rsidRPr="00F311C3" w:rsidRDefault="00EB278C" w:rsidP="00F311C3">
      <w:pPr>
        <w:pStyle w:val="FootnoteText"/>
      </w:pPr>
      <w:r w:rsidRPr="00AF6ED5">
        <w:rPr>
          <w:rStyle w:val="FootnoteReference"/>
        </w:rPr>
        <w:footnoteRef/>
      </w:r>
      <w:r w:rsidRPr="00AF6ED5">
        <w:t xml:space="preserve"> </w:t>
      </w:r>
      <w:r w:rsidRPr="00DC56A1">
        <w:rPr>
          <w:lang w:val="en-US" w:bidi="en-US"/>
        </w:rPr>
        <w:t xml:space="preserve">Schoonheim, J.  and Smits J. (2009) Report on the employment of disabled people in European countries. The Netherlands. ANED (Academic Network of  European Disability Experts) </w:t>
      </w:r>
      <w:r w:rsidRPr="00DC56A1">
        <w:rPr>
          <w:rStyle w:val="HTMLCite"/>
          <w:rFonts w:cs="Arial"/>
          <w:i w:val="0"/>
          <w:color w:val="000000"/>
        </w:rPr>
        <w:t>www.disability-europe.net/</w:t>
      </w:r>
    </w:p>
  </w:footnote>
  <w:footnote w:id="72">
    <w:p w:rsidR="00EB278C" w:rsidRPr="00194B20" w:rsidRDefault="00EB278C" w:rsidP="002E1546">
      <w:pPr>
        <w:pStyle w:val="FootnoteText"/>
        <w:rPr>
          <w:lang w:val="en-US" w:bidi="en-US"/>
        </w:rPr>
      </w:pPr>
      <w:r>
        <w:rPr>
          <w:rStyle w:val="FootnoteReference"/>
        </w:rPr>
        <w:footnoteRef/>
      </w:r>
      <w:r>
        <w:t xml:space="preserve"> </w:t>
      </w:r>
      <w:r w:rsidRPr="00AF6ED5">
        <w:rPr>
          <w:lang w:val="en-US" w:bidi="en-US"/>
        </w:rPr>
        <w:t>EU Monitoring and Advocacy Program</w:t>
      </w:r>
      <w:r>
        <w:rPr>
          <w:lang w:val="en-US" w:bidi="en-US"/>
        </w:rPr>
        <w:t>me, Open Society Institute (2006</w:t>
      </w:r>
      <w:r w:rsidRPr="00AF6ED5">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73">
    <w:p w:rsidR="00EB278C" w:rsidRDefault="00EB278C">
      <w:pPr>
        <w:pStyle w:val="FootnoteText"/>
      </w:pPr>
      <w:r>
        <w:rPr>
          <w:rStyle w:val="FootnoteReference"/>
        </w:rPr>
        <w:footnoteRef/>
      </w:r>
      <w:r>
        <w:t xml:space="preserve">  SER (2007) Participations with Limitations. http://www.ser.nl in </w:t>
      </w:r>
      <w:r>
        <w:rPr>
          <w:rFonts w:cs="Arial"/>
          <w:bCs/>
          <w:szCs w:val="22"/>
          <w:lang w:val="en-US" w:bidi="en-US"/>
        </w:rPr>
        <w:t xml:space="preserve">Schoonheim, J. </w:t>
      </w:r>
      <w:r w:rsidRPr="00DC56A1">
        <w:rPr>
          <w:rFonts w:cs="Arial"/>
          <w:bCs/>
          <w:szCs w:val="22"/>
          <w:lang w:val="en-US" w:bidi="en-US"/>
        </w:rPr>
        <w:t xml:space="preserve">and Smits J. (2009) Report on the employment of disabled people in European countries. The Netherlands. ANED (Academic Network of  European Disability Experts) </w:t>
      </w:r>
      <w:r w:rsidRPr="00DC56A1">
        <w:rPr>
          <w:rStyle w:val="HTMLCite"/>
          <w:rFonts w:cs="Arial"/>
          <w:i w:val="0"/>
          <w:color w:val="000000"/>
        </w:rPr>
        <w:t>www.disability-europe.net/</w:t>
      </w:r>
      <w:r>
        <w:t xml:space="preserve"> </w:t>
      </w:r>
    </w:p>
  </w:footnote>
  <w:footnote w:id="74">
    <w:p w:rsidR="00EB278C" w:rsidRPr="007D3D96" w:rsidRDefault="00EB278C" w:rsidP="002E1546">
      <w:pPr>
        <w:pStyle w:val="FootnoteText1"/>
        <w:rPr>
          <w:bCs/>
          <w:lang w:val="en-US" w:bidi="en-US"/>
        </w:rPr>
      </w:pPr>
      <w:r w:rsidRPr="007D3D96">
        <w:rPr>
          <w:rStyle w:val="FootnoteReference"/>
        </w:rPr>
        <w:footnoteRef/>
      </w:r>
      <w:r w:rsidRPr="007D3D96">
        <w:t xml:space="preserve"> </w:t>
      </w:r>
      <w:r w:rsidRPr="007D3D96">
        <w:rPr>
          <w:lang w:val="en-US" w:bidi="en-US"/>
        </w:rPr>
        <w:t xml:space="preserve">Schoonheim, J. and Smits, J. (2009) Report on the employment of disabled people in European countries. The Netherlands. ANED (Academic Network of European Disability Experts) </w:t>
      </w:r>
      <w:r w:rsidRPr="007D3D96">
        <w:rPr>
          <w:rStyle w:val="HTMLCite"/>
          <w:i w:val="0"/>
          <w:color w:val="000000"/>
        </w:rPr>
        <w:t>www.disability-europe.net/</w:t>
      </w:r>
    </w:p>
  </w:footnote>
  <w:footnote w:id="75">
    <w:p w:rsidR="00EB278C" w:rsidRPr="00BF4148" w:rsidRDefault="00EB278C" w:rsidP="002E1546">
      <w:pPr>
        <w:pStyle w:val="FootnoteText"/>
      </w:pPr>
      <w:r w:rsidRPr="007D3D96">
        <w:rPr>
          <w:rStyle w:val="FootnoteReference"/>
        </w:rPr>
        <w:footnoteRef/>
      </w:r>
      <w:r w:rsidRPr="007D3D96">
        <w:t xml:space="preserve"> ibid</w:t>
      </w:r>
      <w:r w:rsidRPr="00BF4148">
        <w:rPr>
          <w:lang w:val="en-US" w:bidi="en-US"/>
        </w:rPr>
        <w:t xml:space="preserve"> </w:t>
      </w:r>
    </w:p>
  </w:footnote>
  <w:footnote w:id="76">
    <w:p w:rsidR="00EB278C" w:rsidRPr="005C56C8" w:rsidRDefault="00EB278C">
      <w:pPr>
        <w:pStyle w:val="FootnoteText"/>
      </w:pPr>
      <w:r>
        <w:rPr>
          <w:rStyle w:val="FootnoteReference"/>
        </w:rPr>
        <w:footnoteRef/>
      </w:r>
      <w:r>
        <w:t xml:space="preserve"> PT Access (2008) </w:t>
      </w:r>
      <w:r w:rsidRPr="005C56C8">
        <w:t>State of the Accessibility of Public Transport Systems for People with Disabilities in The Netherlands</w:t>
      </w:r>
    </w:p>
  </w:footnote>
  <w:footnote w:id="77">
    <w:p w:rsidR="00EB278C" w:rsidRPr="007D3D96" w:rsidRDefault="00EB278C" w:rsidP="002E1546">
      <w:pPr>
        <w:pStyle w:val="FootnoteText1"/>
        <w:rPr>
          <w:bCs/>
          <w:lang w:val="en-US" w:bidi="en-US"/>
        </w:rPr>
      </w:pPr>
      <w:r w:rsidRPr="00AF6ED5">
        <w:rPr>
          <w:rStyle w:val="FootnoteReference"/>
        </w:rPr>
        <w:footnoteRef/>
      </w:r>
      <w:r w:rsidRPr="00AF6ED5">
        <w:t xml:space="preserve"> </w:t>
      </w:r>
      <w:r w:rsidRPr="00AF6ED5">
        <w:rPr>
          <w:lang w:val="en-US" w:bidi="en-US"/>
        </w:rPr>
        <w:t xml:space="preserve">Schoonheim, J. and Smits J. (2009) Report on the employment of disabled people in European countries. The Netherlands. ANED (Academic Network of European Disability </w:t>
      </w:r>
      <w:r w:rsidRPr="007D3D96">
        <w:rPr>
          <w:lang w:val="en-US" w:bidi="en-US"/>
        </w:rPr>
        <w:t xml:space="preserve">Experts) </w:t>
      </w:r>
      <w:r w:rsidRPr="007D3D96">
        <w:rPr>
          <w:rStyle w:val="HTMLCite"/>
          <w:i w:val="0"/>
          <w:color w:val="000000"/>
        </w:rPr>
        <w:t>www.disability-europe.net/</w:t>
      </w:r>
    </w:p>
  </w:footnote>
  <w:footnote w:id="78">
    <w:p w:rsidR="00EB278C" w:rsidRPr="00AF6ED5" w:rsidRDefault="00EB278C" w:rsidP="002E1546">
      <w:pPr>
        <w:pStyle w:val="FootnoteText1"/>
        <w:rPr>
          <w:bCs/>
          <w:lang w:val="en-US" w:bidi="en-US"/>
        </w:rPr>
      </w:pPr>
      <w:r w:rsidRPr="00C321BB">
        <w:rPr>
          <w:rStyle w:val="FootnoteReference"/>
        </w:rPr>
        <w:footnoteRef/>
      </w:r>
      <w:r w:rsidRPr="00AF6ED5">
        <w:rPr>
          <w:lang w:val="en-US" w:bidi="en-US"/>
        </w:rPr>
        <w:t xml:space="preserve"> ibid</w:t>
      </w:r>
    </w:p>
  </w:footnote>
  <w:footnote w:id="79">
    <w:p w:rsidR="00EB278C" w:rsidRDefault="00EB278C" w:rsidP="002E1546">
      <w:pPr>
        <w:pStyle w:val="FootnoteText1"/>
      </w:pPr>
      <w:r>
        <w:rPr>
          <w:rStyle w:val="FootnoteReference"/>
        </w:rPr>
        <w:footnoteRef/>
      </w:r>
      <w:r>
        <w:t xml:space="preserve"> </w:t>
      </w:r>
      <w:r>
        <w:rPr>
          <w:lang w:val="en-US" w:bidi="en-US"/>
        </w:rPr>
        <w:t>ibid</w:t>
      </w:r>
    </w:p>
  </w:footnote>
  <w:footnote w:id="80">
    <w:p w:rsidR="00EB278C" w:rsidRDefault="00EB278C" w:rsidP="00685267">
      <w:pPr>
        <w:pStyle w:val="FootnoteText"/>
      </w:pPr>
      <w:r>
        <w:rPr>
          <w:rStyle w:val="FootnoteReference"/>
        </w:rPr>
        <w:footnoteRef/>
      </w:r>
      <w:r>
        <w:t xml:space="preserve"> OECD (2008) Sickness, Disability and Work: Denmark, Finland, Ireland and the Netherlands. Breaking the Barriers. Vol. 3</w:t>
      </w:r>
    </w:p>
  </w:footnote>
  <w:footnote w:id="81">
    <w:p w:rsidR="00EB278C" w:rsidRDefault="00EB278C">
      <w:pPr>
        <w:pStyle w:val="FootnoteText"/>
      </w:pPr>
      <w:r>
        <w:rPr>
          <w:rStyle w:val="FootnoteReference"/>
        </w:rPr>
        <w:footnoteRef/>
      </w:r>
      <w:r>
        <w:t xml:space="preserve"> They work for private companies in the open labour market but they are supervised by their sheltered workplace and their contract would be with sheltered workplace</w:t>
      </w:r>
    </w:p>
  </w:footnote>
  <w:footnote w:id="82">
    <w:p w:rsidR="00EB278C" w:rsidRPr="00BD7110" w:rsidRDefault="00EB278C" w:rsidP="002E1546">
      <w:pPr>
        <w:pStyle w:val="FootnoteText1"/>
        <w:rPr>
          <w:bCs/>
          <w:lang w:val="en-US" w:bidi="en-US"/>
        </w:rPr>
      </w:pPr>
      <w:r w:rsidRPr="00BD7110">
        <w:rPr>
          <w:rStyle w:val="FootnoteReference"/>
        </w:rPr>
        <w:footnoteRef/>
      </w:r>
      <w:r w:rsidRPr="00BD7110">
        <w:t xml:space="preserve"> </w:t>
      </w:r>
      <w:r w:rsidRPr="00BD7110">
        <w:rPr>
          <w:lang w:val="en-US" w:bidi="en-US"/>
        </w:rPr>
        <w:t>ibid</w:t>
      </w:r>
    </w:p>
  </w:footnote>
  <w:footnote w:id="83">
    <w:p w:rsidR="00EB278C" w:rsidRPr="00194B20" w:rsidRDefault="00EB278C" w:rsidP="002E1546">
      <w:pPr>
        <w:pStyle w:val="FootnoteText1"/>
        <w:rPr>
          <w:lang w:val="en-US" w:bidi="en-US"/>
        </w:rPr>
      </w:pPr>
      <w:r w:rsidRPr="00BD7110">
        <w:rPr>
          <w:rStyle w:val="FootnoteReference"/>
        </w:rPr>
        <w:footnoteRef/>
      </w:r>
      <w:r w:rsidRPr="00BD7110">
        <w:t xml:space="preserve"> </w:t>
      </w:r>
      <w:r w:rsidRPr="00BD7110">
        <w:rPr>
          <w:lang w:val="en-US" w:bidi="en-US"/>
        </w:rPr>
        <w:t>EU Monitoring and Advocacy Program</w:t>
      </w:r>
      <w:r>
        <w:rPr>
          <w:lang w:val="en-US" w:bidi="en-US"/>
        </w:rPr>
        <w:t>me, Open Society Institute (2006</w:t>
      </w:r>
      <w:r w:rsidRPr="00BD7110">
        <w:rPr>
          <w:lang w:val="en-US" w:bidi="en-US"/>
        </w:rPr>
        <w:t>) Rights of people with Intellectual Disabilities: Access to Education and Employment. Summary Reports, The Netherlands. Open Society Institute, Hungary. www.eumap.org</w:t>
      </w:r>
      <w:r>
        <w:rPr>
          <w:lang w:val="en-US" w:bidi="en-US"/>
        </w:rPr>
        <w:t xml:space="preserve">. </w:t>
      </w:r>
      <w:r w:rsidRPr="00194B20">
        <w:rPr>
          <w:lang w:val="en-US" w:bidi="en-US"/>
        </w:rPr>
        <w:t>http://www.osmhi.org/contentpics/202/id_nl.pdf</w:t>
      </w:r>
    </w:p>
  </w:footnote>
  <w:footnote w:id="84">
    <w:p w:rsidR="00EB278C" w:rsidRPr="004F2C48" w:rsidRDefault="00EB278C" w:rsidP="002E1546">
      <w:pPr>
        <w:pStyle w:val="FootnoteText1"/>
      </w:pPr>
      <w:r w:rsidRPr="004F2C48">
        <w:rPr>
          <w:rStyle w:val="FootnoteReference"/>
        </w:rPr>
        <w:footnoteRef/>
      </w:r>
      <w:r w:rsidRPr="004F2C48">
        <w:t xml:space="preserve"> </w:t>
      </w:r>
      <w:r>
        <w:rPr>
          <w:lang w:val="en-US" w:bidi="en-US"/>
        </w:rPr>
        <w:t>ibid</w:t>
      </w:r>
    </w:p>
  </w:footnote>
  <w:footnote w:id="85">
    <w:p w:rsidR="00EB278C" w:rsidRPr="001043FB" w:rsidRDefault="00EB278C" w:rsidP="002E1546">
      <w:pPr>
        <w:pStyle w:val="FootNoteText0"/>
        <w:rPr>
          <w:bCs/>
          <w:lang w:val="en-US" w:bidi="en-US"/>
        </w:rPr>
      </w:pPr>
      <w:r>
        <w:rPr>
          <w:rStyle w:val="FootnoteReference"/>
        </w:rPr>
        <w:footnoteRef/>
      </w:r>
      <w:r>
        <w:t xml:space="preserve"> </w:t>
      </w:r>
      <w:r w:rsidRPr="001068D8">
        <w:rPr>
          <w:lang w:val="en-US" w:bidi="en-US"/>
        </w:rPr>
        <w:t xml:space="preserve">Schoonheim J (2009). ANED country report on the implementation of policies supporting independent living for disabled people in the Netherlands. ANED (Academic Network of  </w:t>
      </w:r>
      <w:r w:rsidRPr="003D011D">
        <w:rPr>
          <w:lang w:val="en-US" w:bidi="en-US"/>
        </w:rPr>
        <w:t xml:space="preserve">European Disability Experts) </w:t>
      </w:r>
      <w:r w:rsidRPr="003D011D">
        <w:rPr>
          <w:rStyle w:val="HTMLCite"/>
          <w:i w:val="0"/>
          <w:color w:val="000000"/>
        </w:rPr>
        <w:t>www.disability-europe.net/</w:t>
      </w:r>
    </w:p>
  </w:footnote>
  <w:footnote w:id="86">
    <w:p w:rsidR="00EB278C" w:rsidRPr="001B3AF2" w:rsidRDefault="00EB278C" w:rsidP="002E1546">
      <w:pPr>
        <w:pStyle w:val="FootnoteText"/>
      </w:pPr>
      <w:r w:rsidRPr="008916BE">
        <w:rPr>
          <w:rStyle w:val="FootnoteReference"/>
        </w:rPr>
        <w:footnoteRef/>
      </w:r>
      <w:r w:rsidRPr="008916BE">
        <w:t xml:space="preserve"> </w:t>
      </w:r>
      <w:r>
        <w:t>de Boer, F., Schuttel, P., and Slippens, T. (2009) Personal Budgets (PGB)s for long term care in the Netherlands. Presentation to Ministry of Health, Welfare and Sport</w:t>
      </w:r>
    </w:p>
  </w:footnote>
  <w:footnote w:id="87">
    <w:p w:rsidR="00EB278C" w:rsidRPr="006A1C52" w:rsidRDefault="00EB278C" w:rsidP="002E1546">
      <w:pPr>
        <w:pStyle w:val="FootnoteText"/>
        <w:rPr>
          <w:rFonts w:cs="Arial"/>
          <w:bCs/>
          <w:lang w:val="en-US" w:bidi="en-US"/>
        </w:rPr>
      </w:pPr>
      <w:r w:rsidRPr="005809E5">
        <w:rPr>
          <w:rStyle w:val="FootnoteReference"/>
          <w:rFonts w:cs="Arial"/>
        </w:rPr>
        <w:footnoteRef/>
      </w:r>
      <w:r w:rsidRPr="005809E5">
        <w:t xml:space="preserve"> </w:t>
      </w:r>
      <w:r w:rsidRPr="005809E5">
        <w:rPr>
          <w:lang w:val="en-US" w:bidi="en-US"/>
        </w:rPr>
        <w:t>Schoonheim, J</w:t>
      </w:r>
      <w:r>
        <w:rPr>
          <w:lang w:val="en-US" w:bidi="en-US"/>
        </w:rPr>
        <w:t>.</w:t>
      </w:r>
      <w:r w:rsidRPr="005809E5">
        <w:rPr>
          <w:lang w:val="en-US" w:bidi="en-US"/>
        </w:rPr>
        <w:t xml:space="preserve"> (2009). ANED country report on the implementation of policies supporting independent living for disabled people in the Netherlands. ANED (Academic Network of  European Disability Experts) </w:t>
      </w:r>
      <w:r w:rsidRPr="006A1C52">
        <w:rPr>
          <w:rStyle w:val="HTMLCite"/>
          <w:rFonts w:cs="Arial"/>
          <w:i w:val="0"/>
          <w:color w:val="000000"/>
        </w:rPr>
        <w:t>www.disability-europe.net/</w:t>
      </w:r>
    </w:p>
  </w:footnote>
  <w:footnote w:id="88">
    <w:p w:rsidR="00EB278C" w:rsidRDefault="00EB278C">
      <w:pPr>
        <w:pStyle w:val="FootnoteText"/>
      </w:pPr>
      <w:r>
        <w:rPr>
          <w:rStyle w:val="FootnoteReference"/>
        </w:rPr>
        <w:footnoteRef/>
      </w:r>
      <w:r>
        <w:t xml:space="preserve"> ibid</w:t>
      </w:r>
    </w:p>
  </w:footnote>
  <w:footnote w:id="89">
    <w:p w:rsidR="00EB278C" w:rsidRPr="00586A21" w:rsidRDefault="00EB278C" w:rsidP="002E1546">
      <w:pPr>
        <w:pStyle w:val="FootnoteText1"/>
      </w:pPr>
      <w:r w:rsidRPr="00586A21">
        <w:rPr>
          <w:rStyle w:val="FootnoteReference"/>
        </w:rPr>
        <w:footnoteRef/>
      </w:r>
      <w:r w:rsidRPr="00586A21">
        <w:t xml:space="preserve"> In 2008</w:t>
      </w:r>
      <w:r>
        <w:t xml:space="preserve"> the CIZ has one main office, 6 district offices and 30 local offices in Schut, F.T and Van den Berg, B. (2009) Sustainability of Comprehensive Universal Long - Term Care Insurance in the Netherlands. </w:t>
      </w:r>
      <w:r w:rsidRPr="003D1D0A">
        <w:t>Accepted for publication in Social Policy and Administration</w:t>
      </w:r>
    </w:p>
  </w:footnote>
  <w:footnote w:id="90">
    <w:p w:rsidR="00EB278C" w:rsidRDefault="00EB278C" w:rsidP="002E1546">
      <w:pPr>
        <w:pStyle w:val="FootnoteText"/>
      </w:pPr>
      <w:r>
        <w:rPr>
          <w:rStyle w:val="FootnoteReference"/>
        </w:rPr>
        <w:footnoteRef/>
      </w:r>
      <w:r>
        <w:t xml:space="preserve"> As detailed in Table 2 MEE Nederland is </w:t>
      </w:r>
      <w:r>
        <w:rPr>
          <w:rFonts w:cs="Arial"/>
        </w:rPr>
        <w:t>a</w:t>
      </w:r>
      <w:r w:rsidRPr="008C31DB">
        <w:rPr>
          <w:rFonts w:cs="Arial"/>
        </w:rPr>
        <w:t xml:space="preserve"> national programme</w:t>
      </w:r>
      <w:r w:rsidRPr="008C31DB">
        <w:rPr>
          <w:rFonts w:cs="Arial"/>
          <w:b/>
        </w:rPr>
        <w:t xml:space="preserve"> </w:t>
      </w:r>
      <w:r w:rsidRPr="008C31DB">
        <w:rPr>
          <w:rFonts w:cs="Arial"/>
        </w:rPr>
        <w:t>assists people with disabilities in accessing support, developing personal care plans and applying for assistance from AWBZ or the WMO. This programme is funded by the Health Care Insurance Board (College van Zorgverzekeringen, CVZ) from AWBZ funds</w:t>
      </w:r>
    </w:p>
  </w:footnote>
  <w:footnote w:id="91">
    <w:p w:rsidR="00EB278C" w:rsidRPr="00194B20" w:rsidRDefault="00EB278C" w:rsidP="002E1546">
      <w:pPr>
        <w:pStyle w:val="FootnoteText1"/>
        <w:rPr>
          <w:lang w:val="en-US" w:bidi="en-US"/>
        </w:rPr>
      </w:pPr>
      <w:r w:rsidRPr="00FE03E3">
        <w:rPr>
          <w:rStyle w:val="FootnoteReference"/>
        </w:rPr>
        <w:footnoteRef/>
      </w:r>
      <w:r w:rsidRPr="00FE03E3">
        <w:t xml:space="preserve"> </w:t>
      </w:r>
      <w:r w:rsidRPr="00FE03E3">
        <w:rPr>
          <w:lang w:val="en-US" w:bidi="en-US"/>
        </w:rPr>
        <w:t>EU Monitoring and Advocacy</w:t>
      </w:r>
      <w:r w:rsidRPr="0099737C">
        <w:rPr>
          <w:lang w:bidi="en-US"/>
        </w:rPr>
        <w:t xml:space="preserve"> Programme</w:t>
      </w:r>
      <w:r>
        <w:rPr>
          <w:lang w:val="en-US" w:bidi="en-US"/>
        </w:rPr>
        <w:t>, Open Society Institute (2006</w:t>
      </w:r>
      <w:r w:rsidRPr="00FE03E3">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92">
    <w:p w:rsidR="00EB278C" w:rsidRPr="00166B6F" w:rsidRDefault="00EB278C" w:rsidP="002E1546">
      <w:pPr>
        <w:pStyle w:val="FootnoteText1"/>
        <w:rPr>
          <w:bCs/>
          <w:lang w:val="en-US" w:bidi="en-US"/>
        </w:rPr>
      </w:pPr>
      <w:r w:rsidRPr="00166B6F">
        <w:rPr>
          <w:rStyle w:val="FootnoteReference"/>
        </w:rPr>
        <w:footnoteRef/>
      </w:r>
      <w:r w:rsidRPr="00166B6F">
        <w:t xml:space="preserve"> </w:t>
      </w:r>
      <w:r w:rsidRPr="00166B6F">
        <w:rPr>
          <w:lang w:val="en-US" w:bidi="en-US"/>
        </w:rPr>
        <w:t>ibid</w:t>
      </w:r>
    </w:p>
  </w:footnote>
  <w:footnote w:id="93">
    <w:p w:rsidR="00EB278C" w:rsidRPr="00194B20" w:rsidRDefault="00EB278C" w:rsidP="002E1546">
      <w:pPr>
        <w:pStyle w:val="FootnoteText1"/>
        <w:rPr>
          <w:lang w:val="en-US" w:bidi="en-US"/>
        </w:rPr>
      </w:pPr>
      <w:r w:rsidRPr="00166B6F">
        <w:rPr>
          <w:rStyle w:val="FootnoteReference"/>
        </w:rPr>
        <w:footnoteRef/>
      </w:r>
      <w:r w:rsidRPr="00166B6F">
        <w:t xml:space="preserve"> </w:t>
      </w:r>
      <w:r w:rsidRPr="00FE03E3">
        <w:rPr>
          <w:lang w:val="en-US" w:bidi="en-US"/>
        </w:rPr>
        <w:t>EU Monitoring and Advocacy</w:t>
      </w:r>
      <w:r w:rsidRPr="0099737C">
        <w:rPr>
          <w:lang w:bidi="en-US"/>
        </w:rPr>
        <w:t xml:space="preserve"> Programme</w:t>
      </w:r>
      <w:r>
        <w:rPr>
          <w:lang w:val="en-US" w:bidi="en-US"/>
        </w:rPr>
        <w:t>, Open Society Institute (2006</w:t>
      </w:r>
      <w:r w:rsidRPr="00FE03E3">
        <w:rPr>
          <w:lang w:val="en-US" w:bidi="en-US"/>
        </w:rPr>
        <w:t>) Rights of people with Intellectual Disabilities: Access to Education and Employment. Summary Reports, The Netherlands. Open Society Institute, Hungary. www.eumap.org</w:t>
      </w:r>
      <w:r w:rsidRPr="00194B20">
        <w:t xml:space="preserve"> </w:t>
      </w:r>
      <w:r w:rsidRPr="00194B20">
        <w:rPr>
          <w:lang w:val="en-US" w:bidi="en-US"/>
        </w:rPr>
        <w:t>http://www.osmhi.org/contentpics/202/id_nl.pdf</w:t>
      </w:r>
    </w:p>
  </w:footnote>
  <w:footnote w:id="94">
    <w:p w:rsidR="00EB278C" w:rsidRPr="00785FF5" w:rsidRDefault="00EB278C" w:rsidP="002E1546">
      <w:pPr>
        <w:pStyle w:val="FootnoteText1"/>
        <w:rPr>
          <w:bCs/>
          <w:lang w:val="en-US" w:bidi="en-US"/>
        </w:rPr>
      </w:pPr>
      <w:r w:rsidRPr="005809E5">
        <w:rPr>
          <w:rStyle w:val="FootnoteReference"/>
        </w:rPr>
        <w:footnoteRef/>
      </w:r>
      <w:r w:rsidRPr="005809E5">
        <w:t xml:space="preserve"> </w:t>
      </w:r>
      <w:r w:rsidRPr="005809E5">
        <w:rPr>
          <w:lang w:val="en-US" w:bidi="en-US"/>
        </w:rPr>
        <w:t xml:space="preserve">Schoonheim J (2009). ANED country report on the implementation of policies supporting independent living for disabled people in the Netherlands. ANED (Academic Network of  European Disability Experts) </w:t>
      </w:r>
      <w:r w:rsidRPr="00785FF5">
        <w:rPr>
          <w:rStyle w:val="HTMLCite"/>
          <w:i w:val="0"/>
          <w:color w:val="000000"/>
        </w:rPr>
        <w:t>www.disability-europe.net/</w:t>
      </w:r>
    </w:p>
  </w:footnote>
  <w:footnote w:id="95">
    <w:p w:rsidR="00EB278C" w:rsidRPr="001068D8" w:rsidRDefault="00EB278C" w:rsidP="002E1546">
      <w:pPr>
        <w:pStyle w:val="FootnoteText"/>
      </w:pPr>
      <w:r w:rsidRPr="001068D8">
        <w:rPr>
          <w:rStyle w:val="FootnoteReference"/>
        </w:rPr>
        <w:footnoteRef/>
      </w:r>
      <w:r>
        <w:t xml:space="preserve"> de Boer, F., Schuttel, P., and Slippens, T. (2009) Personal Budgets (PGB)s for long term care in the Netherlands. Presentation to Ministry of Health, Welfare and Sport.</w:t>
      </w:r>
    </w:p>
  </w:footnote>
  <w:footnote w:id="96">
    <w:p w:rsidR="00EB278C" w:rsidRPr="003D011D" w:rsidRDefault="00EB278C" w:rsidP="002E1546">
      <w:pPr>
        <w:pStyle w:val="FootNoteText0"/>
        <w:rPr>
          <w:bCs/>
          <w:lang w:val="en-US" w:bidi="en-US"/>
        </w:rPr>
      </w:pPr>
      <w:r w:rsidRPr="001068D8">
        <w:rPr>
          <w:rStyle w:val="FootnoteReference"/>
        </w:rPr>
        <w:footnoteRef/>
      </w:r>
      <w:r w:rsidRPr="001068D8">
        <w:t xml:space="preserve"> </w:t>
      </w:r>
      <w:r w:rsidRPr="001068D8">
        <w:rPr>
          <w:lang w:val="en-US" w:bidi="en-US"/>
        </w:rPr>
        <w:t>Schoonheim</w:t>
      </w:r>
      <w:r>
        <w:rPr>
          <w:lang w:val="en-US" w:bidi="en-US"/>
        </w:rPr>
        <w:t xml:space="preserve">, </w:t>
      </w:r>
      <w:r w:rsidRPr="001068D8">
        <w:rPr>
          <w:lang w:val="en-US" w:bidi="en-US"/>
        </w:rPr>
        <w:t xml:space="preserve"> J</w:t>
      </w:r>
      <w:r>
        <w:rPr>
          <w:lang w:val="en-US" w:bidi="en-US"/>
        </w:rPr>
        <w:t>.</w:t>
      </w:r>
      <w:r w:rsidRPr="001068D8">
        <w:rPr>
          <w:lang w:val="en-US" w:bidi="en-US"/>
        </w:rPr>
        <w:t xml:space="preserve"> (2009). ANED country report on the implementation of policies supporting independent living for disabled people in the Netherlands. ANED (Academic Network of  </w:t>
      </w:r>
      <w:r w:rsidRPr="003D011D">
        <w:rPr>
          <w:lang w:val="en-US" w:bidi="en-US"/>
        </w:rPr>
        <w:t xml:space="preserve">European Disability Experts) </w:t>
      </w:r>
      <w:r w:rsidRPr="003D011D">
        <w:rPr>
          <w:rStyle w:val="HTMLCite"/>
          <w:i w:val="0"/>
          <w:color w:val="000000"/>
        </w:rPr>
        <w:t>www.disability-europe.net/</w:t>
      </w:r>
    </w:p>
  </w:footnote>
  <w:footnote w:id="97">
    <w:p w:rsidR="00EB278C" w:rsidRPr="00751FCB" w:rsidRDefault="00EB278C" w:rsidP="00F311C3">
      <w:pPr>
        <w:pStyle w:val="FootnoteText1"/>
      </w:pPr>
      <w:r>
        <w:rPr>
          <w:rStyle w:val="FootnoteReference"/>
        </w:rPr>
        <w:footnoteRef/>
      </w:r>
      <w:r>
        <w:t xml:space="preserve"> Ministry of Health (2006) </w:t>
      </w:r>
      <w:r w:rsidRPr="00255E18">
        <w:t xml:space="preserve">Schut, F.T and Van den Berg, B. (2009) Sustainability of Comprehensive Universal Long- Term Care Insurance in the Netherlands. </w:t>
      </w:r>
      <w:r w:rsidRPr="003D1D0A">
        <w:t>Accepted for publication in S</w:t>
      </w:r>
      <w:r>
        <w:t>ocial Policy and Administration</w:t>
      </w:r>
    </w:p>
  </w:footnote>
  <w:footnote w:id="98">
    <w:p w:rsidR="00EB278C" w:rsidRPr="00255E18" w:rsidRDefault="00EB278C" w:rsidP="00F311C3">
      <w:pPr>
        <w:pStyle w:val="FootnoteText1"/>
      </w:pPr>
      <w:r w:rsidRPr="00255E18">
        <w:rPr>
          <w:rStyle w:val="FootnoteReference"/>
        </w:rPr>
        <w:footnoteRef/>
      </w:r>
      <w:r w:rsidRPr="00255E18">
        <w:t xml:space="preserve"> Ministry of Health (2007) Letter to parliament, DLZ/ZI-U-2811809, November 9, 2007. Den Haag in Schut, F.T and Van den Berg, B. (2009) Sustainability of Comprehensive Universal Long- Term Care Insurance in the Netherlands. </w:t>
      </w:r>
      <w:r w:rsidRPr="003D1D0A">
        <w:t>Accepted for publication in S</w:t>
      </w:r>
      <w:r>
        <w:t>ocial Policy and Administration</w:t>
      </w:r>
    </w:p>
  </w:footnote>
  <w:footnote w:id="99">
    <w:p w:rsidR="00EB278C" w:rsidRDefault="00EB278C" w:rsidP="00F311C3">
      <w:pPr>
        <w:pStyle w:val="FootnoteText"/>
      </w:pPr>
      <w:r>
        <w:rPr>
          <w:rStyle w:val="FootnoteReference"/>
        </w:rPr>
        <w:footnoteRef/>
      </w:r>
      <w:r>
        <w:t xml:space="preserve"> de Boer, F., Schuttel, P., and Slippens, T. (2009) Personal Budgets (PGB)s for long term care in the Netherlands. Presentation to Ministry of Health, Welfare and Sport.</w:t>
      </w:r>
    </w:p>
  </w:footnote>
  <w:footnote w:id="100">
    <w:p w:rsidR="00EB278C" w:rsidRPr="00255E18" w:rsidRDefault="00EB278C" w:rsidP="00F311C3">
      <w:pPr>
        <w:pStyle w:val="FootnoteText1"/>
      </w:pPr>
      <w:r w:rsidRPr="00255E18">
        <w:rPr>
          <w:rStyle w:val="FootnoteReference"/>
        </w:rPr>
        <w:footnoteRef/>
      </w:r>
      <w:r w:rsidRPr="00255E18">
        <w:t xml:space="preserve"> Schut, F.T and Van den Berg, B. (2009) Sustainability of Comprehensive Universal Long- Term Care Insurance in the Netherlands. </w:t>
      </w:r>
      <w:r w:rsidRPr="003D1D0A">
        <w:t>Accepted for publication in Social Policy and Administration</w:t>
      </w:r>
    </w:p>
  </w:footnote>
  <w:footnote w:id="101">
    <w:p w:rsidR="00EB278C" w:rsidRDefault="00EB278C" w:rsidP="00F311C3">
      <w:pPr>
        <w:pStyle w:val="FootnoteText"/>
      </w:pPr>
      <w:r>
        <w:rPr>
          <w:rStyle w:val="FootnoteReference"/>
        </w:rPr>
        <w:footnoteRef/>
      </w:r>
      <w:r>
        <w:t xml:space="preserve"> de Boer, F., Schuttel, P., and Slippens, T. (2009) Personal Budgets (PGB)s for long term care in the Netherlands. Presentation to Ministry of Health, Welfare and Sport</w:t>
      </w:r>
    </w:p>
  </w:footnote>
  <w:footnote w:id="102">
    <w:p w:rsidR="00EB278C" w:rsidRDefault="00EB278C" w:rsidP="00F311C3">
      <w:pPr>
        <w:pStyle w:val="FootnoteText1"/>
      </w:pPr>
      <w:r>
        <w:rPr>
          <w:rStyle w:val="FootnoteReference"/>
        </w:rPr>
        <w:footnoteRef/>
      </w:r>
      <w:r>
        <w:t xml:space="preserve"> ibid </w:t>
      </w:r>
    </w:p>
  </w:footnote>
  <w:footnote w:id="103">
    <w:p w:rsidR="00EB278C" w:rsidRDefault="00EB278C" w:rsidP="00F311C3">
      <w:pPr>
        <w:pStyle w:val="FootnoteText"/>
      </w:pPr>
      <w:r>
        <w:rPr>
          <w:rStyle w:val="FootnoteReference"/>
        </w:rPr>
        <w:footnoteRef/>
      </w:r>
      <w:r>
        <w:t xml:space="preserve"> ibid</w:t>
      </w:r>
    </w:p>
  </w:footnote>
  <w:footnote w:id="104">
    <w:p w:rsidR="00EB278C" w:rsidRDefault="00EB278C" w:rsidP="00F311C3">
      <w:pPr>
        <w:pStyle w:val="FootnoteText"/>
      </w:pPr>
      <w:r>
        <w:rPr>
          <w:rStyle w:val="FootnoteReference"/>
        </w:rPr>
        <w:footnoteRef/>
      </w:r>
      <w:r>
        <w:t xml:space="preserve"> Per Saldo website. </w:t>
      </w:r>
      <w:r w:rsidRPr="00953F16">
        <w:t>http://www.pgb.nl/persaldo/englis</w:t>
      </w:r>
      <w:r>
        <w:t>h/?waxtrapp=tdtvrMsHcwOhcPjBCAU</w:t>
      </w:r>
    </w:p>
  </w:footnote>
  <w:footnote w:id="105">
    <w:p w:rsidR="00EB278C" w:rsidRPr="00A7587B" w:rsidRDefault="00EB278C" w:rsidP="00F311C3">
      <w:pPr>
        <w:pStyle w:val="FootNoteText0"/>
        <w:rPr>
          <w:bCs/>
          <w:lang w:val="en-US" w:bidi="en-US"/>
        </w:rPr>
      </w:pPr>
      <w:r>
        <w:rPr>
          <w:rStyle w:val="FootnoteReference"/>
        </w:rPr>
        <w:footnoteRef/>
      </w:r>
      <w:r>
        <w:t xml:space="preserve"> </w:t>
      </w:r>
      <w:r w:rsidRPr="001068D8">
        <w:rPr>
          <w:lang w:val="en-US" w:bidi="en-US"/>
        </w:rPr>
        <w:t>Schoonheim</w:t>
      </w:r>
      <w:r>
        <w:rPr>
          <w:lang w:val="en-US" w:bidi="en-US"/>
        </w:rPr>
        <w:t xml:space="preserve">, </w:t>
      </w:r>
      <w:r w:rsidRPr="001068D8">
        <w:rPr>
          <w:lang w:val="en-US" w:bidi="en-US"/>
        </w:rPr>
        <w:t xml:space="preserve"> J</w:t>
      </w:r>
      <w:r>
        <w:rPr>
          <w:lang w:val="en-US" w:bidi="en-US"/>
        </w:rPr>
        <w:t>.</w:t>
      </w:r>
      <w:r w:rsidRPr="001068D8">
        <w:rPr>
          <w:lang w:val="en-US" w:bidi="en-US"/>
        </w:rPr>
        <w:t xml:space="preserve"> (2009). ANED country report on the implementation of policies supporting independent living for disabled people in the Netherlands. ANED (Academic Network of  </w:t>
      </w:r>
      <w:r w:rsidRPr="003D011D">
        <w:rPr>
          <w:lang w:val="en-US" w:bidi="en-US"/>
        </w:rPr>
        <w:t xml:space="preserve">European Disability Experts) </w:t>
      </w:r>
      <w:r w:rsidRPr="003D011D">
        <w:rPr>
          <w:rStyle w:val="HTMLCite"/>
          <w:i w:val="0"/>
          <w:color w:val="000000"/>
        </w:rPr>
        <w:t>www.disability-europe.net/</w:t>
      </w:r>
    </w:p>
  </w:footnote>
  <w:footnote w:id="106">
    <w:p w:rsidR="00EB278C" w:rsidRPr="0060420D" w:rsidRDefault="00EB278C" w:rsidP="00BF2DC9">
      <w:pPr>
        <w:pStyle w:val="FootnoteText"/>
      </w:pPr>
      <w:r>
        <w:rPr>
          <w:rStyle w:val="FootnoteReference"/>
        </w:rPr>
        <w:footnoteRef/>
      </w:r>
      <w:r>
        <w:t xml:space="preserve"> Dutch Coalition on Disability and Development website </w:t>
      </w:r>
      <w:r w:rsidRPr="0060420D">
        <w:t>http://www.dcdd.nl/default.asp?3079</w:t>
      </w:r>
    </w:p>
  </w:footnote>
  <w:footnote w:id="107">
    <w:p w:rsidR="00EB278C" w:rsidRPr="00BF2DC9" w:rsidRDefault="00EB278C" w:rsidP="00485D5B">
      <w:pPr>
        <w:pStyle w:val="FootNoteText0"/>
        <w:rPr>
          <w:bCs/>
          <w:lang w:val="en-US" w:bidi="en-US"/>
        </w:rPr>
      </w:pPr>
      <w:r>
        <w:rPr>
          <w:rStyle w:val="FootnoteReference"/>
        </w:rPr>
        <w:footnoteRef/>
      </w:r>
      <w:r>
        <w:t xml:space="preserve"> </w:t>
      </w:r>
      <w:r w:rsidRPr="001068D8">
        <w:rPr>
          <w:lang w:val="en-US" w:bidi="en-US"/>
        </w:rPr>
        <w:t>Schoonheim</w:t>
      </w:r>
      <w:r>
        <w:rPr>
          <w:lang w:val="en-US" w:bidi="en-US"/>
        </w:rPr>
        <w:t xml:space="preserve">, </w:t>
      </w:r>
      <w:r w:rsidRPr="001068D8">
        <w:rPr>
          <w:lang w:val="en-US" w:bidi="en-US"/>
        </w:rPr>
        <w:t xml:space="preserve"> J</w:t>
      </w:r>
      <w:r>
        <w:rPr>
          <w:lang w:val="en-US" w:bidi="en-US"/>
        </w:rPr>
        <w:t>.</w:t>
      </w:r>
      <w:r w:rsidRPr="001068D8">
        <w:rPr>
          <w:lang w:val="en-US" w:bidi="en-US"/>
        </w:rPr>
        <w:t xml:space="preserve"> (2009). ANED country report on the implementation of policies supporting independent living for disabled people in the Netherlands. ANED (Academic Network of  </w:t>
      </w:r>
      <w:r w:rsidRPr="003D011D">
        <w:rPr>
          <w:lang w:val="en-US" w:bidi="en-US"/>
        </w:rPr>
        <w:t xml:space="preserve">European Disability Experts) </w:t>
      </w:r>
      <w:r w:rsidRPr="003D011D">
        <w:rPr>
          <w:rStyle w:val="HTMLCite"/>
          <w:i w:val="0"/>
          <w:color w:val="000000"/>
        </w:rPr>
        <w:t>www.disability-europe.net/</w:t>
      </w:r>
    </w:p>
  </w:footnote>
  <w:footnote w:id="108">
    <w:p w:rsidR="00EB278C" w:rsidRDefault="00EB278C" w:rsidP="00F06887">
      <w:pPr>
        <w:pStyle w:val="FootnoteText"/>
      </w:pPr>
      <w:r>
        <w:rPr>
          <w:rStyle w:val="FootnoteReference"/>
        </w:rPr>
        <w:footnoteRef/>
      </w:r>
      <w:r>
        <w:t xml:space="preserve"> Dutch Coalition on Disability and Development website </w:t>
      </w:r>
      <w:r w:rsidRPr="0060420D">
        <w:t>http://www.dcdd.nl/default.asp?3079</w:t>
      </w:r>
    </w:p>
  </w:footnote>
  <w:footnote w:id="109">
    <w:p w:rsidR="00EB278C" w:rsidRDefault="00EB278C">
      <w:pPr>
        <w:pStyle w:val="FootnoteText"/>
      </w:pPr>
      <w:r>
        <w:rPr>
          <w:rStyle w:val="FootnoteReference"/>
        </w:rPr>
        <w:footnoteRef/>
      </w:r>
      <w:r>
        <w:t xml:space="preserve"> de Boer, F., Schuttel, P., and Slippens, T. (2009) Personal Budgets (PGB)s for long term care in the Netherlands. Presentation to Ministry of Health, Welfare and Sport.</w:t>
      </w:r>
    </w:p>
  </w:footnote>
  <w:footnote w:id="110">
    <w:p w:rsidR="00EB278C" w:rsidRPr="00EC18AF" w:rsidRDefault="00EB278C">
      <w:pPr>
        <w:pStyle w:val="FootnoteText"/>
      </w:pPr>
      <w:r>
        <w:rPr>
          <w:rStyle w:val="FootnoteReference"/>
        </w:rPr>
        <w:footnoteRef/>
      </w:r>
      <w:r>
        <w:t xml:space="preserve"> </w:t>
      </w:r>
      <w:r w:rsidRPr="005233BB">
        <w:rPr>
          <w:lang w:eastAsia="en-IE"/>
        </w:rPr>
        <w:t xml:space="preserve">A key informant </w:t>
      </w:r>
      <w:r w:rsidRPr="00EC18AF">
        <w:rPr>
          <w:lang w:eastAsia="en-IE"/>
        </w:rPr>
        <w:t>from Zichtbare Zorg</w:t>
      </w:r>
    </w:p>
  </w:footnote>
  <w:footnote w:id="111">
    <w:p w:rsidR="00EB278C" w:rsidRDefault="00EB278C" w:rsidP="002E1546">
      <w:pPr>
        <w:pStyle w:val="FootNoteText0"/>
      </w:pPr>
      <w:r>
        <w:rPr>
          <w:rStyle w:val="FootnoteReference"/>
        </w:rPr>
        <w:footnoteRef/>
      </w:r>
      <w:r>
        <w:t xml:space="preserve"> </w:t>
      </w:r>
      <w:r w:rsidRPr="001068D8">
        <w:rPr>
          <w:lang w:val="en-US" w:bidi="en-US"/>
        </w:rPr>
        <w:t>Schoonheim</w:t>
      </w:r>
      <w:r>
        <w:rPr>
          <w:lang w:val="en-US" w:bidi="en-US"/>
        </w:rPr>
        <w:t xml:space="preserve">, </w:t>
      </w:r>
      <w:r w:rsidRPr="001068D8">
        <w:rPr>
          <w:lang w:val="en-US" w:bidi="en-US"/>
        </w:rPr>
        <w:t xml:space="preserve"> J</w:t>
      </w:r>
      <w:r>
        <w:rPr>
          <w:lang w:val="en-US" w:bidi="en-US"/>
        </w:rPr>
        <w:t>.</w:t>
      </w:r>
      <w:r w:rsidRPr="001068D8">
        <w:rPr>
          <w:lang w:val="en-US" w:bidi="en-US"/>
        </w:rPr>
        <w:t xml:space="preserve"> (2009). ANED country report on the implementation of policies supporting independent living for disabled people in the Netherlands. ANED (Academic Network of  </w:t>
      </w:r>
      <w:r w:rsidRPr="003D011D">
        <w:rPr>
          <w:lang w:val="en-US" w:bidi="en-US"/>
        </w:rPr>
        <w:t xml:space="preserve">European Disability Experts) </w:t>
      </w:r>
      <w:r w:rsidRPr="003D011D">
        <w:rPr>
          <w:rStyle w:val="HTMLCite"/>
          <w:i w:val="0"/>
          <w:color w:val="000000"/>
        </w:rPr>
        <w:t>www.disability-europe.net/</w:t>
      </w:r>
    </w:p>
  </w:footnote>
  <w:footnote w:id="112">
    <w:p w:rsidR="00EB278C" w:rsidRDefault="00EB278C" w:rsidP="002E1546">
      <w:pPr>
        <w:pStyle w:val="FootnoteText1"/>
      </w:pPr>
      <w:r>
        <w:rPr>
          <w:rStyle w:val="FootnoteReference"/>
        </w:rPr>
        <w:footnoteRef/>
      </w:r>
      <w:r>
        <w:t xml:space="preserve"> </w:t>
      </w:r>
      <w:r w:rsidRPr="00AF6ED5">
        <w:rPr>
          <w:lang w:val="en-US" w:bidi="en-US"/>
        </w:rPr>
        <w:t xml:space="preserve">Schoonheim, J. and Smits J. (2009) Report on the employment of disabled people in European countries. The Netherlands. ANED (Academic Network of European Disability </w:t>
      </w:r>
      <w:r w:rsidRPr="007D3D96">
        <w:rPr>
          <w:lang w:val="en-US" w:bidi="en-US"/>
        </w:rPr>
        <w:t xml:space="preserve">Experts) </w:t>
      </w:r>
      <w:r w:rsidRPr="007D3D96">
        <w:rPr>
          <w:rStyle w:val="HTMLCite"/>
          <w:i w:val="0"/>
          <w:color w:val="000000"/>
        </w:rPr>
        <w:t>www.disability-europe.net/</w:t>
      </w:r>
    </w:p>
  </w:footnote>
  <w:footnote w:id="113">
    <w:p w:rsidR="00EB278C" w:rsidRPr="000D3D00" w:rsidRDefault="00EB278C" w:rsidP="002E1546">
      <w:pPr>
        <w:ind w:left="360"/>
        <w:rPr>
          <w:rFonts w:cs="Arial"/>
          <w:sz w:val="18"/>
          <w:szCs w:val="18"/>
          <w:lang w:eastAsia="en-IE"/>
        </w:rPr>
      </w:pPr>
      <w:r w:rsidRPr="000D3D00">
        <w:rPr>
          <w:rStyle w:val="FootnoteReference"/>
          <w:rFonts w:cs="Arial"/>
          <w:sz w:val="18"/>
          <w:szCs w:val="18"/>
        </w:rPr>
        <w:footnoteRef/>
      </w:r>
      <w:r w:rsidRPr="000D3D00">
        <w:rPr>
          <w:rFonts w:cs="Arial"/>
          <w:sz w:val="18"/>
          <w:szCs w:val="18"/>
        </w:rPr>
        <w:t xml:space="preserve"> </w:t>
      </w:r>
      <w:r w:rsidRPr="000D3D00">
        <w:rPr>
          <w:rFonts w:cs="Arial"/>
          <w:sz w:val="18"/>
          <w:szCs w:val="18"/>
          <w:lang w:eastAsia="en-IE"/>
        </w:rPr>
        <w:t>These reports complement Public Health Forecasting (Volksgezondheid Toekomstverkenningen, VTV) Reports, published once every four years by the National Institute for Public Health and the Environment (RIVM) which aim to evaluate policy and to help set new priorities where necessary.</w:t>
      </w:r>
    </w:p>
    <w:p w:rsidR="00EB278C" w:rsidRPr="000D3D00" w:rsidRDefault="00EB278C" w:rsidP="002E1546">
      <w:pPr>
        <w:pStyle w:val="FootnoteText"/>
        <w:rPr>
          <w:rFonts w:cs="Arial"/>
          <w:sz w:val="18"/>
          <w:szCs w:val="18"/>
        </w:rPr>
      </w:pPr>
    </w:p>
  </w:footnote>
  <w:footnote w:id="114">
    <w:p w:rsidR="00EB278C" w:rsidRDefault="00EB278C" w:rsidP="002E1546">
      <w:pPr>
        <w:pStyle w:val="FootnoteText"/>
      </w:pPr>
      <w:r>
        <w:rPr>
          <w:rStyle w:val="FootnoteReference"/>
        </w:rPr>
        <w:footnoteRef/>
      </w:r>
      <w:r>
        <w:t xml:space="preserve"> </w:t>
      </w:r>
      <w:r w:rsidRPr="005970ED">
        <w:rPr>
          <w:rFonts w:cs="Arial"/>
          <w:color w:val="000000"/>
        </w:rPr>
        <w:t xml:space="preserve">"Management-based directs regulated organizations to engage in a planning process that aims toward the achievement of public goals, offering firms flexibility in how they achieve public goals." Cary </w:t>
      </w:r>
      <w:r>
        <w:rPr>
          <w:rFonts w:cs="Arial"/>
          <w:color w:val="000000"/>
        </w:rPr>
        <w:t>Coglianese and David Lazer"2002.</w:t>
      </w:r>
    </w:p>
  </w:footnote>
  <w:footnote w:id="115">
    <w:p w:rsidR="00EB278C" w:rsidRPr="000D3D00" w:rsidRDefault="00EB278C" w:rsidP="002E1546">
      <w:pPr>
        <w:rPr>
          <w:rFonts w:cs="Arial"/>
          <w:sz w:val="18"/>
          <w:szCs w:val="18"/>
        </w:rPr>
      </w:pPr>
      <w:r w:rsidRPr="000D3D00">
        <w:rPr>
          <w:rStyle w:val="FootnoteReference"/>
          <w:rFonts w:cs="Arial"/>
          <w:sz w:val="18"/>
          <w:szCs w:val="18"/>
        </w:rPr>
        <w:footnoteRef/>
      </w:r>
      <w:r w:rsidRPr="000D3D00">
        <w:rPr>
          <w:rFonts w:cs="Arial"/>
          <w:sz w:val="18"/>
          <w:szCs w:val="18"/>
        </w:rPr>
        <w:t xml:space="preserve"> e.g. the system of performance measurement for hospital quality inspection that has been developed by the Inspectorate</w:t>
      </w:r>
    </w:p>
    <w:p w:rsidR="00EB278C" w:rsidRPr="000D3D00" w:rsidRDefault="00EB278C" w:rsidP="002E1546">
      <w:pPr>
        <w:pStyle w:val="FootnoteText"/>
        <w:rPr>
          <w:rFonts w:cs="Arial"/>
          <w:sz w:val="18"/>
          <w:szCs w:val="18"/>
        </w:rPr>
      </w:pPr>
    </w:p>
  </w:footnote>
  <w:footnote w:id="116">
    <w:p w:rsidR="00EB278C" w:rsidRPr="002C2D3C" w:rsidRDefault="00EB278C" w:rsidP="002E1546">
      <w:pPr>
        <w:pStyle w:val="FootnoteText"/>
        <w:rPr>
          <w:rFonts w:cs="Arial"/>
        </w:rPr>
      </w:pPr>
      <w:r>
        <w:rPr>
          <w:rStyle w:val="FootnoteReference"/>
        </w:rPr>
        <w:footnoteRef/>
      </w:r>
      <w:r>
        <w:t xml:space="preserve"> </w:t>
      </w:r>
      <w:r w:rsidRPr="004539C4">
        <w:rPr>
          <w:rFonts w:cs="Arial"/>
        </w:rPr>
        <w:t>Tamsna, N. (2008) Quality in and Equality of Access to Healthcare Services. European Commission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DE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2693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9C308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F00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C228DD"/>
    <w:multiLevelType w:val="hybridMultilevel"/>
    <w:tmpl w:val="A000AC48"/>
    <w:lvl w:ilvl="0" w:tplc="2EB677E4">
      <w:start w:val="1"/>
      <w:numFmt w:val="bullet"/>
      <w:lvlText w:val=""/>
      <w:lvlJc w:val="left"/>
      <w:pPr>
        <w:tabs>
          <w:tab w:val="num" w:pos="360"/>
        </w:tabs>
        <w:ind w:left="36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E1258B"/>
    <w:multiLevelType w:val="hybridMultilevel"/>
    <w:tmpl w:val="23B41760"/>
    <w:lvl w:ilvl="0" w:tplc="18090003">
      <w:start w:val="1"/>
      <w:numFmt w:val="bullet"/>
      <w:lvlText w:val="o"/>
      <w:lvlJc w:val="left"/>
      <w:pPr>
        <w:tabs>
          <w:tab w:val="num" w:pos="720"/>
        </w:tabs>
        <w:ind w:left="720" w:hanging="360"/>
      </w:pPr>
      <w:rPr>
        <w:rFonts w:ascii="Courier New" w:hAnsi="Courier New" w:cs="Arial" w:hint="default"/>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C11B9"/>
    <w:multiLevelType w:val="hybridMultilevel"/>
    <w:tmpl w:val="284A1A5A"/>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Aria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Arial"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Arial"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D0370C8"/>
    <w:multiLevelType w:val="hybridMultilevel"/>
    <w:tmpl w:val="11F2D7D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F5003"/>
    <w:multiLevelType w:val="hybridMultilevel"/>
    <w:tmpl w:val="70803C2A"/>
    <w:lvl w:ilvl="0" w:tplc="2EB677E4">
      <w:start w:val="1"/>
      <w:numFmt w:val="bullet"/>
      <w:lvlText w:val=""/>
      <w:lvlJc w:val="left"/>
      <w:pPr>
        <w:tabs>
          <w:tab w:val="num" w:pos="360"/>
        </w:tabs>
        <w:ind w:left="360" w:hanging="360"/>
      </w:pPr>
      <w:rPr>
        <w:rFonts w:ascii="Symbol" w:hAnsi="Symbol" w:hint="default"/>
        <w:sz w:val="24"/>
        <w:szCs w:val="24"/>
      </w:rPr>
    </w:lvl>
    <w:lvl w:ilvl="1" w:tplc="18090003" w:tentative="1">
      <w:start w:val="1"/>
      <w:numFmt w:val="bullet"/>
      <w:lvlText w:val="o"/>
      <w:lvlJc w:val="left"/>
      <w:pPr>
        <w:tabs>
          <w:tab w:val="num" w:pos="1080"/>
        </w:tabs>
        <w:ind w:left="1080" w:hanging="360"/>
      </w:pPr>
      <w:rPr>
        <w:rFonts w:ascii="Courier New" w:hAnsi="Courier New" w:cs="Aria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Arial"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Arial"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25573B"/>
    <w:multiLevelType w:val="multilevel"/>
    <w:tmpl w:val="74C6520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DD77C58"/>
    <w:multiLevelType w:val="hybridMultilevel"/>
    <w:tmpl w:val="1B981A94"/>
    <w:lvl w:ilvl="0" w:tplc="2EB677E4">
      <w:start w:val="1"/>
      <w:numFmt w:val="bullet"/>
      <w:lvlText w:val=""/>
      <w:lvlJc w:val="left"/>
      <w:pPr>
        <w:tabs>
          <w:tab w:val="num" w:pos="360"/>
        </w:tabs>
        <w:ind w:left="36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67C6C"/>
    <w:multiLevelType w:val="hybridMultilevel"/>
    <w:tmpl w:val="AE6008E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53267"/>
    <w:multiLevelType w:val="hybridMultilevel"/>
    <w:tmpl w:val="AC5498C8"/>
    <w:lvl w:ilvl="0" w:tplc="2EB677E4">
      <w:start w:val="1"/>
      <w:numFmt w:val="bullet"/>
      <w:lvlText w:val=""/>
      <w:lvlJc w:val="left"/>
      <w:pPr>
        <w:tabs>
          <w:tab w:val="num" w:pos="360"/>
        </w:tabs>
        <w:ind w:left="36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C13DF"/>
    <w:multiLevelType w:val="hybridMultilevel"/>
    <w:tmpl w:val="24F29AA8"/>
    <w:lvl w:ilvl="0" w:tplc="2EB677E4">
      <w:start w:val="1"/>
      <w:numFmt w:val="bullet"/>
      <w:lvlText w:val=""/>
      <w:lvlJc w:val="left"/>
      <w:pPr>
        <w:tabs>
          <w:tab w:val="num" w:pos="360"/>
        </w:tabs>
        <w:ind w:left="36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A708F"/>
    <w:multiLevelType w:val="hybridMultilevel"/>
    <w:tmpl w:val="CEF0705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552C6"/>
    <w:multiLevelType w:val="hybridMultilevel"/>
    <w:tmpl w:val="479C82AA"/>
    <w:lvl w:ilvl="0" w:tplc="18090003">
      <w:start w:val="1"/>
      <w:numFmt w:val="bullet"/>
      <w:lvlText w:val="o"/>
      <w:lvlJc w:val="left"/>
      <w:pPr>
        <w:tabs>
          <w:tab w:val="num" w:pos="1440"/>
        </w:tabs>
        <w:ind w:left="1440" w:hanging="360"/>
      </w:pPr>
      <w:rPr>
        <w:rFonts w:ascii="Courier New" w:hAnsi="Courier New" w:cs="Arial" w:hint="default"/>
      </w:rPr>
    </w:lvl>
    <w:lvl w:ilvl="1" w:tplc="34200C3C">
      <w:numFmt w:val="bullet"/>
      <w:lvlText w:val="-"/>
      <w:lvlJc w:val="left"/>
      <w:pPr>
        <w:tabs>
          <w:tab w:val="num" w:pos="2160"/>
        </w:tabs>
        <w:ind w:left="2160" w:hanging="360"/>
      </w:pPr>
      <w:rPr>
        <w:rFonts w:ascii="Arial" w:eastAsia="Times New Roman" w:hAnsi="Arial" w:cs="Arial"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Arial"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Arial"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D56531A"/>
    <w:multiLevelType w:val="hybridMultilevel"/>
    <w:tmpl w:val="8ACE7E20"/>
    <w:lvl w:ilvl="0" w:tplc="2EB677E4">
      <w:start w:val="1"/>
      <w:numFmt w:val="bullet"/>
      <w:lvlText w:val=""/>
      <w:lvlJc w:val="left"/>
      <w:pPr>
        <w:tabs>
          <w:tab w:val="num" w:pos="360"/>
        </w:tabs>
        <w:ind w:left="36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2C673F"/>
    <w:multiLevelType w:val="hybridMultilevel"/>
    <w:tmpl w:val="64965A34"/>
    <w:lvl w:ilvl="0" w:tplc="2EB677E4">
      <w:start w:val="1"/>
      <w:numFmt w:val="bullet"/>
      <w:lvlText w:val=""/>
      <w:lvlJc w:val="left"/>
      <w:pPr>
        <w:tabs>
          <w:tab w:val="num" w:pos="360"/>
        </w:tabs>
        <w:ind w:left="360" w:hanging="360"/>
      </w:pPr>
      <w:rPr>
        <w:rFonts w:ascii="Symbol" w:hAnsi="Symbol" w:hint="default"/>
        <w:sz w:val="24"/>
        <w:szCs w:val="24"/>
      </w:rPr>
    </w:lvl>
    <w:lvl w:ilvl="1" w:tplc="18090003">
      <w:start w:val="1"/>
      <w:numFmt w:val="bullet"/>
      <w:lvlText w:val="o"/>
      <w:lvlJc w:val="left"/>
      <w:pPr>
        <w:tabs>
          <w:tab w:val="num" w:pos="1440"/>
        </w:tabs>
        <w:ind w:left="1440" w:hanging="360"/>
      </w:pPr>
      <w:rPr>
        <w:rFonts w:ascii="Courier New" w:hAnsi="Courier New" w:cs="Arial"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Arial"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Arial"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12"/>
  </w:num>
  <w:num w:numId="4">
    <w:abstractNumId w:val="21"/>
  </w:num>
  <w:num w:numId="5">
    <w:abstractNumId w:val="15"/>
  </w:num>
  <w:num w:numId="6">
    <w:abstractNumId w:val="11"/>
  </w:num>
  <w:num w:numId="7">
    <w:abstractNumId w:val="14"/>
  </w:num>
  <w:num w:numId="8">
    <w:abstractNumId w:val="16"/>
  </w:num>
  <w:num w:numId="9">
    <w:abstractNumId w:val="10"/>
  </w:num>
  <w:num w:numId="10">
    <w:abstractNumId w:val="23"/>
  </w:num>
  <w:num w:numId="11">
    <w:abstractNumId w:val="22"/>
  </w:num>
  <w:num w:numId="12">
    <w:abstractNumId w:val="18"/>
  </w:num>
  <w:num w:numId="13">
    <w:abstractNumId w:val="19"/>
  </w:num>
  <w:num w:numId="14">
    <w:abstractNumId w:val="9"/>
  </w:num>
  <w:num w:numId="15">
    <w:abstractNumId w:val="7"/>
  </w:num>
  <w:num w:numId="16">
    <w:abstractNumId w:val="6"/>
  </w:num>
  <w:num w:numId="17">
    <w:abstractNumId w:val="3"/>
  </w:num>
  <w:num w:numId="18">
    <w:abstractNumId w:val="2"/>
  </w:num>
  <w:num w:numId="19">
    <w:abstractNumId w:val="1"/>
  </w:num>
  <w:num w:numId="20">
    <w:abstractNumId w:val="0"/>
  </w:num>
  <w:num w:numId="21">
    <w:abstractNumId w:val="5"/>
  </w:num>
  <w:num w:numId="22">
    <w:abstractNumId w:val="4"/>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2D"/>
    <w:rsid w:val="0001026E"/>
    <w:rsid w:val="00010525"/>
    <w:rsid w:val="000358D6"/>
    <w:rsid w:val="00037EFD"/>
    <w:rsid w:val="00042AEB"/>
    <w:rsid w:val="00051CED"/>
    <w:rsid w:val="000815A2"/>
    <w:rsid w:val="000838D3"/>
    <w:rsid w:val="000855A0"/>
    <w:rsid w:val="00085D55"/>
    <w:rsid w:val="00087E30"/>
    <w:rsid w:val="000A57E1"/>
    <w:rsid w:val="000C0F3D"/>
    <w:rsid w:val="000D41E0"/>
    <w:rsid w:val="000D4F90"/>
    <w:rsid w:val="000E7395"/>
    <w:rsid w:val="000F4D7E"/>
    <w:rsid w:val="000F5187"/>
    <w:rsid w:val="001036EC"/>
    <w:rsid w:val="0011161E"/>
    <w:rsid w:val="001132C3"/>
    <w:rsid w:val="00116252"/>
    <w:rsid w:val="00123393"/>
    <w:rsid w:val="00123590"/>
    <w:rsid w:val="00131024"/>
    <w:rsid w:val="00153C0F"/>
    <w:rsid w:val="00160AFA"/>
    <w:rsid w:val="00162067"/>
    <w:rsid w:val="00167CD8"/>
    <w:rsid w:val="00167F71"/>
    <w:rsid w:val="001721CB"/>
    <w:rsid w:val="00177212"/>
    <w:rsid w:val="001806E5"/>
    <w:rsid w:val="00184A6A"/>
    <w:rsid w:val="00186B36"/>
    <w:rsid w:val="00194B20"/>
    <w:rsid w:val="001A0758"/>
    <w:rsid w:val="001B233A"/>
    <w:rsid w:val="001B45B0"/>
    <w:rsid w:val="001C7574"/>
    <w:rsid w:val="001E2413"/>
    <w:rsid w:val="001E3D79"/>
    <w:rsid w:val="001F6C64"/>
    <w:rsid w:val="00200B96"/>
    <w:rsid w:val="002069E6"/>
    <w:rsid w:val="00213318"/>
    <w:rsid w:val="00234105"/>
    <w:rsid w:val="00234735"/>
    <w:rsid w:val="002423B2"/>
    <w:rsid w:val="00243063"/>
    <w:rsid w:val="002516AD"/>
    <w:rsid w:val="00257E31"/>
    <w:rsid w:val="00261232"/>
    <w:rsid w:val="002649AC"/>
    <w:rsid w:val="00272A41"/>
    <w:rsid w:val="0028238E"/>
    <w:rsid w:val="00283646"/>
    <w:rsid w:val="00285E7D"/>
    <w:rsid w:val="00287EEC"/>
    <w:rsid w:val="0029083F"/>
    <w:rsid w:val="002978A6"/>
    <w:rsid w:val="002C0E58"/>
    <w:rsid w:val="002C1E43"/>
    <w:rsid w:val="002C3DD6"/>
    <w:rsid w:val="002D4949"/>
    <w:rsid w:val="002E1546"/>
    <w:rsid w:val="002E2D52"/>
    <w:rsid w:val="002F1EAB"/>
    <w:rsid w:val="002F5C4C"/>
    <w:rsid w:val="0030772E"/>
    <w:rsid w:val="003114C5"/>
    <w:rsid w:val="00324502"/>
    <w:rsid w:val="003340F9"/>
    <w:rsid w:val="00350284"/>
    <w:rsid w:val="00370D2F"/>
    <w:rsid w:val="00372BC6"/>
    <w:rsid w:val="003916B3"/>
    <w:rsid w:val="0039287C"/>
    <w:rsid w:val="00392F45"/>
    <w:rsid w:val="003954AD"/>
    <w:rsid w:val="003C1426"/>
    <w:rsid w:val="003C4011"/>
    <w:rsid w:val="003D3A18"/>
    <w:rsid w:val="003D62CF"/>
    <w:rsid w:val="003E262E"/>
    <w:rsid w:val="00405A51"/>
    <w:rsid w:val="00406F2C"/>
    <w:rsid w:val="0041562E"/>
    <w:rsid w:val="00421CC6"/>
    <w:rsid w:val="00424B1B"/>
    <w:rsid w:val="00425CDA"/>
    <w:rsid w:val="00427369"/>
    <w:rsid w:val="004412F4"/>
    <w:rsid w:val="00441546"/>
    <w:rsid w:val="004523A9"/>
    <w:rsid w:val="004569CF"/>
    <w:rsid w:val="00461F35"/>
    <w:rsid w:val="0047005F"/>
    <w:rsid w:val="004750BB"/>
    <w:rsid w:val="00485D5B"/>
    <w:rsid w:val="0048748D"/>
    <w:rsid w:val="004A099C"/>
    <w:rsid w:val="004C62C6"/>
    <w:rsid w:val="004E0DDC"/>
    <w:rsid w:val="004E16E6"/>
    <w:rsid w:val="004E5EE5"/>
    <w:rsid w:val="004F7DC2"/>
    <w:rsid w:val="00500AE0"/>
    <w:rsid w:val="00500FB1"/>
    <w:rsid w:val="005024D0"/>
    <w:rsid w:val="005033E6"/>
    <w:rsid w:val="00504217"/>
    <w:rsid w:val="0050453B"/>
    <w:rsid w:val="00512E27"/>
    <w:rsid w:val="005167C3"/>
    <w:rsid w:val="00522042"/>
    <w:rsid w:val="00524FB9"/>
    <w:rsid w:val="005300C7"/>
    <w:rsid w:val="00534733"/>
    <w:rsid w:val="00540283"/>
    <w:rsid w:val="005532BB"/>
    <w:rsid w:val="0055483E"/>
    <w:rsid w:val="00555423"/>
    <w:rsid w:val="005566F5"/>
    <w:rsid w:val="00557783"/>
    <w:rsid w:val="00560080"/>
    <w:rsid w:val="00562691"/>
    <w:rsid w:val="00573689"/>
    <w:rsid w:val="00575104"/>
    <w:rsid w:val="00582939"/>
    <w:rsid w:val="0058406A"/>
    <w:rsid w:val="00584E23"/>
    <w:rsid w:val="00594104"/>
    <w:rsid w:val="005A7767"/>
    <w:rsid w:val="005B48E9"/>
    <w:rsid w:val="005B74D2"/>
    <w:rsid w:val="005C131F"/>
    <w:rsid w:val="005C3D9D"/>
    <w:rsid w:val="005C56C8"/>
    <w:rsid w:val="005F1CAF"/>
    <w:rsid w:val="00602583"/>
    <w:rsid w:val="00605AE6"/>
    <w:rsid w:val="00606DF6"/>
    <w:rsid w:val="00607DA3"/>
    <w:rsid w:val="00616E9A"/>
    <w:rsid w:val="00625031"/>
    <w:rsid w:val="006346EA"/>
    <w:rsid w:val="00643FA2"/>
    <w:rsid w:val="00651FF0"/>
    <w:rsid w:val="00662590"/>
    <w:rsid w:val="00667435"/>
    <w:rsid w:val="006675F4"/>
    <w:rsid w:val="00667704"/>
    <w:rsid w:val="0067213A"/>
    <w:rsid w:val="00672F9A"/>
    <w:rsid w:val="006739E5"/>
    <w:rsid w:val="00685267"/>
    <w:rsid w:val="006960C8"/>
    <w:rsid w:val="006A108E"/>
    <w:rsid w:val="006C3A0D"/>
    <w:rsid w:val="006C7525"/>
    <w:rsid w:val="006E207E"/>
    <w:rsid w:val="006F6642"/>
    <w:rsid w:val="007400AC"/>
    <w:rsid w:val="00751FCB"/>
    <w:rsid w:val="00781EE3"/>
    <w:rsid w:val="007856AD"/>
    <w:rsid w:val="007B22C6"/>
    <w:rsid w:val="007C1DB1"/>
    <w:rsid w:val="007C56B0"/>
    <w:rsid w:val="007C67EE"/>
    <w:rsid w:val="007C6ED7"/>
    <w:rsid w:val="007C77DA"/>
    <w:rsid w:val="007D36DD"/>
    <w:rsid w:val="007D4753"/>
    <w:rsid w:val="007E0511"/>
    <w:rsid w:val="008009EE"/>
    <w:rsid w:val="00816C48"/>
    <w:rsid w:val="00824E48"/>
    <w:rsid w:val="008616C3"/>
    <w:rsid w:val="0087486D"/>
    <w:rsid w:val="008779C7"/>
    <w:rsid w:val="008912D2"/>
    <w:rsid w:val="008B5653"/>
    <w:rsid w:val="008C30A3"/>
    <w:rsid w:val="008E786D"/>
    <w:rsid w:val="008F15F8"/>
    <w:rsid w:val="008F6B12"/>
    <w:rsid w:val="00901BE0"/>
    <w:rsid w:val="0090360D"/>
    <w:rsid w:val="009335F6"/>
    <w:rsid w:val="00937ABC"/>
    <w:rsid w:val="00944FB3"/>
    <w:rsid w:val="009476F4"/>
    <w:rsid w:val="009502C4"/>
    <w:rsid w:val="00953F16"/>
    <w:rsid w:val="00961E2F"/>
    <w:rsid w:val="00971F43"/>
    <w:rsid w:val="009770FF"/>
    <w:rsid w:val="00986268"/>
    <w:rsid w:val="009D27C2"/>
    <w:rsid w:val="009E307D"/>
    <w:rsid w:val="009E4586"/>
    <w:rsid w:val="009E68A9"/>
    <w:rsid w:val="009E6C28"/>
    <w:rsid w:val="009F25D0"/>
    <w:rsid w:val="009F2BDD"/>
    <w:rsid w:val="009F6ACD"/>
    <w:rsid w:val="00A12716"/>
    <w:rsid w:val="00A23A5E"/>
    <w:rsid w:val="00A31397"/>
    <w:rsid w:val="00A36D9A"/>
    <w:rsid w:val="00A515F2"/>
    <w:rsid w:val="00A5174A"/>
    <w:rsid w:val="00A5247C"/>
    <w:rsid w:val="00A6073D"/>
    <w:rsid w:val="00A60E03"/>
    <w:rsid w:val="00A676B4"/>
    <w:rsid w:val="00A72158"/>
    <w:rsid w:val="00A730C8"/>
    <w:rsid w:val="00A756EC"/>
    <w:rsid w:val="00A7587B"/>
    <w:rsid w:val="00A93FAC"/>
    <w:rsid w:val="00AB35B9"/>
    <w:rsid w:val="00AB5089"/>
    <w:rsid w:val="00AE410E"/>
    <w:rsid w:val="00AE5B5D"/>
    <w:rsid w:val="00AE71B4"/>
    <w:rsid w:val="00B23635"/>
    <w:rsid w:val="00B32ED2"/>
    <w:rsid w:val="00B45730"/>
    <w:rsid w:val="00B46144"/>
    <w:rsid w:val="00B4781A"/>
    <w:rsid w:val="00B508E1"/>
    <w:rsid w:val="00B5098C"/>
    <w:rsid w:val="00B5741F"/>
    <w:rsid w:val="00B6798F"/>
    <w:rsid w:val="00B70607"/>
    <w:rsid w:val="00B714D5"/>
    <w:rsid w:val="00B74DE3"/>
    <w:rsid w:val="00B834A1"/>
    <w:rsid w:val="00B84E2B"/>
    <w:rsid w:val="00BA129D"/>
    <w:rsid w:val="00BA4537"/>
    <w:rsid w:val="00BA5314"/>
    <w:rsid w:val="00BA5D6F"/>
    <w:rsid w:val="00BB1FDA"/>
    <w:rsid w:val="00BC438E"/>
    <w:rsid w:val="00BC69E5"/>
    <w:rsid w:val="00BD033A"/>
    <w:rsid w:val="00BD4539"/>
    <w:rsid w:val="00BE504E"/>
    <w:rsid w:val="00BF2DC9"/>
    <w:rsid w:val="00C17EB7"/>
    <w:rsid w:val="00C20CCC"/>
    <w:rsid w:val="00C22DFB"/>
    <w:rsid w:val="00C30AF5"/>
    <w:rsid w:val="00C5023E"/>
    <w:rsid w:val="00C51A87"/>
    <w:rsid w:val="00C52D3D"/>
    <w:rsid w:val="00C7224D"/>
    <w:rsid w:val="00C76521"/>
    <w:rsid w:val="00C830ED"/>
    <w:rsid w:val="00C915DE"/>
    <w:rsid w:val="00CA3255"/>
    <w:rsid w:val="00CA76FF"/>
    <w:rsid w:val="00CC1BCD"/>
    <w:rsid w:val="00CC2608"/>
    <w:rsid w:val="00CC31E3"/>
    <w:rsid w:val="00CD42E4"/>
    <w:rsid w:val="00CE0C16"/>
    <w:rsid w:val="00CE2888"/>
    <w:rsid w:val="00CE5E64"/>
    <w:rsid w:val="00CE6920"/>
    <w:rsid w:val="00CF1464"/>
    <w:rsid w:val="00CF3946"/>
    <w:rsid w:val="00CF6AD6"/>
    <w:rsid w:val="00D00C11"/>
    <w:rsid w:val="00D1335B"/>
    <w:rsid w:val="00D30E3B"/>
    <w:rsid w:val="00D3353B"/>
    <w:rsid w:val="00D46068"/>
    <w:rsid w:val="00D71897"/>
    <w:rsid w:val="00D855D5"/>
    <w:rsid w:val="00D86CE4"/>
    <w:rsid w:val="00DA1AA9"/>
    <w:rsid w:val="00DC3199"/>
    <w:rsid w:val="00DC51F8"/>
    <w:rsid w:val="00DC5AF4"/>
    <w:rsid w:val="00DD0D11"/>
    <w:rsid w:val="00DD1523"/>
    <w:rsid w:val="00DD3976"/>
    <w:rsid w:val="00DF0291"/>
    <w:rsid w:val="00E00365"/>
    <w:rsid w:val="00E00EE8"/>
    <w:rsid w:val="00E24E33"/>
    <w:rsid w:val="00E26B09"/>
    <w:rsid w:val="00E327A1"/>
    <w:rsid w:val="00E35526"/>
    <w:rsid w:val="00E37689"/>
    <w:rsid w:val="00E454CE"/>
    <w:rsid w:val="00E66FB1"/>
    <w:rsid w:val="00E74791"/>
    <w:rsid w:val="00E754D7"/>
    <w:rsid w:val="00E95995"/>
    <w:rsid w:val="00E97C35"/>
    <w:rsid w:val="00EA003E"/>
    <w:rsid w:val="00EB278C"/>
    <w:rsid w:val="00EC4B03"/>
    <w:rsid w:val="00ED0772"/>
    <w:rsid w:val="00EE2AAE"/>
    <w:rsid w:val="00EF0AA1"/>
    <w:rsid w:val="00EF3FE9"/>
    <w:rsid w:val="00EF5A7A"/>
    <w:rsid w:val="00EF6452"/>
    <w:rsid w:val="00F06887"/>
    <w:rsid w:val="00F271D8"/>
    <w:rsid w:val="00F3043B"/>
    <w:rsid w:val="00F311C3"/>
    <w:rsid w:val="00F40CF4"/>
    <w:rsid w:val="00F53E3A"/>
    <w:rsid w:val="00F621F4"/>
    <w:rsid w:val="00F77B63"/>
    <w:rsid w:val="00F81E1C"/>
    <w:rsid w:val="00F931E2"/>
    <w:rsid w:val="00FA1132"/>
    <w:rsid w:val="00FA576A"/>
    <w:rsid w:val="00FC24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396"/>
    </o:shapedefaults>
    <o:shapelayout v:ext="edit">
      <o:idmap v:ext="edit" data="1"/>
    </o:shapelayout>
  </w:shapeDefaults>
  <w:doNotEmbedSmartTags/>
  <w:decimalSymbol w:val="."/>
  <w:listSeparator w:val=","/>
  <w15:chartTrackingRefBased/>
  <w15:docId w15:val="{9C3A1B4D-2ECD-4268-92B7-066044E7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35"/>
    <w:pPr>
      <w:spacing w:after="300" w:line="294" w:lineRule="exact"/>
    </w:pPr>
    <w:rPr>
      <w:rFonts w:ascii="Arial" w:hAnsi="Arial"/>
      <w:sz w:val="24"/>
      <w:szCs w:val="24"/>
      <w:lang w:eastAsia="en-US"/>
    </w:rPr>
  </w:style>
  <w:style w:type="paragraph" w:styleId="Heading1">
    <w:name w:val="heading 1"/>
    <w:aliases w:val="Attribute Heading 1"/>
    <w:basedOn w:val="Normal"/>
    <w:next w:val="Normal"/>
    <w:link w:val="Heading1Char"/>
    <w:qFormat/>
    <w:rsid w:val="00E97C35"/>
    <w:pPr>
      <w:keepNext/>
      <w:spacing w:before="360" w:after="60"/>
      <w:ind w:left="-284"/>
      <w:outlineLvl w:val="0"/>
    </w:pPr>
    <w:rPr>
      <w:rFonts w:cs="Arial"/>
      <w:b/>
      <w:bCs/>
      <w:kern w:val="32"/>
      <w:sz w:val="32"/>
      <w:szCs w:val="32"/>
    </w:rPr>
  </w:style>
  <w:style w:type="paragraph" w:styleId="Heading2">
    <w:name w:val="heading 2"/>
    <w:aliases w:val="Sanyo 2 Char,Heading 2 Char"/>
    <w:basedOn w:val="Normal"/>
    <w:next w:val="Normal"/>
    <w:qFormat/>
    <w:rsid w:val="00E97C35"/>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E97C35"/>
    <w:pPr>
      <w:keepNext/>
      <w:spacing w:before="240" w:after="0"/>
      <w:outlineLvl w:val="2"/>
    </w:pPr>
    <w:rPr>
      <w:rFonts w:ascii="Arial Bold" w:hAnsi="Arial Bold" w:cs="Arial"/>
      <w:b/>
      <w:bCs/>
    </w:rPr>
  </w:style>
  <w:style w:type="paragraph" w:styleId="Heading4">
    <w:name w:val="heading 4"/>
    <w:basedOn w:val="Normal"/>
    <w:next w:val="Normal"/>
    <w:qFormat/>
    <w:rsid w:val="00E97C35"/>
    <w:pPr>
      <w:keepNext/>
      <w:spacing w:before="240" w:after="60"/>
      <w:outlineLvl w:val="3"/>
    </w:pPr>
    <w:rPr>
      <w:rFonts w:ascii="Arial Bold" w:hAnsi="Arial Bold"/>
      <w:b/>
      <w:bCs/>
      <w:color w:val="333333"/>
    </w:rPr>
  </w:style>
  <w:style w:type="paragraph" w:styleId="Heading5">
    <w:name w:val="heading 5"/>
    <w:basedOn w:val="Normal"/>
    <w:next w:val="Normal"/>
    <w:qFormat/>
    <w:rsid w:val="00E97C35"/>
    <w:pPr>
      <w:spacing w:before="240"/>
      <w:outlineLvl w:val="4"/>
    </w:pPr>
    <w:rPr>
      <w:b/>
      <w:bCs/>
      <w:i/>
      <w:iCs/>
      <w:sz w:val="26"/>
      <w:szCs w:val="26"/>
    </w:rPr>
  </w:style>
  <w:style w:type="paragraph" w:styleId="Heading6">
    <w:name w:val="heading 6"/>
    <w:basedOn w:val="Normal"/>
    <w:next w:val="Normal"/>
    <w:qFormat/>
    <w:rsid w:val="00E97C35"/>
    <w:pPr>
      <w:spacing w:before="240"/>
      <w:outlineLvl w:val="5"/>
    </w:pPr>
    <w:rPr>
      <w:rFonts w:ascii="Times New Roman" w:hAnsi="Times New Roman"/>
      <w:b/>
      <w:bCs/>
      <w:sz w:val="22"/>
      <w:szCs w:val="22"/>
    </w:rPr>
  </w:style>
  <w:style w:type="paragraph" w:styleId="Heading7">
    <w:name w:val="heading 7"/>
    <w:basedOn w:val="Normal"/>
    <w:next w:val="Normal"/>
    <w:qFormat/>
    <w:rsid w:val="00E97C35"/>
    <w:pPr>
      <w:keepNext/>
      <w:spacing w:before="240"/>
      <w:jc w:val="center"/>
      <w:outlineLvl w:val="6"/>
    </w:pPr>
    <w:rPr>
      <w:rFonts w:cs="Arial"/>
      <w:b/>
      <w:sz w:val="48"/>
      <w:szCs w:val="40"/>
    </w:rPr>
  </w:style>
  <w:style w:type="paragraph" w:styleId="Heading8">
    <w:name w:val="heading 8"/>
    <w:basedOn w:val="Normal"/>
    <w:next w:val="Normal"/>
    <w:qFormat/>
    <w:rsid w:val="00E97C35"/>
    <w:pPr>
      <w:keepNext/>
      <w:outlineLvl w:val="7"/>
    </w:pPr>
    <w:rPr>
      <w:sz w:val="32"/>
    </w:rPr>
  </w:style>
  <w:style w:type="paragraph" w:styleId="Heading9">
    <w:name w:val="heading 9"/>
    <w:basedOn w:val="Normal"/>
    <w:next w:val="Normal"/>
    <w:qFormat/>
    <w:rsid w:val="00E97C35"/>
    <w:pPr>
      <w:keepNext/>
      <w:spacing w:before="240"/>
      <w:outlineLvl w:val="8"/>
    </w:pPr>
    <w:rPr>
      <w:rFonts w:cs="Arial"/>
      <w:b/>
      <w:sz w:val="40"/>
      <w:szCs w:val="32"/>
    </w:rPr>
  </w:style>
  <w:style w:type="character" w:default="1" w:styleId="DefaultParagraphFont">
    <w:name w:val="Default Paragraph Font"/>
    <w:aliases w:val=" Char Char1"/>
    <w:semiHidden/>
    <w:rsid w:val="00E97C35"/>
  </w:style>
  <w:style w:type="table" w:default="1" w:styleId="TableNormal">
    <w:name w:val="Normal Table"/>
    <w:semiHidden/>
    <w:rsid w:val="00424B1B"/>
    <w:rPr>
      <w:rFonts w:eastAsia="SimSun"/>
    </w:rPr>
    <w:tblPr>
      <w:tblInd w:w="0" w:type="dxa"/>
      <w:tblCellMar>
        <w:top w:w="0" w:type="dxa"/>
        <w:left w:w="108" w:type="dxa"/>
        <w:bottom w:w="0" w:type="dxa"/>
        <w:right w:w="108" w:type="dxa"/>
      </w:tblCellMar>
    </w:tblPr>
  </w:style>
  <w:style w:type="numbering" w:default="1" w:styleId="NoList">
    <w:name w:val="No List"/>
    <w:semiHidden/>
    <w:rsid w:val="00E97C35"/>
  </w:style>
  <w:style w:type="character" w:styleId="Strong">
    <w:name w:val="Strong"/>
    <w:basedOn w:val="DefaultParagraphFont"/>
    <w:qFormat/>
    <w:rsid w:val="000E7293"/>
    <w:rPr>
      <w:b/>
      <w:bCs/>
    </w:rPr>
  </w:style>
  <w:style w:type="paragraph" w:customStyle="1" w:styleId="NormalWeb2">
    <w:name w:val="Normal (Web)2"/>
    <w:basedOn w:val="Normal"/>
    <w:rsid w:val="000E7293"/>
    <w:rPr>
      <w:rFonts w:cs="Arial"/>
      <w:lang w:eastAsia="en-IE"/>
    </w:rPr>
  </w:style>
  <w:style w:type="character" w:customStyle="1" w:styleId="Hyperlink1">
    <w:name w:val="Hyperlink1"/>
    <w:basedOn w:val="DefaultParagraphFont"/>
    <w:rsid w:val="000E7293"/>
    <w:rPr>
      <w:color w:val="0000FF"/>
      <w:u w:val="single"/>
    </w:rPr>
  </w:style>
  <w:style w:type="table" w:styleId="TableGrid">
    <w:name w:val="Table Grid"/>
    <w:basedOn w:val="TableNormal"/>
    <w:rsid w:val="009F761C"/>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97C35"/>
    <w:pPr>
      <w:spacing w:after="60" w:line="240" w:lineRule="auto"/>
    </w:pPr>
    <w:rPr>
      <w:sz w:val="20"/>
      <w:szCs w:val="20"/>
    </w:rPr>
  </w:style>
  <w:style w:type="character" w:styleId="FootnoteReference">
    <w:name w:val="footnote reference"/>
    <w:basedOn w:val="DefaultParagraphFont"/>
    <w:semiHidden/>
    <w:rsid w:val="009F761C"/>
    <w:rPr>
      <w:vertAlign w:val="superscript"/>
    </w:rPr>
  </w:style>
  <w:style w:type="paragraph" w:styleId="Footer">
    <w:name w:val="footer"/>
    <w:basedOn w:val="Normal"/>
    <w:rsid w:val="00E97C35"/>
    <w:pPr>
      <w:tabs>
        <w:tab w:val="center" w:pos="4153"/>
        <w:tab w:val="right" w:pos="8306"/>
      </w:tabs>
      <w:spacing w:before="60" w:after="60" w:line="240" w:lineRule="auto"/>
    </w:pPr>
    <w:rPr>
      <w:color w:val="323232"/>
      <w:sz w:val="20"/>
      <w:szCs w:val="20"/>
    </w:rPr>
  </w:style>
  <w:style w:type="character" w:styleId="PageNumber">
    <w:name w:val="page number"/>
    <w:basedOn w:val="DefaultParagraphFont"/>
    <w:rsid w:val="00E97C35"/>
  </w:style>
  <w:style w:type="paragraph" w:customStyle="1" w:styleId="Default">
    <w:name w:val="Default"/>
    <w:rsid w:val="003B37F5"/>
    <w:pPr>
      <w:autoSpaceDE w:val="0"/>
      <w:autoSpaceDN w:val="0"/>
      <w:adjustRightInd w:val="0"/>
    </w:pPr>
    <w:rPr>
      <w:rFonts w:ascii="Myriad Pro" w:hAnsi="Myriad Pro" w:cs="Myriad Pro"/>
      <w:color w:val="000000"/>
      <w:sz w:val="24"/>
      <w:szCs w:val="24"/>
    </w:rPr>
  </w:style>
  <w:style w:type="paragraph" w:styleId="ListNumber">
    <w:name w:val="List Number"/>
    <w:basedOn w:val="Normal"/>
    <w:rsid w:val="00E97C35"/>
    <w:pPr>
      <w:numPr>
        <w:numId w:val="1"/>
      </w:numPr>
      <w:tabs>
        <w:tab w:val="clear" w:pos="360"/>
      </w:tabs>
      <w:spacing w:after="120" w:line="240" w:lineRule="auto"/>
    </w:pPr>
  </w:style>
  <w:style w:type="paragraph" w:styleId="Header">
    <w:name w:val="header"/>
    <w:basedOn w:val="Normal"/>
    <w:rsid w:val="00E97C35"/>
    <w:pPr>
      <w:tabs>
        <w:tab w:val="center" w:pos="4320"/>
        <w:tab w:val="right" w:pos="8640"/>
      </w:tabs>
      <w:spacing w:after="0" w:line="240" w:lineRule="auto"/>
    </w:pPr>
    <w:rPr>
      <w:color w:val="333333"/>
      <w:sz w:val="20"/>
      <w:szCs w:val="20"/>
    </w:rPr>
  </w:style>
  <w:style w:type="paragraph" w:styleId="Title">
    <w:name w:val="Title"/>
    <w:basedOn w:val="Normal"/>
    <w:next w:val="Normal"/>
    <w:qFormat/>
    <w:rsid w:val="00E97C35"/>
    <w:pPr>
      <w:spacing w:before="240" w:after="60"/>
      <w:jc w:val="center"/>
      <w:outlineLvl w:val="0"/>
    </w:pPr>
    <w:rPr>
      <w:rFonts w:ascii="Arial Bold" w:hAnsi="Arial Bold" w:cs="Arial"/>
      <w:b/>
      <w:bCs/>
      <w:kern w:val="28"/>
      <w:sz w:val="32"/>
      <w:szCs w:val="32"/>
    </w:rPr>
  </w:style>
  <w:style w:type="character" w:styleId="Hyperlink">
    <w:name w:val="Hyperlink"/>
    <w:basedOn w:val="DefaultParagraphFont"/>
    <w:rsid w:val="00E97C35"/>
    <w:rPr>
      <w:color w:val="0000FF"/>
      <w:u w:val="single"/>
    </w:rPr>
  </w:style>
  <w:style w:type="character" w:styleId="HTMLCite">
    <w:name w:val="HTML Cite"/>
    <w:basedOn w:val="DefaultParagraphFont"/>
    <w:rsid w:val="006A0D3F"/>
    <w:rPr>
      <w:i/>
      <w:iCs/>
    </w:rPr>
  </w:style>
  <w:style w:type="paragraph" w:styleId="BalloonText">
    <w:name w:val="Balloon Text"/>
    <w:basedOn w:val="Normal"/>
    <w:semiHidden/>
    <w:rsid w:val="004D78A5"/>
    <w:rPr>
      <w:rFonts w:ascii="Tahoma" w:hAnsi="Tahoma" w:cs="Tahoma"/>
      <w:sz w:val="16"/>
      <w:szCs w:val="16"/>
    </w:rPr>
  </w:style>
  <w:style w:type="paragraph" w:styleId="ListBullet">
    <w:name w:val="List Bullet"/>
    <w:basedOn w:val="Normal"/>
    <w:link w:val="ListBulletChar"/>
    <w:rsid w:val="00E97C35"/>
    <w:pPr>
      <w:numPr>
        <w:numId w:val="14"/>
      </w:numPr>
      <w:spacing w:before="120" w:after="120" w:line="240" w:lineRule="auto"/>
    </w:pPr>
  </w:style>
  <w:style w:type="paragraph" w:styleId="TOC2">
    <w:name w:val="toc 2"/>
    <w:basedOn w:val="Normal"/>
    <w:next w:val="Normal"/>
    <w:autoRedefine/>
    <w:semiHidden/>
    <w:rsid w:val="00287EEC"/>
    <w:pPr>
      <w:tabs>
        <w:tab w:val="right" w:leader="dot" w:pos="8505"/>
      </w:tabs>
      <w:spacing w:before="240"/>
      <w:ind w:right="43"/>
    </w:pPr>
    <w:rPr>
      <w:rFonts w:cs="Arial"/>
      <w:bCs/>
      <w:noProof/>
      <w:lang w:bidi="en-US"/>
    </w:rPr>
  </w:style>
  <w:style w:type="paragraph" w:styleId="CommentText">
    <w:name w:val="annotation text"/>
    <w:basedOn w:val="Normal"/>
    <w:semiHidden/>
    <w:rsid w:val="00E97C35"/>
    <w:rPr>
      <w:sz w:val="20"/>
    </w:rPr>
  </w:style>
  <w:style w:type="paragraph" w:styleId="BlockText">
    <w:name w:val="Block Text"/>
    <w:basedOn w:val="Normal"/>
    <w:rsid w:val="00E97C35"/>
    <w:pPr>
      <w:spacing w:after="120"/>
      <w:ind w:left="1440" w:right="1440"/>
    </w:pPr>
  </w:style>
  <w:style w:type="paragraph" w:styleId="BodyText">
    <w:name w:val="Body Text"/>
    <w:basedOn w:val="Normal"/>
    <w:rsid w:val="00E97C35"/>
    <w:pPr>
      <w:spacing w:after="120"/>
    </w:pPr>
  </w:style>
  <w:style w:type="paragraph" w:styleId="BodyTextIndent">
    <w:name w:val="Body Text Indent"/>
    <w:basedOn w:val="Normal"/>
    <w:rsid w:val="00E97C35"/>
    <w:pPr>
      <w:spacing w:after="120"/>
      <w:ind w:left="283"/>
    </w:pPr>
  </w:style>
  <w:style w:type="paragraph" w:styleId="Caption">
    <w:name w:val="caption"/>
    <w:basedOn w:val="Normal"/>
    <w:next w:val="Normal"/>
    <w:qFormat/>
    <w:rsid w:val="00E97C35"/>
    <w:pPr>
      <w:spacing w:after="120" w:line="240" w:lineRule="auto"/>
      <w:jc w:val="center"/>
    </w:pPr>
    <w:rPr>
      <w:b/>
      <w:bCs/>
    </w:rPr>
  </w:style>
  <w:style w:type="paragraph" w:styleId="Date">
    <w:name w:val="Date"/>
    <w:basedOn w:val="Normal"/>
    <w:next w:val="Normal"/>
    <w:rsid w:val="00E97C35"/>
    <w:rPr>
      <w:i/>
    </w:rPr>
  </w:style>
  <w:style w:type="paragraph" w:customStyle="1" w:styleId="DefinitionDescription">
    <w:name w:val="Definition Description"/>
    <w:basedOn w:val="Normal"/>
    <w:next w:val="Normal"/>
    <w:rsid w:val="00E97C35"/>
    <w:pPr>
      <w:ind w:left="1077"/>
    </w:pPr>
  </w:style>
  <w:style w:type="paragraph" w:customStyle="1" w:styleId="DefinitionTerm">
    <w:name w:val="Definition Term"/>
    <w:basedOn w:val="Normal"/>
    <w:next w:val="DefinitionDescription"/>
    <w:rsid w:val="00E97C35"/>
    <w:rPr>
      <w:b/>
    </w:rPr>
  </w:style>
  <w:style w:type="paragraph" w:styleId="DocumentMap">
    <w:name w:val="Document Map"/>
    <w:basedOn w:val="Normal"/>
    <w:semiHidden/>
    <w:rsid w:val="00E97C35"/>
    <w:pPr>
      <w:shd w:val="clear" w:color="auto" w:fill="000080"/>
    </w:pPr>
    <w:rPr>
      <w:rFonts w:ascii="Tahoma" w:hAnsi="Tahoma" w:cs="Tahoma"/>
      <w:sz w:val="20"/>
    </w:rPr>
  </w:style>
  <w:style w:type="character" w:styleId="Emphasis">
    <w:name w:val="Emphasis"/>
    <w:basedOn w:val="DefaultParagraphFont"/>
    <w:qFormat/>
    <w:rsid w:val="00E97C35"/>
    <w:rPr>
      <w:i/>
    </w:rPr>
  </w:style>
  <w:style w:type="character" w:styleId="FollowedHyperlink">
    <w:name w:val="FollowedHyperlink"/>
    <w:basedOn w:val="DefaultParagraphFont"/>
    <w:rsid w:val="00E97C35"/>
    <w:rPr>
      <w:color w:val="800080"/>
      <w:u w:val="single"/>
    </w:rPr>
  </w:style>
  <w:style w:type="paragraph" w:customStyle="1" w:styleId="GraphCaption">
    <w:name w:val="GraphCaption"/>
    <w:basedOn w:val="Normal"/>
    <w:rsid w:val="00E97C35"/>
    <w:pPr>
      <w:keepNext/>
      <w:spacing w:after="120" w:line="240" w:lineRule="auto"/>
      <w:jc w:val="center"/>
    </w:pPr>
    <w:rPr>
      <w:rFonts w:ascii="Arial Bold" w:hAnsi="Arial Bold"/>
      <w:b/>
    </w:rPr>
  </w:style>
  <w:style w:type="paragraph" w:styleId="ListBullet2">
    <w:name w:val="List Bullet 2"/>
    <w:basedOn w:val="Normal"/>
    <w:rsid w:val="00E97C35"/>
    <w:pPr>
      <w:numPr>
        <w:numId w:val="15"/>
      </w:numPr>
      <w:spacing w:before="60" w:after="60"/>
    </w:pPr>
  </w:style>
  <w:style w:type="paragraph" w:styleId="ListBullet3">
    <w:name w:val="List Bullet 3"/>
    <w:basedOn w:val="Normal"/>
    <w:rsid w:val="00E97C35"/>
    <w:pPr>
      <w:numPr>
        <w:numId w:val="16"/>
      </w:numPr>
      <w:spacing w:before="60" w:after="60"/>
    </w:pPr>
  </w:style>
  <w:style w:type="paragraph" w:styleId="ListContinue">
    <w:name w:val="List Continue"/>
    <w:basedOn w:val="Normal"/>
    <w:rsid w:val="00E97C35"/>
    <w:pPr>
      <w:spacing w:before="120" w:after="120"/>
      <w:ind w:left="357"/>
    </w:pPr>
  </w:style>
  <w:style w:type="paragraph" w:styleId="ListContinue2">
    <w:name w:val="List Continue 2"/>
    <w:basedOn w:val="Normal"/>
    <w:rsid w:val="00E97C35"/>
    <w:pPr>
      <w:spacing w:before="60" w:after="60"/>
      <w:ind w:left="641"/>
    </w:pPr>
  </w:style>
  <w:style w:type="paragraph" w:styleId="ListContinue3">
    <w:name w:val="List Continue 3"/>
    <w:basedOn w:val="Normal"/>
    <w:rsid w:val="00E97C35"/>
    <w:pPr>
      <w:spacing w:before="60" w:after="60"/>
      <w:ind w:left="924"/>
    </w:pPr>
  </w:style>
  <w:style w:type="paragraph" w:styleId="ListNumber2">
    <w:name w:val="List Number 2"/>
    <w:basedOn w:val="Normal"/>
    <w:rsid w:val="00E97C35"/>
    <w:pPr>
      <w:numPr>
        <w:numId w:val="17"/>
      </w:numPr>
      <w:tabs>
        <w:tab w:val="clear" w:pos="641"/>
        <w:tab w:val="num" w:pos="643"/>
      </w:tabs>
      <w:spacing w:before="60" w:after="60"/>
    </w:pPr>
  </w:style>
  <w:style w:type="paragraph" w:styleId="ListNumber3">
    <w:name w:val="List Number 3"/>
    <w:basedOn w:val="Normal"/>
    <w:link w:val="ListNumber3Char"/>
    <w:rsid w:val="00E97C35"/>
    <w:pPr>
      <w:numPr>
        <w:numId w:val="18"/>
      </w:numPr>
      <w:tabs>
        <w:tab w:val="clear" w:pos="926"/>
        <w:tab w:val="num" w:pos="360"/>
      </w:tabs>
      <w:spacing w:before="60" w:after="60"/>
      <w:ind w:left="357" w:hanging="357"/>
    </w:pPr>
  </w:style>
  <w:style w:type="paragraph" w:styleId="MacroText">
    <w:name w:val="macro"/>
    <w:semiHidden/>
    <w:rsid w:val="00E97C35"/>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paragraph" w:styleId="NormalIndent">
    <w:name w:val="Normal Indent"/>
    <w:basedOn w:val="Normal"/>
    <w:rsid w:val="00E97C35"/>
    <w:pPr>
      <w:ind w:left="720"/>
    </w:pPr>
  </w:style>
  <w:style w:type="paragraph" w:customStyle="1" w:styleId="Note">
    <w:name w:val="Note"/>
    <w:basedOn w:val="BodyText"/>
    <w:rsid w:val="00E97C35"/>
    <w:pPr>
      <w:pBdr>
        <w:top w:val="single" w:sz="12" w:space="1" w:color="808080"/>
        <w:bottom w:val="single" w:sz="12" w:space="1" w:color="808080"/>
      </w:pBdr>
    </w:pPr>
    <w:rPr>
      <w:rFonts w:ascii="Charlotte Sans" w:hAnsi="Charlotte Sans"/>
      <w:lang w:val="en-GB"/>
    </w:rPr>
  </w:style>
  <w:style w:type="character" w:customStyle="1" w:styleId="Quote1">
    <w:name w:val="Quote1"/>
    <w:basedOn w:val="DefaultParagraphFont"/>
    <w:rsid w:val="00E97C35"/>
    <w:rPr>
      <w:i/>
    </w:rPr>
  </w:style>
  <w:style w:type="paragraph" w:styleId="Subtitle">
    <w:name w:val="Subtitle"/>
    <w:basedOn w:val="Normal"/>
    <w:next w:val="Normal"/>
    <w:qFormat/>
    <w:rsid w:val="00E97C35"/>
    <w:pPr>
      <w:jc w:val="center"/>
      <w:outlineLvl w:val="1"/>
    </w:pPr>
    <w:rPr>
      <w:sz w:val="28"/>
    </w:rPr>
  </w:style>
  <w:style w:type="paragraph" w:customStyle="1" w:styleId="TableCell">
    <w:name w:val="Table Cell"/>
    <w:basedOn w:val="Normal"/>
    <w:rsid w:val="00E97C35"/>
    <w:pPr>
      <w:spacing w:after="0" w:line="240" w:lineRule="auto"/>
    </w:pPr>
  </w:style>
  <w:style w:type="paragraph" w:customStyle="1" w:styleId="TableHead">
    <w:name w:val="Table Head"/>
    <w:basedOn w:val="Normal"/>
    <w:next w:val="Normal"/>
    <w:rsid w:val="00E97C35"/>
    <w:pPr>
      <w:spacing w:after="0"/>
    </w:pPr>
    <w:rPr>
      <w:b/>
    </w:rPr>
  </w:style>
  <w:style w:type="paragraph" w:customStyle="1" w:styleId="TableNote">
    <w:name w:val="Table Note"/>
    <w:basedOn w:val="Normal"/>
    <w:next w:val="Normal"/>
    <w:rsid w:val="00E97C35"/>
    <w:pPr>
      <w:spacing w:before="120"/>
      <w:jc w:val="center"/>
    </w:pPr>
    <w:rPr>
      <w:sz w:val="20"/>
      <w:szCs w:val="20"/>
    </w:rPr>
  </w:style>
  <w:style w:type="paragraph" w:customStyle="1" w:styleId="TableRowHead">
    <w:name w:val="Table Row Head"/>
    <w:basedOn w:val="Normal"/>
    <w:rsid w:val="00E97C35"/>
    <w:pPr>
      <w:keepNext/>
      <w:spacing w:after="0" w:line="240" w:lineRule="auto"/>
    </w:pPr>
    <w:rPr>
      <w:rFonts w:ascii="Arial Bold" w:hAnsi="Arial Bold"/>
      <w:b/>
    </w:rPr>
  </w:style>
  <w:style w:type="paragraph" w:customStyle="1" w:styleId="TableSummary">
    <w:name w:val="Table Summary"/>
    <w:basedOn w:val="Normal"/>
    <w:next w:val="TableHead"/>
    <w:rsid w:val="00E97C35"/>
    <w:pPr>
      <w:ind w:left="567" w:right="567"/>
      <w:jc w:val="center"/>
    </w:pPr>
    <w:rPr>
      <w:i/>
    </w:rPr>
  </w:style>
  <w:style w:type="paragraph" w:customStyle="1" w:styleId="TableTitle">
    <w:name w:val="Table Title"/>
    <w:basedOn w:val="Normal"/>
    <w:next w:val="TableSummary"/>
    <w:rsid w:val="00E97C35"/>
    <w:pPr>
      <w:keepNext/>
      <w:spacing w:before="240"/>
      <w:jc w:val="center"/>
    </w:pPr>
    <w:rPr>
      <w:b/>
    </w:rPr>
  </w:style>
  <w:style w:type="paragraph" w:customStyle="1" w:styleId="TaggedText">
    <w:name w:val="Tagged Text"/>
    <w:basedOn w:val="Normal"/>
    <w:rsid w:val="00E97C35"/>
    <w:pPr>
      <w:suppressAutoHyphens/>
      <w:spacing w:after="0"/>
    </w:pPr>
    <w:rPr>
      <w:rFonts w:ascii="Courier New" w:hAnsi="Courier New"/>
      <w:color w:val="FF0000"/>
    </w:rPr>
  </w:style>
  <w:style w:type="paragraph" w:customStyle="1" w:styleId="TableHeadRight">
    <w:name w:val="Table Head Right"/>
    <w:basedOn w:val="TableHead"/>
    <w:rsid w:val="00E97C35"/>
    <w:pPr>
      <w:spacing w:line="240" w:lineRule="auto"/>
      <w:jc w:val="right"/>
    </w:pPr>
  </w:style>
  <w:style w:type="paragraph" w:customStyle="1" w:styleId="TableCellLeft">
    <w:name w:val="Table Cell Left"/>
    <w:basedOn w:val="TableCell"/>
    <w:rsid w:val="00E97C35"/>
  </w:style>
  <w:style w:type="character" w:customStyle="1" w:styleId="Abbreviation">
    <w:name w:val="Abbreviation"/>
    <w:basedOn w:val="DefaultParagraphFont"/>
    <w:rsid w:val="00E97C35"/>
    <w:rPr>
      <w:u w:val="dottedHeavy"/>
    </w:rPr>
  </w:style>
  <w:style w:type="character" w:customStyle="1" w:styleId="Acronym">
    <w:name w:val="Acronym"/>
    <w:basedOn w:val="DefaultParagraphFont"/>
    <w:rsid w:val="00E97C35"/>
    <w:rPr>
      <w:u w:val="dotted"/>
    </w:rPr>
  </w:style>
  <w:style w:type="character" w:customStyle="1" w:styleId="attribute-value">
    <w:name w:val="attribute-value"/>
    <w:basedOn w:val="DefaultParagraphFont"/>
    <w:rsid w:val="00E97C35"/>
  </w:style>
  <w:style w:type="paragraph" w:customStyle="1" w:styleId="BlockQuote">
    <w:name w:val="Block Quote"/>
    <w:basedOn w:val="CommentText"/>
    <w:rsid w:val="00E97C35"/>
    <w:pPr>
      <w:ind w:left="1134"/>
    </w:pPr>
    <w:rPr>
      <w:sz w:val="24"/>
    </w:rPr>
  </w:style>
  <w:style w:type="paragraph" w:customStyle="1" w:styleId="Byline">
    <w:name w:val="Byline"/>
    <w:basedOn w:val="Normal"/>
    <w:next w:val="Normal"/>
    <w:rsid w:val="00E97C35"/>
    <w:pPr>
      <w:spacing w:after="0"/>
    </w:pPr>
    <w:rPr>
      <w:rFonts w:ascii="Times New Roman" w:hAnsi="Times New Roman"/>
      <w:i/>
      <w:iCs/>
      <w:lang w:val="en-GB" w:eastAsia="en-GB"/>
    </w:rPr>
  </w:style>
  <w:style w:type="paragraph" w:customStyle="1" w:styleId="Char">
    <w:name w:val=" Char"/>
    <w:basedOn w:val="Normal"/>
    <w:rsid w:val="00C61F06"/>
    <w:pPr>
      <w:spacing w:after="160" w:line="240" w:lineRule="exact"/>
    </w:pPr>
    <w:rPr>
      <w:rFonts w:ascii="Verdana" w:hAnsi="Verdana"/>
      <w:sz w:val="20"/>
      <w:szCs w:val="20"/>
      <w:lang w:val="en-US"/>
    </w:rPr>
  </w:style>
  <w:style w:type="character" w:customStyle="1" w:styleId="Heading1Char">
    <w:name w:val="Heading 1 Char"/>
    <w:aliases w:val="Attribute Heading 1 Char"/>
    <w:basedOn w:val="DefaultParagraphFont"/>
    <w:link w:val="Heading1"/>
    <w:rsid w:val="007B3E5C"/>
    <w:rPr>
      <w:rFonts w:ascii="Arial" w:hAnsi="Arial" w:cs="Arial"/>
      <w:b/>
      <w:bCs/>
      <w:kern w:val="32"/>
      <w:sz w:val="32"/>
      <w:szCs w:val="32"/>
      <w:lang w:eastAsia="en-US"/>
    </w:rPr>
  </w:style>
  <w:style w:type="paragraph" w:styleId="List">
    <w:name w:val="List"/>
    <w:basedOn w:val="Normal"/>
    <w:rsid w:val="001450C3"/>
    <w:pPr>
      <w:ind w:left="283" w:hanging="283"/>
    </w:pPr>
  </w:style>
  <w:style w:type="paragraph" w:customStyle="1" w:styleId="FootNoteText0">
    <w:name w:val="Foot Note Text"/>
    <w:basedOn w:val="FootnoteText"/>
    <w:rsid w:val="00E85FA7"/>
    <w:rPr>
      <w:rFonts w:cs="Arial"/>
    </w:rPr>
  </w:style>
  <w:style w:type="paragraph" w:customStyle="1" w:styleId="FootnoteText1">
    <w:name w:val="Footnote Text#"/>
    <w:basedOn w:val="FootnoteText"/>
    <w:rsid w:val="00E85FA7"/>
    <w:rPr>
      <w:rFonts w:cs="Arial"/>
    </w:rPr>
  </w:style>
  <w:style w:type="paragraph" w:styleId="TOC1">
    <w:name w:val="toc 1"/>
    <w:basedOn w:val="Normal"/>
    <w:next w:val="Normal"/>
    <w:autoRedefine/>
    <w:semiHidden/>
    <w:rsid w:val="00287EEC"/>
    <w:pPr>
      <w:tabs>
        <w:tab w:val="right" w:leader="dot" w:pos="8505"/>
      </w:tabs>
      <w:ind w:right="43"/>
    </w:pPr>
  </w:style>
  <w:style w:type="paragraph" w:styleId="TOC3">
    <w:name w:val="toc 3"/>
    <w:basedOn w:val="Normal"/>
    <w:next w:val="Normal"/>
    <w:autoRedefine/>
    <w:semiHidden/>
    <w:rsid w:val="00287EEC"/>
    <w:pPr>
      <w:tabs>
        <w:tab w:val="right" w:leader="dot" w:pos="8505"/>
      </w:tabs>
    </w:pPr>
  </w:style>
  <w:style w:type="character" w:styleId="CommentReference">
    <w:name w:val="annotation reference"/>
    <w:basedOn w:val="DefaultParagraphFont"/>
    <w:semiHidden/>
    <w:rsid w:val="009B6E01"/>
    <w:rPr>
      <w:sz w:val="16"/>
      <w:szCs w:val="16"/>
    </w:rPr>
  </w:style>
  <w:style w:type="paragraph" w:styleId="CommentSubject">
    <w:name w:val="annotation subject"/>
    <w:basedOn w:val="CommentText"/>
    <w:next w:val="CommentText"/>
    <w:semiHidden/>
    <w:rsid w:val="009B6E01"/>
    <w:rPr>
      <w:b/>
      <w:bCs/>
      <w:szCs w:val="20"/>
    </w:rPr>
  </w:style>
  <w:style w:type="paragraph" w:customStyle="1" w:styleId="CharCharCharCharChar1CharCharCharCharCharCharCharCharCharCharCharCharCharCharCharCharCharChar">
    <w:name w:val=" Char Char Char Char Char1 Char Char Char Char Char Char Char Char Char Char Char Char Char Char Char Char Char Char"/>
    <w:basedOn w:val="Normal"/>
    <w:rsid w:val="001300EE"/>
    <w:pPr>
      <w:spacing w:after="160" w:line="240" w:lineRule="exact"/>
    </w:pPr>
    <w:rPr>
      <w:rFonts w:ascii="Verdana" w:hAnsi="Verdana"/>
      <w:sz w:val="20"/>
      <w:szCs w:val="20"/>
      <w:lang w:val="en-US"/>
    </w:rPr>
  </w:style>
  <w:style w:type="paragraph" w:styleId="NormalWeb">
    <w:name w:val="Normal (Web)"/>
    <w:basedOn w:val="Normal"/>
    <w:rsid w:val="00346E36"/>
    <w:pPr>
      <w:spacing w:before="100" w:beforeAutospacing="1" w:after="100" w:afterAutospacing="1" w:line="240" w:lineRule="auto"/>
    </w:pPr>
    <w:rPr>
      <w:rFonts w:ascii="Times New Roman" w:hAnsi="Times New Roman"/>
      <w:lang w:eastAsia="en-IE"/>
    </w:rPr>
  </w:style>
  <w:style w:type="paragraph" w:customStyle="1" w:styleId="CharChar">
    <w:name w:val=" Char Char"/>
    <w:basedOn w:val="Normal"/>
    <w:rsid w:val="00BE6D88"/>
    <w:pPr>
      <w:spacing w:after="160" w:line="240" w:lineRule="exact"/>
    </w:pPr>
    <w:rPr>
      <w:rFonts w:ascii="Verdana" w:hAnsi="Verdana"/>
      <w:sz w:val="20"/>
      <w:szCs w:val="20"/>
      <w:lang w:val="en-US"/>
    </w:rPr>
  </w:style>
  <w:style w:type="character" w:customStyle="1" w:styleId="searchword">
    <w:name w:val="searchword"/>
    <w:basedOn w:val="DefaultParagraphFont"/>
    <w:rsid w:val="00DE4A1C"/>
  </w:style>
  <w:style w:type="character" w:customStyle="1" w:styleId="Quote2">
    <w:name w:val="Quote2"/>
    <w:basedOn w:val="DefaultParagraphFont"/>
    <w:rsid w:val="00584E23"/>
    <w:rPr>
      <w:i/>
    </w:rPr>
  </w:style>
  <w:style w:type="character" w:customStyle="1" w:styleId="longtext">
    <w:name w:val="long_text"/>
    <w:basedOn w:val="DefaultParagraphFont"/>
    <w:rsid w:val="004E16E6"/>
  </w:style>
  <w:style w:type="character" w:customStyle="1" w:styleId="ListNumber3Char">
    <w:name w:val="List Number 3 Char"/>
    <w:basedOn w:val="DefaultParagraphFont"/>
    <w:link w:val="ListNumber3"/>
    <w:rsid w:val="00234105"/>
    <w:rPr>
      <w:rFonts w:ascii="Arial" w:hAnsi="Arial"/>
      <w:sz w:val="24"/>
      <w:szCs w:val="24"/>
      <w:lang w:eastAsia="en-US"/>
    </w:rPr>
  </w:style>
  <w:style w:type="character" w:customStyle="1" w:styleId="ListBulletChar">
    <w:name w:val="List Bullet Char"/>
    <w:basedOn w:val="DefaultParagraphFont"/>
    <w:link w:val="ListBullet"/>
    <w:rsid w:val="0023410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00921">
      <w:bodyDiv w:val="1"/>
      <w:marLeft w:val="0"/>
      <w:marRight w:val="0"/>
      <w:marTop w:val="0"/>
      <w:marBottom w:val="0"/>
      <w:divBdr>
        <w:top w:val="none" w:sz="0" w:space="0" w:color="auto"/>
        <w:left w:val="none" w:sz="0" w:space="0" w:color="auto"/>
        <w:bottom w:val="none" w:sz="0" w:space="0" w:color="auto"/>
        <w:right w:val="none" w:sz="0" w:space="0" w:color="auto"/>
      </w:divBdr>
      <w:divsChild>
        <w:div w:id="1915387428">
          <w:marLeft w:val="0"/>
          <w:marRight w:val="0"/>
          <w:marTop w:val="0"/>
          <w:marBottom w:val="0"/>
          <w:divBdr>
            <w:top w:val="none" w:sz="0" w:space="0" w:color="auto"/>
            <w:left w:val="none" w:sz="0" w:space="0" w:color="auto"/>
            <w:bottom w:val="none" w:sz="0" w:space="0" w:color="auto"/>
            <w:right w:val="none" w:sz="0" w:space="0" w:color="auto"/>
          </w:divBdr>
          <w:divsChild>
            <w:div w:id="1369835336">
              <w:marLeft w:val="0"/>
              <w:marRight w:val="0"/>
              <w:marTop w:val="0"/>
              <w:marBottom w:val="0"/>
              <w:divBdr>
                <w:top w:val="none" w:sz="0" w:space="0" w:color="auto"/>
                <w:left w:val="none" w:sz="0" w:space="0" w:color="auto"/>
                <w:bottom w:val="none" w:sz="0" w:space="0" w:color="auto"/>
                <w:right w:val="none" w:sz="0" w:space="0" w:color="auto"/>
              </w:divBdr>
              <w:divsChild>
                <w:div w:id="2108959852">
                  <w:marLeft w:val="0"/>
                  <w:marRight w:val="0"/>
                  <w:marTop w:val="0"/>
                  <w:marBottom w:val="0"/>
                  <w:divBdr>
                    <w:top w:val="none" w:sz="0" w:space="0" w:color="auto"/>
                    <w:left w:val="none" w:sz="0" w:space="0" w:color="auto"/>
                    <w:bottom w:val="none" w:sz="0" w:space="0" w:color="auto"/>
                    <w:right w:val="none" w:sz="0" w:space="0" w:color="auto"/>
                  </w:divBdr>
                  <w:divsChild>
                    <w:div w:id="1484807865">
                      <w:marLeft w:val="0"/>
                      <w:marRight w:val="0"/>
                      <w:marTop w:val="0"/>
                      <w:marBottom w:val="0"/>
                      <w:divBdr>
                        <w:top w:val="none" w:sz="0" w:space="0" w:color="auto"/>
                        <w:left w:val="none" w:sz="0" w:space="0" w:color="auto"/>
                        <w:bottom w:val="none" w:sz="0" w:space="0" w:color="auto"/>
                        <w:right w:val="none" w:sz="0" w:space="0" w:color="auto"/>
                      </w:divBdr>
                      <w:divsChild>
                        <w:div w:id="585072584">
                          <w:marLeft w:val="0"/>
                          <w:marRight w:val="0"/>
                          <w:marTop w:val="0"/>
                          <w:marBottom w:val="0"/>
                          <w:divBdr>
                            <w:top w:val="none" w:sz="0" w:space="0" w:color="auto"/>
                            <w:left w:val="none" w:sz="0" w:space="0" w:color="auto"/>
                            <w:bottom w:val="none" w:sz="0" w:space="0" w:color="auto"/>
                            <w:right w:val="none" w:sz="0" w:space="0" w:color="auto"/>
                          </w:divBdr>
                          <w:divsChild>
                            <w:div w:id="1759865297">
                              <w:marLeft w:val="0"/>
                              <w:marRight w:val="0"/>
                              <w:marTop w:val="0"/>
                              <w:marBottom w:val="0"/>
                              <w:divBdr>
                                <w:top w:val="none" w:sz="0" w:space="0" w:color="auto"/>
                                <w:left w:val="none" w:sz="0" w:space="0" w:color="auto"/>
                                <w:bottom w:val="none" w:sz="0" w:space="0" w:color="auto"/>
                                <w:right w:val="none" w:sz="0" w:space="0" w:color="auto"/>
                              </w:divBdr>
                              <w:divsChild>
                                <w:div w:id="993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p.nl"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0</TotalTime>
  <Pages>49</Pages>
  <Words>11589</Words>
  <Characters>66060</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Health and Social Policy – the Netherlands</vt:lpstr>
    </vt:vector>
  </TitlesOfParts>
  <Company>114 Castletown Estate</Company>
  <LinksUpToDate>false</LinksUpToDate>
  <CharactersWithSpaces>77495</CharactersWithSpaces>
  <SharedDoc>false</SharedDoc>
  <HLinks>
    <vt:vector size="204" baseType="variant">
      <vt:variant>
        <vt:i4>6881393</vt:i4>
      </vt:variant>
      <vt:variant>
        <vt:i4>207</vt:i4>
      </vt:variant>
      <vt:variant>
        <vt:i4>0</vt:i4>
      </vt:variant>
      <vt:variant>
        <vt:i4>5</vt:i4>
      </vt:variant>
      <vt:variant>
        <vt:lpwstr>http://www.scp.nl/</vt:lpwstr>
      </vt:variant>
      <vt:variant>
        <vt:lpwstr/>
      </vt:variant>
      <vt:variant>
        <vt:i4>1966130</vt:i4>
      </vt:variant>
      <vt:variant>
        <vt:i4>194</vt:i4>
      </vt:variant>
      <vt:variant>
        <vt:i4>0</vt:i4>
      </vt:variant>
      <vt:variant>
        <vt:i4>5</vt:i4>
      </vt:variant>
      <vt:variant>
        <vt:lpwstr/>
      </vt:variant>
      <vt:variant>
        <vt:lpwstr>_Toc286160002</vt:lpwstr>
      </vt:variant>
      <vt:variant>
        <vt:i4>1966130</vt:i4>
      </vt:variant>
      <vt:variant>
        <vt:i4>188</vt:i4>
      </vt:variant>
      <vt:variant>
        <vt:i4>0</vt:i4>
      </vt:variant>
      <vt:variant>
        <vt:i4>5</vt:i4>
      </vt:variant>
      <vt:variant>
        <vt:lpwstr/>
      </vt:variant>
      <vt:variant>
        <vt:lpwstr>_Toc286160001</vt:lpwstr>
      </vt:variant>
      <vt:variant>
        <vt:i4>1966130</vt:i4>
      </vt:variant>
      <vt:variant>
        <vt:i4>182</vt:i4>
      </vt:variant>
      <vt:variant>
        <vt:i4>0</vt:i4>
      </vt:variant>
      <vt:variant>
        <vt:i4>5</vt:i4>
      </vt:variant>
      <vt:variant>
        <vt:lpwstr/>
      </vt:variant>
      <vt:variant>
        <vt:lpwstr>_Toc286160000</vt:lpwstr>
      </vt:variant>
      <vt:variant>
        <vt:i4>1966136</vt:i4>
      </vt:variant>
      <vt:variant>
        <vt:i4>176</vt:i4>
      </vt:variant>
      <vt:variant>
        <vt:i4>0</vt:i4>
      </vt:variant>
      <vt:variant>
        <vt:i4>5</vt:i4>
      </vt:variant>
      <vt:variant>
        <vt:lpwstr/>
      </vt:variant>
      <vt:variant>
        <vt:lpwstr>_Toc286159999</vt:lpwstr>
      </vt:variant>
      <vt:variant>
        <vt:i4>1966136</vt:i4>
      </vt:variant>
      <vt:variant>
        <vt:i4>170</vt:i4>
      </vt:variant>
      <vt:variant>
        <vt:i4>0</vt:i4>
      </vt:variant>
      <vt:variant>
        <vt:i4>5</vt:i4>
      </vt:variant>
      <vt:variant>
        <vt:lpwstr/>
      </vt:variant>
      <vt:variant>
        <vt:lpwstr>_Toc286159998</vt:lpwstr>
      </vt:variant>
      <vt:variant>
        <vt:i4>1966136</vt:i4>
      </vt:variant>
      <vt:variant>
        <vt:i4>164</vt:i4>
      </vt:variant>
      <vt:variant>
        <vt:i4>0</vt:i4>
      </vt:variant>
      <vt:variant>
        <vt:i4>5</vt:i4>
      </vt:variant>
      <vt:variant>
        <vt:lpwstr/>
      </vt:variant>
      <vt:variant>
        <vt:lpwstr>_Toc286159997</vt:lpwstr>
      </vt:variant>
      <vt:variant>
        <vt:i4>1966136</vt:i4>
      </vt:variant>
      <vt:variant>
        <vt:i4>158</vt:i4>
      </vt:variant>
      <vt:variant>
        <vt:i4>0</vt:i4>
      </vt:variant>
      <vt:variant>
        <vt:i4>5</vt:i4>
      </vt:variant>
      <vt:variant>
        <vt:lpwstr/>
      </vt:variant>
      <vt:variant>
        <vt:lpwstr>_Toc286159996</vt:lpwstr>
      </vt:variant>
      <vt:variant>
        <vt:i4>1966136</vt:i4>
      </vt:variant>
      <vt:variant>
        <vt:i4>152</vt:i4>
      </vt:variant>
      <vt:variant>
        <vt:i4>0</vt:i4>
      </vt:variant>
      <vt:variant>
        <vt:i4>5</vt:i4>
      </vt:variant>
      <vt:variant>
        <vt:lpwstr/>
      </vt:variant>
      <vt:variant>
        <vt:lpwstr>_Toc286159995</vt:lpwstr>
      </vt:variant>
      <vt:variant>
        <vt:i4>1966136</vt:i4>
      </vt:variant>
      <vt:variant>
        <vt:i4>146</vt:i4>
      </vt:variant>
      <vt:variant>
        <vt:i4>0</vt:i4>
      </vt:variant>
      <vt:variant>
        <vt:i4>5</vt:i4>
      </vt:variant>
      <vt:variant>
        <vt:lpwstr/>
      </vt:variant>
      <vt:variant>
        <vt:lpwstr>_Toc286159994</vt:lpwstr>
      </vt:variant>
      <vt:variant>
        <vt:i4>1966136</vt:i4>
      </vt:variant>
      <vt:variant>
        <vt:i4>140</vt:i4>
      </vt:variant>
      <vt:variant>
        <vt:i4>0</vt:i4>
      </vt:variant>
      <vt:variant>
        <vt:i4>5</vt:i4>
      </vt:variant>
      <vt:variant>
        <vt:lpwstr/>
      </vt:variant>
      <vt:variant>
        <vt:lpwstr>_Toc286159993</vt:lpwstr>
      </vt:variant>
      <vt:variant>
        <vt:i4>1966136</vt:i4>
      </vt:variant>
      <vt:variant>
        <vt:i4>134</vt:i4>
      </vt:variant>
      <vt:variant>
        <vt:i4>0</vt:i4>
      </vt:variant>
      <vt:variant>
        <vt:i4>5</vt:i4>
      </vt:variant>
      <vt:variant>
        <vt:lpwstr/>
      </vt:variant>
      <vt:variant>
        <vt:lpwstr>_Toc286159992</vt:lpwstr>
      </vt:variant>
      <vt:variant>
        <vt:i4>1966136</vt:i4>
      </vt:variant>
      <vt:variant>
        <vt:i4>128</vt:i4>
      </vt:variant>
      <vt:variant>
        <vt:i4>0</vt:i4>
      </vt:variant>
      <vt:variant>
        <vt:i4>5</vt:i4>
      </vt:variant>
      <vt:variant>
        <vt:lpwstr/>
      </vt:variant>
      <vt:variant>
        <vt:lpwstr>_Toc286159991</vt:lpwstr>
      </vt:variant>
      <vt:variant>
        <vt:i4>1966136</vt:i4>
      </vt:variant>
      <vt:variant>
        <vt:i4>122</vt:i4>
      </vt:variant>
      <vt:variant>
        <vt:i4>0</vt:i4>
      </vt:variant>
      <vt:variant>
        <vt:i4>5</vt:i4>
      </vt:variant>
      <vt:variant>
        <vt:lpwstr/>
      </vt:variant>
      <vt:variant>
        <vt:lpwstr>_Toc286159990</vt:lpwstr>
      </vt:variant>
      <vt:variant>
        <vt:i4>2031672</vt:i4>
      </vt:variant>
      <vt:variant>
        <vt:i4>116</vt:i4>
      </vt:variant>
      <vt:variant>
        <vt:i4>0</vt:i4>
      </vt:variant>
      <vt:variant>
        <vt:i4>5</vt:i4>
      </vt:variant>
      <vt:variant>
        <vt:lpwstr/>
      </vt:variant>
      <vt:variant>
        <vt:lpwstr>_Toc286159989</vt:lpwstr>
      </vt:variant>
      <vt:variant>
        <vt:i4>2031672</vt:i4>
      </vt:variant>
      <vt:variant>
        <vt:i4>110</vt:i4>
      </vt:variant>
      <vt:variant>
        <vt:i4>0</vt:i4>
      </vt:variant>
      <vt:variant>
        <vt:i4>5</vt:i4>
      </vt:variant>
      <vt:variant>
        <vt:lpwstr/>
      </vt:variant>
      <vt:variant>
        <vt:lpwstr>_Toc286159988</vt:lpwstr>
      </vt:variant>
      <vt:variant>
        <vt:i4>2031672</vt:i4>
      </vt:variant>
      <vt:variant>
        <vt:i4>104</vt:i4>
      </vt:variant>
      <vt:variant>
        <vt:i4>0</vt:i4>
      </vt:variant>
      <vt:variant>
        <vt:i4>5</vt:i4>
      </vt:variant>
      <vt:variant>
        <vt:lpwstr/>
      </vt:variant>
      <vt:variant>
        <vt:lpwstr>_Toc286159987</vt:lpwstr>
      </vt:variant>
      <vt:variant>
        <vt:i4>2031672</vt:i4>
      </vt:variant>
      <vt:variant>
        <vt:i4>98</vt:i4>
      </vt:variant>
      <vt:variant>
        <vt:i4>0</vt:i4>
      </vt:variant>
      <vt:variant>
        <vt:i4>5</vt:i4>
      </vt:variant>
      <vt:variant>
        <vt:lpwstr/>
      </vt:variant>
      <vt:variant>
        <vt:lpwstr>_Toc286159986</vt:lpwstr>
      </vt:variant>
      <vt:variant>
        <vt:i4>2031672</vt:i4>
      </vt:variant>
      <vt:variant>
        <vt:i4>92</vt:i4>
      </vt:variant>
      <vt:variant>
        <vt:i4>0</vt:i4>
      </vt:variant>
      <vt:variant>
        <vt:i4>5</vt:i4>
      </vt:variant>
      <vt:variant>
        <vt:lpwstr/>
      </vt:variant>
      <vt:variant>
        <vt:lpwstr>_Toc286159985</vt:lpwstr>
      </vt:variant>
      <vt:variant>
        <vt:i4>2031672</vt:i4>
      </vt:variant>
      <vt:variant>
        <vt:i4>86</vt:i4>
      </vt:variant>
      <vt:variant>
        <vt:i4>0</vt:i4>
      </vt:variant>
      <vt:variant>
        <vt:i4>5</vt:i4>
      </vt:variant>
      <vt:variant>
        <vt:lpwstr/>
      </vt:variant>
      <vt:variant>
        <vt:lpwstr>_Toc286159984</vt:lpwstr>
      </vt:variant>
      <vt:variant>
        <vt:i4>2031672</vt:i4>
      </vt:variant>
      <vt:variant>
        <vt:i4>80</vt:i4>
      </vt:variant>
      <vt:variant>
        <vt:i4>0</vt:i4>
      </vt:variant>
      <vt:variant>
        <vt:i4>5</vt:i4>
      </vt:variant>
      <vt:variant>
        <vt:lpwstr/>
      </vt:variant>
      <vt:variant>
        <vt:lpwstr>_Toc286159983</vt:lpwstr>
      </vt:variant>
      <vt:variant>
        <vt:i4>2031672</vt:i4>
      </vt:variant>
      <vt:variant>
        <vt:i4>74</vt:i4>
      </vt:variant>
      <vt:variant>
        <vt:i4>0</vt:i4>
      </vt:variant>
      <vt:variant>
        <vt:i4>5</vt:i4>
      </vt:variant>
      <vt:variant>
        <vt:lpwstr/>
      </vt:variant>
      <vt:variant>
        <vt:lpwstr>_Toc286159982</vt:lpwstr>
      </vt:variant>
      <vt:variant>
        <vt:i4>2031672</vt:i4>
      </vt:variant>
      <vt:variant>
        <vt:i4>68</vt:i4>
      </vt:variant>
      <vt:variant>
        <vt:i4>0</vt:i4>
      </vt:variant>
      <vt:variant>
        <vt:i4>5</vt:i4>
      </vt:variant>
      <vt:variant>
        <vt:lpwstr/>
      </vt:variant>
      <vt:variant>
        <vt:lpwstr>_Toc286159981</vt:lpwstr>
      </vt:variant>
      <vt:variant>
        <vt:i4>2031672</vt:i4>
      </vt:variant>
      <vt:variant>
        <vt:i4>62</vt:i4>
      </vt:variant>
      <vt:variant>
        <vt:i4>0</vt:i4>
      </vt:variant>
      <vt:variant>
        <vt:i4>5</vt:i4>
      </vt:variant>
      <vt:variant>
        <vt:lpwstr/>
      </vt:variant>
      <vt:variant>
        <vt:lpwstr>_Toc286159980</vt:lpwstr>
      </vt:variant>
      <vt:variant>
        <vt:i4>1048632</vt:i4>
      </vt:variant>
      <vt:variant>
        <vt:i4>56</vt:i4>
      </vt:variant>
      <vt:variant>
        <vt:i4>0</vt:i4>
      </vt:variant>
      <vt:variant>
        <vt:i4>5</vt:i4>
      </vt:variant>
      <vt:variant>
        <vt:lpwstr/>
      </vt:variant>
      <vt:variant>
        <vt:lpwstr>_Toc286159979</vt:lpwstr>
      </vt:variant>
      <vt:variant>
        <vt:i4>1048632</vt:i4>
      </vt:variant>
      <vt:variant>
        <vt:i4>50</vt:i4>
      </vt:variant>
      <vt:variant>
        <vt:i4>0</vt:i4>
      </vt:variant>
      <vt:variant>
        <vt:i4>5</vt:i4>
      </vt:variant>
      <vt:variant>
        <vt:lpwstr/>
      </vt:variant>
      <vt:variant>
        <vt:lpwstr>_Toc286159978</vt:lpwstr>
      </vt:variant>
      <vt:variant>
        <vt:i4>1048632</vt:i4>
      </vt:variant>
      <vt:variant>
        <vt:i4>44</vt:i4>
      </vt:variant>
      <vt:variant>
        <vt:i4>0</vt:i4>
      </vt:variant>
      <vt:variant>
        <vt:i4>5</vt:i4>
      </vt:variant>
      <vt:variant>
        <vt:lpwstr/>
      </vt:variant>
      <vt:variant>
        <vt:lpwstr>_Toc286159977</vt:lpwstr>
      </vt:variant>
      <vt:variant>
        <vt:i4>1048632</vt:i4>
      </vt:variant>
      <vt:variant>
        <vt:i4>38</vt:i4>
      </vt:variant>
      <vt:variant>
        <vt:i4>0</vt:i4>
      </vt:variant>
      <vt:variant>
        <vt:i4>5</vt:i4>
      </vt:variant>
      <vt:variant>
        <vt:lpwstr/>
      </vt:variant>
      <vt:variant>
        <vt:lpwstr>_Toc286159976</vt:lpwstr>
      </vt:variant>
      <vt:variant>
        <vt:i4>1048632</vt:i4>
      </vt:variant>
      <vt:variant>
        <vt:i4>32</vt:i4>
      </vt:variant>
      <vt:variant>
        <vt:i4>0</vt:i4>
      </vt:variant>
      <vt:variant>
        <vt:i4>5</vt:i4>
      </vt:variant>
      <vt:variant>
        <vt:lpwstr/>
      </vt:variant>
      <vt:variant>
        <vt:lpwstr>_Toc286159975</vt:lpwstr>
      </vt:variant>
      <vt:variant>
        <vt:i4>1048632</vt:i4>
      </vt:variant>
      <vt:variant>
        <vt:i4>26</vt:i4>
      </vt:variant>
      <vt:variant>
        <vt:i4>0</vt:i4>
      </vt:variant>
      <vt:variant>
        <vt:i4>5</vt:i4>
      </vt:variant>
      <vt:variant>
        <vt:lpwstr/>
      </vt:variant>
      <vt:variant>
        <vt:lpwstr>_Toc286159974</vt:lpwstr>
      </vt:variant>
      <vt:variant>
        <vt:i4>1048632</vt:i4>
      </vt:variant>
      <vt:variant>
        <vt:i4>20</vt:i4>
      </vt:variant>
      <vt:variant>
        <vt:i4>0</vt:i4>
      </vt:variant>
      <vt:variant>
        <vt:i4>5</vt:i4>
      </vt:variant>
      <vt:variant>
        <vt:lpwstr/>
      </vt:variant>
      <vt:variant>
        <vt:lpwstr>_Toc286159973</vt:lpwstr>
      </vt:variant>
      <vt:variant>
        <vt:i4>1048632</vt:i4>
      </vt:variant>
      <vt:variant>
        <vt:i4>14</vt:i4>
      </vt:variant>
      <vt:variant>
        <vt:i4>0</vt:i4>
      </vt:variant>
      <vt:variant>
        <vt:i4>5</vt:i4>
      </vt:variant>
      <vt:variant>
        <vt:lpwstr/>
      </vt:variant>
      <vt:variant>
        <vt:lpwstr>_Toc286159972</vt:lpwstr>
      </vt:variant>
      <vt:variant>
        <vt:i4>1048632</vt:i4>
      </vt:variant>
      <vt:variant>
        <vt:i4>8</vt:i4>
      </vt:variant>
      <vt:variant>
        <vt:i4>0</vt:i4>
      </vt:variant>
      <vt:variant>
        <vt:i4>5</vt:i4>
      </vt:variant>
      <vt:variant>
        <vt:lpwstr/>
      </vt:variant>
      <vt:variant>
        <vt:lpwstr>_Toc286159971</vt:lpwstr>
      </vt:variant>
      <vt:variant>
        <vt:i4>1048632</vt:i4>
      </vt:variant>
      <vt:variant>
        <vt:i4>2</vt:i4>
      </vt:variant>
      <vt:variant>
        <vt:i4>0</vt:i4>
      </vt:variant>
      <vt:variant>
        <vt:i4>5</vt:i4>
      </vt:variant>
      <vt:variant>
        <vt:lpwstr/>
      </vt:variant>
      <vt:variant>
        <vt:lpwstr>_Toc286159970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Policy – the Netherlands</dc:title>
  <dc:subject/>
  <dc:creator>Niamh Fawl User</dc:creator>
  <cp:keywords/>
  <dc:description/>
  <cp:lastModifiedBy>Damhnait M. O' Malley</cp:lastModifiedBy>
  <cp:revision>2</cp:revision>
  <cp:lastPrinted>2011-03-25T10:26:00Z</cp:lastPrinted>
  <dcterms:created xsi:type="dcterms:W3CDTF">2022-06-15T10:14:00Z</dcterms:created>
  <dcterms:modified xsi:type="dcterms:W3CDTF">2022-06-15T10:14:00Z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y fmtid="{D5CDD505-2E9C-101B-9397-08002B2CF9AE}" pid="21" name="yawcHTMLTemplate">
    <vt:lpwstr>yawcfree.xhtm</vt:lpwstr>
  </property>
  <property fmtid="{D5CDD505-2E9C-101B-9397-08002B2CF9AE}" pid="22" name="ndaWorkgroupTemplatesFolder">
    <vt:lpwstr>S:\Common\Style Guide\Template</vt:lpwstr>
  </property>
</Properties>
</file>