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47362218"/>
    <w:bookmarkStart w:id="1" w:name="_Toc252529626"/>
    <w:bookmarkStart w:id="2" w:name="_Toc252539355"/>
    <w:bookmarkStart w:id="3" w:name="_Toc252541330"/>
    <w:bookmarkStart w:id="4" w:name="_Toc255293216"/>
    <w:bookmarkStart w:id="5" w:name="_Toc264972543"/>
    <w:bookmarkStart w:id="6" w:name="_Toc269910554"/>
    <w:p w14:paraId="0138FC8F" w14:textId="77777777" w:rsidR="00D80BFC" w:rsidRPr="008862FE" w:rsidRDefault="00DF6597" w:rsidP="00D80BFC">
      <w:pPr>
        <w:rPr>
          <w:rFonts w:cs="Arial"/>
        </w:rPr>
      </w:pPr>
      <w:r w:rsidRPr="00143C07">
        <w:rPr>
          <w:rFonts w:cs="Arial"/>
          <w:noProof/>
          <w:lang w:eastAsia="en-IE"/>
        </w:rPr>
        <mc:AlternateContent>
          <mc:Choice Requires="wps">
            <w:drawing>
              <wp:anchor distT="0" distB="0" distL="114300" distR="114300" simplePos="0" relativeHeight="251657216" behindDoc="1" locked="0" layoutInCell="1" allowOverlap="1" wp14:anchorId="72F9721D" wp14:editId="669BBC71">
                <wp:simplePos x="0" y="0"/>
                <wp:positionH relativeFrom="column">
                  <wp:posOffset>-1257300</wp:posOffset>
                </wp:positionH>
                <wp:positionV relativeFrom="paragraph">
                  <wp:posOffset>-228600</wp:posOffset>
                </wp:positionV>
                <wp:extent cx="7658100" cy="4457700"/>
                <wp:effectExtent l="0" t="0" r="0" b="0"/>
                <wp:wrapTight wrapText="bothSides">
                  <wp:wrapPolygon edited="0">
                    <wp:start x="-27" y="0"/>
                    <wp:lineTo x="-27" y="21511"/>
                    <wp:lineTo x="21600" y="21511"/>
                    <wp:lineTo x="21600" y="0"/>
                    <wp:lineTo x="-27" y="0"/>
                  </wp:wrapPolygon>
                </wp:wrapTight>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45770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84CFB" w14:textId="77777777" w:rsidR="007541A2" w:rsidRDefault="007541A2" w:rsidP="00D80BFC">
                            <w:pPr>
                              <w:pStyle w:val="Heading1"/>
                              <w:tabs>
                                <w:tab w:val="left" w:pos="720"/>
                                <w:tab w:val="right" w:pos="10800"/>
                                <w:tab w:val="right" w:pos="11340"/>
                              </w:tabs>
                              <w:ind w:left="540" w:right="960"/>
                              <w:rPr>
                                <w:bCs w:val="0"/>
                                <w:sz w:val="52"/>
                                <w:szCs w:val="52"/>
                              </w:rPr>
                            </w:pPr>
                          </w:p>
                          <w:p w14:paraId="453E1C9D" w14:textId="77777777" w:rsidR="007541A2" w:rsidRDefault="007541A2" w:rsidP="009B75F9">
                            <w:pPr>
                              <w:pStyle w:val="Title"/>
                              <w:ind w:left="720"/>
                              <w:jc w:val="left"/>
                              <w:rPr>
                                <w:rFonts w:ascii="Helv" w:hAnsi="Helv" w:cs="Helv"/>
                                <w:color w:val="FFFFFF"/>
                                <w:sz w:val="44"/>
                                <w:szCs w:val="44"/>
                                <w:lang w:eastAsia="en-IE"/>
                              </w:rPr>
                            </w:pPr>
                            <w:r w:rsidRPr="00D80BFC">
                              <w:rPr>
                                <w:kern w:val="0"/>
                                <w:lang w:val="en-GB"/>
                              </w:rPr>
                              <w:t>Health and Personal Social Services for People with Disabilities</w:t>
                            </w:r>
                            <w:r w:rsidR="009B75F9">
                              <w:rPr>
                                <w:kern w:val="0"/>
                                <w:lang w:val="en-GB"/>
                              </w:rPr>
                              <w:br/>
                              <w:t>in</w:t>
                            </w:r>
                            <w:r w:rsidRPr="00D80BFC">
                              <w:rPr>
                                <w:kern w:val="0"/>
                                <w:lang w:val="en-GB"/>
                              </w:rPr>
                              <w:t xml:space="preserve"> </w:t>
                            </w:r>
                            <w:r w:rsidR="009B75F9">
                              <w:rPr>
                                <w:kern w:val="0"/>
                                <w:lang w:val="en-GB"/>
                              </w:rPr>
                              <w:t>New Zealand</w:t>
                            </w:r>
                          </w:p>
                          <w:p w14:paraId="7ADC8E4B" w14:textId="77777777" w:rsidR="007541A2" w:rsidRPr="000F45BF" w:rsidRDefault="007541A2" w:rsidP="00F23F2B">
                            <w:pPr>
                              <w:pStyle w:val="Title"/>
                              <w:ind w:left="720"/>
                              <w:jc w:val="left"/>
                            </w:pPr>
                          </w:p>
                          <w:p w14:paraId="7A4BDC96" w14:textId="77777777" w:rsidR="007541A2" w:rsidRPr="00194A24" w:rsidRDefault="007541A2" w:rsidP="00F23F2B">
                            <w:pPr>
                              <w:pStyle w:val="Title"/>
                              <w:ind w:left="720"/>
                              <w:jc w:val="left"/>
                              <w:rPr>
                                <w:lang w:eastAsia="en-IE"/>
                              </w:rPr>
                            </w:pPr>
                            <w:r>
                              <w:rPr>
                                <w:lang w:eastAsia="en-IE"/>
                              </w:rPr>
                              <w:t>A Contemporary Developments in Disability Services Paper</w:t>
                            </w:r>
                          </w:p>
                          <w:p w14:paraId="4B5A64BF" w14:textId="77777777" w:rsidR="007541A2" w:rsidRPr="00194A24" w:rsidRDefault="007541A2" w:rsidP="00D80BFC">
                            <w:pPr>
                              <w:pStyle w:val="Heading1"/>
                              <w:ind w:left="0"/>
                              <w:jc w:val="center"/>
                              <w:rPr>
                                <w:color w:val="FFFFFF"/>
                              </w:rPr>
                            </w:pPr>
                          </w:p>
                          <w:p w14:paraId="65D7CFC5" w14:textId="77777777" w:rsidR="007541A2" w:rsidRPr="00194A24" w:rsidRDefault="007541A2" w:rsidP="00D80BFC">
                            <w:pPr>
                              <w:pStyle w:val="Heading1"/>
                              <w:ind w:left="0"/>
                              <w:rPr>
                                <w:color w:val="FFFFFF"/>
                              </w:rPr>
                            </w:pPr>
                            <w:r>
                              <w:rPr>
                                <w:color w:val="FFFFFF"/>
                              </w:rPr>
                              <w:tab/>
                            </w:r>
                            <w:r>
                              <w:rPr>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99pt;margin-top:-18pt;width:603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" fillcolor="fuchsia" stroked="f">
                <v:textbox>
                  <w:txbxContent>
                    <w:p w:rsidR="007541A2" w:rsidRDefault="007541A2" w:rsidP="00D80BFC">
                      <w:pPr>
                        <w:pStyle w:val="Heading1"/>
                        <w:tabs>
                          <w:tab w:val="left" w:pos="720"/>
                          <w:tab w:val="right" w:pos="10800"/>
                          <w:tab w:val="right" w:pos="11340"/>
                        </w:tabs>
                        <w:ind w:left="540" w:right="960"/>
                        <w:rPr>
                          <w:bCs w:val="0"/>
                          <w:sz w:val="52"/>
                          <w:szCs w:val="52"/>
                        </w:rPr>
                      </w:pPr>
                    </w:p>
                    <w:p w:rsidR="007541A2" w:rsidRDefault="007541A2" w:rsidP="009B75F9">
                      <w:pPr>
                        <w:pStyle w:val="Title"/>
                        <w:ind w:left="720"/>
                        <w:jc w:val="left"/>
                        <w:rPr>
                          <w:rFonts w:ascii="Helv" w:hAnsi="Helv" w:cs="Helv"/>
                          <w:color w:val="FFFFFF"/>
                          <w:sz w:val="44"/>
                          <w:szCs w:val="44"/>
                          <w:lang w:eastAsia="en-IE"/>
                        </w:rPr>
                      </w:pPr>
                      <w:r w:rsidRPr="00D80BFC">
                        <w:rPr>
                          <w:kern w:val="0"/>
                          <w:lang w:val="en-GB"/>
                        </w:rPr>
                        <w:t>Health and Personal Social Services for People with Disabilities</w:t>
                      </w:r>
                      <w:r w:rsidR="009B75F9">
                        <w:rPr>
                          <w:kern w:val="0"/>
                          <w:lang w:val="en-GB"/>
                        </w:rPr>
                        <w:br/>
                        <w:t>in</w:t>
                      </w:r>
                      <w:r w:rsidRPr="00D80BFC">
                        <w:rPr>
                          <w:kern w:val="0"/>
                          <w:lang w:val="en-GB"/>
                        </w:rPr>
                        <w:t xml:space="preserve"> </w:t>
                      </w:r>
                      <w:r w:rsidR="009B75F9">
                        <w:rPr>
                          <w:kern w:val="0"/>
                          <w:lang w:val="en-GB"/>
                        </w:rPr>
                        <w:t>New Zealand</w:t>
                      </w:r>
                    </w:p>
                    <w:p w:rsidR="007541A2" w:rsidRPr="000F45BF" w:rsidRDefault="007541A2" w:rsidP="00F23F2B">
                      <w:pPr>
                        <w:pStyle w:val="Title"/>
                        <w:ind w:left="720"/>
                        <w:jc w:val="left"/>
                      </w:pPr>
                    </w:p>
                    <w:p w:rsidR="007541A2" w:rsidRPr="00194A24" w:rsidRDefault="007541A2" w:rsidP="00F23F2B">
                      <w:pPr>
                        <w:pStyle w:val="Title"/>
                        <w:ind w:left="720"/>
                        <w:jc w:val="left"/>
                        <w:rPr>
                          <w:lang w:eastAsia="en-IE"/>
                        </w:rPr>
                      </w:pPr>
                      <w:r>
                        <w:rPr>
                          <w:lang w:eastAsia="en-IE"/>
                        </w:rPr>
                        <w:t>A Contemporary Developments in Disability Services Paper</w:t>
                      </w:r>
                    </w:p>
                    <w:p w:rsidR="007541A2" w:rsidRPr="00194A24" w:rsidRDefault="007541A2" w:rsidP="00D80BFC">
                      <w:pPr>
                        <w:pStyle w:val="Heading1"/>
                        <w:ind w:left="0"/>
                        <w:jc w:val="center"/>
                        <w:rPr>
                          <w:color w:val="FFFFFF"/>
                        </w:rPr>
                      </w:pPr>
                    </w:p>
                    <w:p w:rsidR="007541A2" w:rsidRPr="00194A24" w:rsidRDefault="007541A2" w:rsidP="00D80BFC">
                      <w:pPr>
                        <w:pStyle w:val="Heading1"/>
                        <w:ind w:left="0"/>
                        <w:rPr>
                          <w:color w:val="FFFFFF"/>
                        </w:rPr>
                      </w:pPr>
                      <w:r>
                        <w:rPr>
                          <w:color w:val="FFFFFF"/>
                        </w:rPr>
                        <w:tab/>
                      </w:r>
                      <w:r>
                        <w:rPr>
                          <w:color w:val="FFFFFF"/>
                        </w:rPr>
                        <w:tab/>
                      </w:r>
                    </w:p>
                  </w:txbxContent>
                </v:textbox>
                <w10:wrap type="tight"/>
              </v:shape>
            </w:pict>
          </mc:Fallback>
        </mc:AlternateContent>
      </w:r>
    </w:p>
    <w:p w14:paraId="023DADE1" w14:textId="0BBEAA87" w:rsidR="00557839" w:rsidRDefault="00D80BFC" w:rsidP="00F23F2B">
      <w:r w:rsidRPr="00557839">
        <w:t>This paper is one of a series of background papers describing how disability services are organised and delivered in selected jurisdictions, to help inform how</w:t>
      </w:r>
      <w:r>
        <w:rPr>
          <w:rFonts w:cs="Arial"/>
          <w:b/>
          <w:bCs/>
          <w:color w:val="000000"/>
          <w:sz w:val="23"/>
          <w:szCs w:val="23"/>
          <w:lang w:eastAsia="en-IE"/>
        </w:rPr>
        <w:t xml:space="preserve"> </w:t>
      </w:r>
      <w:r w:rsidRPr="00557839">
        <w:t xml:space="preserve">such services might be organised and delivered in </w:t>
      </w:r>
      <w:smartTag w:uri="urn:schemas-microsoft-com:office:smarttags" w:element="place">
        <w:smartTag w:uri="urn:schemas-microsoft-com:office:smarttags" w:element="country-region">
          <w:r w:rsidRPr="00557839">
            <w:t>Ireland</w:t>
          </w:r>
        </w:smartTag>
      </w:smartTag>
      <w:r w:rsidRPr="00557839">
        <w:t>.</w:t>
      </w:r>
    </w:p>
    <w:p w14:paraId="2CA0C174" w14:textId="7FE2823B" w:rsidR="007F6593" w:rsidRDefault="007F6593" w:rsidP="00F23F2B">
      <w:pPr>
        <w:rPr>
          <w:rFonts w:cs="Arial"/>
        </w:rPr>
      </w:pPr>
      <w:r>
        <w:t>January 2011</w:t>
      </w:r>
    </w:p>
    <w:p w14:paraId="3C44B74D" w14:textId="77777777" w:rsidR="00557839" w:rsidRDefault="00557839" w:rsidP="00D80BFC">
      <w:pPr>
        <w:ind w:left="-360"/>
        <w:rPr>
          <w:rFonts w:cs="Arial"/>
          <w:b/>
        </w:rPr>
      </w:pPr>
    </w:p>
    <w:p w14:paraId="14EF32A8" w14:textId="710D84BD" w:rsidR="00D80BFC" w:rsidRDefault="007F6593" w:rsidP="007F6593">
      <w:r w:rsidRPr="00143C07">
        <w:rPr>
          <w:noProof/>
          <w:lang w:eastAsia="en-IE"/>
        </w:rPr>
        <w:drawing>
          <wp:anchor distT="0" distB="0" distL="114300" distR="114300" simplePos="0" relativeHeight="251658240" behindDoc="1" locked="0" layoutInCell="1" allowOverlap="1" wp14:anchorId="7F992944" wp14:editId="754E0FA7">
            <wp:simplePos x="0" y="0"/>
            <wp:positionH relativeFrom="margin">
              <wp:posOffset>-121920</wp:posOffset>
            </wp:positionH>
            <wp:positionV relativeFrom="paragraph">
              <wp:posOffset>114300</wp:posOffset>
            </wp:positionV>
            <wp:extent cx="1303020" cy="1000125"/>
            <wp:effectExtent l="0" t="0" r="0" b="9525"/>
            <wp:wrapTight wrapText="bothSides">
              <wp:wrapPolygon edited="0">
                <wp:start x="0" y="0"/>
                <wp:lineTo x="0" y="21394"/>
                <wp:lineTo x="21158" y="21394"/>
                <wp:lineTo x="21158" y="0"/>
                <wp:lineTo x="0" y="0"/>
              </wp:wrapPolygon>
            </wp:wrapTight>
            <wp:docPr id="113" name="Picture 113" descr="n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d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BA661" w14:textId="76BAA888" w:rsidR="007F6593" w:rsidRDefault="007F6593" w:rsidP="007F6593">
      <w:pPr>
        <w:jc w:val="both"/>
      </w:pPr>
    </w:p>
    <w:p w14:paraId="71E06CAE" w14:textId="77777777" w:rsidR="007F6593" w:rsidRDefault="007F6593" w:rsidP="00F23F2B"/>
    <w:p w14:paraId="40BD2405" w14:textId="77777777" w:rsidR="007F6593" w:rsidRPr="00D80BFC" w:rsidRDefault="007F6593" w:rsidP="00F23F2B"/>
    <w:p w14:paraId="377717FF" w14:textId="77777777" w:rsidR="00557839" w:rsidRPr="00F23F2B" w:rsidRDefault="00D80BFC" w:rsidP="009B75F9">
      <w:pPr>
        <w:pStyle w:val="Title"/>
        <w:spacing w:line="320" w:lineRule="exact"/>
      </w:pPr>
      <w:r>
        <w:br w:type="page"/>
      </w:r>
      <w:bookmarkEnd w:id="0"/>
      <w:bookmarkEnd w:id="1"/>
      <w:bookmarkEnd w:id="2"/>
      <w:bookmarkEnd w:id="3"/>
      <w:bookmarkEnd w:id="4"/>
      <w:bookmarkEnd w:id="5"/>
      <w:bookmarkEnd w:id="6"/>
      <w:r w:rsidR="009B75F9" w:rsidRPr="00D80BFC">
        <w:rPr>
          <w:kern w:val="0"/>
          <w:lang w:val="en-GB"/>
        </w:rPr>
        <w:lastRenderedPageBreak/>
        <w:t>Health and Personal Social Services for People with Disabilities</w:t>
      </w:r>
      <w:r w:rsidR="009B75F9">
        <w:rPr>
          <w:kern w:val="0"/>
          <w:lang w:val="en-GB"/>
        </w:rPr>
        <w:t xml:space="preserve"> in</w:t>
      </w:r>
      <w:r w:rsidR="009B75F9" w:rsidRPr="00D80BFC">
        <w:rPr>
          <w:kern w:val="0"/>
          <w:lang w:val="en-GB"/>
        </w:rPr>
        <w:t xml:space="preserve"> </w:t>
      </w:r>
      <w:r w:rsidR="009B75F9">
        <w:rPr>
          <w:kern w:val="0"/>
          <w:lang w:val="en-GB"/>
        </w:rPr>
        <w:t>New Zealand</w:t>
      </w:r>
    </w:p>
    <w:p w14:paraId="6EE0579E" w14:textId="77777777" w:rsidR="00557839" w:rsidRDefault="00557839" w:rsidP="00557839">
      <w:pPr>
        <w:rPr>
          <w:lang w:val="en-GB"/>
        </w:rPr>
      </w:pPr>
    </w:p>
    <w:p w14:paraId="2F8E3B44" w14:textId="77777777" w:rsidR="00A01570" w:rsidRDefault="00A01570" w:rsidP="00557839">
      <w:pPr>
        <w:rPr>
          <w:lang w:val="en-GB"/>
        </w:rPr>
      </w:pPr>
    </w:p>
    <w:p w14:paraId="7E8464B5" w14:textId="77777777" w:rsidR="00A01570" w:rsidRDefault="00A01570" w:rsidP="00557839">
      <w:pPr>
        <w:rPr>
          <w:lang w:val="en-GB"/>
        </w:rPr>
      </w:pPr>
    </w:p>
    <w:p w14:paraId="38187F1F" w14:textId="77777777" w:rsidR="00A01570" w:rsidRDefault="00A01570" w:rsidP="00557839">
      <w:pPr>
        <w:rPr>
          <w:lang w:val="en-GB"/>
        </w:rPr>
      </w:pPr>
    </w:p>
    <w:p w14:paraId="1ED19C69" w14:textId="77777777" w:rsidR="00A01570" w:rsidRDefault="00A01570" w:rsidP="00557839">
      <w:pPr>
        <w:rPr>
          <w:lang w:val="en-GB"/>
        </w:rPr>
      </w:pPr>
    </w:p>
    <w:p w14:paraId="6A6A1AF2" w14:textId="77777777" w:rsidR="00A01570" w:rsidRDefault="00A01570" w:rsidP="00557839">
      <w:pPr>
        <w:rPr>
          <w:lang w:val="en-GB"/>
        </w:rPr>
      </w:pPr>
    </w:p>
    <w:p w14:paraId="0398959A" w14:textId="77777777" w:rsidR="00A01570" w:rsidRDefault="00A01570" w:rsidP="00557839">
      <w:pPr>
        <w:rPr>
          <w:lang w:val="en-GB"/>
        </w:rPr>
      </w:pPr>
    </w:p>
    <w:p w14:paraId="0FAFE6B3" w14:textId="77777777" w:rsidR="00A01570" w:rsidRDefault="00A01570" w:rsidP="00557839">
      <w:pPr>
        <w:rPr>
          <w:lang w:val="en-GB"/>
        </w:rPr>
      </w:pPr>
    </w:p>
    <w:p w14:paraId="6A322BE1" w14:textId="77777777" w:rsidR="00A01570" w:rsidRDefault="00A01570" w:rsidP="00557839">
      <w:pPr>
        <w:rPr>
          <w:lang w:val="en-GB"/>
        </w:rPr>
      </w:pPr>
    </w:p>
    <w:p w14:paraId="21CA4230" w14:textId="77777777" w:rsidR="00A01570" w:rsidRDefault="00A01570" w:rsidP="00557839">
      <w:pPr>
        <w:rPr>
          <w:lang w:val="en-GB"/>
        </w:rPr>
      </w:pPr>
    </w:p>
    <w:p w14:paraId="6759F10B" w14:textId="77777777" w:rsidR="00A01570" w:rsidRDefault="00A01570" w:rsidP="00557839">
      <w:pPr>
        <w:rPr>
          <w:lang w:val="en-GB"/>
        </w:rPr>
      </w:pPr>
    </w:p>
    <w:p w14:paraId="00812963" w14:textId="77777777" w:rsidR="00A01570" w:rsidRDefault="00A01570" w:rsidP="00557839">
      <w:pPr>
        <w:rPr>
          <w:lang w:val="en-GB"/>
        </w:rPr>
      </w:pPr>
    </w:p>
    <w:p w14:paraId="761D6E23" w14:textId="77777777" w:rsidR="00A01570" w:rsidRDefault="00A01570" w:rsidP="00557839">
      <w:pPr>
        <w:rPr>
          <w:lang w:val="en-GB"/>
        </w:rPr>
      </w:pPr>
    </w:p>
    <w:p w14:paraId="6217373D" w14:textId="77777777" w:rsidR="00A01570" w:rsidRDefault="00A01570" w:rsidP="00557839">
      <w:pPr>
        <w:rPr>
          <w:lang w:val="en-GB"/>
        </w:rPr>
      </w:pPr>
    </w:p>
    <w:p w14:paraId="2FAF1493" w14:textId="77777777" w:rsidR="00A01570" w:rsidRDefault="00A01570" w:rsidP="00557839">
      <w:pPr>
        <w:rPr>
          <w:lang w:val="en-GB"/>
        </w:rPr>
      </w:pPr>
    </w:p>
    <w:p w14:paraId="6AB51714" w14:textId="77777777" w:rsidR="00A01570" w:rsidRDefault="00A01570" w:rsidP="00557839">
      <w:pPr>
        <w:rPr>
          <w:lang w:val="en-GB"/>
        </w:rPr>
      </w:pPr>
    </w:p>
    <w:p w14:paraId="404345A3" w14:textId="77777777" w:rsidR="00A01570" w:rsidRDefault="00A01570" w:rsidP="00557839">
      <w:pPr>
        <w:rPr>
          <w:lang w:val="en-GB"/>
        </w:rPr>
      </w:pPr>
    </w:p>
    <w:p w14:paraId="6FD36337" w14:textId="77777777" w:rsidR="00A01570" w:rsidRDefault="00A01570" w:rsidP="00557839">
      <w:pPr>
        <w:rPr>
          <w:lang w:val="en-GB"/>
        </w:rPr>
      </w:pPr>
    </w:p>
    <w:p w14:paraId="1B922F7E" w14:textId="77777777" w:rsidR="00A01570" w:rsidRDefault="00A01570" w:rsidP="00557839">
      <w:pPr>
        <w:rPr>
          <w:lang w:val="en-GB"/>
        </w:rPr>
      </w:pPr>
    </w:p>
    <w:p w14:paraId="5234A7A6" w14:textId="77777777" w:rsidR="00A01570" w:rsidRDefault="00A01570" w:rsidP="00557839">
      <w:pPr>
        <w:rPr>
          <w:lang w:val="en-GB"/>
        </w:rPr>
      </w:pPr>
    </w:p>
    <w:p w14:paraId="491071F5" w14:textId="77777777" w:rsidR="00204676" w:rsidRDefault="008F65EC" w:rsidP="00557839">
      <w:pPr>
        <w:rPr>
          <w:lang w:val="en-GB"/>
        </w:rPr>
      </w:pPr>
      <w:r>
        <w:rPr>
          <w:lang w:val="en-GB"/>
        </w:rPr>
        <w:t xml:space="preserve">January </w:t>
      </w:r>
      <w:r w:rsidR="009825C3" w:rsidRPr="009825C3">
        <w:rPr>
          <w:lang w:val="en-GB"/>
        </w:rPr>
        <w:t>201</w:t>
      </w:r>
      <w:r>
        <w:rPr>
          <w:lang w:val="en-GB"/>
        </w:rPr>
        <w:t>1</w:t>
      </w:r>
    </w:p>
    <w:p w14:paraId="16F09800" w14:textId="77777777" w:rsidR="006C1F42" w:rsidRDefault="00204676" w:rsidP="005D5DFA">
      <w:pPr>
        <w:pStyle w:val="Heading1"/>
        <w:spacing w:after="300"/>
        <w:rPr>
          <w:noProof/>
          <w:lang w:eastAsia="en-IE"/>
        </w:rPr>
      </w:pPr>
      <w:r>
        <w:rPr>
          <w:color w:val="333333"/>
          <w:lang w:val="en-GB"/>
        </w:rPr>
        <w:br w:type="page"/>
      </w:r>
      <w:bookmarkStart w:id="7" w:name="_Toc252541331"/>
      <w:bookmarkStart w:id="8" w:name="_Toc255293217"/>
      <w:bookmarkStart w:id="9" w:name="_Toc264972544"/>
      <w:bookmarkStart w:id="10" w:name="_Toc269910555"/>
      <w:bookmarkStart w:id="11" w:name="_Toc290886605"/>
      <w:r w:rsidR="002C6BDF">
        <w:rPr>
          <w:noProof/>
          <w:lang w:eastAsia="en-IE"/>
        </w:rPr>
        <w:lastRenderedPageBreak/>
        <w:t>Table of Contents</w:t>
      </w:r>
      <w:bookmarkEnd w:id="7"/>
      <w:bookmarkEnd w:id="8"/>
      <w:bookmarkEnd w:id="9"/>
      <w:bookmarkEnd w:id="10"/>
      <w:bookmarkEnd w:id="11"/>
      <w:r w:rsidR="002C6BDF">
        <w:rPr>
          <w:noProof/>
          <w:lang w:eastAsia="en-IE"/>
        </w:rPr>
        <w:t xml:space="preserve"> </w:t>
      </w:r>
    </w:p>
    <w:p w14:paraId="2704033B" w14:textId="77777777" w:rsidR="005D5DFA" w:rsidRPr="005D5DFA" w:rsidRDefault="008C7752" w:rsidP="005D5DFA">
      <w:pPr>
        <w:pStyle w:val="TOC1"/>
        <w:tabs>
          <w:tab w:val="right" w:leader="dot" w:pos="8296"/>
        </w:tabs>
        <w:rPr>
          <w:rFonts w:ascii="Times New Roman" w:hAnsi="Times New Roman"/>
          <w:noProof/>
          <w:lang w:val="en-GB" w:eastAsia="en-GB"/>
        </w:rPr>
      </w:pPr>
      <w:r w:rsidRPr="005D5DFA">
        <w:rPr>
          <w:rFonts w:cs="Arial"/>
          <w:b/>
        </w:rPr>
        <w:fldChar w:fldCharType="begin"/>
      </w:r>
      <w:r w:rsidRPr="005D5DFA">
        <w:rPr>
          <w:rFonts w:cs="Arial"/>
          <w:b/>
        </w:rPr>
        <w:instrText xml:space="preserve"> TOC \o "1-3" \h \z \u </w:instrText>
      </w:r>
      <w:r w:rsidRPr="005D5DFA">
        <w:rPr>
          <w:rFonts w:cs="Arial"/>
          <w:b/>
        </w:rPr>
        <w:fldChar w:fldCharType="separate"/>
      </w:r>
      <w:hyperlink w:anchor="_Toc290886607" w:history="1">
        <w:r w:rsidR="005D5DFA" w:rsidRPr="005D5DFA">
          <w:rPr>
            <w:rStyle w:val="Hyperlink"/>
            <w:noProof/>
          </w:rPr>
          <w:t>1. Introduction</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_Toc290886607 \h </w:instrText>
        </w:r>
        <w:r w:rsidR="005D5DFA" w:rsidRPr="005D5DFA">
          <w:rPr>
            <w:noProof/>
            <w:webHidden/>
          </w:rPr>
        </w:r>
        <w:r w:rsidR="005D5DFA" w:rsidRPr="005D5DFA">
          <w:rPr>
            <w:noProof/>
            <w:webHidden/>
          </w:rPr>
          <w:fldChar w:fldCharType="separate"/>
        </w:r>
        <w:r w:rsidR="005D5DFA">
          <w:rPr>
            <w:noProof/>
            <w:webHidden/>
          </w:rPr>
          <w:t>6</w:t>
        </w:r>
        <w:r w:rsidR="005D5DFA" w:rsidRPr="005D5DFA">
          <w:rPr>
            <w:noProof/>
            <w:webHidden/>
          </w:rPr>
          <w:fldChar w:fldCharType="end"/>
        </w:r>
      </w:hyperlink>
    </w:p>
    <w:p w14:paraId="5FFCAFFF" w14:textId="77777777" w:rsidR="005D5DFA" w:rsidRPr="005D5DFA" w:rsidRDefault="00000000" w:rsidP="005D5DFA">
      <w:pPr>
        <w:pStyle w:val="TOC1"/>
        <w:tabs>
          <w:tab w:val="right" w:leader="dot" w:pos="8296"/>
        </w:tabs>
        <w:rPr>
          <w:rFonts w:ascii="Times New Roman" w:hAnsi="Times New Roman"/>
          <w:noProof/>
          <w:lang w:val="en-GB" w:eastAsia="en-GB"/>
        </w:rPr>
      </w:pPr>
      <w:hyperlink w:anchor="_Toc290886608" w:history="1">
        <w:r w:rsidR="005D5DFA" w:rsidRPr="005D5DFA">
          <w:rPr>
            <w:rStyle w:val="Hyperlink"/>
            <w:noProof/>
          </w:rPr>
          <w:t>2. Population</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_Toc290886608 \h </w:instrText>
        </w:r>
        <w:r w:rsidR="005D5DFA" w:rsidRPr="005D5DFA">
          <w:rPr>
            <w:noProof/>
            <w:webHidden/>
          </w:rPr>
        </w:r>
        <w:r w:rsidR="005D5DFA" w:rsidRPr="005D5DFA">
          <w:rPr>
            <w:noProof/>
            <w:webHidden/>
          </w:rPr>
          <w:fldChar w:fldCharType="separate"/>
        </w:r>
        <w:r w:rsidR="005D5DFA">
          <w:rPr>
            <w:noProof/>
            <w:webHidden/>
          </w:rPr>
          <w:t>8</w:t>
        </w:r>
        <w:r w:rsidR="005D5DFA" w:rsidRPr="005D5DFA">
          <w:rPr>
            <w:noProof/>
            <w:webHidden/>
          </w:rPr>
          <w:fldChar w:fldCharType="end"/>
        </w:r>
      </w:hyperlink>
    </w:p>
    <w:p w14:paraId="7BF8A100"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09" w:history="1">
        <w:r w:rsidR="005D5DFA" w:rsidRPr="005D5DFA">
          <w:rPr>
            <w:rStyle w:val="Hyperlink"/>
            <w:noProof/>
          </w:rPr>
          <w:t>2.1 Population with a disability</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_Toc290886609 \h </w:instrText>
        </w:r>
        <w:r w:rsidR="005D5DFA" w:rsidRPr="005D5DFA">
          <w:rPr>
            <w:noProof/>
            <w:webHidden/>
          </w:rPr>
        </w:r>
        <w:r w:rsidR="005D5DFA" w:rsidRPr="005D5DFA">
          <w:rPr>
            <w:noProof/>
            <w:webHidden/>
          </w:rPr>
          <w:fldChar w:fldCharType="separate"/>
        </w:r>
        <w:r w:rsidR="005D5DFA">
          <w:rPr>
            <w:noProof/>
            <w:webHidden/>
          </w:rPr>
          <w:t>8</w:t>
        </w:r>
        <w:r w:rsidR="005D5DFA" w:rsidRPr="005D5DFA">
          <w:rPr>
            <w:noProof/>
            <w:webHidden/>
          </w:rPr>
          <w:fldChar w:fldCharType="end"/>
        </w:r>
      </w:hyperlink>
    </w:p>
    <w:p w14:paraId="0C457543"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10" w:history="1">
        <w:r w:rsidR="005D5DFA" w:rsidRPr="005D5DFA">
          <w:rPr>
            <w:rStyle w:val="Hyperlink"/>
            <w:noProof/>
          </w:rPr>
          <w:t>2.2 Disability service providers per person</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_Toc290886610 \h </w:instrText>
        </w:r>
        <w:r w:rsidR="005D5DFA" w:rsidRPr="005D5DFA">
          <w:rPr>
            <w:noProof/>
            <w:webHidden/>
          </w:rPr>
        </w:r>
        <w:r w:rsidR="005D5DFA" w:rsidRPr="005D5DFA">
          <w:rPr>
            <w:noProof/>
            <w:webHidden/>
          </w:rPr>
          <w:fldChar w:fldCharType="separate"/>
        </w:r>
        <w:r w:rsidR="005D5DFA">
          <w:rPr>
            <w:noProof/>
            <w:webHidden/>
          </w:rPr>
          <w:t>10</w:t>
        </w:r>
        <w:r w:rsidR="005D5DFA" w:rsidRPr="005D5DFA">
          <w:rPr>
            <w:noProof/>
            <w:webHidden/>
          </w:rPr>
          <w:fldChar w:fldCharType="end"/>
        </w:r>
      </w:hyperlink>
    </w:p>
    <w:p w14:paraId="5FB05358" w14:textId="77777777" w:rsidR="005D5DFA" w:rsidRPr="005D5DFA" w:rsidRDefault="00000000" w:rsidP="005D5DFA">
      <w:pPr>
        <w:pStyle w:val="TOC1"/>
        <w:tabs>
          <w:tab w:val="right" w:leader="dot" w:pos="8296"/>
        </w:tabs>
        <w:rPr>
          <w:rFonts w:ascii="Times New Roman" w:hAnsi="Times New Roman"/>
          <w:noProof/>
          <w:lang w:val="en-GB" w:eastAsia="en-GB"/>
        </w:rPr>
      </w:pPr>
      <w:hyperlink w:anchor="_Toc290886611" w:history="1">
        <w:r w:rsidR="005D5DFA" w:rsidRPr="005D5DFA">
          <w:rPr>
            <w:rStyle w:val="Hyperlink"/>
            <w:noProof/>
          </w:rPr>
          <w:t>3. Description of Formal System for the Delivery of Health and Personal Social Services for People with Disabilities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_Toc290886611 \h </w:instrText>
        </w:r>
        <w:r w:rsidR="005D5DFA" w:rsidRPr="005D5DFA">
          <w:rPr>
            <w:noProof/>
            <w:webHidden/>
          </w:rPr>
        </w:r>
        <w:r w:rsidR="005D5DFA" w:rsidRPr="005D5DFA">
          <w:rPr>
            <w:noProof/>
            <w:webHidden/>
          </w:rPr>
          <w:fldChar w:fldCharType="separate"/>
        </w:r>
        <w:r w:rsidR="005D5DFA">
          <w:rPr>
            <w:noProof/>
            <w:webHidden/>
          </w:rPr>
          <w:t>11</w:t>
        </w:r>
        <w:r w:rsidR="005D5DFA" w:rsidRPr="005D5DFA">
          <w:rPr>
            <w:noProof/>
            <w:webHidden/>
          </w:rPr>
          <w:fldChar w:fldCharType="end"/>
        </w:r>
      </w:hyperlink>
    </w:p>
    <w:p w14:paraId="0A7A462A"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12" w:history="1">
        <w:r w:rsidR="005D5DFA" w:rsidRPr="005D5DFA">
          <w:rPr>
            <w:rStyle w:val="Hyperlink"/>
            <w:noProof/>
          </w:rPr>
          <w:t>3.1 Responsibilities for particular groups of disabled people</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_Toc290886612 \h </w:instrText>
        </w:r>
        <w:r w:rsidR="005D5DFA" w:rsidRPr="005D5DFA">
          <w:rPr>
            <w:noProof/>
            <w:webHidden/>
          </w:rPr>
        </w:r>
        <w:r w:rsidR="005D5DFA" w:rsidRPr="005D5DFA">
          <w:rPr>
            <w:noProof/>
            <w:webHidden/>
          </w:rPr>
          <w:fldChar w:fldCharType="separate"/>
        </w:r>
        <w:r w:rsidR="005D5DFA">
          <w:rPr>
            <w:noProof/>
            <w:webHidden/>
          </w:rPr>
          <w:t>11</w:t>
        </w:r>
        <w:r w:rsidR="005D5DFA" w:rsidRPr="005D5DFA">
          <w:rPr>
            <w:noProof/>
            <w:webHidden/>
          </w:rPr>
          <w:fldChar w:fldCharType="end"/>
        </w:r>
      </w:hyperlink>
    </w:p>
    <w:p w14:paraId="0FE28204"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13" w:history="1">
        <w:r w:rsidR="005D5DFA" w:rsidRPr="005D5DFA">
          <w:rPr>
            <w:rStyle w:val="Hyperlink"/>
            <w:noProof/>
          </w:rPr>
          <w:t>3.2 Responsibilities for supporting particular aspects of people's lives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_Toc290886613 \h </w:instrText>
        </w:r>
        <w:r w:rsidR="005D5DFA" w:rsidRPr="005D5DFA">
          <w:rPr>
            <w:noProof/>
            <w:webHidden/>
          </w:rPr>
        </w:r>
        <w:r w:rsidR="005D5DFA" w:rsidRPr="005D5DFA">
          <w:rPr>
            <w:noProof/>
            <w:webHidden/>
          </w:rPr>
          <w:fldChar w:fldCharType="separate"/>
        </w:r>
        <w:r w:rsidR="005D5DFA">
          <w:rPr>
            <w:noProof/>
            <w:webHidden/>
          </w:rPr>
          <w:t>11</w:t>
        </w:r>
        <w:r w:rsidR="005D5DFA" w:rsidRPr="005D5DFA">
          <w:rPr>
            <w:noProof/>
            <w:webHidden/>
          </w:rPr>
          <w:fldChar w:fldCharType="end"/>
        </w:r>
      </w:hyperlink>
    </w:p>
    <w:p w14:paraId="7FA2953D"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14" w:history="1">
        <w:r w:rsidR="005D5DFA" w:rsidRPr="005D5DFA">
          <w:rPr>
            <w:rStyle w:val="Hyperlink"/>
            <w:noProof/>
          </w:rPr>
          <w:t>3.3 Ministry of Health (MoH), Disability Supports Services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_Toc290886614 \h </w:instrText>
        </w:r>
        <w:r w:rsidR="005D5DFA" w:rsidRPr="005D5DFA">
          <w:rPr>
            <w:noProof/>
            <w:webHidden/>
          </w:rPr>
        </w:r>
        <w:r w:rsidR="005D5DFA" w:rsidRPr="005D5DFA">
          <w:rPr>
            <w:noProof/>
            <w:webHidden/>
          </w:rPr>
          <w:fldChar w:fldCharType="separate"/>
        </w:r>
        <w:r w:rsidR="005D5DFA">
          <w:rPr>
            <w:noProof/>
            <w:webHidden/>
          </w:rPr>
          <w:t>11</w:t>
        </w:r>
        <w:r w:rsidR="005D5DFA" w:rsidRPr="005D5DFA">
          <w:rPr>
            <w:noProof/>
            <w:webHidden/>
          </w:rPr>
          <w:fldChar w:fldCharType="end"/>
        </w:r>
      </w:hyperlink>
    </w:p>
    <w:p w14:paraId="1B44316F"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15" w:history="1">
        <w:r w:rsidR="005D5DFA" w:rsidRPr="005D5DFA">
          <w:rPr>
            <w:rStyle w:val="Hyperlink"/>
            <w:noProof/>
          </w:rPr>
          <w:t>3.4 Is there a cross-Governmental strategy on disability in New Zealand?</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_Toc290886615 \h </w:instrText>
        </w:r>
        <w:r w:rsidR="005D5DFA" w:rsidRPr="005D5DFA">
          <w:rPr>
            <w:noProof/>
            <w:webHidden/>
          </w:rPr>
        </w:r>
        <w:r w:rsidR="005D5DFA" w:rsidRPr="005D5DFA">
          <w:rPr>
            <w:noProof/>
            <w:webHidden/>
          </w:rPr>
          <w:fldChar w:fldCharType="separate"/>
        </w:r>
        <w:r w:rsidR="005D5DFA">
          <w:rPr>
            <w:noProof/>
            <w:webHidden/>
          </w:rPr>
          <w:t>14</w:t>
        </w:r>
        <w:r w:rsidR="005D5DFA" w:rsidRPr="005D5DFA">
          <w:rPr>
            <w:noProof/>
            <w:webHidden/>
          </w:rPr>
          <w:fldChar w:fldCharType="end"/>
        </w:r>
      </w:hyperlink>
    </w:p>
    <w:p w14:paraId="222934EF"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16" w:history="1">
        <w:r w:rsidR="005D5DFA" w:rsidRPr="005D5DFA">
          <w:rPr>
            <w:rStyle w:val="Hyperlink"/>
            <w:noProof/>
          </w:rPr>
          <w:t>3.5 Is there an explicit policy on independence and community living in New Zealand?</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_Toc290886616 \h </w:instrText>
        </w:r>
        <w:r w:rsidR="005D5DFA" w:rsidRPr="005D5DFA">
          <w:rPr>
            <w:noProof/>
            <w:webHidden/>
          </w:rPr>
        </w:r>
        <w:r w:rsidR="005D5DFA" w:rsidRPr="005D5DFA">
          <w:rPr>
            <w:noProof/>
            <w:webHidden/>
          </w:rPr>
          <w:fldChar w:fldCharType="separate"/>
        </w:r>
        <w:r w:rsidR="005D5DFA">
          <w:rPr>
            <w:noProof/>
            <w:webHidden/>
          </w:rPr>
          <w:t>14</w:t>
        </w:r>
        <w:r w:rsidR="005D5DFA" w:rsidRPr="005D5DFA">
          <w:rPr>
            <w:noProof/>
            <w:webHidden/>
          </w:rPr>
          <w:fldChar w:fldCharType="end"/>
        </w:r>
      </w:hyperlink>
    </w:p>
    <w:p w14:paraId="21E084DA" w14:textId="77777777" w:rsidR="005D5DFA" w:rsidRPr="005D5DFA" w:rsidRDefault="00000000" w:rsidP="005D5DFA">
      <w:pPr>
        <w:pStyle w:val="TOC1"/>
        <w:tabs>
          <w:tab w:val="right" w:leader="dot" w:pos="8296"/>
        </w:tabs>
        <w:rPr>
          <w:rFonts w:ascii="Times New Roman" w:hAnsi="Times New Roman"/>
          <w:noProof/>
          <w:lang w:val="en-GB" w:eastAsia="en-GB"/>
        </w:rPr>
      </w:pPr>
      <w:hyperlink w:anchor="_Toc290886617" w:history="1">
        <w:r w:rsidR="005D5DFA" w:rsidRPr="005D5DFA">
          <w:rPr>
            <w:rStyle w:val="Hyperlink"/>
            <w:noProof/>
          </w:rPr>
          <w:t>4. Focus on Selected Services for People with Disabilities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_Toc290886617 \h </w:instrText>
        </w:r>
        <w:r w:rsidR="005D5DFA" w:rsidRPr="005D5DFA">
          <w:rPr>
            <w:noProof/>
            <w:webHidden/>
          </w:rPr>
        </w:r>
        <w:r w:rsidR="005D5DFA" w:rsidRPr="005D5DFA">
          <w:rPr>
            <w:noProof/>
            <w:webHidden/>
          </w:rPr>
          <w:fldChar w:fldCharType="separate"/>
        </w:r>
        <w:r w:rsidR="005D5DFA">
          <w:rPr>
            <w:noProof/>
            <w:webHidden/>
          </w:rPr>
          <w:t>16</w:t>
        </w:r>
        <w:r w:rsidR="005D5DFA" w:rsidRPr="005D5DFA">
          <w:rPr>
            <w:noProof/>
            <w:webHidden/>
          </w:rPr>
          <w:fldChar w:fldCharType="end"/>
        </w:r>
      </w:hyperlink>
    </w:p>
    <w:p w14:paraId="3D55525F"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18" w:history="1">
        <w:r w:rsidR="005D5DFA" w:rsidRPr="005D5DFA">
          <w:rPr>
            <w:rStyle w:val="Hyperlink"/>
            <w:noProof/>
          </w:rPr>
          <w:t>4.1 Residential services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_Toc290886618 \h </w:instrText>
        </w:r>
        <w:r w:rsidR="005D5DFA" w:rsidRPr="005D5DFA">
          <w:rPr>
            <w:noProof/>
            <w:webHidden/>
          </w:rPr>
        </w:r>
        <w:r w:rsidR="005D5DFA" w:rsidRPr="005D5DFA">
          <w:rPr>
            <w:noProof/>
            <w:webHidden/>
          </w:rPr>
          <w:fldChar w:fldCharType="separate"/>
        </w:r>
        <w:r w:rsidR="005D5DFA">
          <w:rPr>
            <w:noProof/>
            <w:webHidden/>
          </w:rPr>
          <w:t>16</w:t>
        </w:r>
        <w:r w:rsidR="005D5DFA" w:rsidRPr="005D5DFA">
          <w:rPr>
            <w:noProof/>
            <w:webHidden/>
          </w:rPr>
          <w:fldChar w:fldCharType="end"/>
        </w:r>
      </w:hyperlink>
    </w:p>
    <w:p w14:paraId="0D45E2AD"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19" w:history="1">
        <w:r w:rsidR="005D5DFA" w:rsidRPr="005D5DFA">
          <w:rPr>
            <w:rStyle w:val="Hyperlink"/>
            <w:noProof/>
          </w:rPr>
          <w:t>4.2 Medical and allied health services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_Toc290886619 \h </w:instrText>
        </w:r>
        <w:r w:rsidR="005D5DFA" w:rsidRPr="005D5DFA">
          <w:rPr>
            <w:noProof/>
            <w:webHidden/>
          </w:rPr>
        </w:r>
        <w:r w:rsidR="005D5DFA" w:rsidRPr="005D5DFA">
          <w:rPr>
            <w:noProof/>
            <w:webHidden/>
          </w:rPr>
          <w:fldChar w:fldCharType="separate"/>
        </w:r>
        <w:r w:rsidR="005D5DFA">
          <w:rPr>
            <w:noProof/>
            <w:webHidden/>
          </w:rPr>
          <w:t>18</w:t>
        </w:r>
        <w:r w:rsidR="005D5DFA" w:rsidRPr="005D5DFA">
          <w:rPr>
            <w:noProof/>
            <w:webHidden/>
          </w:rPr>
          <w:fldChar w:fldCharType="end"/>
        </w:r>
      </w:hyperlink>
    </w:p>
    <w:p w14:paraId="4D15CA5C"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20" w:history="1">
        <w:r w:rsidR="005D5DFA" w:rsidRPr="005D5DFA">
          <w:rPr>
            <w:rStyle w:val="Hyperlink"/>
            <w:noProof/>
          </w:rPr>
          <w:t>4.3 Housing</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_Toc290886620 \h </w:instrText>
        </w:r>
        <w:r w:rsidR="005D5DFA" w:rsidRPr="005D5DFA">
          <w:rPr>
            <w:noProof/>
            <w:webHidden/>
          </w:rPr>
        </w:r>
        <w:r w:rsidR="005D5DFA" w:rsidRPr="005D5DFA">
          <w:rPr>
            <w:noProof/>
            <w:webHidden/>
          </w:rPr>
          <w:fldChar w:fldCharType="separate"/>
        </w:r>
        <w:r w:rsidR="005D5DFA">
          <w:rPr>
            <w:noProof/>
            <w:webHidden/>
          </w:rPr>
          <w:t>19</w:t>
        </w:r>
        <w:r w:rsidR="005D5DFA" w:rsidRPr="005D5DFA">
          <w:rPr>
            <w:noProof/>
            <w:webHidden/>
          </w:rPr>
          <w:fldChar w:fldCharType="end"/>
        </w:r>
      </w:hyperlink>
    </w:p>
    <w:p w14:paraId="5800F826"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21" w:history="1">
        <w:r w:rsidR="005D5DFA" w:rsidRPr="005D5DFA">
          <w:rPr>
            <w:rStyle w:val="Hyperlink"/>
            <w:noProof/>
          </w:rPr>
          <w:t>4.4 Assessment and resource allocation</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_Toc290886621 \h </w:instrText>
        </w:r>
        <w:r w:rsidR="005D5DFA" w:rsidRPr="005D5DFA">
          <w:rPr>
            <w:noProof/>
            <w:webHidden/>
          </w:rPr>
        </w:r>
        <w:r w:rsidR="005D5DFA" w:rsidRPr="005D5DFA">
          <w:rPr>
            <w:noProof/>
            <w:webHidden/>
          </w:rPr>
          <w:fldChar w:fldCharType="separate"/>
        </w:r>
        <w:r w:rsidR="005D5DFA">
          <w:rPr>
            <w:noProof/>
            <w:webHidden/>
          </w:rPr>
          <w:t>19</w:t>
        </w:r>
        <w:r w:rsidR="005D5DFA" w:rsidRPr="005D5DFA">
          <w:rPr>
            <w:noProof/>
            <w:webHidden/>
          </w:rPr>
          <w:fldChar w:fldCharType="end"/>
        </w:r>
      </w:hyperlink>
    </w:p>
    <w:p w14:paraId="383CA3A5"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22" w:history="1">
        <w:r w:rsidR="005D5DFA" w:rsidRPr="005D5DFA">
          <w:rPr>
            <w:rStyle w:val="Hyperlink"/>
            <w:noProof/>
          </w:rPr>
          <w:t>4.5 Care Support for people with disabilities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_Toc290886622 \h </w:instrText>
        </w:r>
        <w:r w:rsidR="005D5DFA" w:rsidRPr="005D5DFA">
          <w:rPr>
            <w:noProof/>
            <w:webHidden/>
          </w:rPr>
        </w:r>
        <w:r w:rsidR="005D5DFA" w:rsidRPr="005D5DFA">
          <w:rPr>
            <w:noProof/>
            <w:webHidden/>
          </w:rPr>
          <w:fldChar w:fldCharType="separate"/>
        </w:r>
        <w:r w:rsidR="005D5DFA">
          <w:rPr>
            <w:noProof/>
            <w:webHidden/>
          </w:rPr>
          <w:t>20</w:t>
        </w:r>
        <w:r w:rsidR="005D5DFA" w:rsidRPr="005D5DFA">
          <w:rPr>
            <w:noProof/>
            <w:webHidden/>
          </w:rPr>
          <w:fldChar w:fldCharType="end"/>
        </w:r>
      </w:hyperlink>
    </w:p>
    <w:p w14:paraId="095EC29E"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23" w:history="1">
        <w:r w:rsidR="005D5DFA" w:rsidRPr="005D5DFA">
          <w:rPr>
            <w:rStyle w:val="Hyperlink"/>
            <w:noProof/>
          </w:rPr>
          <w:t>4.6 Respite and Carer Supports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_Toc290886623 \h </w:instrText>
        </w:r>
        <w:r w:rsidR="005D5DFA" w:rsidRPr="005D5DFA">
          <w:rPr>
            <w:noProof/>
            <w:webHidden/>
          </w:rPr>
        </w:r>
        <w:r w:rsidR="005D5DFA" w:rsidRPr="005D5DFA">
          <w:rPr>
            <w:noProof/>
            <w:webHidden/>
          </w:rPr>
          <w:fldChar w:fldCharType="separate"/>
        </w:r>
        <w:r w:rsidR="005D5DFA">
          <w:rPr>
            <w:noProof/>
            <w:webHidden/>
          </w:rPr>
          <w:t>21</w:t>
        </w:r>
        <w:r w:rsidR="005D5DFA" w:rsidRPr="005D5DFA">
          <w:rPr>
            <w:noProof/>
            <w:webHidden/>
          </w:rPr>
          <w:fldChar w:fldCharType="end"/>
        </w:r>
      </w:hyperlink>
    </w:p>
    <w:p w14:paraId="135CDA6D"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24" w:history="1">
        <w:r w:rsidR="005D5DFA" w:rsidRPr="005D5DFA">
          <w:rPr>
            <w:rStyle w:val="Hyperlink"/>
            <w:noProof/>
          </w:rPr>
          <w:t>4.7 Care supports in education for children with disabilities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_Toc290886624 \h </w:instrText>
        </w:r>
        <w:r w:rsidR="005D5DFA" w:rsidRPr="005D5DFA">
          <w:rPr>
            <w:noProof/>
            <w:webHidden/>
          </w:rPr>
        </w:r>
        <w:r w:rsidR="005D5DFA" w:rsidRPr="005D5DFA">
          <w:rPr>
            <w:noProof/>
            <w:webHidden/>
          </w:rPr>
          <w:fldChar w:fldCharType="separate"/>
        </w:r>
        <w:r w:rsidR="005D5DFA">
          <w:rPr>
            <w:noProof/>
            <w:webHidden/>
          </w:rPr>
          <w:t>23</w:t>
        </w:r>
        <w:r w:rsidR="005D5DFA" w:rsidRPr="005D5DFA">
          <w:rPr>
            <w:noProof/>
            <w:webHidden/>
          </w:rPr>
          <w:fldChar w:fldCharType="end"/>
        </w:r>
      </w:hyperlink>
    </w:p>
    <w:p w14:paraId="6C3455D2"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25" w:history="1">
        <w:r w:rsidR="005D5DFA" w:rsidRPr="005D5DFA">
          <w:rPr>
            <w:rStyle w:val="Hyperlink"/>
            <w:noProof/>
          </w:rPr>
          <w:t>4.8 Pre-school for children with disabilities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_Toc290886625 \h </w:instrText>
        </w:r>
        <w:r w:rsidR="005D5DFA" w:rsidRPr="005D5DFA">
          <w:rPr>
            <w:noProof/>
            <w:webHidden/>
          </w:rPr>
        </w:r>
        <w:r w:rsidR="005D5DFA" w:rsidRPr="005D5DFA">
          <w:rPr>
            <w:noProof/>
            <w:webHidden/>
          </w:rPr>
          <w:fldChar w:fldCharType="separate"/>
        </w:r>
        <w:r w:rsidR="005D5DFA">
          <w:rPr>
            <w:noProof/>
            <w:webHidden/>
          </w:rPr>
          <w:t>24</w:t>
        </w:r>
        <w:r w:rsidR="005D5DFA" w:rsidRPr="005D5DFA">
          <w:rPr>
            <w:noProof/>
            <w:webHidden/>
          </w:rPr>
          <w:fldChar w:fldCharType="end"/>
        </w:r>
      </w:hyperlink>
    </w:p>
    <w:p w14:paraId="2ECD4B68"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26" w:history="1">
        <w:r w:rsidR="005D5DFA" w:rsidRPr="005D5DFA">
          <w:rPr>
            <w:rStyle w:val="Hyperlink"/>
            <w:noProof/>
          </w:rPr>
          <w:t>4.9 Elder care supports for people with disabilities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_Toc290886626 \h </w:instrText>
        </w:r>
        <w:r w:rsidR="005D5DFA" w:rsidRPr="005D5DFA">
          <w:rPr>
            <w:noProof/>
            <w:webHidden/>
          </w:rPr>
        </w:r>
        <w:r w:rsidR="005D5DFA" w:rsidRPr="005D5DFA">
          <w:rPr>
            <w:noProof/>
            <w:webHidden/>
          </w:rPr>
          <w:fldChar w:fldCharType="separate"/>
        </w:r>
        <w:r w:rsidR="005D5DFA">
          <w:rPr>
            <w:noProof/>
            <w:webHidden/>
          </w:rPr>
          <w:t>25</w:t>
        </w:r>
        <w:r w:rsidR="005D5DFA" w:rsidRPr="005D5DFA">
          <w:rPr>
            <w:noProof/>
            <w:webHidden/>
          </w:rPr>
          <w:fldChar w:fldCharType="end"/>
        </w:r>
      </w:hyperlink>
    </w:p>
    <w:p w14:paraId="14D2A0D6"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27" w:history="1">
        <w:r w:rsidR="005D5DFA" w:rsidRPr="005D5DFA">
          <w:rPr>
            <w:rStyle w:val="Hyperlink"/>
            <w:noProof/>
          </w:rPr>
          <w:t>4.10 Transport to Disability Services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_Toc290886627 \h </w:instrText>
        </w:r>
        <w:r w:rsidR="005D5DFA" w:rsidRPr="005D5DFA">
          <w:rPr>
            <w:noProof/>
            <w:webHidden/>
          </w:rPr>
        </w:r>
        <w:r w:rsidR="005D5DFA" w:rsidRPr="005D5DFA">
          <w:rPr>
            <w:noProof/>
            <w:webHidden/>
          </w:rPr>
          <w:fldChar w:fldCharType="separate"/>
        </w:r>
        <w:r w:rsidR="005D5DFA">
          <w:rPr>
            <w:noProof/>
            <w:webHidden/>
          </w:rPr>
          <w:t>25</w:t>
        </w:r>
        <w:r w:rsidR="005D5DFA" w:rsidRPr="005D5DFA">
          <w:rPr>
            <w:noProof/>
            <w:webHidden/>
          </w:rPr>
          <w:fldChar w:fldCharType="end"/>
        </w:r>
      </w:hyperlink>
    </w:p>
    <w:p w14:paraId="6F70F33A"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28" w:history="1">
        <w:r w:rsidR="005D5DFA" w:rsidRPr="005D5DFA">
          <w:rPr>
            <w:rStyle w:val="Hyperlink"/>
            <w:noProof/>
          </w:rPr>
          <w:t>4.11 Day &amp; Employment services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_Toc290886628 \h </w:instrText>
        </w:r>
        <w:r w:rsidR="005D5DFA" w:rsidRPr="005D5DFA">
          <w:rPr>
            <w:noProof/>
            <w:webHidden/>
          </w:rPr>
        </w:r>
        <w:r w:rsidR="005D5DFA" w:rsidRPr="005D5DFA">
          <w:rPr>
            <w:noProof/>
            <w:webHidden/>
          </w:rPr>
          <w:fldChar w:fldCharType="separate"/>
        </w:r>
        <w:r w:rsidR="005D5DFA">
          <w:rPr>
            <w:noProof/>
            <w:webHidden/>
          </w:rPr>
          <w:t>25</w:t>
        </w:r>
        <w:r w:rsidR="005D5DFA" w:rsidRPr="005D5DFA">
          <w:rPr>
            <w:noProof/>
            <w:webHidden/>
          </w:rPr>
          <w:fldChar w:fldCharType="end"/>
        </w:r>
      </w:hyperlink>
    </w:p>
    <w:p w14:paraId="5B2FEED5"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29" w:history="1">
        <w:r w:rsidR="005D5DFA" w:rsidRPr="005D5DFA">
          <w:rPr>
            <w:rStyle w:val="Hyperlink"/>
            <w:noProof/>
          </w:rPr>
          <w:t>4.12 Direct payments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_Toc290886629 \h </w:instrText>
        </w:r>
        <w:r w:rsidR="005D5DFA" w:rsidRPr="005D5DFA">
          <w:rPr>
            <w:noProof/>
            <w:webHidden/>
          </w:rPr>
        </w:r>
        <w:r w:rsidR="005D5DFA" w:rsidRPr="005D5DFA">
          <w:rPr>
            <w:noProof/>
            <w:webHidden/>
          </w:rPr>
          <w:fldChar w:fldCharType="separate"/>
        </w:r>
        <w:r w:rsidR="005D5DFA">
          <w:rPr>
            <w:noProof/>
            <w:webHidden/>
          </w:rPr>
          <w:t>27</w:t>
        </w:r>
        <w:r w:rsidR="005D5DFA" w:rsidRPr="005D5DFA">
          <w:rPr>
            <w:noProof/>
            <w:webHidden/>
          </w:rPr>
          <w:fldChar w:fldCharType="end"/>
        </w:r>
      </w:hyperlink>
    </w:p>
    <w:p w14:paraId="58EA3778"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30" w:history="1">
        <w:r w:rsidR="005D5DFA" w:rsidRPr="005D5DFA">
          <w:rPr>
            <w:rStyle w:val="Hyperlink"/>
            <w:noProof/>
          </w:rPr>
          <w:t>4.13 Supports to independent living</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_Toc290886630 \h </w:instrText>
        </w:r>
        <w:r w:rsidR="005D5DFA" w:rsidRPr="005D5DFA">
          <w:rPr>
            <w:noProof/>
            <w:webHidden/>
          </w:rPr>
        </w:r>
        <w:r w:rsidR="005D5DFA" w:rsidRPr="005D5DFA">
          <w:rPr>
            <w:noProof/>
            <w:webHidden/>
          </w:rPr>
          <w:fldChar w:fldCharType="separate"/>
        </w:r>
        <w:r w:rsidR="005D5DFA">
          <w:rPr>
            <w:noProof/>
            <w:webHidden/>
          </w:rPr>
          <w:t>28</w:t>
        </w:r>
        <w:r w:rsidR="005D5DFA" w:rsidRPr="005D5DFA">
          <w:rPr>
            <w:noProof/>
            <w:webHidden/>
          </w:rPr>
          <w:fldChar w:fldCharType="end"/>
        </w:r>
      </w:hyperlink>
    </w:p>
    <w:p w14:paraId="2C5EEB7C" w14:textId="77777777" w:rsidR="005D5DFA" w:rsidRPr="005D5DFA" w:rsidRDefault="00000000" w:rsidP="005D5DFA">
      <w:pPr>
        <w:pStyle w:val="TOC1"/>
        <w:tabs>
          <w:tab w:val="right" w:leader="dot" w:pos="8296"/>
        </w:tabs>
        <w:rPr>
          <w:rFonts w:ascii="Times New Roman" w:hAnsi="Times New Roman"/>
          <w:noProof/>
          <w:lang w:val="en-GB" w:eastAsia="en-GB"/>
        </w:rPr>
      </w:pPr>
      <w:hyperlink w:anchor="_Toc290886631" w:history="1">
        <w:r w:rsidR="005D5DFA" w:rsidRPr="005D5DFA">
          <w:rPr>
            <w:rStyle w:val="Hyperlink"/>
            <w:noProof/>
          </w:rPr>
          <w:t>5. Entitlement and Unmet Demand</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_Toc290886631 \h </w:instrText>
        </w:r>
        <w:r w:rsidR="005D5DFA" w:rsidRPr="005D5DFA">
          <w:rPr>
            <w:noProof/>
            <w:webHidden/>
          </w:rPr>
        </w:r>
        <w:r w:rsidR="005D5DFA" w:rsidRPr="005D5DFA">
          <w:rPr>
            <w:noProof/>
            <w:webHidden/>
          </w:rPr>
          <w:fldChar w:fldCharType="separate"/>
        </w:r>
        <w:r w:rsidR="005D5DFA">
          <w:rPr>
            <w:noProof/>
            <w:webHidden/>
          </w:rPr>
          <w:t>30</w:t>
        </w:r>
        <w:r w:rsidR="005D5DFA" w:rsidRPr="005D5DFA">
          <w:rPr>
            <w:noProof/>
            <w:webHidden/>
          </w:rPr>
          <w:fldChar w:fldCharType="end"/>
        </w:r>
      </w:hyperlink>
    </w:p>
    <w:p w14:paraId="507CB54F"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32" w:history="1">
        <w:r w:rsidR="005D5DFA" w:rsidRPr="005D5DFA">
          <w:rPr>
            <w:rStyle w:val="Hyperlink"/>
            <w:noProof/>
          </w:rPr>
          <w:t>5.1 Entitlement</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_Toc290886632 \h </w:instrText>
        </w:r>
        <w:r w:rsidR="005D5DFA" w:rsidRPr="005D5DFA">
          <w:rPr>
            <w:noProof/>
            <w:webHidden/>
          </w:rPr>
        </w:r>
        <w:r w:rsidR="005D5DFA" w:rsidRPr="005D5DFA">
          <w:rPr>
            <w:noProof/>
            <w:webHidden/>
          </w:rPr>
          <w:fldChar w:fldCharType="separate"/>
        </w:r>
        <w:r w:rsidR="005D5DFA">
          <w:rPr>
            <w:noProof/>
            <w:webHidden/>
          </w:rPr>
          <w:t>30</w:t>
        </w:r>
        <w:r w:rsidR="005D5DFA" w:rsidRPr="005D5DFA">
          <w:rPr>
            <w:noProof/>
            <w:webHidden/>
          </w:rPr>
          <w:fldChar w:fldCharType="end"/>
        </w:r>
      </w:hyperlink>
    </w:p>
    <w:p w14:paraId="5B44798E"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33" w:history="1">
        <w:r w:rsidR="005D5DFA" w:rsidRPr="005D5DFA">
          <w:rPr>
            <w:rStyle w:val="Hyperlink"/>
            <w:noProof/>
          </w:rPr>
          <w:t>5.2 Unmet Demand</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_Toc290886633 \h </w:instrText>
        </w:r>
        <w:r w:rsidR="005D5DFA" w:rsidRPr="005D5DFA">
          <w:rPr>
            <w:noProof/>
            <w:webHidden/>
          </w:rPr>
        </w:r>
        <w:r w:rsidR="005D5DFA" w:rsidRPr="005D5DFA">
          <w:rPr>
            <w:noProof/>
            <w:webHidden/>
          </w:rPr>
          <w:fldChar w:fldCharType="separate"/>
        </w:r>
        <w:r w:rsidR="005D5DFA">
          <w:rPr>
            <w:noProof/>
            <w:webHidden/>
          </w:rPr>
          <w:t>31</w:t>
        </w:r>
        <w:r w:rsidR="005D5DFA" w:rsidRPr="005D5DFA">
          <w:rPr>
            <w:noProof/>
            <w:webHidden/>
          </w:rPr>
          <w:fldChar w:fldCharType="end"/>
        </w:r>
      </w:hyperlink>
    </w:p>
    <w:p w14:paraId="6CF81EF7" w14:textId="77777777" w:rsidR="005D5DFA" w:rsidRPr="005D5DFA" w:rsidRDefault="00000000" w:rsidP="005D5DFA">
      <w:pPr>
        <w:pStyle w:val="TOC1"/>
        <w:tabs>
          <w:tab w:val="right" w:leader="dot" w:pos="8296"/>
        </w:tabs>
        <w:rPr>
          <w:rFonts w:ascii="Times New Roman" w:hAnsi="Times New Roman"/>
          <w:noProof/>
          <w:lang w:val="en-GB" w:eastAsia="en-GB"/>
        </w:rPr>
      </w:pPr>
      <w:hyperlink w:anchor="_Toc290886634" w:history="1">
        <w:r w:rsidR="005D5DFA" w:rsidRPr="005D5DFA">
          <w:rPr>
            <w:rStyle w:val="Hyperlink"/>
            <w:noProof/>
          </w:rPr>
          <w:t>6. Public / private / NGO mix</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_Toc290886634 \h </w:instrText>
        </w:r>
        <w:r w:rsidR="005D5DFA" w:rsidRPr="005D5DFA">
          <w:rPr>
            <w:noProof/>
            <w:webHidden/>
          </w:rPr>
        </w:r>
        <w:r w:rsidR="005D5DFA" w:rsidRPr="005D5DFA">
          <w:rPr>
            <w:noProof/>
            <w:webHidden/>
          </w:rPr>
          <w:fldChar w:fldCharType="separate"/>
        </w:r>
        <w:r w:rsidR="005D5DFA">
          <w:rPr>
            <w:noProof/>
            <w:webHidden/>
          </w:rPr>
          <w:t>33</w:t>
        </w:r>
        <w:r w:rsidR="005D5DFA" w:rsidRPr="005D5DFA">
          <w:rPr>
            <w:noProof/>
            <w:webHidden/>
          </w:rPr>
          <w:fldChar w:fldCharType="end"/>
        </w:r>
      </w:hyperlink>
    </w:p>
    <w:p w14:paraId="05C8D688" w14:textId="77777777" w:rsidR="005D5DFA" w:rsidRPr="005D5DFA" w:rsidRDefault="00000000" w:rsidP="005D5DFA">
      <w:pPr>
        <w:pStyle w:val="TOC1"/>
        <w:tabs>
          <w:tab w:val="right" w:leader="dot" w:pos="8296"/>
        </w:tabs>
        <w:rPr>
          <w:rFonts w:ascii="Times New Roman" w:hAnsi="Times New Roman"/>
          <w:noProof/>
          <w:lang w:val="en-GB" w:eastAsia="en-GB"/>
        </w:rPr>
      </w:pPr>
      <w:hyperlink w:anchor="_Toc290886635" w:history="1">
        <w:r w:rsidR="005D5DFA" w:rsidRPr="005D5DFA">
          <w:rPr>
            <w:rStyle w:val="Hyperlink"/>
            <w:noProof/>
          </w:rPr>
          <w:t>7. Single service or menu and choice</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_Toc290886635 \h </w:instrText>
        </w:r>
        <w:r w:rsidR="005D5DFA" w:rsidRPr="005D5DFA">
          <w:rPr>
            <w:noProof/>
            <w:webHidden/>
          </w:rPr>
        </w:r>
        <w:r w:rsidR="005D5DFA" w:rsidRPr="005D5DFA">
          <w:rPr>
            <w:noProof/>
            <w:webHidden/>
          </w:rPr>
          <w:fldChar w:fldCharType="separate"/>
        </w:r>
        <w:r w:rsidR="005D5DFA">
          <w:rPr>
            <w:noProof/>
            <w:webHidden/>
          </w:rPr>
          <w:t>34</w:t>
        </w:r>
        <w:r w:rsidR="005D5DFA" w:rsidRPr="005D5DFA">
          <w:rPr>
            <w:noProof/>
            <w:webHidden/>
          </w:rPr>
          <w:fldChar w:fldCharType="end"/>
        </w:r>
      </w:hyperlink>
    </w:p>
    <w:p w14:paraId="04DAC8FF" w14:textId="77777777" w:rsidR="005D5DFA" w:rsidRPr="005D5DFA" w:rsidRDefault="00000000" w:rsidP="005D5DFA">
      <w:pPr>
        <w:pStyle w:val="TOC1"/>
        <w:tabs>
          <w:tab w:val="right" w:leader="dot" w:pos="8296"/>
        </w:tabs>
        <w:rPr>
          <w:rFonts w:ascii="Times New Roman" w:hAnsi="Times New Roman"/>
          <w:noProof/>
          <w:lang w:val="en-GB" w:eastAsia="en-GB"/>
        </w:rPr>
      </w:pPr>
      <w:hyperlink w:anchor="_Toc290886636" w:history="1">
        <w:r w:rsidR="005D5DFA" w:rsidRPr="005D5DFA">
          <w:rPr>
            <w:rStyle w:val="Hyperlink"/>
            <w:noProof/>
          </w:rPr>
          <w:t>8. Involvement of people with disabilities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_Toc290886636 \h </w:instrText>
        </w:r>
        <w:r w:rsidR="005D5DFA" w:rsidRPr="005D5DFA">
          <w:rPr>
            <w:noProof/>
            <w:webHidden/>
          </w:rPr>
        </w:r>
        <w:r w:rsidR="005D5DFA" w:rsidRPr="005D5DFA">
          <w:rPr>
            <w:noProof/>
            <w:webHidden/>
          </w:rPr>
          <w:fldChar w:fldCharType="separate"/>
        </w:r>
        <w:r w:rsidR="005D5DFA">
          <w:rPr>
            <w:noProof/>
            <w:webHidden/>
          </w:rPr>
          <w:t>36</w:t>
        </w:r>
        <w:r w:rsidR="005D5DFA" w:rsidRPr="005D5DFA">
          <w:rPr>
            <w:noProof/>
            <w:webHidden/>
          </w:rPr>
          <w:fldChar w:fldCharType="end"/>
        </w:r>
      </w:hyperlink>
    </w:p>
    <w:p w14:paraId="585D8AD8" w14:textId="77777777" w:rsidR="005D5DFA" w:rsidRPr="005D5DFA" w:rsidRDefault="00000000" w:rsidP="005D5DFA">
      <w:pPr>
        <w:pStyle w:val="TOC1"/>
        <w:tabs>
          <w:tab w:val="right" w:leader="dot" w:pos="8296"/>
        </w:tabs>
        <w:rPr>
          <w:rFonts w:ascii="Times New Roman" w:hAnsi="Times New Roman"/>
          <w:noProof/>
          <w:lang w:val="en-GB" w:eastAsia="en-GB"/>
        </w:rPr>
      </w:pPr>
      <w:hyperlink w:anchor="_Toc290886637" w:history="1">
        <w:r w:rsidR="005D5DFA" w:rsidRPr="005D5DFA">
          <w:rPr>
            <w:rStyle w:val="Hyperlink"/>
            <w:noProof/>
          </w:rPr>
          <w:t>9. Conclusion: Lessons for Ireland</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_Toc290886637 \h </w:instrText>
        </w:r>
        <w:r w:rsidR="005D5DFA" w:rsidRPr="005D5DFA">
          <w:rPr>
            <w:noProof/>
            <w:webHidden/>
          </w:rPr>
        </w:r>
        <w:r w:rsidR="005D5DFA" w:rsidRPr="005D5DFA">
          <w:rPr>
            <w:noProof/>
            <w:webHidden/>
          </w:rPr>
          <w:fldChar w:fldCharType="separate"/>
        </w:r>
        <w:r w:rsidR="005D5DFA">
          <w:rPr>
            <w:noProof/>
            <w:webHidden/>
          </w:rPr>
          <w:t>37</w:t>
        </w:r>
        <w:r w:rsidR="005D5DFA" w:rsidRPr="005D5DFA">
          <w:rPr>
            <w:noProof/>
            <w:webHidden/>
          </w:rPr>
          <w:fldChar w:fldCharType="end"/>
        </w:r>
      </w:hyperlink>
    </w:p>
    <w:p w14:paraId="17A460C1"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38" w:history="1">
        <w:r w:rsidR="005D5DFA" w:rsidRPr="005D5DFA">
          <w:rPr>
            <w:rStyle w:val="Hyperlink"/>
            <w:noProof/>
          </w:rPr>
          <w:t>9.1 Strengths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_Toc290886638 \h </w:instrText>
        </w:r>
        <w:r w:rsidR="005D5DFA" w:rsidRPr="005D5DFA">
          <w:rPr>
            <w:noProof/>
            <w:webHidden/>
          </w:rPr>
        </w:r>
        <w:r w:rsidR="005D5DFA" w:rsidRPr="005D5DFA">
          <w:rPr>
            <w:noProof/>
            <w:webHidden/>
          </w:rPr>
          <w:fldChar w:fldCharType="separate"/>
        </w:r>
        <w:r w:rsidR="005D5DFA">
          <w:rPr>
            <w:noProof/>
            <w:webHidden/>
          </w:rPr>
          <w:t>37</w:t>
        </w:r>
        <w:r w:rsidR="005D5DFA" w:rsidRPr="005D5DFA">
          <w:rPr>
            <w:noProof/>
            <w:webHidden/>
          </w:rPr>
          <w:fldChar w:fldCharType="end"/>
        </w:r>
      </w:hyperlink>
    </w:p>
    <w:p w14:paraId="18208F40" w14:textId="77777777" w:rsidR="005D5DFA" w:rsidRPr="005D5DFA" w:rsidRDefault="00000000" w:rsidP="005D5DFA">
      <w:pPr>
        <w:pStyle w:val="TOC2"/>
        <w:tabs>
          <w:tab w:val="right" w:leader="dot" w:pos="8296"/>
        </w:tabs>
        <w:rPr>
          <w:rFonts w:ascii="Times New Roman" w:hAnsi="Times New Roman"/>
          <w:noProof/>
          <w:lang w:val="en-GB" w:eastAsia="en-GB"/>
        </w:rPr>
      </w:pPr>
      <w:hyperlink w:anchor="_Toc290886639" w:history="1">
        <w:r w:rsidR="005D5DFA" w:rsidRPr="005D5DFA">
          <w:rPr>
            <w:rStyle w:val="Hyperlink"/>
            <w:noProof/>
          </w:rPr>
          <w:t>9.2 Weaknesses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_Toc290886639 \h </w:instrText>
        </w:r>
        <w:r w:rsidR="005D5DFA" w:rsidRPr="005D5DFA">
          <w:rPr>
            <w:noProof/>
            <w:webHidden/>
          </w:rPr>
        </w:r>
        <w:r w:rsidR="005D5DFA" w:rsidRPr="005D5DFA">
          <w:rPr>
            <w:noProof/>
            <w:webHidden/>
          </w:rPr>
          <w:fldChar w:fldCharType="separate"/>
        </w:r>
        <w:r w:rsidR="005D5DFA">
          <w:rPr>
            <w:noProof/>
            <w:webHidden/>
          </w:rPr>
          <w:t>37</w:t>
        </w:r>
        <w:r w:rsidR="005D5DFA" w:rsidRPr="005D5DFA">
          <w:rPr>
            <w:noProof/>
            <w:webHidden/>
          </w:rPr>
          <w:fldChar w:fldCharType="end"/>
        </w:r>
      </w:hyperlink>
    </w:p>
    <w:p w14:paraId="34245A80" w14:textId="77777777" w:rsidR="005D5DFA" w:rsidRPr="005D5DFA" w:rsidRDefault="00000000" w:rsidP="005D5DFA">
      <w:pPr>
        <w:pStyle w:val="TOC1"/>
        <w:tabs>
          <w:tab w:val="right" w:leader="dot" w:pos="8296"/>
        </w:tabs>
        <w:rPr>
          <w:rFonts w:ascii="Times New Roman" w:hAnsi="Times New Roman"/>
          <w:noProof/>
          <w:lang w:val="en-GB" w:eastAsia="en-GB"/>
        </w:rPr>
      </w:pPr>
      <w:hyperlink w:anchor="_Toc290886640" w:history="1">
        <w:r w:rsidR="005D5DFA" w:rsidRPr="005D5DFA">
          <w:rPr>
            <w:rStyle w:val="Hyperlink"/>
            <w:noProof/>
          </w:rPr>
          <w:t>10. References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_Toc290886640 \h </w:instrText>
        </w:r>
        <w:r w:rsidR="005D5DFA" w:rsidRPr="005D5DFA">
          <w:rPr>
            <w:noProof/>
            <w:webHidden/>
          </w:rPr>
        </w:r>
        <w:r w:rsidR="005D5DFA" w:rsidRPr="005D5DFA">
          <w:rPr>
            <w:noProof/>
            <w:webHidden/>
          </w:rPr>
          <w:fldChar w:fldCharType="separate"/>
        </w:r>
        <w:r w:rsidR="005D5DFA">
          <w:rPr>
            <w:noProof/>
            <w:webHidden/>
          </w:rPr>
          <w:t>39</w:t>
        </w:r>
        <w:r w:rsidR="005D5DFA" w:rsidRPr="005D5DFA">
          <w:rPr>
            <w:noProof/>
            <w:webHidden/>
          </w:rPr>
          <w:fldChar w:fldCharType="end"/>
        </w:r>
      </w:hyperlink>
    </w:p>
    <w:p w14:paraId="71B0A894" w14:textId="77777777" w:rsidR="005D5DFA" w:rsidRPr="005D5DFA" w:rsidRDefault="00000000" w:rsidP="005D5DFA">
      <w:pPr>
        <w:pStyle w:val="TOC1"/>
        <w:tabs>
          <w:tab w:val="right" w:leader="dot" w:pos="8296"/>
        </w:tabs>
        <w:rPr>
          <w:rFonts w:ascii="Times New Roman" w:hAnsi="Times New Roman"/>
          <w:noProof/>
          <w:lang w:val="en-GB" w:eastAsia="en-GB"/>
        </w:rPr>
      </w:pPr>
      <w:hyperlink w:anchor="_Toc290886641" w:history="1">
        <w:r w:rsidR="005D5DFA" w:rsidRPr="005D5DFA">
          <w:rPr>
            <w:rStyle w:val="Hyperlink"/>
            <w:noProof/>
          </w:rPr>
          <w:t>Appendix 1: Key Informant details</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_Toc290886641 \h </w:instrText>
        </w:r>
        <w:r w:rsidR="005D5DFA" w:rsidRPr="005D5DFA">
          <w:rPr>
            <w:noProof/>
            <w:webHidden/>
          </w:rPr>
        </w:r>
        <w:r w:rsidR="005D5DFA" w:rsidRPr="005D5DFA">
          <w:rPr>
            <w:noProof/>
            <w:webHidden/>
          </w:rPr>
          <w:fldChar w:fldCharType="separate"/>
        </w:r>
        <w:r w:rsidR="005D5DFA">
          <w:rPr>
            <w:noProof/>
            <w:webHidden/>
          </w:rPr>
          <w:t>44</w:t>
        </w:r>
        <w:r w:rsidR="005D5DFA" w:rsidRPr="005D5DFA">
          <w:rPr>
            <w:noProof/>
            <w:webHidden/>
          </w:rPr>
          <w:fldChar w:fldCharType="end"/>
        </w:r>
      </w:hyperlink>
    </w:p>
    <w:p w14:paraId="21402BEE" w14:textId="77777777" w:rsidR="005D5DFA" w:rsidRPr="005D5DFA" w:rsidRDefault="00000000" w:rsidP="005D5DFA">
      <w:pPr>
        <w:pStyle w:val="TOC1"/>
        <w:tabs>
          <w:tab w:val="right" w:leader="dot" w:pos="8296"/>
        </w:tabs>
        <w:rPr>
          <w:rFonts w:ascii="Times New Roman" w:hAnsi="Times New Roman"/>
          <w:noProof/>
          <w:lang w:val="en-GB" w:eastAsia="en-GB"/>
        </w:rPr>
      </w:pPr>
      <w:hyperlink w:anchor="_Toc290886642" w:history="1">
        <w:r w:rsidR="005D5DFA" w:rsidRPr="005D5DFA">
          <w:rPr>
            <w:rStyle w:val="Hyperlink"/>
            <w:noProof/>
            <w:lang w:eastAsia="en-IE"/>
          </w:rPr>
          <w:t>Appendix 2: How health and personal services are overseen and monitored in New Zealand</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_Toc290886642 \h </w:instrText>
        </w:r>
        <w:r w:rsidR="005D5DFA" w:rsidRPr="005D5DFA">
          <w:rPr>
            <w:noProof/>
            <w:webHidden/>
          </w:rPr>
        </w:r>
        <w:r w:rsidR="005D5DFA" w:rsidRPr="005D5DFA">
          <w:rPr>
            <w:noProof/>
            <w:webHidden/>
          </w:rPr>
          <w:fldChar w:fldCharType="separate"/>
        </w:r>
        <w:r w:rsidR="005D5DFA">
          <w:rPr>
            <w:noProof/>
            <w:webHidden/>
          </w:rPr>
          <w:t>45</w:t>
        </w:r>
        <w:r w:rsidR="005D5DFA" w:rsidRPr="005D5DFA">
          <w:rPr>
            <w:noProof/>
            <w:webHidden/>
          </w:rPr>
          <w:fldChar w:fldCharType="end"/>
        </w:r>
      </w:hyperlink>
    </w:p>
    <w:p w14:paraId="35E20E2C" w14:textId="77777777" w:rsidR="005D5DFA" w:rsidRPr="005D5DFA" w:rsidRDefault="00000000" w:rsidP="005D5DFA">
      <w:pPr>
        <w:pStyle w:val="TOC1"/>
        <w:tabs>
          <w:tab w:val="right" w:leader="dot" w:pos="8296"/>
        </w:tabs>
        <w:rPr>
          <w:rFonts w:ascii="Times New Roman" w:hAnsi="Times New Roman"/>
          <w:noProof/>
          <w:lang w:val="en-GB" w:eastAsia="en-GB"/>
        </w:rPr>
      </w:pPr>
      <w:hyperlink w:anchor="_Toc290886650" w:history="1">
        <w:r w:rsidR="005D5DFA" w:rsidRPr="005D5DFA">
          <w:rPr>
            <w:rStyle w:val="Hyperlink"/>
            <w:noProof/>
          </w:rPr>
          <w:t>Appendix 3: Eligibility by main service type</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_Toc290886650 \h </w:instrText>
        </w:r>
        <w:r w:rsidR="005D5DFA" w:rsidRPr="005D5DFA">
          <w:rPr>
            <w:noProof/>
            <w:webHidden/>
          </w:rPr>
        </w:r>
        <w:r w:rsidR="005D5DFA" w:rsidRPr="005D5DFA">
          <w:rPr>
            <w:noProof/>
            <w:webHidden/>
          </w:rPr>
          <w:fldChar w:fldCharType="separate"/>
        </w:r>
        <w:r w:rsidR="005D5DFA">
          <w:rPr>
            <w:noProof/>
            <w:webHidden/>
          </w:rPr>
          <w:t>51</w:t>
        </w:r>
        <w:r w:rsidR="005D5DFA" w:rsidRPr="005D5DFA">
          <w:rPr>
            <w:noProof/>
            <w:webHidden/>
          </w:rPr>
          <w:fldChar w:fldCharType="end"/>
        </w:r>
      </w:hyperlink>
    </w:p>
    <w:p w14:paraId="3C46771D" w14:textId="77777777" w:rsidR="005D5DFA" w:rsidRPr="005D5DFA" w:rsidRDefault="00000000" w:rsidP="005D5DFA">
      <w:pPr>
        <w:pStyle w:val="TOC1"/>
        <w:tabs>
          <w:tab w:val="right" w:leader="dot" w:pos="8296"/>
        </w:tabs>
        <w:rPr>
          <w:rFonts w:ascii="Times New Roman" w:hAnsi="Times New Roman"/>
          <w:noProof/>
          <w:lang w:val="en-GB" w:eastAsia="en-GB"/>
        </w:rPr>
      </w:pPr>
      <w:hyperlink w:anchor="_Toc290886651" w:history="1">
        <w:r w:rsidR="005D5DFA" w:rsidRPr="005D5DFA">
          <w:rPr>
            <w:rStyle w:val="Hyperlink"/>
            <w:noProof/>
          </w:rPr>
          <w:t>Appendix 4: Adults with disabilities by type of residence</w:t>
        </w:r>
        <w:r w:rsidR="005D5DFA" w:rsidRPr="005D5DFA">
          <w:rPr>
            <w:noProof/>
            <w:webHidden/>
          </w:rPr>
          <w:tab/>
        </w:r>
        <w:r w:rsidR="005D5DFA" w:rsidRPr="005D5DFA">
          <w:rPr>
            <w:noProof/>
            <w:webHidden/>
          </w:rPr>
          <w:fldChar w:fldCharType="begin"/>
        </w:r>
        <w:r w:rsidR="005D5DFA" w:rsidRPr="005D5DFA">
          <w:rPr>
            <w:noProof/>
            <w:webHidden/>
          </w:rPr>
          <w:instrText xml:space="preserve"> PAGEREF _Toc290886651 \h </w:instrText>
        </w:r>
        <w:r w:rsidR="005D5DFA" w:rsidRPr="005D5DFA">
          <w:rPr>
            <w:noProof/>
            <w:webHidden/>
          </w:rPr>
        </w:r>
        <w:r w:rsidR="005D5DFA" w:rsidRPr="005D5DFA">
          <w:rPr>
            <w:noProof/>
            <w:webHidden/>
          </w:rPr>
          <w:fldChar w:fldCharType="separate"/>
        </w:r>
        <w:r w:rsidR="005D5DFA">
          <w:rPr>
            <w:noProof/>
            <w:webHidden/>
          </w:rPr>
          <w:t>55</w:t>
        </w:r>
        <w:r w:rsidR="005D5DFA" w:rsidRPr="005D5DFA">
          <w:rPr>
            <w:noProof/>
            <w:webHidden/>
          </w:rPr>
          <w:fldChar w:fldCharType="end"/>
        </w:r>
      </w:hyperlink>
    </w:p>
    <w:p w14:paraId="76547829" w14:textId="77777777" w:rsidR="00B423AF" w:rsidRDefault="008C7752" w:rsidP="005D5DFA">
      <w:pPr>
        <w:pStyle w:val="Heading1"/>
        <w:spacing w:after="300"/>
      </w:pPr>
      <w:r w:rsidRPr="005D5DFA">
        <w:rPr>
          <w:sz w:val="24"/>
          <w:szCs w:val="24"/>
        </w:rPr>
        <w:lastRenderedPageBreak/>
        <w:fldChar w:fldCharType="end"/>
      </w:r>
      <w:bookmarkStart w:id="12" w:name="_Toc269910556"/>
      <w:bookmarkStart w:id="13" w:name="_Toc290886606"/>
      <w:r w:rsidR="00B423AF">
        <w:t>List of abbreviations</w:t>
      </w:r>
      <w:bookmarkEnd w:id="12"/>
      <w:bookmarkEnd w:id="13"/>
    </w:p>
    <w:tbl>
      <w:tblPr>
        <w:tblW w:w="0" w:type="auto"/>
        <w:tblBorders>
          <w:top w:val="single" w:sz="2" w:space="0" w:color="FFFFFF"/>
          <w:left w:val="single" w:sz="2" w:space="0" w:color="FFFFFF"/>
          <w:bottom w:val="single" w:sz="2" w:space="0" w:color="FFFFFF"/>
          <w:right w:val="single" w:sz="2" w:space="0" w:color="FFFFFF"/>
          <w:insideH w:val="single" w:sz="6" w:space="0" w:color="FFFFFF"/>
          <w:insideV w:val="single" w:sz="6" w:space="0" w:color="FFFFFF"/>
        </w:tblBorders>
        <w:tblLayout w:type="fixed"/>
        <w:tblLook w:val="0020" w:firstRow="1" w:lastRow="0" w:firstColumn="0" w:lastColumn="0" w:noHBand="0" w:noVBand="0"/>
      </w:tblPr>
      <w:tblGrid>
        <w:gridCol w:w="2088"/>
        <w:gridCol w:w="6434"/>
      </w:tblGrid>
      <w:tr w:rsidR="00B423AF" w:rsidRPr="00B423AF" w14:paraId="1C593B6B" w14:textId="77777777">
        <w:tc>
          <w:tcPr>
            <w:tcW w:w="2088" w:type="dxa"/>
            <w:shd w:val="clear" w:color="auto" w:fill="auto"/>
          </w:tcPr>
          <w:p w14:paraId="2192BAED" w14:textId="77777777" w:rsidR="00B423AF" w:rsidRPr="00B423AF" w:rsidRDefault="00B423AF" w:rsidP="00B423AF">
            <w:pPr>
              <w:pStyle w:val="TableRowHead"/>
            </w:pPr>
            <w:r>
              <w:t>ACC</w:t>
            </w:r>
          </w:p>
        </w:tc>
        <w:tc>
          <w:tcPr>
            <w:tcW w:w="6434" w:type="dxa"/>
            <w:shd w:val="clear" w:color="auto" w:fill="auto"/>
          </w:tcPr>
          <w:p w14:paraId="1519DDA8" w14:textId="77777777" w:rsidR="00B423AF" w:rsidRPr="00B423AF" w:rsidRDefault="00B423AF" w:rsidP="00261804">
            <w:pPr>
              <w:pStyle w:val="TableCell"/>
            </w:pPr>
            <w:r w:rsidRPr="00B423AF">
              <w:t>Accident Compensation Corporation</w:t>
            </w:r>
            <w:r>
              <w:t xml:space="preserve"> </w:t>
            </w:r>
          </w:p>
        </w:tc>
      </w:tr>
      <w:tr w:rsidR="008A501D" w:rsidRPr="00B423AF" w14:paraId="6EBD7B99" w14:textId="77777777">
        <w:tc>
          <w:tcPr>
            <w:tcW w:w="2088" w:type="dxa"/>
            <w:shd w:val="clear" w:color="auto" w:fill="auto"/>
          </w:tcPr>
          <w:p w14:paraId="264932FE" w14:textId="77777777" w:rsidR="008A501D" w:rsidRDefault="008A501D" w:rsidP="00B423AF">
            <w:pPr>
              <w:pStyle w:val="TableRowHead"/>
            </w:pPr>
            <w:r w:rsidRPr="008A501D">
              <w:t>ASENZ</w:t>
            </w:r>
          </w:p>
        </w:tc>
        <w:tc>
          <w:tcPr>
            <w:tcW w:w="6434" w:type="dxa"/>
            <w:shd w:val="clear" w:color="auto" w:fill="auto"/>
          </w:tcPr>
          <w:p w14:paraId="6135F9D0" w14:textId="77777777" w:rsidR="008A501D" w:rsidRPr="008A501D" w:rsidRDefault="008A501D" w:rsidP="00261804">
            <w:pPr>
              <w:pStyle w:val="TableCell"/>
            </w:pPr>
            <w:r w:rsidRPr="008A501D">
              <w:t>Association of Su</w:t>
            </w:r>
            <w:r>
              <w:t xml:space="preserve">pported Employment New </w:t>
            </w:r>
            <w:smartTag w:uri="urn:schemas-microsoft-com:office:smarttags" w:element="place">
              <w:r>
                <w:t>Zealand</w:t>
              </w:r>
            </w:smartTag>
            <w:r w:rsidRPr="008A501D">
              <w:t xml:space="preserve"> </w:t>
            </w:r>
          </w:p>
        </w:tc>
      </w:tr>
      <w:tr w:rsidR="00486E1A" w:rsidRPr="00B423AF" w14:paraId="7330DAAB" w14:textId="77777777">
        <w:tc>
          <w:tcPr>
            <w:tcW w:w="2088" w:type="dxa"/>
            <w:shd w:val="clear" w:color="auto" w:fill="auto"/>
          </w:tcPr>
          <w:p w14:paraId="763B9105" w14:textId="77777777" w:rsidR="00486E1A" w:rsidRPr="008A501D" w:rsidRDefault="00486E1A" w:rsidP="00B423AF">
            <w:pPr>
              <w:pStyle w:val="TableRowHead"/>
            </w:pPr>
            <w:r w:rsidRPr="00486E1A">
              <w:t>AT&amp;R</w:t>
            </w:r>
          </w:p>
        </w:tc>
        <w:tc>
          <w:tcPr>
            <w:tcW w:w="6434" w:type="dxa"/>
            <w:shd w:val="clear" w:color="auto" w:fill="auto"/>
          </w:tcPr>
          <w:p w14:paraId="66375125" w14:textId="77777777" w:rsidR="00486E1A" w:rsidRPr="008A501D" w:rsidRDefault="00486E1A" w:rsidP="00261804">
            <w:pPr>
              <w:pStyle w:val="TableCell"/>
            </w:pPr>
            <w:r w:rsidRPr="00486E1A">
              <w:t xml:space="preserve">Assessment Treatment and Rehabilitation </w:t>
            </w:r>
          </w:p>
        </w:tc>
      </w:tr>
      <w:tr w:rsidR="00B423AF" w:rsidRPr="00B423AF" w14:paraId="5D2A6D75" w14:textId="77777777">
        <w:tc>
          <w:tcPr>
            <w:tcW w:w="2088" w:type="dxa"/>
            <w:shd w:val="clear" w:color="auto" w:fill="auto"/>
          </w:tcPr>
          <w:p w14:paraId="3441D758" w14:textId="77777777" w:rsidR="00B423AF" w:rsidRPr="00B423AF" w:rsidRDefault="00B423AF" w:rsidP="00B423AF">
            <w:pPr>
              <w:pStyle w:val="TableRowHead"/>
            </w:pPr>
            <w:r>
              <w:t>DHB</w:t>
            </w:r>
          </w:p>
        </w:tc>
        <w:tc>
          <w:tcPr>
            <w:tcW w:w="6434" w:type="dxa"/>
            <w:shd w:val="clear" w:color="auto" w:fill="auto"/>
          </w:tcPr>
          <w:p w14:paraId="5CEF234F" w14:textId="77777777" w:rsidR="00B423AF" w:rsidRPr="00B423AF" w:rsidRDefault="00B423AF" w:rsidP="00261804">
            <w:pPr>
              <w:pStyle w:val="TableCell"/>
            </w:pPr>
            <w:r>
              <w:t>District Health Board</w:t>
            </w:r>
          </w:p>
        </w:tc>
      </w:tr>
      <w:tr w:rsidR="00B423AF" w:rsidRPr="00B423AF" w14:paraId="1C2FD151" w14:textId="77777777">
        <w:tc>
          <w:tcPr>
            <w:tcW w:w="2088" w:type="dxa"/>
            <w:shd w:val="clear" w:color="auto" w:fill="auto"/>
          </w:tcPr>
          <w:p w14:paraId="3FB60097" w14:textId="77777777" w:rsidR="00B423AF" w:rsidRPr="00B423AF" w:rsidRDefault="00B423AF" w:rsidP="00B423AF">
            <w:pPr>
              <w:pStyle w:val="TableRowHead"/>
            </w:pPr>
            <w:r>
              <w:t>DSS</w:t>
            </w:r>
          </w:p>
        </w:tc>
        <w:tc>
          <w:tcPr>
            <w:tcW w:w="6434" w:type="dxa"/>
            <w:shd w:val="clear" w:color="auto" w:fill="auto"/>
          </w:tcPr>
          <w:p w14:paraId="44416796" w14:textId="77777777" w:rsidR="00B423AF" w:rsidRPr="00B423AF" w:rsidRDefault="00B423AF" w:rsidP="00261804">
            <w:pPr>
              <w:pStyle w:val="TableCell"/>
            </w:pPr>
            <w:r>
              <w:t>Disability Support Services</w:t>
            </w:r>
          </w:p>
        </w:tc>
      </w:tr>
      <w:tr w:rsidR="00B423AF" w:rsidRPr="00B423AF" w14:paraId="773090FF" w14:textId="77777777">
        <w:tc>
          <w:tcPr>
            <w:tcW w:w="2088" w:type="dxa"/>
            <w:shd w:val="clear" w:color="auto" w:fill="auto"/>
          </w:tcPr>
          <w:p w14:paraId="717DD283" w14:textId="77777777" w:rsidR="00B423AF" w:rsidRDefault="00B423AF" w:rsidP="00B423AF">
            <w:pPr>
              <w:pStyle w:val="TableRowHead"/>
            </w:pPr>
            <w:r>
              <w:t>GSE</w:t>
            </w:r>
          </w:p>
        </w:tc>
        <w:tc>
          <w:tcPr>
            <w:tcW w:w="6434" w:type="dxa"/>
            <w:shd w:val="clear" w:color="auto" w:fill="auto"/>
          </w:tcPr>
          <w:p w14:paraId="0301CD60" w14:textId="77777777" w:rsidR="00B423AF" w:rsidRDefault="00B423AF" w:rsidP="00261804">
            <w:pPr>
              <w:pStyle w:val="TableCell"/>
            </w:pPr>
            <w:r>
              <w:t>Group Special Education</w:t>
            </w:r>
          </w:p>
        </w:tc>
      </w:tr>
      <w:tr w:rsidR="00B423AF" w:rsidRPr="00B423AF" w14:paraId="455094FD" w14:textId="77777777">
        <w:tc>
          <w:tcPr>
            <w:tcW w:w="2088" w:type="dxa"/>
            <w:shd w:val="clear" w:color="auto" w:fill="auto"/>
          </w:tcPr>
          <w:p w14:paraId="1D377E87" w14:textId="77777777" w:rsidR="00B423AF" w:rsidRDefault="00B423AF" w:rsidP="00B423AF">
            <w:pPr>
              <w:pStyle w:val="TableRowHead"/>
            </w:pPr>
            <w:r>
              <w:t>HNZC</w:t>
            </w:r>
          </w:p>
        </w:tc>
        <w:tc>
          <w:tcPr>
            <w:tcW w:w="6434" w:type="dxa"/>
            <w:shd w:val="clear" w:color="auto" w:fill="auto"/>
          </w:tcPr>
          <w:p w14:paraId="74FDBD35" w14:textId="77777777" w:rsidR="00B423AF" w:rsidRDefault="00B423AF" w:rsidP="00261804">
            <w:pPr>
              <w:pStyle w:val="TableCell"/>
            </w:pPr>
            <w:r>
              <w:t xml:space="preserve">Housing New Zealand  Corporation </w:t>
            </w:r>
          </w:p>
        </w:tc>
      </w:tr>
      <w:tr w:rsidR="00261804" w:rsidRPr="00B423AF" w14:paraId="5FA49CDD" w14:textId="77777777">
        <w:tc>
          <w:tcPr>
            <w:tcW w:w="2088" w:type="dxa"/>
            <w:shd w:val="clear" w:color="auto" w:fill="auto"/>
          </w:tcPr>
          <w:p w14:paraId="3F7075C4" w14:textId="77777777" w:rsidR="00261804" w:rsidRDefault="00261804" w:rsidP="00B423AF">
            <w:pPr>
              <w:pStyle w:val="TableRowHead"/>
            </w:pPr>
            <w:r>
              <w:t>IF</w:t>
            </w:r>
          </w:p>
        </w:tc>
        <w:tc>
          <w:tcPr>
            <w:tcW w:w="6434" w:type="dxa"/>
            <w:shd w:val="clear" w:color="auto" w:fill="auto"/>
          </w:tcPr>
          <w:p w14:paraId="5862C175" w14:textId="77777777" w:rsidR="00261804" w:rsidRDefault="00261804" w:rsidP="00261804">
            <w:pPr>
              <w:pStyle w:val="TableCell"/>
            </w:pPr>
            <w:r>
              <w:t>Individualized Funding</w:t>
            </w:r>
          </w:p>
        </w:tc>
      </w:tr>
      <w:tr w:rsidR="00B423AF" w:rsidRPr="00B423AF" w14:paraId="60DBE835" w14:textId="77777777">
        <w:tc>
          <w:tcPr>
            <w:tcW w:w="2088" w:type="dxa"/>
            <w:shd w:val="clear" w:color="auto" w:fill="auto"/>
          </w:tcPr>
          <w:p w14:paraId="4922B1B0" w14:textId="77777777" w:rsidR="00B423AF" w:rsidRPr="00B423AF" w:rsidRDefault="00B423AF" w:rsidP="00B423AF">
            <w:pPr>
              <w:pStyle w:val="TableRowHead"/>
            </w:pPr>
            <w:r>
              <w:t>MoH</w:t>
            </w:r>
          </w:p>
        </w:tc>
        <w:tc>
          <w:tcPr>
            <w:tcW w:w="6434" w:type="dxa"/>
            <w:shd w:val="clear" w:color="auto" w:fill="auto"/>
          </w:tcPr>
          <w:p w14:paraId="530779E3" w14:textId="77777777" w:rsidR="00B423AF" w:rsidRPr="00B423AF" w:rsidRDefault="00B423AF" w:rsidP="00261804">
            <w:pPr>
              <w:pStyle w:val="TableCell"/>
            </w:pPr>
            <w:r>
              <w:t>Ministry of Health</w:t>
            </w:r>
          </w:p>
        </w:tc>
      </w:tr>
      <w:tr w:rsidR="008A501D" w:rsidRPr="00B423AF" w14:paraId="6102B4B2" w14:textId="77777777">
        <w:tc>
          <w:tcPr>
            <w:tcW w:w="2088" w:type="dxa"/>
            <w:shd w:val="clear" w:color="auto" w:fill="auto"/>
          </w:tcPr>
          <w:p w14:paraId="6F6824EC" w14:textId="77777777" w:rsidR="008A501D" w:rsidRDefault="008A501D" w:rsidP="00B423AF">
            <w:pPr>
              <w:pStyle w:val="TableRowHead"/>
            </w:pPr>
            <w:proofErr w:type="spellStart"/>
            <w:r w:rsidRPr="008A501D">
              <w:t>MoSD</w:t>
            </w:r>
            <w:proofErr w:type="spellEnd"/>
          </w:p>
        </w:tc>
        <w:tc>
          <w:tcPr>
            <w:tcW w:w="6434" w:type="dxa"/>
            <w:shd w:val="clear" w:color="auto" w:fill="auto"/>
          </w:tcPr>
          <w:p w14:paraId="095D729D" w14:textId="77777777" w:rsidR="008A501D" w:rsidRDefault="008A501D" w:rsidP="00261804">
            <w:pPr>
              <w:pStyle w:val="TableCell"/>
            </w:pPr>
            <w:r>
              <w:t>Ministry of Social Development</w:t>
            </w:r>
          </w:p>
        </w:tc>
      </w:tr>
      <w:tr w:rsidR="00B423AF" w:rsidRPr="00B423AF" w14:paraId="501D75F5" w14:textId="77777777">
        <w:tc>
          <w:tcPr>
            <w:tcW w:w="2088" w:type="dxa"/>
            <w:shd w:val="clear" w:color="auto" w:fill="auto"/>
          </w:tcPr>
          <w:p w14:paraId="3FDAEB54" w14:textId="77777777" w:rsidR="00B423AF" w:rsidRPr="00B423AF" w:rsidRDefault="00B423AF" w:rsidP="00B423AF">
            <w:pPr>
              <w:pStyle w:val="TableRowHead"/>
            </w:pPr>
            <w:r>
              <w:t>NASC</w:t>
            </w:r>
          </w:p>
        </w:tc>
        <w:tc>
          <w:tcPr>
            <w:tcW w:w="6434" w:type="dxa"/>
            <w:shd w:val="clear" w:color="auto" w:fill="auto"/>
          </w:tcPr>
          <w:p w14:paraId="4C82C71D" w14:textId="77777777" w:rsidR="00B423AF" w:rsidRPr="00B423AF" w:rsidRDefault="00261804" w:rsidP="00261804">
            <w:pPr>
              <w:pStyle w:val="TableCell"/>
            </w:pPr>
            <w:r>
              <w:t>Needs Assessment and Services Coordination</w:t>
            </w:r>
          </w:p>
        </w:tc>
      </w:tr>
      <w:tr w:rsidR="00261804" w:rsidRPr="00B423AF" w14:paraId="0050AA68" w14:textId="77777777">
        <w:tc>
          <w:tcPr>
            <w:tcW w:w="2088" w:type="dxa"/>
            <w:shd w:val="clear" w:color="auto" w:fill="auto"/>
          </w:tcPr>
          <w:p w14:paraId="15430A5A" w14:textId="77777777" w:rsidR="00261804" w:rsidRDefault="00261804" w:rsidP="00B423AF">
            <w:pPr>
              <w:pStyle w:val="TableRowHead"/>
            </w:pPr>
            <w:r>
              <w:t>NZD</w:t>
            </w:r>
          </w:p>
        </w:tc>
        <w:tc>
          <w:tcPr>
            <w:tcW w:w="6434" w:type="dxa"/>
            <w:shd w:val="clear" w:color="auto" w:fill="auto"/>
          </w:tcPr>
          <w:p w14:paraId="47F0EA13" w14:textId="77777777" w:rsidR="00261804" w:rsidRPr="00B423AF" w:rsidRDefault="00261804" w:rsidP="00261804">
            <w:pPr>
              <w:pStyle w:val="TableCell"/>
            </w:pPr>
            <w:smartTag w:uri="urn:schemas-microsoft-com:office:smarttags" w:element="place">
              <w:smartTag w:uri="urn:schemas-microsoft-com:office:smarttags" w:element="country-region">
                <w:r>
                  <w:t>New Zealand</w:t>
                </w:r>
              </w:smartTag>
            </w:smartTag>
            <w:r>
              <w:t xml:space="preserve"> Dollars</w:t>
            </w:r>
          </w:p>
        </w:tc>
      </w:tr>
      <w:tr w:rsidR="00B423AF" w:rsidRPr="00B423AF" w14:paraId="7E6C05B6" w14:textId="77777777">
        <w:tc>
          <w:tcPr>
            <w:tcW w:w="2088" w:type="dxa"/>
            <w:shd w:val="clear" w:color="auto" w:fill="auto"/>
          </w:tcPr>
          <w:p w14:paraId="31A6008B" w14:textId="77777777" w:rsidR="00B423AF" w:rsidRPr="00B423AF" w:rsidRDefault="00B423AF" w:rsidP="00B423AF">
            <w:pPr>
              <w:pStyle w:val="TableRowHead"/>
            </w:pPr>
            <w:r>
              <w:t>ORRS</w:t>
            </w:r>
          </w:p>
        </w:tc>
        <w:tc>
          <w:tcPr>
            <w:tcW w:w="6434" w:type="dxa"/>
            <w:shd w:val="clear" w:color="auto" w:fill="auto"/>
          </w:tcPr>
          <w:p w14:paraId="486FA725" w14:textId="77777777" w:rsidR="00B423AF" w:rsidRPr="00B423AF" w:rsidRDefault="00B423AF" w:rsidP="00261804">
            <w:pPr>
              <w:pStyle w:val="TableCell"/>
            </w:pPr>
            <w:r>
              <w:t>Ongoing and Reviewable Resourcing Scheme</w:t>
            </w:r>
            <w:r w:rsidR="008E053C">
              <w:t>s</w:t>
            </w:r>
            <w:r>
              <w:t xml:space="preserve">  </w:t>
            </w:r>
          </w:p>
        </w:tc>
      </w:tr>
      <w:tr w:rsidR="00BF36C9" w:rsidRPr="00B423AF" w14:paraId="3554804A" w14:textId="77777777">
        <w:tc>
          <w:tcPr>
            <w:tcW w:w="2088" w:type="dxa"/>
            <w:shd w:val="clear" w:color="auto" w:fill="auto"/>
          </w:tcPr>
          <w:p w14:paraId="11241E11" w14:textId="77777777" w:rsidR="00BF36C9" w:rsidRDefault="00BF36C9" w:rsidP="00B423AF">
            <w:pPr>
              <w:pStyle w:val="TableRowHead"/>
            </w:pPr>
            <w:r>
              <w:t>RHA</w:t>
            </w:r>
          </w:p>
        </w:tc>
        <w:tc>
          <w:tcPr>
            <w:tcW w:w="6434" w:type="dxa"/>
            <w:shd w:val="clear" w:color="auto" w:fill="auto"/>
          </w:tcPr>
          <w:p w14:paraId="31A22AE6" w14:textId="77777777" w:rsidR="00BF36C9" w:rsidRDefault="00BF36C9" w:rsidP="00261804">
            <w:pPr>
              <w:pStyle w:val="TableCell"/>
            </w:pPr>
            <w:r>
              <w:t xml:space="preserve">Regional Health Authority </w:t>
            </w:r>
          </w:p>
        </w:tc>
      </w:tr>
      <w:tr w:rsidR="00B423AF" w:rsidRPr="00B423AF" w14:paraId="633620DE" w14:textId="77777777">
        <w:tc>
          <w:tcPr>
            <w:tcW w:w="2088" w:type="dxa"/>
            <w:shd w:val="clear" w:color="auto" w:fill="auto"/>
          </w:tcPr>
          <w:p w14:paraId="05CA5C58" w14:textId="77777777" w:rsidR="00B423AF" w:rsidRPr="00B423AF" w:rsidRDefault="00261804" w:rsidP="00B423AF">
            <w:pPr>
              <w:pStyle w:val="TableRowHead"/>
            </w:pPr>
            <w:r>
              <w:t>SIL</w:t>
            </w:r>
          </w:p>
        </w:tc>
        <w:tc>
          <w:tcPr>
            <w:tcW w:w="6434" w:type="dxa"/>
            <w:shd w:val="clear" w:color="auto" w:fill="auto"/>
          </w:tcPr>
          <w:p w14:paraId="3F455E0E" w14:textId="77777777" w:rsidR="00B423AF" w:rsidRPr="00B423AF" w:rsidRDefault="00261804" w:rsidP="00261804">
            <w:pPr>
              <w:pStyle w:val="TableCell"/>
            </w:pPr>
            <w:r>
              <w:t>Supported Independent Living</w:t>
            </w:r>
          </w:p>
        </w:tc>
      </w:tr>
      <w:tr w:rsidR="00B423AF" w:rsidRPr="00B423AF" w14:paraId="0EA515BA" w14:textId="77777777">
        <w:tc>
          <w:tcPr>
            <w:tcW w:w="2088" w:type="dxa"/>
            <w:shd w:val="clear" w:color="auto" w:fill="auto"/>
          </w:tcPr>
          <w:p w14:paraId="2E97C010" w14:textId="77777777" w:rsidR="00B423AF" w:rsidRPr="00B423AF" w:rsidRDefault="00B423AF" w:rsidP="00B423AF">
            <w:pPr>
              <w:pStyle w:val="TableRowHead"/>
            </w:pPr>
          </w:p>
        </w:tc>
        <w:tc>
          <w:tcPr>
            <w:tcW w:w="6434" w:type="dxa"/>
            <w:shd w:val="clear" w:color="auto" w:fill="auto"/>
          </w:tcPr>
          <w:p w14:paraId="0EAFF05F" w14:textId="77777777" w:rsidR="00B423AF" w:rsidRPr="00B423AF" w:rsidRDefault="00B423AF" w:rsidP="00B423AF">
            <w:pPr>
              <w:pStyle w:val="TableCell"/>
              <w:jc w:val="right"/>
            </w:pPr>
          </w:p>
        </w:tc>
      </w:tr>
    </w:tbl>
    <w:p w14:paraId="6E3F304C" w14:textId="77777777" w:rsidR="00B423AF" w:rsidRPr="00B423AF" w:rsidRDefault="00B423AF" w:rsidP="00B423AF">
      <w:pPr>
        <w:sectPr w:rsidR="00B423AF" w:rsidRPr="00B423AF">
          <w:footerReference w:type="even" r:id="rId8"/>
          <w:footerReference w:type="default" r:id="rId9"/>
          <w:pgSz w:w="11906" w:h="16838"/>
          <w:pgMar w:top="1440" w:right="1800" w:bottom="1440" w:left="1800" w:header="708" w:footer="708" w:gutter="0"/>
          <w:cols w:space="708"/>
          <w:titlePg/>
          <w:docGrid w:linePitch="360"/>
        </w:sectPr>
      </w:pPr>
    </w:p>
    <w:p w14:paraId="092CC880" w14:textId="77777777" w:rsidR="00D3776B" w:rsidRDefault="00D3776B" w:rsidP="00C13592">
      <w:pPr>
        <w:pStyle w:val="Heading1"/>
        <w:spacing w:line="240" w:lineRule="auto"/>
      </w:pPr>
      <w:bookmarkStart w:id="14" w:name="_Toc290886607"/>
      <w:bookmarkStart w:id="15" w:name="_Toc247361957"/>
      <w:bookmarkStart w:id="16" w:name="_Toc252529628"/>
      <w:bookmarkStart w:id="17" w:name="_Toc252539356"/>
      <w:r>
        <w:lastRenderedPageBreak/>
        <w:t>1. Introduction</w:t>
      </w:r>
      <w:bookmarkEnd w:id="14"/>
    </w:p>
    <w:p w14:paraId="161497C4" w14:textId="77777777" w:rsidR="00261804" w:rsidRDefault="00261804" w:rsidP="00261804">
      <w:r>
        <w:t xml:space="preserve">This paper is one of a series of background papers describing how disability services are organised and delivered in selected jurisdictions, to help inform how such services might be organised and delivered in </w:t>
      </w:r>
      <w:smartTag w:uri="urn:schemas-microsoft-com:office:smarttags" w:element="country-region">
        <w:smartTag w:uri="urn:schemas-microsoft-com:office:smarttags" w:element="place">
          <w:r>
            <w:t>Ireland</w:t>
          </w:r>
        </w:smartTag>
      </w:smartTag>
      <w:r>
        <w:t xml:space="preserve">. A composite report setting out key learning from across the six jurisdictions is also available </w:t>
      </w:r>
      <w:r w:rsidR="00C0120D">
        <w:t>www.nda.ie</w:t>
      </w:r>
      <w:r>
        <w:t xml:space="preserve">. This composite report also draws on additional literature from the </w:t>
      </w:r>
      <w:smartTag w:uri="urn:schemas-microsoft-com:office:smarttags" w:element="country-region">
        <w:smartTag w:uri="urn:schemas-microsoft-com:office:smarttags" w:element="place">
          <w:r>
            <w:t>US</w:t>
          </w:r>
        </w:smartTag>
      </w:smartTag>
      <w:r>
        <w:t xml:space="preserve"> and the National Disability Authority's (NDA) broader programme of work in the area of independent living for people with disabilities. </w:t>
      </w:r>
    </w:p>
    <w:p w14:paraId="2F0EF5B3" w14:textId="77777777" w:rsidR="00557839" w:rsidRDefault="00261804" w:rsidP="00557839">
      <w:r>
        <w:t xml:space="preserve">The jurisdictions were chosen after canvassing expert opinion on where there were opportunities for learning due to innovations in service procurement, design or delivery or evidence of quality. Data was collected for each jurisdiction under a common framework, although information was not always readily available across all elements of the framework for each jurisdiction.  The sources of information included published and web sources, as well as interviews with three key informants, with different roles, in each jurisdiction. The draft paper was checked for accuracy and completeness with a national expert in each of the countries studied. Readers are advised that a key finding from this project is that disability service systems in all of the selected jurisdictions are in transition, and in some areas systems are undergoing rapid development. We welcome any feedback on any of the jurisdictions investigated that can update or enhance these background papers. The jurisdictions investigated include those set out below and can be found at </w:t>
      </w:r>
      <w:hyperlink r:id="rId10" w:history="1">
        <w:r w:rsidR="00557839" w:rsidRPr="00F40700">
          <w:rPr>
            <w:rStyle w:val="Hyperlink"/>
          </w:rPr>
          <w:t>www.nda.ie</w:t>
        </w:r>
      </w:hyperlink>
      <w:r>
        <w:t>.</w:t>
      </w:r>
    </w:p>
    <w:p w14:paraId="6BF4900B" w14:textId="77777777" w:rsidR="00261804" w:rsidRDefault="00261804" w:rsidP="00557839">
      <w:pPr>
        <w:pStyle w:val="TableTitle"/>
      </w:pPr>
      <w:r>
        <w:br w:type="page"/>
      </w:r>
      <w:r>
        <w:lastRenderedPageBreak/>
        <w:t>Table 1 - Population in selected jurisdictions</w:t>
      </w:r>
    </w:p>
    <w:tbl>
      <w:tblPr>
        <w:tblW w:w="9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368"/>
        <w:gridCol w:w="1080"/>
        <w:gridCol w:w="1260"/>
        <w:gridCol w:w="1080"/>
        <w:gridCol w:w="1080"/>
        <w:gridCol w:w="1080"/>
        <w:gridCol w:w="1080"/>
        <w:gridCol w:w="1080"/>
      </w:tblGrid>
      <w:tr w:rsidR="00261804" w:rsidRPr="0042714A" w14:paraId="276B8EC1" w14:textId="77777777" w:rsidTr="00606BF5">
        <w:trPr>
          <w:tblHeader/>
        </w:trPr>
        <w:tc>
          <w:tcPr>
            <w:tcW w:w="1368" w:type="dxa"/>
            <w:tcBorders>
              <w:bottom w:val="single" w:sz="12" w:space="0" w:color="000000"/>
            </w:tcBorders>
            <w:shd w:val="clear" w:color="auto" w:fill="auto"/>
          </w:tcPr>
          <w:p w14:paraId="2046E2CB" w14:textId="77777777" w:rsidR="00261804" w:rsidRPr="0042714A" w:rsidRDefault="00261804" w:rsidP="001E330B">
            <w:pPr>
              <w:jc w:val="right"/>
            </w:pPr>
          </w:p>
        </w:tc>
        <w:tc>
          <w:tcPr>
            <w:tcW w:w="1080" w:type="dxa"/>
            <w:tcBorders>
              <w:bottom w:val="single" w:sz="12" w:space="0" w:color="000000"/>
            </w:tcBorders>
            <w:shd w:val="clear" w:color="auto" w:fill="auto"/>
          </w:tcPr>
          <w:p w14:paraId="5A7755B1" w14:textId="77777777" w:rsidR="00261804" w:rsidRPr="00606BF5" w:rsidRDefault="00261804" w:rsidP="00557839">
            <w:pPr>
              <w:pStyle w:val="TableHead"/>
              <w:rPr>
                <w:sz w:val="20"/>
                <w:szCs w:val="20"/>
              </w:rPr>
            </w:pPr>
            <w:smartTag w:uri="urn:schemas-microsoft-com:office:smarttags" w:element="place">
              <w:smartTag w:uri="urn:schemas-microsoft-com:office:smarttags" w:element="country-region">
                <w:r w:rsidRPr="00606BF5">
                  <w:rPr>
                    <w:sz w:val="20"/>
                    <w:szCs w:val="20"/>
                  </w:rPr>
                  <w:t>Ireland</w:t>
                </w:r>
              </w:smartTag>
            </w:smartTag>
            <w:r w:rsidRPr="00606BF5">
              <w:rPr>
                <w:sz w:val="20"/>
                <w:szCs w:val="20"/>
              </w:rPr>
              <w:t xml:space="preserve"> </w:t>
            </w:r>
            <w:r w:rsidRPr="00606BF5">
              <w:rPr>
                <w:rStyle w:val="FootnoteReference"/>
                <w:spacing w:val="-20"/>
                <w:sz w:val="20"/>
                <w:szCs w:val="20"/>
              </w:rPr>
              <w:footnoteReference w:id="1"/>
            </w:r>
          </w:p>
        </w:tc>
        <w:tc>
          <w:tcPr>
            <w:tcW w:w="1260" w:type="dxa"/>
            <w:tcBorders>
              <w:bottom w:val="single" w:sz="12" w:space="0" w:color="000000"/>
            </w:tcBorders>
            <w:shd w:val="clear" w:color="auto" w:fill="auto"/>
          </w:tcPr>
          <w:p w14:paraId="2F1F603D" w14:textId="77777777" w:rsidR="00261804" w:rsidRPr="00606BF5" w:rsidRDefault="00261804" w:rsidP="00557839">
            <w:pPr>
              <w:pStyle w:val="TableHead"/>
              <w:rPr>
                <w:sz w:val="20"/>
                <w:szCs w:val="20"/>
              </w:rPr>
            </w:pPr>
            <w:smartTag w:uri="urn:schemas-microsoft-com:office:smarttags" w:element="place">
              <w:smartTag w:uri="urn:schemas-microsoft-com:office:smarttags" w:element="country-region">
                <w:r w:rsidRPr="00606BF5">
                  <w:rPr>
                    <w:sz w:val="20"/>
                    <w:szCs w:val="20"/>
                  </w:rPr>
                  <w:t>England</w:t>
                </w:r>
              </w:smartTag>
            </w:smartTag>
            <w:r w:rsidRPr="00606BF5">
              <w:rPr>
                <w:sz w:val="20"/>
                <w:szCs w:val="20"/>
              </w:rPr>
              <w:t xml:space="preserve"> </w:t>
            </w:r>
            <w:r w:rsidRPr="00606BF5">
              <w:rPr>
                <w:rStyle w:val="FootnoteReference"/>
                <w:spacing w:val="-20"/>
                <w:sz w:val="20"/>
                <w:szCs w:val="20"/>
              </w:rPr>
              <w:footnoteReference w:id="2"/>
            </w:r>
          </w:p>
        </w:tc>
        <w:tc>
          <w:tcPr>
            <w:tcW w:w="1080" w:type="dxa"/>
            <w:tcBorders>
              <w:bottom w:val="single" w:sz="12" w:space="0" w:color="000000"/>
            </w:tcBorders>
            <w:shd w:val="clear" w:color="auto" w:fill="auto"/>
          </w:tcPr>
          <w:p w14:paraId="61BBBE14" w14:textId="77777777" w:rsidR="00261804" w:rsidRPr="00606BF5" w:rsidRDefault="00261804" w:rsidP="00557839">
            <w:pPr>
              <w:pStyle w:val="TableHead"/>
              <w:rPr>
                <w:sz w:val="20"/>
                <w:szCs w:val="20"/>
              </w:rPr>
            </w:pPr>
            <w:smartTag w:uri="urn:schemas-microsoft-com:office:smarttags" w:element="place">
              <w:smartTag w:uri="urn:schemas-microsoft-com:office:smarttags" w:element="country-region">
                <w:r w:rsidRPr="00606BF5">
                  <w:rPr>
                    <w:sz w:val="20"/>
                    <w:szCs w:val="20"/>
                  </w:rPr>
                  <w:t>Scotland</w:t>
                </w:r>
              </w:smartTag>
            </w:smartTag>
            <w:r w:rsidRPr="00606BF5">
              <w:rPr>
                <w:rStyle w:val="FootnoteReference"/>
                <w:spacing w:val="-20"/>
                <w:sz w:val="20"/>
                <w:szCs w:val="20"/>
              </w:rPr>
              <w:footnoteReference w:id="3"/>
            </w:r>
            <w:r w:rsidRPr="00606BF5">
              <w:rPr>
                <w:sz w:val="20"/>
                <w:szCs w:val="20"/>
              </w:rPr>
              <w:t xml:space="preserve"> </w:t>
            </w:r>
          </w:p>
        </w:tc>
        <w:tc>
          <w:tcPr>
            <w:tcW w:w="1080" w:type="dxa"/>
            <w:tcBorders>
              <w:bottom w:val="single" w:sz="12" w:space="0" w:color="000000"/>
            </w:tcBorders>
            <w:shd w:val="clear" w:color="auto" w:fill="auto"/>
          </w:tcPr>
          <w:p w14:paraId="7A77EEC3" w14:textId="77777777" w:rsidR="00261804" w:rsidRPr="00606BF5" w:rsidRDefault="00261804" w:rsidP="00557839">
            <w:pPr>
              <w:pStyle w:val="TableHead"/>
              <w:rPr>
                <w:sz w:val="20"/>
                <w:szCs w:val="20"/>
              </w:rPr>
            </w:pPr>
            <w:smartTag w:uri="urn:schemas-microsoft-com:office:smarttags" w:element="place">
              <w:smartTag w:uri="urn:schemas-microsoft-com:office:smarttags" w:element="country-region">
                <w:r w:rsidRPr="00606BF5">
                  <w:rPr>
                    <w:sz w:val="20"/>
                    <w:szCs w:val="20"/>
                  </w:rPr>
                  <w:t>Netherlands</w:t>
                </w:r>
              </w:smartTag>
            </w:smartTag>
            <w:r w:rsidRPr="00606BF5">
              <w:rPr>
                <w:rStyle w:val="FootnoteReference"/>
                <w:spacing w:val="-20"/>
                <w:sz w:val="20"/>
                <w:szCs w:val="20"/>
              </w:rPr>
              <w:footnoteReference w:id="4"/>
            </w:r>
            <w:r w:rsidRPr="00606BF5">
              <w:rPr>
                <w:sz w:val="20"/>
                <w:szCs w:val="20"/>
              </w:rPr>
              <w:t xml:space="preserve"> </w:t>
            </w:r>
          </w:p>
        </w:tc>
        <w:tc>
          <w:tcPr>
            <w:tcW w:w="1080" w:type="dxa"/>
            <w:tcBorders>
              <w:bottom w:val="single" w:sz="12" w:space="0" w:color="000000"/>
            </w:tcBorders>
            <w:shd w:val="clear" w:color="auto" w:fill="auto"/>
          </w:tcPr>
          <w:p w14:paraId="660FA573" w14:textId="77777777" w:rsidR="00261804" w:rsidRPr="00606BF5" w:rsidRDefault="00261804" w:rsidP="00557839">
            <w:pPr>
              <w:pStyle w:val="TableHead"/>
              <w:rPr>
                <w:sz w:val="20"/>
                <w:szCs w:val="20"/>
              </w:rPr>
            </w:pPr>
            <w:smartTag w:uri="urn:schemas-microsoft-com:office:smarttags" w:element="place">
              <w:smartTag w:uri="urn:schemas-microsoft-com:office:smarttags" w:element="country-region">
                <w:r w:rsidRPr="00606BF5">
                  <w:rPr>
                    <w:sz w:val="20"/>
                    <w:szCs w:val="20"/>
                  </w:rPr>
                  <w:t>Norway</w:t>
                </w:r>
              </w:smartTag>
            </w:smartTag>
            <w:r w:rsidRPr="00606BF5">
              <w:rPr>
                <w:rStyle w:val="FootnoteReference"/>
                <w:spacing w:val="-20"/>
                <w:sz w:val="20"/>
                <w:szCs w:val="20"/>
              </w:rPr>
              <w:footnoteReference w:id="5"/>
            </w:r>
            <w:r w:rsidRPr="00606BF5">
              <w:rPr>
                <w:sz w:val="20"/>
                <w:szCs w:val="20"/>
              </w:rPr>
              <w:t xml:space="preserve"> </w:t>
            </w:r>
          </w:p>
        </w:tc>
        <w:tc>
          <w:tcPr>
            <w:tcW w:w="1080" w:type="dxa"/>
            <w:tcBorders>
              <w:bottom w:val="single" w:sz="12" w:space="0" w:color="000000"/>
            </w:tcBorders>
            <w:shd w:val="clear" w:color="auto" w:fill="auto"/>
          </w:tcPr>
          <w:p w14:paraId="014B1B4D" w14:textId="77777777" w:rsidR="00261804" w:rsidRPr="00606BF5" w:rsidRDefault="00261804" w:rsidP="00557839">
            <w:pPr>
              <w:pStyle w:val="TableHead"/>
              <w:rPr>
                <w:sz w:val="20"/>
                <w:szCs w:val="20"/>
              </w:rPr>
            </w:pPr>
            <w:smartTag w:uri="urn:schemas-microsoft-com:office:smarttags" w:element="place">
              <w:smartTag w:uri="urn:schemas-microsoft-com:office:smarttags" w:element="State">
                <w:r w:rsidRPr="00606BF5">
                  <w:rPr>
                    <w:sz w:val="20"/>
                    <w:szCs w:val="20"/>
                  </w:rPr>
                  <w:t>Victoria</w:t>
                </w:r>
              </w:smartTag>
            </w:smartTag>
            <w:r w:rsidRPr="00606BF5">
              <w:rPr>
                <w:rStyle w:val="FootnoteReference"/>
                <w:spacing w:val="-20"/>
                <w:sz w:val="20"/>
                <w:szCs w:val="20"/>
              </w:rPr>
              <w:footnoteReference w:id="6"/>
            </w:r>
            <w:r w:rsidRPr="00606BF5">
              <w:rPr>
                <w:sz w:val="20"/>
                <w:szCs w:val="20"/>
              </w:rPr>
              <w:t xml:space="preserve"> </w:t>
            </w:r>
          </w:p>
        </w:tc>
        <w:tc>
          <w:tcPr>
            <w:tcW w:w="1080" w:type="dxa"/>
            <w:tcBorders>
              <w:bottom w:val="single" w:sz="12" w:space="0" w:color="000000"/>
            </w:tcBorders>
            <w:shd w:val="clear" w:color="auto" w:fill="auto"/>
          </w:tcPr>
          <w:p w14:paraId="39630961" w14:textId="77777777" w:rsidR="00261804" w:rsidRPr="00606BF5" w:rsidRDefault="00261804" w:rsidP="00557839">
            <w:pPr>
              <w:pStyle w:val="TableHead"/>
              <w:rPr>
                <w:sz w:val="20"/>
                <w:szCs w:val="20"/>
              </w:rPr>
            </w:pPr>
            <w:r w:rsidRPr="00606BF5">
              <w:rPr>
                <w:sz w:val="20"/>
                <w:szCs w:val="20"/>
              </w:rPr>
              <w:t>N. Zealand</w:t>
            </w:r>
            <w:r w:rsidRPr="00606BF5">
              <w:rPr>
                <w:rStyle w:val="FootnoteReference"/>
                <w:spacing w:val="-20"/>
                <w:sz w:val="20"/>
                <w:szCs w:val="20"/>
              </w:rPr>
              <w:footnoteReference w:id="7"/>
            </w:r>
            <w:r w:rsidRPr="00606BF5">
              <w:rPr>
                <w:sz w:val="20"/>
                <w:szCs w:val="20"/>
              </w:rPr>
              <w:t xml:space="preserve"> </w:t>
            </w:r>
          </w:p>
        </w:tc>
      </w:tr>
      <w:tr w:rsidR="00261804" w:rsidRPr="0042714A" w14:paraId="150EE7BB" w14:textId="77777777" w:rsidTr="00606BF5">
        <w:tc>
          <w:tcPr>
            <w:tcW w:w="1368" w:type="dxa"/>
            <w:tcBorders>
              <w:top w:val="single" w:sz="12" w:space="0" w:color="000000"/>
            </w:tcBorders>
            <w:shd w:val="clear" w:color="auto" w:fill="auto"/>
          </w:tcPr>
          <w:p w14:paraId="6450501D" w14:textId="77777777" w:rsidR="00261804" w:rsidRPr="00557839" w:rsidRDefault="00261804" w:rsidP="00557839">
            <w:pPr>
              <w:pStyle w:val="TableRowHead"/>
              <w:rPr>
                <w:sz w:val="22"/>
                <w:szCs w:val="22"/>
              </w:rPr>
            </w:pPr>
            <w:r w:rsidRPr="00557839">
              <w:rPr>
                <w:sz w:val="22"/>
                <w:szCs w:val="22"/>
              </w:rPr>
              <w:t>Total Population 2009</w:t>
            </w:r>
          </w:p>
        </w:tc>
        <w:tc>
          <w:tcPr>
            <w:tcW w:w="1080" w:type="dxa"/>
            <w:tcBorders>
              <w:top w:val="single" w:sz="12" w:space="0" w:color="000000"/>
            </w:tcBorders>
            <w:shd w:val="clear" w:color="auto" w:fill="auto"/>
          </w:tcPr>
          <w:p w14:paraId="781E45BE" w14:textId="77777777" w:rsidR="00261804" w:rsidRPr="0042714A" w:rsidRDefault="00261804" w:rsidP="001E330B">
            <w:pPr>
              <w:spacing w:after="120"/>
              <w:jc w:val="right"/>
              <w:rPr>
                <w:sz w:val="20"/>
                <w:szCs w:val="20"/>
              </w:rPr>
            </w:pPr>
            <w:r w:rsidRPr="0042714A">
              <w:rPr>
                <w:sz w:val="20"/>
                <w:szCs w:val="20"/>
              </w:rPr>
              <w:t>4.45m</w:t>
            </w:r>
            <w:r w:rsidRPr="0042714A">
              <w:rPr>
                <w:sz w:val="20"/>
                <w:szCs w:val="20"/>
              </w:rPr>
              <w:tab/>
            </w:r>
          </w:p>
        </w:tc>
        <w:tc>
          <w:tcPr>
            <w:tcW w:w="1260" w:type="dxa"/>
            <w:tcBorders>
              <w:top w:val="single" w:sz="12" w:space="0" w:color="000000"/>
            </w:tcBorders>
            <w:shd w:val="clear" w:color="auto" w:fill="auto"/>
          </w:tcPr>
          <w:p w14:paraId="3C6688BA" w14:textId="77777777" w:rsidR="00261804" w:rsidRPr="0042714A" w:rsidRDefault="00261804" w:rsidP="001E330B">
            <w:pPr>
              <w:spacing w:after="120"/>
              <w:jc w:val="right"/>
              <w:rPr>
                <w:sz w:val="20"/>
                <w:szCs w:val="20"/>
              </w:rPr>
            </w:pPr>
            <w:r w:rsidRPr="0042714A">
              <w:rPr>
                <w:sz w:val="20"/>
                <w:szCs w:val="20"/>
              </w:rPr>
              <w:t>51.81m</w:t>
            </w:r>
            <w:r w:rsidRPr="0042714A">
              <w:rPr>
                <w:sz w:val="20"/>
                <w:szCs w:val="20"/>
              </w:rPr>
              <w:tab/>
            </w:r>
          </w:p>
        </w:tc>
        <w:tc>
          <w:tcPr>
            <w:tcW w:w="1080" w:type="dxa"/>
            <w:tcBorders>
              <w:top w:val="single" w:sz="12" w:space="0" w:color="000000"/>
            </w:tcBorders>
            <w:shd w:val="clear" w:color="auto" w:fill="auto"/>
          </w:tcPr>
          <w:p w14:paraId="44982767" w14:textId="77777777" w:rsidR="00261804" w:rsidRPr="0042714A" w:rsidRDefault="00261804" w:rsidP="001E330B">
            <w:pPr>
              <w:spacing w:after="120"/>
              <w:jc w:val="right"/>
              <w:rPr>
                <w:sz w:val="20"/>
                <w:szCs w:val="20"/>
              </w:rPr>
            </w:pPr>
            <w:r w:rsidRPr="0042714A">
              <w:rPr>
                <w:sz w:val="20"/>
                <w:szCs w:val="20"/>
              </w:rPr>
              <w:t>5.19m</w:t>
            </w:r>
            <w:r w:rsidRPr="0042714A">
              <w:rPr>
                <w:sz w:val="20"/>
                <w:szCs w:val="20"/>
              </w:rPr>
              <w:tab/>
            </w:r>
          </w:p>
        </w:tc>
        <w:tc>
          <w:tcPr>
            <w:tcW w:w="1080" w:type="dxa"/>
            <w:tcBorders>
              <w:top w:val="single" w:sz="12" w:space="0" w:color="000000"/>
            </w:tcBorders>
            <w:shd w:val="clear" w:color="auto" w:fill="auto"/>
          </w:tcPr>
          <w:p w14:paraId="1C2C8079" w14:textId="77777777" w:rsidR="00261804" w:rsidRPr="0042714A" w:rsidRDefault="00261804" w:rsidP="001E330B">
            <w:pPr>
              <w:spacing w:after="120"/>
              <w:jc w:val="right"/>
              <w:rPr>
                <w:sz w:val="20"/>
                <w:szCs w:val="20"/>
              </w:rPr>
            </w:pPr>
            <w:r w:rsidRPr="0042714A">
              <w:rPr>
                <w:sz w:val="20"/>
                <w:szCs w:val="20"/>
              </w:rPr>
              <w:t>16.48m</w:t>
            </w:r>
            <w:r w:rsidRPr="0042714A">
              <w:rPr>
                <w:sz w:val="20"/>
                <w:szCs w:val="20"/>
              </w:rPr>
              <w:tab/>
            </w:r>
          </w:p>
        </w:tc>
        <w:tc>
          <w:tcPr>
            <w:tcW w:w="1080" w:type="dxa"/>
            <w:tcBorders>
              <w:top w:val="single" w:sz="12" w:space="0" w:color="000000"/>
            </w:tcBorders>
            <w:shd w:val="clear" w:color="auto" w:fill="auto"/>
          </w:tcPr>
          <w:p w14:paraId="72496491" w14:textId="77777777" w:rsidR="00261804" w:rsidRPr="0042714A" w:rsidRDefault="00261804" w:rsidP="001E330B">
            <w:pPr>
              <w:spacing w:after="120"/>
              <w:jc w:val="right"/>
              <w:rPr>
                <w:sz w:val="20"/>
                <w:szCs w:val="20"/>
              </w:rPr>
            </w:pPr>
            <w:r w:rsidRPr="0042714A">
              <w:rPr>
                <w:sz w:val="20"/>
                <w:szCs w:val="20"/>
              </w:rPr>
              <w:t>4.78m</w:t>
            </w:r>
            <w:r w:rsidRPr="0042714A">
              <w:rPr>
                <w:sz w:val="20"/>
                <w:szCs w:val="20"/>
              </w:rPr>
              <w:tab/>
            </w:r>
          </w:p>
        </w:tc>
        <w:tc>
          <w:tcPr>
            <w:tcW w:w="1080" w:type="dxa"/>
            <w:tcBorders>
              <w:top w:val="single" w:sz="12" w:space="0" w:color="000000"/>
            </w:tcBorders>
            <w:shd w:val="clear" w:color="auto" w:fill="auto"/>
          </w:tcPr>
          <w:p w14:paraId="04A3FAE0" w14:textId="77777777" w:rsidR="00261804" w:rsidRPr="0042714A" w:rsidRDefault="00261804" w:rsidP="001E330B">
            <w:pPr>
              <w:spacing w:after="120"/>
              <w:jc w:val="right"/>
              <w:rPr>
                <w:sz w:val="20"/>
                <w:szCs w:val="20"/>
              </w:rPr>
            </w:pPr>
            <w:r w:rsidRPr="0042714A">
              <w:rPr>
                <w:sz w:val="20"/>
                <w:szCs w:val="20"/>
              </w:rPr>
              <w:t>5.42m</w:t>
            </w:r>
            <w:r w:rsidRPr="0042714A">
              <w:rPr>
                <w:sz w:val="20"/>
                <w:szCs w:val="20"/>
              </w:rPr>
              <w:tab/>
            </w:r>
          </w:p>
        </w:tc>
        <w:tc>
          <w:tcPr>
            <w:tcW w:w="1080" w:type="dxa"/>
            <w:tcBorders>
              <w:top w:val="single" w:sz="12" w:space="0" w:color="000000"/>
            </w:tcBorders>
            <w:shd w:val="clear" w:color="auto" w:fill="auto"/>
          </w:tcPr>
          <w:p w14:paraId="21DC21F1" w14:textId="77777777" w:rsidR="00261804" w:rsidRPr="0042714A" w:rsidRDefault="00261804" w:rsidP="001E330B">
            <w:pPr>
              <w:spacing w:after="120"/>
              <w:jc w:val="right"/>
              <w:rPr>
                <w:sz w:val="20"/>
                <w:szCs w:val="20"/>
              </w:rPr>
            </w:pPr>
            <w:r w:rsidRPr="0042714A">
              <w:rPr>
                <w:sz w:val="20"/>
                <w:szCs w:val="20"/>
              </w:rPr>
              <w:t>4.32m</w:t>
            </w:r>
          </w:p>
        </w:tc>
      </w:tr>
      <w:tr w:rsidR="00261804" w:rsidRPr="0042714A" w14:paraId="3AB90D29" w14:textId="77777777" w:rsidTr="00606BF5">
        <w:tc>
          <w:tcPr>
            <w:tcW w:w="1368" w:type="dxa"/>
            <w:shd w:val="clear" w:color="auto" w:fill="auto"/>
          </w:tcPr>
          <w:p w14:paraId="77DCA7DA" w14:textId="77777777" w:rsidR="00261804" w:rsidRPr="00557839" w:rsidRDefault="00261804" w:rsidP="00557839">
            <w:pPr>
              <w:pStyle w:val="TableRowHead"/>
              <w:rPr>
                <w:sz w:val="22"/>
                <w:szCs w:val="22"/>
              </w:rPr>
            </w:pPr>
            <w:r w:rsidRPr="00557839">
              <w:rPr>
                <w:sz w:val="22"/>
                <w:szCs w:val="22"/>
              </w:rPr>
              <w:t xml:space="preserve">Ratio to </w:t>
            </w:r>
            <w:smartTag w:uri="urn:schemas-microsoft-com:office:smarttags" w:element="place">
              <w:smartTag w:uri="urn:schemas-microsoft-com:office:smarttags" w:element="country-region">
                <w:r w:rsidRPr="00557839">
                  <w:rPr>
                    <w:sz w:val="22"/>
                    <w:szCs w:val="22"/>
                  </w:rPr>
                  <w:t>Ireland</w:t>
                </w:r>
              </w:smartTag>
            </w:smartTag>
            <w:r w:rsidRPr="00557839">
              <w:rPr>
                <w:sz w:val="22"/>
                <w:szCs w:val="22"/>
              </w:rPr>
              <w:t xml:space="preserve"> </w:t>
            </w:r>
          </w:p>
        </w:tc>
        <w:tc>
          <w:tcPr>
            <w:tcW w:w="1080" w:type="dxa"/>
            <w:shd w:val="clear" w:color="auto" w:fill="auto"/>
          </w:tcPr>
          <w:p w14:paraId="67205BDE" w14:textId="77777777" w:rsidR="00261804" w:rsidRPr="0042714A" w:rsidRDefault="00261804" w:rsidP="001E330B">
            <w:pPr>
              <w:spacing w:after="120"/>
              <w:jc w:val="right"/>
              <w:rPr>
                <w:sz w:val="20"/>
                <w:szCs w:val="20"/>
              </w:rPr>
            </w:pPr>
            <w:r w:rsidRPr="0042714A">
              <w:rPr>
                <w:sz w:val="20"/>
                <w:szCs w:val="20"/>
              </w:rPr>
              <w:tab/>
              <w:t>1</w:t>
            </w:r>
            <w:r w:rsidRPr="0042714A">
              <w:rPr>
                <w:sz w:val="20"/>
                <w:szCs w:val="20"/>
              </w:rPr>
              <w:tab/>
            </w:r>
          </w:p>
        </w:tc>
        <w:tc>
          <w:tcPr>
            <w:tcW w:w="1260" w:type="dxa"/>
            <w:shd w:val="clear" w:color="auto" w:fill="auto"/>
          </w:tcPr>
          <w:p w14:paraId="5F712F49" w14:textId="77777777" w:rsidR="00261804" w:rsidRPr="0042714A" w:rsidRDefault="00261804" w:rsidP="001E330B">
            <w:pPr>
              <w:spacing w:after="120"/>
              <w:jc w:val="right"/>
              <w:rPr>
                <w:sz w:val="20"/>
                <w:szCs w:val="20"/>
              </w:rPr>
            </w:pPr>
            <w:r w:rsidRPr="0042714A">
              <w:rPr>
                <w:sz w:val="20"/>
                <w:szCs w:val="20"/>
              </w:rPr>
              <w:t>11.6</w:t>
            </w:r>
            <w:r w:rsidRPr="0042714A">
              <w:rPr>
                <w:sz w:val="20"/>
                <w:szCs w:val="20"/>
              </w:rPr>
              <w:tab/>
            </w:r>
          </w:p>
        </w:tc>
        <w:tc>
          <w:tcPr>
            <w:tcW w:w="1080" w:type="dxa"/>
            <w:shd w:val="clear" w:color="auto" w:fill="auto"/>
          </w:tcPr>
          <w:p w14:paraId="142FE2FB" w14:textId="77777777" w:rsidR="00261804" w:rsidRPr="0042714A" w:rsidRDefault="00261804" w:rsidP="001E330B">
            <w:pPr>
              <w:spacing w:after="120"/>
              <w:jc w:val="right"/>
              <w:rPr>
                <w:sz w:val="20"/>
                <w:szCs w:val="20"/>
              </w:rPr>
            </w:pPr>
            <w:r w:rsidRPr="0042714A">
              <w:rPr>
                <w:sz w:val="20"/>
                <w:szCs w:val="20"/>
              </w:rPr>
              <w:t>1.2</w:t>
            </w:r>
            <w:r w:rsidRPr="0042714A">
              <w:rPr>
                <w:sz w:val="20"/>
                <w:szCs w:val="20"/>
              </w:rPr>
              <w:tab/>
            </w:r>
          </w:p>
        </w:tc>
        <w:tc>
          <w:tcPr>
            <w:tcW w:w="1080" w:type="dxa"/>
            <w:shd w:val="clear" w:color="auto" w:fill="auto"/>
          </w:tcPr>
          <w:p w14:paraId="0C237A66" w14:textId="77777777" w:rsidR="00261804" w:rsidRPr="0042714A" w:rsidRDefault="00261804" w:rsidP="001E330B">
            <w:pPr>
              <w:spacing w:after="120"/>
              <w:jc w:val="right"/>
              <w:rPr>
                <w:sz w:val="20"/>
                <w:szCs w:val="20"/>
              </w:rPr>
            </w:pPr>
            <w:r w:rsidRPr="0042714A">
              <w:rPr>
                <w:sz w:val="20"/>
                <w:szCs w:val="20"/>
              </w:rPr>
              <w:t>3.7</w:t>
            </w:r>
            <w:r w:rsidRPr="0042714A">
              <w:rPr>
                <w:sz w:val="20"/>
                <w:szCs w:val="20"/>
              </w:rPr>
              <w:tab/>
            </w:r>
          </w:p>
        </w:tc>
        <w:tc>
          <w:tcPr>
            <w:tcW w:w="1080" w:type="dxa"/>
            <w:shd w:val="clear" w:color="auto" w:fill="auto"/>
          </w:tcPr>
          <w:p w14:paraId="481B4BE8" w14:textId="77777777" w:rsidR="00261804" w:rsidRPr="0042714A" w:rsidRDefault="00261804" w:rsidP="001E330B">
            <w:pPr>
              <w:spacing w:after="120"/>
              <w:jc w:val="right"/>
              <w:rPr>
                <w:sz w:val="20"/>
                <w:szCs w:val="20"/>
              </w:rPr>
            </w:pPr>
            <w:r w:rsidRPr="0042714A">
              <w:rPr>
                <w:sz w:val="20"/>
                <w:szCs w:val="20"/>
              </w:rPr>
              <w:t>1.1</w:t>
            </w:r>
            <w:r w:rsidRPr="0042714A">
              <w:rPr>
                <w:sz w:val="20"/>
                <w:szCs w:val="20"/>
              </w:rPr>
              <w:tab/>
            </w:r>
          </w:p>
        </w:tc>
        <w:tc>
          <w:tcPr>
            <w:tcW w:w="1080" w:type="dxa"/>
            <w:shd w:val="clear" w:color="auto" w:fill="auto"/>
          </w:tcPr>
          <w:p w14:paraId="5A3BED9A" w14:textId="77777777" w:rsidR="00261804" w:rsidRPr="0042714A" w:rsidRDefault="00261804" w:rsidP="001E330B">
            <w:pPr>
              <w:spacing w:after="120"/>
              <w:jc w:val="right"/>
              <w:rPr>
                <w:sz w:val="20"/>
                <w:szCs w:val="20"/>
              </w:rPr>
            </w:pPr>
            <w:r w:rsidRPr="0042714A">
              <w:rPr>
                <w:sz w:val="20"/>
                <w:szCs w:val="20"/>
              </w:rPr>
              <w:t>1.2</w:t>
            </w:r>
            <w:r w:rsidRPr="0042714A">
              <w:rPr>
                <w:sz w:val="20"/>
                <w:szCs w:val="20"/>
              </w:rPr>
              <w:tab/>
            </w:r>
          </w:p>
        </w:tc>
        <w:tc>
          <w:tcPr>
            <w:tcW w:w="1080" w:type="dxa"/>
            <w:shd w:val="clear" w:color="auto" w:fill="auto"/>
          </w:tcPr>
          <w:p w14:paraId="4817237B" w14:textId="77777777" w:rsidR="00261804" w:rsidRPr="0042714A" w:rsidRDefault="00261804" w:rsidP="001E330B">
            <w:pPr>
              <w:spacing w:after="120"/>
              <w:jc w:val="right"/>
              <w:rPr>
                <w:sz w:val="20"/>
                <w:szCs w:val="20"/>
              </w:rPr>
            </w:pPr>
            <w:r w:rsidRPr="0042714A">
              <w:rPr>
                <w:sz w:val="20"/>
                <w:szCs w:val="20"/>
              </w:rPr>
              <w:t>1.0</w:t>
            </w:r>
          </w:p>
        </w:tc>
      </w:tr>
    </w:tbl>
    <w:p w14:paraId="683AB1D0" w14:textId="77777777" w:rsidR="00261804" w:rsidRDefault="00261804" w:rsidP="00261804">
      <w:pPr>
        <w:pStyle w:val="TableNote"/>
      </w:pPr>
    </w:p>
    <w:p w14:paraId="2EC46330" w14:textId="77777777" w:rsidR="00261804" w:rsidRDefault="00204E28" w:rsidP="00C13592">
      <w:pPr>
        <w:pStyle w:val="Heading1"/>
        <w:spacing w:line="240" w:lineRule="auto"/>
      </w:pPr>
      <w:bookmarkStart w:id="18" w:name="_Toc269896049"/>
      <w:r>
        <w:br w:type="page"/>
      </w:r>
      <w:bookmarkStart w:id="19" w:name="_Toc290886608"/>
      <w:r w:rsidR="00261804">
        <w:lastRenderedPageBreak/>
        <w:t>2. Population</w:t>
      </w:r>
      <w:bookmarkEnd w:id="18"/>
      <w:bookmarkEnd w:id="19"/>
    </w:p>
    <w:p w14:paraId="3F1DEE1F" w14:textId="77777777" w:rsidR="00544D9F" w:rsidRDefault="00D3776B" w:rsidP="00C13592">
      <w:pPr>
        <w:pStyle w:val="Heading2"/>
        <w:spacing w:line="240" w:lineRule="auto"/>
      </w:pPr>
      <w:bookmarkStart w:id="20" w:name="_Toc252539357"/>
      <w:bookmarkStart w:id="21" w:name="_Toc290886609"/>
      <w:bookmarkEnd w:id="15"/>
      <w:bookmarkEnd w:id="16"/>
      <w:bookmarkEnd w:id="17"/>
      <w:r>
        <w:t>2</w:t>
      </w:r>
      <w:r w:rsidR="00544D9F">
        <w:t>.1 Population with a disability</w:t>
      </w:r>
      <w:bookmarkEnd w:id="20"/>
      <w:bookmarkEnd w:id="21"/>
      <w:r w:rsidR="00544D9F">
        <w:t xml:space="preserve"> </w:t>
      </w:r>
    </w:p>
    <w:p w14:paraId="7A44F240" w14:textId="77777777" w:rsidR="00606BF5" w:rsidRDefault="007B5DC5" w:rsidP="00606BF5">
      <w:r>
        <w:t>The 2001 Disability S</w:t>
      </w:r>
      <w:r w:rsidR="00544D9F">
        <w:t xml:space="preserve">urvey recorded that there were </w:t>
      </w:r>
      <w:r w:rsidR="00DA3757">
        <w:t xml:space="preserve">then </w:t>
      </w:r>
      <w:r w:rsidR="00544D9F">
        <w:t xml:space="preserve">716,500 adults and children with disabilities in </w:t>
      </w:r>
      <w:smartTag w:uri="urn:schemas-microsoft-com:office:smarttags" w:element="place">
        <w:smartTag w:uri="urn:schemas-microsoft-com:office:smarttags" w:element="country-region">
          <w:r w:rsidR="00544D9F">
            <w:t>New Zealand</w:t>
          </w:r>
        </w:smartTag>
      </w:smartTag>
      <w:r w:rsidR="00544D9F">
        <w:t xml:space="preserve"> out of a popula</w:t>
      </w:r>
      <w:r w:rsidR="00DA3757">
        <w:t>tion of 3,9</w:t>
      </w:r>
      <w:r w:rsidR="00AD3136">
        <w:t>00,000</w:t>
      </w:r>
      <w:r w:rsidR="00DA3757">
        <w:rPr>
          <w:rStyle w:val="FootnoteReference"/>
        </w:rPr>
        <w:footnoteReference w:id="8"/>
      </w:r>
      <w:r w:rsidR="00BA1D63">
        <w:t xml:space="preserve">. </w:t>
      </w:r>
      <w:r w:rsidR="00D2713D">
        <w:t xml:space="preserve">The population in 2010 is 4,372,000 broadly similar to </w:t>
      </w:r>
      <w:smartTag w:uri="urn:schemas-microsoft-com:office:smarttags" w:element="country-region">
        <w:smartTag w:uri="urn:schemas-microsoft-com:office:smarttags" w:element="place">
          <w:r w:rsidR="00D2713D">
            <w:t>Ireland</w:t>
          </w:r>
        </w:smartTag>
      </w:smartTag>
      <w:r w:rsidR="00D2713D">
        <w:t xml:space="preserve">'s. </w:t>
      </w:r>
      <w:r w:rsidR="00BA1D63">
        <w:t>Table 2</w:t>
      </w:r>
      <w:r w:rsidR="00544D9F">
        <w:t xml:space="preserve"> below provides a breakdown by disability type for adults bas</w:t>
      </w:r>
      <w:r w:rsidR="00720E98">
        <w:t>ed on the 2001 Disability Survey</w:t>
      </w:r>
      <w:r w:rsidR="00720E98">
        <w:rPr>
          <w:rStyle w:val="FootnoteReference"/>
        </w:rPr>
        <w:footnoteReference w:id="9"/>
      </w:r>
      <w:r w:rsidR="00BA1D63">
        <w:t>. Table 3</w:t>
      </w:r>
      <w:r w:rsidR="00544D9F">
        <w:t xml:space="preserve"> provides a breakdown of disability type in 2001 and 2006.</w:t>
      </w:r>
    </w:p>
    <w:p w14:paraId="420E7D08" w14:textId="77777777" w:rsidR="00544D9F" w:rsidRPr="00606BF5" w:rsidRDefault="001E330B" w:rsidP="00606BF5">
      <w:pPr>
        <w:pStyle w:val="TableTitle"/>
      </w:pPr>
      <w:r>
        <w:br w:type="page"/>
      </w:r>
      <w:r w:rsidR="00BA1D63" w:rsidRPr="00606BF5">
        <w:lastRenderedPageBreak/>
        <w:t>Table 2</w:t>
      </w:r>
      <w:r w:rsidR="007B5DC5" w:rsidRPr="00606BF5">
        <w:t xml:space="preserve">: Adults with </w:t>
      </w:r>
      <w:r w:rsidR="00AB0D94" w:rsidRPr="00606BF5">
        <w:t>disabilities</w:t>
      </w:r>
      <w:r w:rsidR="00544D9F" w:rsidRPr="00606BF5">
        <w:t xml:space="preserve"> by type 2001</w:t>
      </w:r>
      <w:r w:rsidR="00720E98">
        <w:rPr>
          <w:rStyle w:val="FootnoteReference"/>
          <w:rFonts w:cs="Arial"/>
          <w:b w:val="0"/>
          <w:sz w:val="20"/>
          <w:szCs w:val="20"/>
        </w:rPr>
        <w:footnoteReference w:id="10"/>
      </w:r>
    </w:p>
    <w:tbl>
      <w:tblPr>
        <w:tblW w:w="0" w:type="auto"/>
        <w:tblLook w:val="01E0" w:firstRow="1" w:lastRow="1" w:firstColumn="1" w:lastColumn="1" w:noHBand="0" w:noVBand="0"/>
      </w:tblPr>
      <w:tblGrid>
        <w:gridCol w:w="2172"/>
        <w:gridCol w:w="1294"/>
        <w:gridCol w:w="2487"/>
        <w:gridCol w:w="2353"/>
      </w:tblGrid>
      <w:tr w:rsidR="00544D9F" w:rsidRPr="007561E3" w14:paraId="6D2191EA" w14:textId="77777777">
        <w:tc>
          <w:tcPr>
            <w:tcW w:w="2215" w:type="dxa"/>
          </w:tcPr>
          <w:p w14:paraId="40DF7871" w14:textId="77777777" w:rsidR="00544D9F" w:rsidRPr="00606BF5" w:rsidRDefault="00544D9F" w:rsidP="00606BF5">
            <w:pPr>
              <w:pStyle w:val="TableHead"/>
              <w:rPr>
                <w:sz w:val="20"/>
                <w:szCs w:val="20"/>
              </w:rPr>
            </w:pPr>
            <w:r w:rsidRPr="00606BF5">
              <w:rPr>
                <w:sz w:val="20"/>
                <w:szCs w:val="20"/>
              </w:rPr>
              <w:t>Type of Disability</w:t>
            </w:r>
          </w:p>
        </w:tc>
        <w:tc>
          <w:tcPr>
            <w:tcW w:w="1308" w:type="dxa"/>
          </w:tcPr>
          <w:p w14:paraId="581C6D67" w14:textId="77777777" w:rsidR="00544D9F" w:rsidRPr="00606BF5" w:rsidRDefault="00544D9F" w:rsidP="00606BF5">
            <w:pPr>
              <w:pStyle w:val="TableHead"/>
              <w:rPr>
                <w:sz w:val="20"/>
                <w:szCs w:val="20"/>
              </w:rPr>
            </w:pPr>
            <w:r w:rsidRPr="00606BF5">
              <w:rPr>
                <w:sz w:val="20"/>
                <w:szCs w:val="20"/>
              </w:rPr>
              <w:t>Numbers</w:t>
            </w:r>
          </w:p>
        </w:tc>
        <w:tc>
          <w:tcPr>
            <w:tcW w:w="2571" w:type="dxa"/>
          </w:tcPr>
          <w:p w14:paraId="559DE6E7" w14:textId="77777777" w:rsidR="00544D9F" w:rsidRPr="00606BF5" w:rsidRDefault="00544D9F" w:rsidP="00606BF5">
            <w:pPr>
              <w:pStyle w:val="TableHead"/>
              <w:rPr>
                <w:sz w:val="20"/>
                <w:szCs w:val="20"/>
              </w:rPr>
            </w:pPr>
            <w:r w:rsidRPr="00606BF5">
              <w:rPr>
                <w:sz w:val="20"/>
                <w:szCs w:val="20"/>
              </w:rPr>
              <w:t>% of adult population with a disability</w:t>
            </w:r>
          </w:p>
        </w:tc>
        <w:tc>
          <w:tcPr>
            <w:tcW w:w="2428" w:type="dxa"/>
          </w:tcPr>
          <w:p w14:paraId="25B007A2" w14:textId="77777777" w:rsidR="00544D9F" w:rsidRPr="00606BF5" w:rsidRDefault="00544D9F" w:rsidP="00606BF5">
            <w:pPr>
              <w:pStyle w:val="TableHead"/>
              <w:rPr>
                <w:color w:val="000000"/>
                <w:sz w:val="20"/>
                <w:szCs w:val="20"/>
              </w:rPr>
            </w:pPr>
            <w:r w:rsidRPr="00606BF5">
              <w:rPr>
                <w:color w:val="000000"/>
                <w:sz w:val="20"/>
                <w:szCs w:val="20"/>
              </w:rPr>
              <w:t xml:space="preserve">% of overall adult population </w:t>
            </w:r>
          </w:p>
        </w:tc>
      </w:tr>
      <w:tr w:rsidR="00544D9F" w:rsidRPr="007561E3" w14:paraId="001A9C76" w14:textId="77777777">
        <w:tc>
          <w:tcPr>
            <w:tcW w:w="2215" w:type="dxa"/>
            <w:vAlign w:val="bottom"/>
          </w:tcPr>
          <w:p w14:paraId="3BE7A376" w14:textId="77777777" w:rsidR="00544D9F" w:rsidRPr="00606BF5" w:rsidRDefault="00544D9F" w:rsidP="00606BF5">
            <w:pPr>
              <w:pStyle w:val="TableRowHead"/>
              <w:rPr>
                <w:sz w:val="20"/>
                <w:szCs w:val="20"/>
              </w:rPr>
            </w:pPr>
            <w:r w:rsidRPr="00606BF5">
              <w:rPr>
                <w:sz w:val="20"/>
                <w:szCs w:val="20"/>
              </w:rPr>
              <w:t>Hearing</w:t>
            </w:r>
          </w:p>
        </w:tc>
        <w:tc>
          <w:tcPr>
            <w:tcW w:w="1308" w:type="dxa"/>
            <w:vAlign w:val="bottom"/>
          </w:tcPr>
          <w:p w14:paraId="4076BD9C" w14:textId="77777777" w:rsidR="00544D9F" w:rsidRPr="007561E3" w:rsidRDefault="00544D9F" w:rsidP="007B5DC5">
            <w:pPr>
              <w:spacing w:after="0"/>
              <w:jc w:val="right"/>
              <w:rPr>
                <w:rFonts w:cs="Arial"/>
                <w:sz w:val="20"/>
                <w:szCs w:val="20"/>
              </w:rPr>
            </w:pPr>
            <w:r w:rsidRPr="007561E3">
              <w:rPr>
                <w:rFonts w:cs="Arial"/>
                <w:sz w:val="20"/>
                <w:szCs w:val="20"/>
              </w:rPr>
              <w:t>212,500</w:t>
            </w:r>
          </w:p>
        </w:tc>
        <w:tc>
          <w:tcPr>
            <w:tcW w:w="2571" w:type="dxa"/>
            <w:vAlign w:val="bottom"/>
          </w:tcPr>
          <w:p w14:paraId="2654D80C" w14:textId="77777777" w:rsidR="00544D9F" w:rsidRPr="007561E3" w:rsidRDefault="00544D9F" w:rsidP="007B5DC5">
            <w:pPr>
              <w:spacing w:after="0"/>
              <w:jc w:val="right"/>
              <w:rPr>
                <w:rFonts w:cs="Arial"/>
                <w:sz w:val="20"/>
                <w:szCs w:val="20"/>
              </w:rPr>
            </w:pPr>
            <w:r w:rsidRPr="007561E3">
              <w:rPr>
                <w:rFonts w:cs="Arial"/>
                <w:sz w:val="20"/>
                <w:szCs w:val="20"/>
              </w:rPr>
              <w:t>34</w:t>
            </w:r>
          </w:p>
        </w:tc>
        <w:tc>
          <w:tcPr>
            <w:tcW w:w="2428" w:type="dxa"/>
          </w:tcPr>
          <w:p w14:paraId="1FF11E0D" w14:textId="77777777" w:rsidR="00544D9F" w:rsidRPr="007561E3" w:rsidRDefault="00544D9F" w:rsidP="007B5DC5">
            <w:pPr>
              <w:spacing w:after="0"/>
              <w:jc w:val="right"/>
              <w:rPr>
                <w:rFonts w:cs="Arial"/>
                <w:color w:val="000000"/>
                <w:sz w:val="20"/>
                <w:szCs w:val="20"/>
              </w:rPr>
            </w:pPr>
            <w:r w:rsidRPr="007561E3">
              <w:rPr>
                <w:rFonts w:cs="Arial"/>
                <w:color w:val="000000"/>
                <w:sz w:val="20"/>
                <w:szCs w:val="20"/>
              </w:rPr>
              <w:t>8</w:t>
            </w:r>
          </w:p>
        </w:tc>
      </w:tr>
      <w:tr w:rsidR="00544D9F" w:rsidRPr="007561E3" w14:paraId="2A7BBB79" w14:textId="77777777">
        <w:tc>
          <w:tcPr>
            <w:tcW w:w="2215" w:type="dxa"/>
            <w:vAlign w:val="bottom"/>
          </w:tcPr>
          <w:p w14:paraId="17F11623" w14:textId="77777777" w:rsidR="00544D9F" w:rsidRPr="00606BF5" w:rsidRDefault="00544D9F" w:rsidP="00606BF5">
            <w:pPr>
              <w:pStyle w:val="TableRowHead"/>
              <w:rPr>
                <w:sz w:val="20"/>
                <w:szCs w:val="20"/>
              </w:rPr>
            </w:pPr>
            <w:r w:rsidRPr="00606BF5">
              <w:rPr>
                <w:sz w:val="20"/>
                <w:szCs w:val="20"/>
              </w:rPr>
              <w:t>Seeing</w:t>
            </w:r>
          </w:p>
        </w:tc>
        <w:tc>
          <w:tcPr>
            <w:tcW w:w="1308" w:type="dxa"/>
            <w:vAlign w:val="bottom"/>
          </w:tcPr>
          <w:p w14:paraId="16EB0A32" w14:textId="77777777" w:rsidR="00544D9F" w:rsidRPr="007561E3" w:rsidRDefault="00544D9F" w:rsidP="007B5DC5">
            <w:pPr>
              <w:spacing w:after="0"/>
              <w:jc w:val="right"/>
              <w:rPr>
                <w:rFonts w:cs="Arial"/>
                <w:sz w:val="20"/>
                <w:szCs w:val="20"/>
              </w:rPr>
            </w:pPr>
            <w:r w:rsidRPr="007561E3">
              <w:rPr>
                <w:rFonts w:cs="Arial"/>
                <w:sz w:val="20"/>
                <w:szCs w:val="20"/>
              </w:rPr>
              <w:t>69,300</w:t>
            </w:r>
          </w:p>
        </w:tc>
        <w:tc>
          <w:tcPr>
            <w:tcW w:w="2571" w:type="dxa"/>
            <w:vAlign w:val="bottom"/>
          </w:tcPr>
          <w:p w14:paraId="51F2DAF7" w14:textId="77777777" w:rsidR="00544D9F" w:rsidRPr="007561E3" w:rsidRDefault="00544D9F" w:rsidP="007B5DC5">
            <w:pPr>
              <w:spacing w:after="0"/>
              <w:jc w:val="right"/>
              <w:rPr>
                <w:rFonts w:cs="Arial"/>
                <w:sz w:val="20"/>
                <w:szCs w:val="20"/>
              </w:rPr>
            </w:pPr>
            <w:r w:rsidRPr="007561E3">
              <w:rPr>
                <w:rFonts w:cs="Arial"/>
                <w:sz w:val="20"/>
                <w:szCs w:val="20"/>
              </w:rPr>
              <w:t>11</w:t>
            </w:r>
          </w:p>
        </w:tc>
        <w:tc>
          <w:tcPr>
            <w:tcW w:w="2428" w:type="dxa"/>
          </w:tcPr>
          <w:p w14:paraId="6CC7079B" w14:textId="77777777" w:rsidR="00544D9F" w:rsidRPr="007561E3" w:rsidRDefault="00544D9F" w:rsidP="007B5DC5">
            <w:pPr>
              <w:spacing w:after="0"/>
              <w:jc w:val="right"/>
              <w:rPr>
                <w:rFonts w:cs="Arial"/>
                <w:color w:val="000000"/>
                <w:sz w:val="20"/>
                <w:szCs w:val="20"/>
              </w:rPr>
            </w:pPr>
            <w:r w:rsidRPr="007561E3">
              <w:rPr>
                <w:rFonts w:cs="Arial"/>
                <w:color w:val="000000"/>
                <w:sz w:val="20"/>
                <w:szCs w:val="20"/>
              </w:rPr>
              <w:t>2</w:t>
            </w:r>
          </w:p>
        </w:tc>
      </w:tr>
      <w:tr w:rsidR="00544D9F" w:rsidRPr="007561E3" w14:paraId="3A21D531" w14:textId="77777777">
        <w:tc>
          <w:tcPr>
            <w:tcW w:w="2215" w:type="dxa"/>
            <w:vAlign w:val="bottom"/>
          </w:tcPr>
          <w:p w14:paraId="67D3D5AA" w14:textId="77777777" w:rsidR="00544D9F" w:rsidRPr="00606BF5" w:rsidRDefault="00544D9F" w:rsidP="00606BF5">
            <w:pPr>
              <w:pStyle w:val="TableRowHead"/>
              <w:rPr>
                <w:sz w:val="20"/>
                <w:szCs w:val="20"/>
              </w:rPr>
            </w:pPr>
            <w:r w:rsidRPr="00606BF5">
              <w:rPr>
                <w:sz w:val="20"/>
                <w:szCs w:val="20"/>
              </w:rPr>
              <w:t>Speaking</w:t>
            </w:r>
          </w:p>
        </w:tc>
        <w:tc>
          <w:tcPr>
            <w:tcW w:w="1308" w:type="dxa"/>
            <w:vAlign w:val="bottom"/>
          </w:tcPr>
          <w:p w14:paraId="44B8CA40" w14:textId="77777777" w:rsidR="00544D9F" w:rsidRPr="007561E3" w:rsidRDefault="00544D9F" w:rsidP="007B5DC5">
            <w:pPr>
              <w:spacing w:after="0"/>
              <w:jc w:val="right"/>
              <w:rPr>
                <w:rFonts w:cs="Arial"/>
                <w:sz w:val="20"/>
                <w:szCs w:val="20"/>
              </w:rPr>
            </w:pPr>
            <w:r w:rsidRPr="007561E3">
              <w:rPr>
                <w:rFonts w:cs="Arial"/>
                <w:sz w:val="20"/>
                <w:szCs w:val="20"/>
              </w:rPr>
              <w:t>42,500</w:t>
            </w:r>
          </w:p>
        </w:tc>
        <w:tc>
          <w:tcPr>
            <w:tcW w:w="2571" w:type="dxa"/>
            <w:vAlign w:val="bottom"/>
          </w:tcPr>
          <w:p w14:paraId="0033DDE2" w14:textId="77777777" w:rsidR="00544D9F" w:rsidRPr="007561E3" w:rsidRDefault="00544D9F" w:rsidP="007B5DC5">
            <w:pPr>
              <w:spacing w:after="0"/>
              <w:jc w:val="right"/>
              <w:rPr>
                <w:rFonts w:cs="Arial"/>
                <w:sz w:val="20"/>
                <w:szCs w:val="20"/>
              </w:rPr>
            </w:pPr>
            <w:r w:rsidRPr="007561E3">
              <w:rPr>
                <w:rFonts w:cs="Arial"/>
                <w:sz w:val="20"/>
                <w:szCs w:val="20"/>
              </w:rPr>
              <w:t>7</w:t>
            </w:r>
          </w:p>
        </w:tc>
        <w:tc>
          <w:tcPr>
            <w:tcW w:w="2428" w:type="dxa"/>
          </w:tcPr>
          <w:p w14:paraId="60D3D867" w14:textId="77777777" w:rsidR="00544D9F" w:rsidRPr="007561E3" w:rsidRDefault="00544D9F" w:rsidP="007B5DC5">
            <w:pPr>
              <w:spacing w:after="0"/>
              <w:jc w:val="right"/>
              <w:rPr>
                <w:rFonts w:cs="Arial"/>
                <w:color w:val="000000"/>
                <w:sz w:val="20"/>
                <w:szCs w:val="20"/>
              </w:rPr>
            </w:pPr>
            <w:r w:rsidRPr="007561E3">
              <w:rPr>
                <w:rFonts w:cs="Arial"/>
                <w:color w:val="000000"/>
                <w:sz w:val="20"/>
                <w:szCs w:val="20"/>
              </w:rPr>
              <w:t>2</w:t>
            </w:r>
          </w:p>
        </w:tc>
      </w:tr>
      <w:tr w:rsidR="00544D9F" w:rsidRPr="007561E3" w14:paraId="484D22CF" w14:textId="77777777">
        <w:tc>
          <w:tcPr>
            <w:tcW w:w="2215" w:type="dxa"/>
            <w:vAlign w:val="bottom"/>
          </w:tcPr>
          <w:p w14:paraId="3EFC7EA2" w14:textId="77777777" w:rsidR="00544D9F" w:rsidRPr="00606BF5" w:rsidRDefault="00544D9F" w:rsidP="00606BF5">
            <w:pPr>
              <w:pStyle w:val="TableRowHead"/>
              <w:rPr>
                <w:sz w:val="20"/>
                <w:szCs w:val="20"/>
              </w:rPr>
            </w:pPr>
            <w:r w:rsidRPr="00606BF5">
              <w:rPr>
                <w:sz w:val="20"/>
                <w:szCs w:val="20"/>
              </w:rPr>
              <w:t>Mobility</w:t>
            </w:r>
          </w:p>
        </w:tc>
        <w:tc>
          <w:tcPr>
            <w:tcW w:w="1308" w:type="dxa"/>
            <w:vAlign w:val="bottom"/>
          </w:tcPr>
          <w:p w14:paraId="7792F1C7" w14:textId="77777777" w:rsidR="00544D9F" w:rsidRPr="007561E3" w:rsidRDefault="00544D9F" w:rsidP="007B5DC5">
            <w:pPr>
              <w:spacing w:after="0"/>
              <w:jc w:val="right"/>
              <w:rPr>
                <w:rFonts w:cs="Arial"/>
                <w:sz w:val="20"/>
                <w:szCs w:val="20"/>
              </w:rPr>
            </w:pPr>
            <w:r w:rsidRPr="007561E3">
              <w:rPr>
                <w:rFonts w:cs="Arial"/>
                <w:sz w:val="20"/>
                <w:szCs w:val="20"/>
              </w:rPr>
              <w:t>346,300</w:t>
            </w:r>
          </w:p>
        </w:tc>
        <w:tc>
          <w:tcPr>
            <w:tcW w:w="2571" w:type="dxa"/>
            <w:vAlign w:val="bottom"/>
          </w:tcPr>
          <w:p w14:paraId="5B5252D5" w14:textId="77777777" w:rsidR="00544D9F" w:rsidRPr="007561E3" w:rsidRDefault="00544D9F" w:rsidP="007B5DC5">
            <w:pPr>
              <w:spacing w:after="0"/>
              <w:jc w:val="right"/>
              <w:rPr>
                <w:rFonts w:cs="Arial"/>
                <w:sz w:val="20"/>
                <w:szCs w:val="20"/>
              </w:rPr>
            </w:pPr>
            <w:r w:rsidRPr="007561E3">
              <w:rPr>
                <w:rFonts w:cs="Arial"/>
                <w:sz w:val="20"/>
                <w:szCs w:val="20"/>
              </w:rPr>
              <w:t>55</w:t>
            </w:r>
          </w:p>
        </w:tc>
        <w:tc>
          <w:tcPr>
            <w:tcW w:w="2428" w:type="dxa"/>
          </w:tcPr>
          <w:p w14:paraId="004092D2" w14:textId="77777777" w:rsidR="00544D9F" w:rsidRPr="007561E3" w:rsidRDefault="00544D9F" w:rsidP="007B5DC5">
            <w:pPr>
              <w:spacing w:after="0"/>
              <w:jc w:val="right"/>
              <w:rPr>
                <w:rFonts w:cs="Arial"/>
                <w:color w:val="000000"/>
                <w:sz w:val="20"/>
                <w:szCs w:val="20"/>
              </w:rPr>
            </w:pPr>
            <w:r w:rsidRPr="007561E3">
              <w:rPr>
                <w:rFonts w:cs="Arial"/>
                <w:color w:val="000000"/>
                <w:sz w:val="20"/>
                <w:szCs w:val="20"/>
              </w:rPr>
              <w:t>12</w:t>
            </w:r>
          </w:p>
        </w:tc>
      </w:tr>
      <w:tr w:rsidR="00544D9F" w:rsidRPr="007561E3" w14:paraId="3BB6B30F" w14:textId="77777777">
        <w:tc>
          <w:tcPr>
            <w:tcW w:w="2215" w:type="dxa"/>
            <w:vAlign w:val="bottom"/>
          </w:tcPr>
          <w:p w14:paraId="523D3298" w14:textId="77777777" w:rsidR="00544D9F" w:rsidRPr="00606BF5" w:rsidRDefault="00544D9F" w:rsidP="00606BF5">
            <w:pPr>
              <w:pStyle w:val="TableRowHead"/>
              <w:rPr>
                <w:sz w:val="20"/>
                <w:szCs w:val="20"/>
              </w:rPr>
            </w:pPr>
            <w:r w:rsidRPr="00606BF5">
              <w:rPr>
                <w:sz w:val="20"/>
                <w:szCs w:val="20"/>
              </w:rPr>
              <w:t>Agility</w:t>
            </w:r>
          </w:p>
        </w:tc>
        <w:tc>
          <w:tcPr>
            <w:tcW w:w="1308" w:type="dxa"/>
            <w:vAlign w:val="bottom"/>
          </w:tcPr>
          <w:p w14:paraId="10CADFD1" w14:textId="77777777" w:rsidR="00544D9F" w:rsidRPr="007561E3" w:rsidRDefault="00544D9F" w:rsidP="007B5DC5">
            <w:pPr>
              <w:spacing w:after="0"/>
              <w:jc w:val="right"/>
              <w:rPr>
                <w:rFonts w:cs="Arial"/>
                <w:sz w:val="20"/>
                <w:szCs w:val="20"/>
              </w:rPr>
            </w:pPr>
            <w:r w:rsidRPr="007561E3">
              <w:rPr>
                <w:rFonts w:cs="Arial"/>
                <w:sz w:val="20"/>
                <w:szCs w:val="20"/>
              </w:rPr>
              <w:t>270,900</w:t>
            </w:r>
          </w:p>
        </w:tc>
        <w:tc>
          <w:tcPr>
            <w:tcW w:w="2571" w:type="dxa"/>
            <w:vAlign w:val="bottom"/>
          </w:tcPr>
          <w:p w14:paraId="51F90C4C" w14:textId="77777777" w:rsidR="00544D9F" w:rsidRPr="007561E3" w:rsidRDefault="00544D9F" w:rsidP="007B5DC5">
            <w:pPr>
              <w:spacing w:after="0"/>
              <w:jc w:val="right"/>
              <w:rPr>
                <w:rFonts w:cs="Arial"/>
                <w:sz w:val="20"/>
                <w:szCs w:val="20"/>
              </w:rPr>
            </w:pPr>
            <w:r w:rsidRPr="007561E3">
              <w:rPr>
                <w:rFonts w:cs="Arial"/>
                <w:sz w:val="20"/>
                <w:szCs w:val="20"/>
              </w:rPr>
              <w:t>43</w:t>
            </w:r>
          </w:p>
        </w:tc>
        <w:tc>
          <w:tcPr>
            <w:tcW w:w="2428" w:type="dxa"/>
          </w:tcPr>
          <w:p w14:paraId="5A59A25D" w14:textId="77777777" w:rsidR="00544D9F" w:rsidRPr="007561E3" w:rsidRDefault="00544D9F" w:rsidP="007B5DC5">
            <w:pPr>
              <w:spacing w:after="0"/>
              <w:jc w:val="right"/>
              <w:rPr>
                <w:rFonts w:cs="Arial"/>
                <w:color w:val="000000"/>
                <w:sz w:val="20"/>
                <w:szCs w:val="20"/>
              </w:rPr>
            </w:pPr>
            <w:r w:rsidRPr="007561E3">
              <w:rPr>
                <w:rFonts w:cs="Arial"/>
                <w:color w:val="000000"/>
                <w:sz w:val="20"/>
                <w:szCs w:val="20"/>
              </w:rPr>
              <w:t>10</w:t>
            </w:r>
          </w:p>
        </w:tc>
      </w:tr>
      <w:tr w:rsidR="00544D9F" w:rsidRPr="007561E3" w14:paraId="4CEB3E62" w14:textId="77777777">
        <w:tc>
          <w:tcPr>
            <w:tcW w:w="2215" w:type="dxa"/>
            <w:vAlign w:val="bottom"/>
          </w:tcPr>
          <w:p w14:paraId="6B002827" w14:textId="77777777" w:rsidR="00544D9F" w:rsidRPr="00606BF5" w:rsidRDefault="00544D9F" w:rsidP="00606BF5">
            <w:pPr>
              <w:pStyle w:val="TableRowHead"/>
              <w:rPr>
                <w:sz w:val="20"/>
                <w:szCs w:val="20"/>
              </w:rPr>
            </w:pPr>
            <w:r w:rsidRPr="00606BF5">
              <w:rPr>
                <w:sz w:val="20"/>
                <w:szCs w:val="20"/>
              </w:rPr>
              <w:t>Intellectual</w:t>
            </w:r>
          </w:p>
        </w:tc>
        <w:tc>
          <w:tcPr>
            <w:tcW w:w="1308" w:type="dxa"/>
            <w:vAlign w:val="bottom"/>
          </w:tcPr>
          <w:p w14:paraId="00115AFB" w14:textId="77777777" w:rsidR="00544D9F" w:rsidRPr="007561E3" w:rsidRDefault="00544D9F" w:rsidP="007B5DC5">
            <w:pPr>
              <w:spacing w:after="0"/>
              <w:jc w:val="right"/>
              <w:rPr>
                <w:rFonts w:cs="Arial"/>
                <w:sz w:val="20"/>
                <w:szCs w:val="20"/>
              </w:rPr>
            </w:pPr>
            <w:r w:rsidRPr="007561E3">
              <w:rPr>
                <w:rFonts w:cs="Arial"/>
                <w:sz w:val="20"/>
                <w:szCs w:val="20"/>
              </w:rPr>
              <w:t>28,900</w:t>
            </w:r>
          </w:p>
        </w:tc>
        <w:tc>
          <w:tcPr>
            <w:tcW w:w="2571" w:type="dxa"/>
            <w:vAlign w:val="bottom"/>
          </w:tcPr>
          <w:p w14:paraId="34DBF792" w14:textId="77777777" w:rsidR="00544D9F" w:rsidRPr="007561E3" w:rsidRDefault="00544D9F" w:rsidP="007B5DC5">
            <w:pPr>
              <w:spacing w:after="0"/>
              <w:jc w:val="right"/>
              <w:rPr>
                <w:rFonts w:cs="Arial"/>
                <w:sz w:val="20"/>
                <w:szCs w:val="20"/>
              </w:rPr>
            </w:pPr>
            <w:r w:rsidRPr="007561E3">
              <w:rPr>
                <w:rFonts w:cs="Arial"/>
                <w:sz w:val="20"/>
                <w:szCs w:val="20"/>
              </w:rPr>
              <w:t>5</w:t>
            </w:r>
          </w:p>
        </w:tc>
        <w:tc>
          <w:tcPr>
            <w:tcW w:w="2428" w:type="dxa"/>
          </w:tcPr>
          <w:p w14:paraId="75B57234" w14:textId="77777777" w:rsidR="00544D9F" w:rsidRPr="007561E3" w:rsidRDefault="00544D9F" w:rsidP="007B5DC5">
            <w:pPr>
              <w:spacing w:after="0"/>
              <w:jc w:val="right"/>
              <w:rPr>
                <w:rFonts w:cs="Arial"/>
                <w:color w:val="000000"/>
                <w:sz w:val="20"/>
                <w:szCs w:val="20"/>
              </w:rPr>
            </w:pPr>
            <w:r w:rsidRPr="007561E3">
              <w:rPr>
                <w:rFonts w:cs="Arial"/>
                <w:color w:val="000000"/>
                <w:sz w:val="20"/>
                <w:szCs w:val="20"/>
              </w:rPr>
              <w:t>1</w:t>
            </w:r>
          </w:p>
        </w:tc>
      </w:tr>
      <w:tr w:rsidR="00544D9F" w:rsidRPr="007561E3" w14:paraId="711FCFC6" w14:textId="77777777">
        <w:tc>
          <w:tcPr>
            <w:tcW w:w="2215" w:type="dxa"/>
            <w:vAlign w:val="bottom"/>
          </w:tcPr>
          <w:p w14:paraId="77C51B6D" w14:textId="77777777" w:rsidR="00544D9F" w:rsidRPr="00606BF5" w:rsidRDefault="00544D9F" w:rsidP="00606BF5">
            <w:pPr>
              <w:pStyle w:val="TableRowHead"/>
              <w:rPr>
                <w:sz w:val="20"/>
                <w:szCs w:val="20"/>
              </w:rPr>
            </w:pPr>
            <w:r w:rsidRPr="00606BF5">
              <w:rPr>
                <w:sz w:val="20"/>
                <w:szCs w:val="20"/>
              </w:rPr>
              <w:t>Psychiatric / psychological</w:t>
            </w:r>
          </w:p>
        </w:tc>
        <w:tc>
          <w:tcPr>
            <w:tcW w:w="1308" w:type="dxa"/>
            <w:vAlign w:val="bottom"/>
          </w:tcPr>
          <w:p w14:paraId="5FBA1F07" w14:textId="77777777" w:rsidR="00544D9F" w:rsidRPr="007561E3" w:rsidRDefault="00544D9F" w:rsidP="007B5DC5">
            <w:pPr>
              <w:spacing w:after="0"/>
              <w:jc w:val="right"/>
              <w:rPr>
                <w:rFonts w:cs="Arial"/>
                <w:sz w:val="20"/>
                <w:szCs w:val="20"/>
              </w:rPr>
            </w:pPr>
            <w:r w:rsidRPr="007561E3">
              <w:rPr>
                <w:rFonts w:cs="Arial"/>
                <w:sz w:val="20"/>
                <w:szCs w:val="20"/>
              </w:rPr>
              <w:t>94,800</w:t>
            </w:r>
          </w:p>
        </w:tc>
        <w:tc>
          <w:tcPr>
            <w:tcW w:w="2571" w:type="dxa"/>
            <w:vAlign w:val="bottom"/>
          </w:tcPr>
          <w:p w14:paraId="02454842" w14:textId="77777777" w:rsidR="00544D9F" w:rsidRPr="007561E3" w:rsidRDefault="00544D9F" w:rsidP="007B5DC5">
            <w:pPr>
              <w:spacing w:after="0"/>
              <w:jc w:val="right"/>
              <w:rPr>
                <w:rFonts w:cs="Arial"/>
                <w:sz w:val="20"/>
                <w:szCs w:val="20"/>
              </w:rPr>
            </w:pPr>
            <w:r w:rsidRPr="007561E3">
              <w:rPr>
                <w:rFonts w:cs="Arial"/>
                <w:sz w:val="20"/>
                <w:szCs w:val="20"/>
              </w:rPr>
              <w:t>15</w:t>
            </w:r>
          </w:p>
        </w:tc>
        <w:tc>
          <w:tcPr>
            <w:tcW w:w="2428" w:type="dxa"/>
          </w:tcPr>
          <w:p w14:paraId="36F1B0FE" w14:textId="77777777" w:rsidR="00544D9F" w:rsidRPr="007561E3" w:rsidRDefault="00544D9F" w:rsidP="007B5DC5">
            <w:pPr>
              <w:spacing w:after="0"/>
              <w:jc w:val="right"/>
              <w:rPr>
                <w:rFonts w:cs="Arial"/>
                <w:color w:val="000000"/>
                <w:sz w:val="20"/>
                <w:szCs w:val="20"/>
              </w:rPr>
            </w:pPr>
            <w:r w:rsidRPr="007561E3">
              <w:rPr>
                <w:rFonts w:cs="Arial"/>
                <w:color w:val="000000"/>
                <w:sz w:val="20"/>
                <w:szCs w:val="20"/>
              </w:rPr>
              <w:t>3</w:t>
            </w:r>
          </w:p>
        </w:tc>
      </w:tr>
      <w:tr w:rsidR="00544D9F" w:rsidRPr="007561E3" w14:paraId="76111D23" w14:textId="77777777">
        <w:tc>
          <w:tcPr>
            <w:tcW w:w="2215" w:type="dxa"/>
            <w:vAlign w:val="bottom"/>
          </w:tcPr>
          <w:p w14:paraId="6C72C50E" w14:textId="77777777" w:rsidR="00544D9F" w:rsidRPr="00606BF5" w:rsidRDefault="00544D9F" w:rsidP="00606BF5">
            <w:pPr>
              <w:pStyle w:val="TableRowHead"/>
              <w:rPr>
                <w:sz w:val="20"/>
                <w:szCs w:val="20"/>
              </w:rPr>
            </w:pPr>
            <w:r w:rsidRPr="00606BF5">
              <w:rPr>
                <w:sz w:val="20"/>
                <w:szCs w:val="20"/>
              </w:rPr>
              <w:t>Learning</w:t>
            </w:r>
          </w:p>
        </w:tc>
        <w:tc>
          <w:tcPr>
            <w:tcW w:w="1308" w:type="dxa"/>
            <w:vAlign w:val="bottom"/>
          </w:tcPr>
          <w:p w14:paraId="09FE9A1B" w14:textId="77777777" w:rsidR="00544D9F" w:rsidRPr="007561E3" w:rsidRDefault="00544D9F" w:rsidP="007B5DC5">
            <w:pPr>
              <w:spacing w:after="0"/>
              <w:jc w:val="right"/>
              <w:rPr>
                <w:rFonts w:cs="Arial"/>
                <w:sz w:val="20"/>
                <w:szCs w:val="20"/>
              </w:rPr>
            </w:pPr>
            <w:r w:rsidRPr="007561E3">
              <w:rPr>
                <w:rFonts w:cs="Arial"/>
                <w:sz w:val="20"/>
                <w:szCs w:val="20"/>
              </w:rPr>
              <w:t>68,900</w:t>
            </w:r>
          </w:p>
        </w:tc>
        <w:tc>
          <w:tcPr>
            <w:tcW w:w="2571" w:type="dxa"/>
            <w:vAlign w:val="bottom"/>
          </w:tcPr>
          <w:p w14:paraId="076AC691" w14:textId="77777777" w:rsidR="00544D9F" w:rsidRPr="007561E3" w:rsidRDefault="00544D9F" w:rsidP="007B5DC5">
            <w:pPr>
              <w:spacing w:after="0"/>
              <w:jc w:val="right"/>
              <w:rPr>
                <w:rFonts w:cs="Arial"/>
                <w:sz w:val="20"/>
                <w:szCs w:val="20"/>
              </w:rPr>
            </w:pPr>
            <w:r w:rsidRPr="007561E3">
              <w:rPr>
                <w:rFonts w:cs="Arial"/>
                <w:sz w:val="20"/>
                <w:szCs w:val="20"/>
              </w:rPr>
              <w:t>11</w:t>
            </w:r>
          </w:p>
        </w:tc>
        <w:tc>
          <w:tcPr>
            <w:tcW w:w="2428" w:type="dxa"/>
          </w:tcPr>
          <w:p w14:paraId="26506A77" w14:textId="77777777" w:rsidR="00544D9F" w:rsidRPr="007561E3" w:rsidRDefault="00544D9F" w:rsidP="007B5DC5">
            <w:pPr>
              <w:spacing w:after="0"/>
              <w:jc w:val="right"/>
              <w:rPr>
                <w:rFonts w:cs="Arial"/>
                <w:color w:val="000000"/>
                <w:sz w:val="20"/>
                <w:szCs w:val="20"/>
              </w:rPr>
            </w:pPr>
            <w:r w:rsidRPr="007561E3">
              <w:rPr>
                <w:rFonts w:cs="Arial"/>
                <w:color w:val="000000"/>
                <w:sz w:val="20"/>
                <w:szCs w:val="20"/>
              </w:rPr>
              <w:t>2</w:t>
            </w:r>
          </w:p>
        </w:tc>
      </w:tr>
      <w:tr w:rsidR="00544D9F" w:rsidRPr="007561E3" w14:paraId="7D4A15A1" w14:textId="77777777">
        <w:tc>
          <w:tcPr>
            <w:tcW w:w="2215" w:type="dxa"/>
            <w:vAlign w:val="bottom"/>
          </w:tcPr>
          <w:p w14:paraId="0997B39D" w14:textId="77777777" w:rsidR="00544D9F" w:rsidRPr="00606BF5" w:rsidRDefault="00544D9F" w:rsidP="00606BF5">
            <w:pPr>
              <w:pStyle w:val="TableRowHead"/>
              <w:rPr>
                <w:sz w:val="20"/>
                <w:szCs w:val="20"/>
              </w:rPr>
            </w:pPr>
            <w:r w:rsidRPr="00606BF5">
              <w:rPr>
                <w:sz w:val="20"/>
                <w:szCs w:val="20"/>
              </w:rPr>
              <w:t>Remembering</w:t>
            </w:r>
          </w:p>
        </w:tc>
        <w:tc>
          <w:tcPr>
            <w:tcW w:w="1308" w:type="dxa"/>
            <w:vAlign w:val="bottom"/>
          </w:tcPr>
          <w:p w14:paraId="1BD25718" w14:textId="77777777" w:rsidR="00544D9F" w:rsidRPr="007561E3" w:rsidRDefault="00544D9F" w:rsidP="007B5DC5">
            <w:pPr>
              <w:spacing w:after="0"/>
              <w:jc w:val="right"/>
              <w:rPr>
                <w:rFonts w:cs="Arial"/>
                <w:sz w:val="20"/>
                <w:szCs w:val="20"/>
              </w:rPr>
            </w:pPr>
            <w:r w:rsidRPr="007561E3">
              <w:rPr>
                <w:rFonts w:cs="Arial"/>
                <w:sz w:val="20"/>
                <w:szCs w:val="20"/>
              </w:rPr>
              <w:t>88,400</w:t>
            </w:r>
          </w:p>
        </w:tc>
        <w:tc>
          <w:tcPr>
            <w:tcW w:w="2571" w:type="dxa"/>
            <w:vAlign w:val="bottom"/>
          </w:tcPr>
          <w:p w14:paraId="6F63EB03" w14:textId="77777777" w:rsidR="00544D9F" w:rsidRPr="007561E3" w:rsidRDefault="00544D9F" w:rsidP="007B5DC5">
            <w:pPr>
              <w:spacing w:after="0"/>
              <w:jc w:val="right"/>
              <w:rPr>
                <w:rFonts w:cs="Arial"/>
                <w:sz w:val="20"/>
                <w:szCs w:val="20"/>
              </w:rPr>
            </w:pPr>
            <w:r w:rsidRPr="007561E3">
              <w:rPr>
                <w:rFonts w:cs="Arial"/>
                <w:sz w:val="20"/>
                <w:szCs w:val="20"/>
              </w:rPr>
              <w:t>14</w:t>
            </w:r>
          </w:p>
        </w:tc>
        <w:tc>
          <w:tcPr>
            <w:tcW w:w="2428" w:type="dxa"/>
          </w:tcPr>
          <w:p w14:paraId="673BD43D" w14:textId="77777777" w:rsidR="00544D9F" w:rsidRPr="007561E3" w:rsidRDefault="00544D9F" w:rsidP="007B5DC5">
            <w:pPr>
              <w:spacing w:after="0"/>
              <w:jc w:val="right"/>
              <w:rPr>
                <w:rFonts w:cs="Arial"/>
                <w:color w:val="000000"/>
                <w:sz w:val="20"/>
                <w:szCs w:val="20"/>
              </w:rPr>
            </w:pPr>
            <w:r w:rsidRPr="007561E3">
              <w:rPr>
                <w:rFonts w:cs="Arial"/>
                <w:color w:val="000000"/>
                <w:sz w:val="20"/>
                <w:szCs w:val="20"/>
              </w:rPr>
              <w:t>3</w:t>
            </w:r>
          </w:p>
        </w:tc>
      </w:tr>
      <w:tr w:rsidR="00544D9F" w:rsidRPr="007561E3" w14:paraId="2900487E" w14:textId="77777777">
        <w:tc>
          <w:tcPr>
            <w:tcW w:w="2215" w:type="dxa"/>
            <w:vAlign w:val="bottom"/>
          </w:tcPr>
          <w:p w14:paraId="1E2CA9CA" w14:textId="77777777" w:rsidR="00544D9F" w:rsidRPr="00606BF5" w:rsidRDefault="00544D9F" w:rsidP="00606BF5">
            <w:pPr>
              <w:pStyle w:val="TableRowHead"/>
              <w:rPr>
                <w:sz w:val="20"/>
                <w:szCs w:val="20"/>
              </w:rPr>
            </w:pPr>
            <w:r w:rsidRPr="00606BF5">
              <w:rPr>
                <w:sz w:val="20"/>
                <w:szCs w:val="20"/>
              </w:rPr>
              <w:t>Other</w:t>
            </w:r>
          </w:p>
        </w:tc>
        <w:tc>
          <w:tcPr>
            <w:tcW w:w="1308" w:type="dxa"/>
            <w:vAlign w:val="bottom"/>
          </w:tcPr>
          <w:p w14:paraId="327A7E3B" w14:textId="77777777" w:rsidR="00544D9F" w:rsidRPr="007561E3" w:rsidRDefault="00544D9F" w:rsidP="007B5DC5">
            <w:pPr>
              <w:spacing w:after="0"/>
              <w:jc w:val="right"/>
              <w:rPr>
                <w:rFonts w:cs="Arial"/>
                <w:sz w:val="20"/>
                <w:szCs w:val="20"/>
              </w:rPr>
            </w:pPr>
            <w:r w:rsidRPr="007561E3">
              <w:rPr>
                <w:rFonts w:cs="Arial"/>
                <w:sz w:val="20"/>
                <w:szCs w:val="20"/>
              </w:rPr>
              <w:t>135,300</w:t>
            </w:r>
          </w:p>
        </w:tc>
        <w:tc>
          <w:tcPr>
            <w:tcW w:w="2571" w:type="dxa"/>
            <w:vAlign w:val="bottom"/>
          </w:tcPr>
          <w:p w14:paraId="20495ABA" w14:textId="77777777" w:rsidR="00544D9F" w:rsidRPr="007561E3" w:rsidRDefault="00544D9F" w:rsidP="007B5DC5">
            <w:pPr>
              <w:spacing w:after="0"/>
              <w:jc w:val="right"/>
              <w:rPr>
                <w:rFonts w:cs="Arial"/>
                <w:sz w:val="20"/>
                <w:szCs w:val="20"/>
              </w:rPr>
            </w:pPr>
            <w:r w:rsidRPr="007561E3">
              <w:rPr>
                <w:rFonts w:cs="Arial"/>
                <w:sz w:val="20"/>
                <w:szCs w:val="20"/>
              </w:rPr>
              <w:t>22</w:t>
            </w:r>
          </w:p>
        </w:tc>
        <w:tc>
          <w:tcPr>
            <w:tcW w:w="2428" w:type="dxa"/>
          </w:tcPr>
          <w:p w14:paraId="392A5B60" w14:textId="77777777" w:rsidR="00544D9F" w:rsidRPr="007561E3" w:rsidRDefault="00544D9F" w:rsidP="007B5DC5">
            <w:pPr>
              <w:spacing w:after="0"/>
              <w:jc w:val="right"/>
              <w:rPr>
                <w:rFonts w:cs="Arial"/>
                <w:color w:val="000000"/>
                <w:sz w:val="20"/>
                <w:szCs w:val="20"/>
              </w:rPr>
            </w:pPr>
            <w:r w:rsidRPr="007561E3">
              <w:rPr>
                <w:rFonts w:cs="Arial"/>
                <w:color w:val="000000"/>
                <w:sz w:val="20"/>
                <w:szCs w:val="20"/>
              </w:rPr>
              <w:t>5</w:t>
            </w:r>
          </w:p>
        </w:tc>
      </w:tr>
      <w:tr w:rsidR="00544D9F" w:rsidRPr="007561E3" w14:paraId="4E713472" w14:textId="77777777">
        <w:tc>
          <w:tcPr>
            <w:tcW w:w="2215" w:type="dxa"/>
            <w:vAlign w:val="bottom"/>
          </w:tcPr>
          <w:p w14:paraId="0AE9E2B8" w14:textId="77777777" w:rsidR="00544D9F" w:rsidRPr="00606BF5" w:rsidRDefault="00544D9F" w:rsidP="00606BF5">
            <w:pPr>
              <w:pStyle w:val="TableRowHead"/>
              <w:rPr>
                <w:sz w:val="20"/>
                <w:szCs w:val="20"/>
              </w:rPr>
            </w:pPr>
            <w:r w:rsidRPr="00606BF5">
              <w:rPr>
                <w:sz w:val="20"/>
                <w:szCs w:val="20"/>
              </w:rPr>
              <w:t>Total</w:t>
            </w:r>
          </w:p>
        </w:tc>
        <w:tc>
          <w:tcPr>
            <w:tcW w:w="1308" w:type="dxa"/>
            <w:vAlign w:val="bottom"/>
          </w:tcPr>
          <w:p w14:paraId="49AB5142" w14:textId="77777777" w:rsidR="00544D9F" w:rsidRPr="007561E3" w:rsidRDefault="00544D9F" w:rsidP="007B5DC5">
            <w:pPr>
              <w:spacing w:after="0"/>
              <w:jc w:val="right"/>
              <w:rPr>
                <w:rFonts w:cs="Arial"/>
                <w:b/>
                <w:sz w:val="20"/>
                <w:szCs w:val="20"/>
              </w:rPr>
            </w:pPr>
            <w:r w:rsidRPr="007561E3">
              <w:rPr>
                <w:rFonts w:cs="Arial"/>
                <w:b/>
                <w:sz w:val="20"/>
                <w:szCs w:val="20"/>
              </w:rPr>
              <w:t>626,500</w:t>
            </w:r>
          </w:p>
        </w:tc>
        <w:tc>
          <w:tcPr>
            <w:tcW w:w="2571" w:type="dxa"/>
            <w:vAlign w:val="bottom"/>
          </w:tcPr>
          <w:p w14:paraId="4C593574" w14:textId="77777777" w:rsidR="00544D9F" w:rsidRPr="007561E3" w:rsidRDefault="00544D9F" w:rsidP="007B5DC5">
            <w:pPr>
              <w:spacing w:after="0"/>
              <w:jc w:val="right"/>
              <w:rPr>
                <w:rFonts w:cs="Arial"/>
                <w:b/>
                <w:sz w:val="20"/>
                <w:szCs w:val="20"/>
              </w:rPr>
            </w:pPr>
            <w:r w:rsidRPr="007561E3">
              <w:rPr>
                <w:rFonts w:cs="Arial"/>
                <w:b/>
                <w:sz w:val="20"/>
                <w:szCs w:val="20"/>
              </w:rPr>
              <w:t>100</w:t>
            </w:r>
          </w:p>
        </w:tc>
        <w:tc>
          <w:tcPr>
            <w:tcW w:w="2428" w:type="dxa"/>
          </w:tcPr>
          <w:p w14:paraId="1564933C" w14:textId="77777777" w:rsidR="00544D9F" w:rsidRPr="007561E3" w:rsidRDefault="00544D9F" w:rsidP="007B5DC5">
            <w:pPr>
              <w:spacing w:after="0"/>
              <w:jc w:val="right"/>
              <w:rPr>
                <w:rFonts w:cs="Arial"/>
                <w:b/>
                <w:color w:val="000000"/>
                <w:sz w:val="20"/>
                <w:szCs w:val="20"/>
              </w:rPr>
            </w:pPr>
            <w:r w:rsidRPr="007561E3">
              <w:rPr>
                <w:rFonts w:cs="Arial"/>
                <w:b/>
                <w:color w:val="000000"/>
                <w:sz w:val="20"/>
                <w:szCs w:val="20"/>
              </w:rPr>
              <w:t>22</w:t>
            </w:r>
          </w:p>
        </w:tc>
      </w:tr>
    </w:tbl>
    <w:p w14:paraId="67F5D679" w14:textId="77777777" w:rsidR="00261804" w:rsidRDefault="00261804" w:rsidP="00606BF5">
      <w:pPr>
        <w:pStyle w:val="TableNote"/>
        <w:rPr>
          <w:rStyle w:val="TableTitleChar"/>
        </w:rPr>
      </w:pPr>
    </w:p>
    <w:p w14:paraId="5D31D0B9" w14:textId="77777777" w:rsidR="00544D9F" w:rsidRPr="007561E3" w:rsidRDefault="00BA1D63" w:rsidP="00C13592">
      <w:pPr>
        <w:spacing w:line="240" w:lineRule="auto"/>
        <w:jc w:val="center"/>
        <w:rPr>
          <w:rFonts w:cs="Arial"/>
          <w:b/>
          <w:sz w:val="20"/>
          <w:szCs w:val="20"/>
        </w:rPr>
      </w:pPr>
      <w:r>
        <w:rPr>
          <w:rStyle w:val="TableTitleChar"/>
        </w:rPr>
        <w:t>Table 3</w:t>
      </w:r>
      <w:r w:rsidR="00544D9F" w:rsidRPr="00261804">
        <w:rPr>
          <w:rStyle w:val="TableTitleChar"/>
        </w:rPr>
        <w:t>: Children with disabilities by type 2001 and 2006</w:t>
      </w:r>
      <w:r w:rsidR="00720E98">
        <w:rPr>
          <w:rStyle w:val="FootnoteReference"/>
          <w:rFonts w:cs="Arial"/>
          <w:b/>
          <w:sz w:val="20"/>
          <w:szCs w:val="20"/>
        </w:rPr>
        <w:footnoteReference w:id="11"/>
      </w:r>
    </w:p>
    <w:tbl>
      <w:tblPr>
        <w:tblW w:w="8568" w:type="dxa"/>
        <w:tblLook w:val="01E0" w:firstRow="1" w:lastRow="1" w:firstColumn="1" w:lastColumn="1" w:noHBand="0" w:noVBand="0"/>
      </w:tblPr>
      <w:tblGrid>
        <w:gridCol w:w="2268"/>
        <w:gridCol w:w="1620"/>
        <w:gridCol w:w="1620"/>
        <w:gridCol w:w="1620"/>
        <w:gridCol w:w="1440"/>
      </w:tblGrid>
      <w:tr w:rsidR="00544D9F" w:rsidRPr="007561E3" w14:paraId="626D9C6E" w14:textId="77777777">
        <w:tc>
          <w:tcPr>
            <w:tcW w:w="2268" w:type="dxa"/>
          </w:tcPr>
          <w:p w14:paraId="5B213135" w14:textId="77777777" w:rsidR="00544D9F" w:rsidRPr="007B5DC5" w:rsidRDefault="00544D9F" w:rsidP="00606BF5">
            <w:pPr>
              <w:pStyle w:val="TableHead"/>
            </w:pPr>
            <w:r w:rsidRPr="007B5DC5">
              <w:t>Disability type</w:t>
            </w:r>
          </w:p>
        </w:tc>
        <w:tc>
          <w:tcPr>
            <w:tcW w:w="1620" w:type="dxa"/>
          </w:tcPr>
          <w:p w14:paraId="23699C97" w14:textId="77777777" w:rsidR="00544D9F" w:rsidRPr="007B5DC5" w:rsidRDefault="00544D9F" w:rsidP="00606BF5">
            <w:pPr>
              <w:pStyle w:val="TableHead"/>
            </w:pPr>
            <w:r w:rsidRPr="007B5DC5">
              <w:t>2001</w:t>
            </w:r>
          </w:p>
        </w:tc>
        <w:tc>
          <w:tcPr>
            <w:tcW w:w="1620" w:type="dxa"/>
          </w:tcPr>
          <w:p w14:paraId="25A91AA2" w14:textId="77777777" w:rsidR="00544D9F" w:rsidRPr="007B5DC5" w:rsidRDefault="00544D9F" w:rsidP="00606BF5">
            <w:pPr>
              <w:pStyle w:val="TableHead"/>
            </w:pPr>
            <w:r w:rsidRPr="007B5DC5">
              <w:t>2001</w:t>
            </w:r>
          </w:p>
        </w:tc>
        <w:tc>
          <w:tcPr>
            <w:tcW w:w="1620" w:type="dxa"/>
          </w:tcPr>
          <w:p w14:paraId="636F8128" w14:textId="77777777" w:rsidR="00544D9F" w:rsidRPr="007B5DC5" w:rsidRDefault="00544D9F" w:rsidP="00606BF5">
            <w:pPr>
              <w:pStyle w:val="TableHead"/>
            </w:pPr>
            <w:r w:rsidRPr="007B5DC5">
              <w:t>2006</w:t>
            </w:r>
          </w:p>
        </w:tc>
        <w:tc>
          <w:tcPr>
            <w:tcW w:w="1440" w:type="dxa"/>
          </w:tcPr>
          <w:p w14:paraId="47BAC03C" w14:textId="77777777" w:rsidR="00544D9F" w:rsidRPr="007B5DC5" w:rsidRDefault="00544D9F" w:rsidP="00606BF5">
            <w:pPr>
              <w:pStyle w:val="TableHead"/>
            </w:pPr>
            <w:r w:rsidRPr="007B5DC5">
              <w:t>2006</w:t>
            </w:r>
          </w:p>
        </w:tc>
      </w:tr>
      <w:tr w:rsidR="00544D9F" w:rsidRPr="007561E3" w14:paraId="449A510D" w14:textId="77777777">
        <w:tc>
          <w:tcPr>
            <w:tcW w:w="2268" w:type="dxa"/>
          </w:tcPr>
          <w:p w14:paraId="2217119D" w14:textId="77777777" w:rsidR="00544D9F" w:rsidRPr="00606BF5" w:rsidRDefault="00544D9F" w:rsidP="00606BF5">
            <w:pPr>
              <w:pStyle w:val="TableRowHead"/>
              <w:rPr>
                <w:sz w:val="20"/>
                <w:szCs w:val="20"/>
              </w:rPr>
            </w:pPr>
          </w:p>
        </w:tc>
        <w:tc>
          <w:tcPr>
            <w:tcW w:w="1620" w:type="dxa"/>
          </w:tcPr>
          <w:p w14:paraId="6A0B6BDB" w14:textId="77777777" w:rsidR="00544D9F" w:rsidRPr="007561E3" w:rsidRDefault="00544D9F" w:rsidP="007B5DC5">
            <w:pPr>
              <w:spacing w:after="0"/>
              <w:jc w:val="right"/>
              <w:rPr>
                <w:rFonts w:cs="Arial"/>
                <w:sz w:val="20"/>
                <w:szCs w:val="20"/>
              </w:rPr>
            </w:pPr>
            <w:r w:rsidRPr="007561E3">
              <w:rPr>
                <w:rFonts w:cs="Arial"/>
                <w:sz w:val="20"/>
                <w:szCs w:val="20"/>
              </w:rPr>
              <w:t>'000</w:t>
            </w:r>
          </w:p>
        </w:tc>
        <w:tc>
          <w:tcPr>
            <w:tcW w:w="1620" w:type="dxa"/>
          </w:tcPr>
          <w:p w14:paraId="533596C3" w14:textId="77777777" w:rsidR="00544D9F" w:rsidRPr="007561E3" w:rsidRDefault="00544D9F" w:rsidP="007B5DC5">
            <w:pPr>
              <w:spacing w:after="0"/>
              <w:jc w:val="right"/>
              <w:rPr>
                <w:rFonts w:cs="Arial"/>
                <w:sz w:val="20"/>
                <w:szCs w:val="20"/>
              </w:rPr>
            </w:pPr>
            <w:r w:rsidRPr="007561E3">
              <w:rPr>
                <w:rFonts w:cs="Arial"/>
                <w:sz w:val="20"/>
                <w:szCs w:val="20"/>
              </w:rPr>
              <w:t>%</w:t>
            </w:r>
          </w:p>
        </w:tc>
        <w:tc>
          <w:tcPr>
            <w:tcW w:w="1620" w:type="dxa"/>
          </w:tcPr>
          <w:p w14:paraId="49E58763" w14:textId="77777777" w:rsidR="00544D9F" w:rsidRPr="007561E3" w:rsidRDefault="00544D9F" w:rsidP="007B5DC5">
            <w:pPr>
              <w:spacing w:after="0"/>
              <w:jc w:val="right"/>
              <w:rPr>
                <w:rFonts w:cs="Arial"/>
                <w:sz w:val="20"/>
                <w:szCs w:val="20"/>
              </w:rPr>
            </w:pPr>
            <w:r w:rsidRPr="007561E3">
              <w:rPr>
                <w:rFonts w:cs="Arial"/>
                <w:sz w:val="20"/>
                <w:szCs w:val="20"/>
              </w:rPr>
              <w:t>'000</w:t>
            </w:r>
          </w:p>
        </w:tc>
        <w:tc>
          <w:tcPr>
            <w:tcW w:w="1440" w:type="dxa"/>
          </w:tcPr>
          <w:p w14:paraId="0587C4EC" w14:textId="77777777" w:rsidR="00544D9F" w:rsidRPr="007561E3" w:rsidRDefault="00544D9F" w:rsidP="007B5DC5">
            <w:pPr>
              <w:spacing w:after="0"/>
              <w:jc w:val="right"/>
              <w:rPr>
                <w:rFonts w:cs="Arial"/>
                <w:sz w:val="20"/>
                <w:szCs w:val="20"/>
              </w:rPr>
            </w:pPr>
            <w:r w:rsidRPr="007561E3">
              <w:rPr>
                <w:rFonts w:cs="Arial"/>
                <w:sz w:val="20"/>
                <w:szCs w:val="20"/>
              </w:rPr>
              <w:t>%</w:t>
            </w:r>
          </w:p>
        </w:tc>
      </w:tr>
      <w:tr w:rsidR="00544D9F" w:rsidRPr="007561E3" w14:paraId="2E489321" w14:textId="77777777">
        <w:tc>
          <w:tcPr>
            <w:tcW w:w="2268" w:type="dxa"/>
          </w:tcPr>
          <w:p w14:paraId="6F2425DA" w14:textId="77777777" w:rsidR="00544D9F" w:rsidRPr="00606BF5" w:rsidRDefault="00544D9F" w:rsidP="00606BF5">
            <w:pPr>
              <w:pStyle w:val="TableRowHead"/>
              <w:rPr>
                <w:sz w:val="20"/>
                <w:szCs w:val="20"/>
              </w:rPr>
            </w:pPr>
            <w:r w:rsidRPr="00606BF5">
              <w:rPr>
                <w:sz w:val="20"/>
                <w:szCs w:val="20"/>
              </w:rPr>
              <w:t>Sensory</w:t>
            </w:r>
          </w:p>
        </w:tc>
        <w:tc>
          <w:tcPr>
            <w:tcW w:w="1620" w:type="dxa"/>
          </w:tcPr>
          <w:p w14:paraId="58CD1CFF" w14:textId="77777777" w:rsidR="00544D9F" w:rsidRPr="007561E3" w:rsidRDefault="00544D9F" w:rsidP="007B5DC5">
            <w:pPr>
              <w:spacing w:after="0"/>
              <w:jc w:val="right"/>
              <w:rPr>
                <w:rFonts w:cs="Arial"/>
                <w:sz w:val="20"/>
                <w:szCs w:val="20"/>
              </w:rPr>
            </w:pPr>
            <w:r w:rsidRPr="007561E3">
              <w:rPr>
                <w:rFonts w:cs="Arial"/>
                <w:sz w:val="20"/>
                <w:szCs w:val="20"/>
              </w:rPr>
              <w:t>29.9</w:t>
            </w:r>
          </w:p>
        </w:tc>
        <w:tc>
          <w:tcPr>
            <w:tcW w:w="1620" w:type="dxa"/>
          </w:tcPr>
          <w:p w14:paraId="4FDE45C4" w14:textId="77777777" w:rsidR="00544D9F" w:rsidRPr="007561E3" w:rsidRDefault="00544D9F" w:rsidP="007B5DC5">
            <w:pPr>
              <w:spacing w:after="0"/>
              <w:jc w:val="right"/>
              <w:rPr>
                <w:rFonts w:cs="Arial"/>
                <w:sz w:val="20"/>
                <w:szCs w:val="20"/>
              </w:rPr>
            </w:pPr>
            <w:r w:rsidRPr="007561E3">
              <w:rPr>
                <w:rFonts w:cs="Arial"/>
                <w:sz w:val="20"/>
                <w:szCs w:val="20"/>
              </w:rPr>
              <w:t>33.2</w:t>
            </w:r>
          </w:p>
        </w:tc>
        <w:tc>
          <w:tcPr>
            <w:tcW w:w="1620" w:type="dxa"/>
          </w:tcPr>
          <w:p w14:paraId="1D2755F5" w14:textId="77777777" w:rsidR="00544D9F" w:rsidRPr="007561E3" w:rsidRDefault="00544D9F" w:rsidP="007B5DC5">
            <w:pPr>
              <w:spacing w:after="0"/>
              <w:jc w:val="right"/>
              <w:rPr>
                <w:rFonts w:cs="Arial"/>
                <w:sz w:val="20"/>
                <w:szCs w:val="20"/>
              </w:rPr>
            </w:pPr>
            <w:r w:rsidRPr="007561E3">
              <w:rPr>
                <w:rFonts w:cs="Arial"/>
                <w:sz w:val="20"/>
                <w:szCs w:val="20"/>
              </w:rPr>
              <w:t>23.5</w:t>
            </w:r>
          </w:p>
        </w:tc>
        <w:tc>
          <w:tcPr>
            <w:tcW w:w="1440" w:type="dxa"/>
          </w:tcPr>
          <w:p w14:paraId="0919651C" w14:textId="77777777" w:rsidR="00544D9F" w:rsidRPr="007561E3" w:rsidRDefault="00544D9F" w:rsidP="007B5DC5">
            <w:pPr>
              <w:spacing w:after="0"/>
              <w:jc w:val="right"/>
              <w:rPr>
                <w:rFonts w:cs="Arial"/>
                <w:sz w:val="20"/>
                <w:szCs w:val="20"/>
              </w:rPr>
            </w:pPr>
            <w:r w:rsidRPr="007561E3">
              <w:rPr>
                <w:rFonts w:cs="Arial"/>
                <w:sz w:val="20"/>
                <w:szCs w:val="20"/>
              </w:rPr>
              <w:t>26.1</w:t>
            </w:r>
          </w:p>
        </w:tc>
      </w:tr>
      <w:tr w:rsidR="00544D9F" w:rsidRPr="007561E3" w14:paraId="1EBF5733" w14:textId="77777777">
        <w:tc>
          <w:tcPr>
            <w:tcW w:w="2268" w:type="dxa"/>
          </w:tcPr>
          <w:p w14:paraId="3141160E" w14:textId="77777777" w:rsidR="00544D9F" w:rsidRPr="00606BF5" w:rsidRDefault="00544D9F" w:rsidP="00606BF5">
            <w:pPr>
              <w:pStyle w:val="TableRowHead"/>
              <w:rPr>
                <w:sz w:val="20"/>
                <w:szCs w:val="20"/>
              </w:rPr>
            </w:pPr>
            <w:r w:rsidRPr="00606BF5">
              <w:rPr>
                <w:sz w:val="20"/>
                <w:szCs w:val="20"/>
              </w:rPr>
              <w:t>Use of Technical Equipment</w:t>
            </w:r>
          </w:p>
        </w:tc>
        <w:tc>
          <w:tcPr>
            <w:tcW w:w="1620" w:type="dxa"/>
          </w:tcPr>
          <w:p w14:paraId="28F7F25A" w14:textId="77777777" w:rsidR="00544D9F" w:rsidRPr="007561E3" w:rsidRDefault="00544D9F" w:rsidP="007B5DC5">
            <w:pPr>
              <w:spacing w:after="0"/>
              <w:jc w:val="right"/>
              <w:rPr>
                <w:rFonts w:cs="Arial"/>
                <w:sz w:val="20"/>
                <w:szCs w:val="20"/>
              </w:rPr>
            </w:pPr>
            <w:r w:rsidRPr="007561E3">
              <w:rPr>
                <w:rFonts w:cs="Arial"/>
                <w:sz w:val="20"/>
                <w:szCs w:val="20"/>
              </w:rPr>
              <w:t>4.6</w:t>
            </w:r>
          </w:p>
        </w:tc>
        <w:tc>
          <w:tcPr>
            <w:tcW w:w="1620" w:type="dxa"/>
          </w:tcPr>
          <w:p w14:paraId="4B192350" w14:textId="77777777" w:rsidR="00544D9F" w:rsidRPr="007561E3" w:rsidRDefault="00544D9F" w:rsidP="007B5DC5">
            <w:pPr>
              <w:spacing w:after="0"/>
              <w:jc w:val="right"/>
              <w:rPr>
                <w:rFonts w:cs="Arial"/>
                <w:sz w:val="20"/>
                <w:szCs w:val="20"/>
              </w:rPr>
            </w:pPr>
            <w:r w:rsidRPr="007561E3">
              <w:rPr>
                <w:rFonts w:cs="Arial"/>
                <w:sz w:val="20"/>
                <w:szCs w:val="20"/>
              </w:rPr>
              <w:t>5.1</w:t>
            </w:r>
          </w:p>
        </w:tc>
        <w:tc>
          <w:tcPr>
            <w:tcW w:w="1620" w:type="dxa"/>
          </w:tcPr>
          <w:p w14:paraId="1E6C8BE1" w14:textId="77777777" w:rsidR="00544D9F" w:rsidRPr="007561E3" w:rsidRDefault="00544D9F" w:rsidP="007B5DC5">
            <w:pPr>
              <w:spacing w:after="0"/>
              <w:jc w:val="right"/>
              <w:rPr>
                <w:rFonts w:cs="Arial"/>
                <w:sz w:val="20"/>
                <w:szCs w:val="20"/>
              </w:rPr>
            </w:pPr>
            <w:r w:rsidRPr="007561E3">
              <w:rPr>
                <w:rFonts w:cs="Arial"/>
                <w:sz w:val="20"/>
                <w:szCs w:val="20"/>
              </w:rPr>
              <w:t>9.5</w:t>
            </w:r>
          </w:p>
        </w:tc>
        <w:tc>
          <w:tcPr>
            <w:tcW w:w="1440" w:type="dxa"/>
          </w:tcPr>
          <w:p w14:paraId="453F0C15" w14:textId="77777777" w:rsidR="00544D9F" w:rsidRPr="007561E3" w:rsidRDefault="00544D9F" w:rsidP="007B5DC5">
            <w:pPr>
              <w:spacing w:after="0"/>
              <w:jc w:val="right"/>
              <w:rPr>
                <w:rFonts w:cs="Arial"/>
                <w:sz w:val="20"/>
                <w:szCs w:val="20"/>
              </w:rPr>
            </w:pPr>
            <w:r w:rsidRPr="007561E3">
              <w:rPr>
                <w:rFonts w:cs="Arial"/>
                <w:sz w:val="20"/>
                <w:szCs w:val="20"/>
              </w:rPr>
              <w:t>10.5</w:t>
            </w:r>
          </w:p>
        </w:tc>
      </w:tr>
      <w:tr w:rsidR="00544D9F" w:rsidRPr="007561E3" w14:paraId="648DAE29" w14:textId="77777777">
        <w:tc>
          <w:tcPr>
            <w:tcW w:w="2268" w:type="dxa"/>
          </w:tcPr>
          <w:p w14:paraId="2D8103A3" w14:textId="77777777" w:rsidR="00544D9F" w:rsidRPr="00606BF5" w:rsidRDefault="00544D9F" w:rsidP="00606BF5">
            <w:pPr>
              <w:pStyle w:val="TableRowHead"/>
              <w:rPr>
                <w:sz w:val="20"/>
                <w:szCs w:val="20"/>
              </w:rPr>
            </w:pPr>
            <w:r w:rsidRPr="00606BF5">
              <w:rPr>
                <w:sz w:val="20"/>
                <w:szCs w:val="20"/>
              </w:rPr>
              <w:t>Intellectual</w:t>
            </w:r>
          </w:p>
        </w:tc>
        <w:tc>
          <w:tcPr>
            <w:tcW w:w="1620" w:type="dxa"/>
          </w:tcPr>
          <w:p w14:paraId="49756253" w14:textId="77777777" w:rsidR="00544D9F" w:rsidRPr="007561E3" w:rsidRDefault="00544D9F" w:rsidP="007B5DC5">
            <w:pPr>
              <w:spacing w:after="0"/>
              <w:jc w:val="right"/>
              <w:rPr>
                <w:rFonts w:cs="Arial"/>
                <w:sz w:val="20"/>
                <w:szCs w:val="20"/>
              </w:rPr>
            </w:pPr>
            <w:r w:rsidRPr="007561E3">
              <w:rPr>
                <w:rFonts w:cs="Arial"/>
                <w:sz w:val="20"/>
                <w:szCs w:val="20"/>
              </w:rPr>
              <w:t>13.0</w:t>
            </w:r>
          </w:p>
        </w:tc>
        <w:tc>
          <w:tcPr>
            <w:tcW w:w="1620" w:type="dxa"/>
          </w:tcPr>
          <w:p w14:paraId="3749E963" w14:textId="77777777" w:rsidR="00544D9F" w:rsidRPr="007561E3" w:rsidRDefault="00544D9F" w:rsidP="007B5DC5">
            <w:pPr>
              <w:spacing w:after="0"/>
              <w:jc w:val="right"/>
              <w:rPr>
                <w:rFonts w:cs="Arial"/>
                <w:sz w:val="20"/>
                <w:szCs w:val="20"/>
              </w:rPr>
            </w:pPr>
            <w:r w:rsidRPr="007561E3">
              <w:rPr>
                <w:rFonts w:cs="Arial"/>
                <w:sz w:val="20"/>
                <w:szCs w:val="20"/>
              </w:rPr>
              <w:t>14.4</w:t>
            </w:r>
          </w:p>
        </w:tc>
        <w:tc>
          <w:tcPr>
            <w:tcW w:w="1620" w:type="dxa"/>
          </w:tcPr>
          <w:p w14:paraId="298B4FA3" w14:textId="77777777" w:rsidR="00544D9F" w:rsidRPr="007561E3" w:rsidRDefault="00544D9F" w:rsidP="007B5DC5">
            <w:pPr>
              <w:spacing w:after="0"/>
              <w:jc w:val="right"/>
              <w:rPr>
                <w:rFonts w:cs="Arial"/>
                <w:sz w:val="20"/>
                <w:szCs w:val="20"/>
              </w:rPr>
            </w:pPr>
            <w:r w:rsidRPr="007561E3">
              <w:rPr>
                <w:rFonts w:cs="Arial"/>
                <w:sz w:val="20"/>
                <w:szCs w:val="20"/>
              </w:rPr>
              <w:t>16.9</w:t>
            </w:r>
          </w:p>
        </w:tc>
        <w:tc>
          <w:tcPr>
            <w:tcW w:w="1440" w:type="dxa"/>
          </w:tcPr>
          <w:p w14:paraId="607ADD6E" w14:textId="77777777" w:rsidR="00544D9F" w:rsidRPr="007561E3" w:rsidRDefault="00544D9F" w:rsidP="007B5DC5">
            <w:pPr>
              <w:spacing w:after="0"/>
              <w:jc w:val="right"/>
              <w:rPr>
                <w:rFonts w:cs="Arial"/>
                <w:sz w:val="20"/>
                <w:szCs w:val="20"/>
              </w:rPr>
            </w:pPr>
            <w:r w:rsidRPr="007561E3">
              <w:rPr>
                <w:rFonts w:cs="Arial"/>
                <w:sz w:val="20"/>
                <w:szCs w:val="20"/>
              </w:rPr>
              <w:t>18.7</w:t>
            </w:r>
          </w:p>
        </w:tc>
      </w:tr>
      <w:tr w:rsidR="00544D9F" w:rsidRPr="007561E3" w14:paraId="7ACCFA00" w14:textId="77777777">
        <w:tc>
          <w:tcPr>
            <w:tcW w:w="2268" w:type="dxa"/>
          </w:tcPr>
          <w:p w14:paraId="2A5F35A2" w14:textId="77777777" w:rsidR="00544D9F" w:rsidRPr="00606BF5" w:rsidRDefault="00544D9F" w:rsidP="00606BF5">
            <w:pPr>
              <w:pStyle w:val="TableRowHead"/>
              <w:rPr>
                <w:sz w:val="20"/>
                <w:szCs w:val="20"/>
              </w:rPr>
            </w:pPr>
            <w:r w:rsidRPr="00606BF5">
              <w:rPr>
                <w:sz w:val="20"/>
                <w:szCs w:val="20"/>
              </w:rPr>
              <w:t>Psychiatric / Psychological</w:t>
            </w:r>
          </w:p>
        </w:tc>
        <w:tc>
          <w:tcPr>
            <w:tcW w:w="1620" w:type="dxa"/>
          </w:tcPr>
          <w:p w14:paraId="2199606B" w14:textId="77777777" w:rsidR="00544D9F" w:rsidRPr="007561E3" w:rsidRDefault="00544D9F" w:rsidP="007B5DC5">
            <w:pPr>
              <w:spacing w:after="0"/>
              <w:jc w:val="right"/>
              <w:rPr>
                <w:rFonts w:cs="Arial"/>
                <w:sz w:val="20"/>
                <w:szCs w:val="20"/>
              </w:rPr>
            </w:pPr>
            <w:r w:rsidRPr="007561E3">
              <w:rPr>
                <w:rFonts w:cs="Arial"/>
                <w:sz w:val="20"/>
                <w:szCs w:val="20"/>
              </w:rPr>
              <w:t>22.2</w:t>
            </w:r>
          </w:p>
        </w:tc>
        <w:tc>
          <w:tcPr>
            <w:tcW w:w="1620" w:type="dxa"/>
          </w:tcPr>
          <w:p w14:paraId="1414B72D" w14:textId="77777777" w:rsidR="00544D9F" w:rsidRPr="007561E3" w:rsidRDefault="00544D9F" w:rsidP="007B5DC5">
            <w:pPr>
              <w:spacing w:after="0"/>
              <w:jc w:val="right"/>
              <w:rPr>
                <w:rFonts w:cs="Arial"/>
                <w:sz w:val="20"/>
                <w:szCs w:val="20"/>
              </w:rPr>
            </w:pPr>
            <w:r w:rsidRPr="007561E3">
              <w:rPr>
                <w:rFonts w:cs="Arial"/>
                <w:sz w:val="20"/>
                <w:szCs w:val="20"/>
              </w:rPr>
              <w:t>24.6</w:t>
            </w:r>
          </w:p>
        </w:tc>
        <w:tc>
          <w:tcPr>
            <w:tcW w:w="1620" w:type="dxa"/>
          </w:tcPr>
          <w:p w14:paraId="79C3E5B4" w14:textId="77777777" w:rsidR="00544D9F" w:rsidRPr="007561E3" w:rsidRDefault="00544D9F" w:rsidP="007B5DC5">
            <w:pPr>
              <w:spacing w:after="0"/>
              <w:jc w:val="right"/>
              <w:rPr>
                <w:rFonts w:cs="Arial"/>
                <w:sz w:val="20"/>
                <w:szCs w:val="20"/>
              </w:rPr>
            </w:pPr>
            <w:r w:rsidRPr="007561E3">
              <w:rPr>
                <w:rFonts w:cs="Arial"/>
                <w:sz w:val="20"/>
                <w:szCs w:val="20"/>
              </w:rPr>
              <w:t>19.3</w:t>
            </w:r>
          </w:p>
        </w:tc>
        <w:tc>
          <w:tcPr>
            <w:tcW w:w="1440" w:type="dxa"/>
          </w:tcPr>
          <w:p w14:paraId="6B50189C" w14:textId="77777777" w:rsidR="00544D9F" w:rsidRPr="007561E3" w:rsidRDefault="00544D9F" w:rsidP="007B5DC5">
            <w:pPr>
              <w:spacing w:after="0"/>
              <w:jc w:val="right"/>
              <w:rPr>
                <w:rFonts w:cs="Arial"/>
                <w:sz w:val="20"/>
                <w:szCs w:val="20"/>
              </w:rPr>
            </w:pPr>
            <w:r w:rsidRPr="007561E3">
              <w:rPr>
                <w:rFonts w:cs="Arial"/>
                <w:sz w:val="20"/>
                <w:szCs w:val="20"/>
              </w:rPr>
              <w:t>21.4</w:t>
            </w:r>
          </w:p>
        </w:tc>
      </w:tr>
      <w:tr w:rsidR="00544D9F" w:rsidRPr="007561E3" w14:paraId="741250C2" w14:textId="77777777">
        <w:tc>
          <w:tcPr>
            <w:tcW w:w="2268" w:type="dxa"/>
          </w:tcPr>
          <w:p w14:paraId="249FD068" w14:textId="77777777" w:rsidR="00544D9F" w:rsidRPr="00606BF5" w:rsidRDefault="00544D9F" w:rsidP="00606BF5">
            <w:pPr>
              <w:pStyle w:val="TableRowHead"/>
              <w:rPr>
                <w:sz w:val="20"/>
                <w:szCs w:val="20"/>
              </w:rPr>
            </w:pPr>
            <w:r w:rsidRPr="00606BF5">
              <w:rPr>
                <w:sz w:val="20"/>
                <w:szCs w:val="20"/>
              </w:rPr>
              <w:t xml:space="preserve">Chronic Health Problem    </w:t>
            </w:r>
          </w:p>
        </w:tc>
        <w:tc>
          <w:tcPr>
            <w:tcW w:w="1620" w:type="dxa"/>
          </w:tcPr>
          <w:p w14:paraId="220AE9BE" w14:textId="77777777" w:rsidR="00544D9F" w:rsidRPr="007561E3" w:rsidRDefault="00544D9F" w:rsidP="007B5DC5">
            <w:pPr>
              <w:spacing w:after="0"/>
              <w:jc w:val="right"/>
              <w:rPr>
                <w:rFonts w:cs="Arial"/>
                <w:sz w:val="20"/>
                <w:szCs w:val="20"/>
              </w:rPr>
            </w:pPr>
            <w:r w:rsidRPr="007561E3">
              <w:rPr>
                <w:rFonts w:cs="Arial"/>
                <w:sz w:val="20"/>
                <w:szCs w:val="20"/>
              </w:rPr>
              <w:t>30.2</w:t>
            </w:r>
          </w:p>
        </w:tc>
        <w:tc>
          <w:tcPr>
            <w:tcW w:w="1620" w:type="dxa"/>
          </w:tcPr>
          <w:p w14:paraId="17B5EE33" w14:textId="77777777" w:rsidR="00544D9F" w:rsidRPr="007561E3" w:rsidRDefault="00544D9F" w:rsidP="007B5DC5">
            <w:pPr>
              <w:spacing w:after="0"/>
              <w:jc w:val="right"/>
              <w:rPr>
                <w:rFonts w:cs="Arial"/>
                <w:sz w:val="20"/>
                <w:szCs w:val="20"/>
              </w:rPr>
            </w:pPr>
            <w:r w:rsidRPr="007561E3">
              <w:rPr>
                <w:rFonts w:cs="Arial"/>
                <w:sz w:val="20"/>
                <w:szCs w:val="20"/>
              </w:rPr>
              <w:t>33.5</w:t>
            </w:r>
          </w:p>
        </w:tc>
        <w:tc>
          <w:tcPr>
            <w:tcW w:w="1620" w:type="dxa"/>
          </w:tcPr>
          <w:p w14:paraId="397FDBA4" w14:textId="77777777" w:rsidR="00544D9F" w:rsidRPr="007561E3" w:rsidRDefault="00544D9F" w:rsidP="007B5DC5">
            <w:pPr>
              <w:spacing w:after="0"/>
              <w:jc w:val="right"/>
              <w:rPr>
                <w:rFonts w:cs="Arial"/>
                <w:sz w:val="20"/>
                <w:szCs w:val="20"/>
              </w:rPr>
            </w:pPr>
            <w:r w:rsidRPr="007561E3">
              <w:rPr>
                <w:rFonts w:cs="Arial"/>
                <w:sz w:val="20"/>
                <w:szCs w:val="20"/>
              </w:rPr>
              <w:t>35</w:t>
            </w:r>
          </w:p>
        </w:tc>
        <w:tc>
          <w:tcPr>
            <w:tcW w:w="1440" w:type="dxa"/>
          </w:tcPr>
          <w:p w14:paraId="7919F67F" w14:textId="77777777" w:rsidR="00544D9F" w:rsidRPr="007561E3" w:rsidRDefault="00544D9F" w:rsidP="007B5DC5">
            <w:pPr>
              <w:spacing w:after="0"/>
              <w:jc w:val="right"/>
              <w:rPr>
                <w:rFonts w:cs="Arial"/>
                <w:sz w:val="20"/>
                <w:szCs w:val="20"/>
              </w:rPr>
            </w:pPr>
            <w:r w:rsidRPr="007561E3">
              <w:rPr>
                <w:rFonts w:cs="Arial"/>
                <w:sz w:val="20"/>
                <w:szCs w:val="20"/>
              </w:rPr>
              <w:t>38.8</w:t>
            </w:r>
          </w:p>
        </w:tc>
      </w:tr>
      <w:tr w:rsidR="00544D9F" w:rsidRPr="007561E3" w14:paraId="4EF3F4BC" w14:textId="77777777">
        <w:tc>
          <w:tcPr>
            <w:tcW w:w="2268" w:type="dxa"/>
          </w:tcPr>
          <w:p w14:paraId="7DB10E98" w14:textId="77777777" w:rsidR="00544D9F" w:rsidRPr="00606BF5" w:rsidRDefault="00544D9F" w:rsidP="00606BF5">
            <w:pPr>
              <w:pStyle w:val="TableRowHead"/>
              <w:rPr>
                <w:sz w:val="20"/>
                <w:szCs w:val="20"/>
              </w:rPr>
            </w:pPr>
            <w:r w:rsidRPr="00606BF5">
              <w:rPr>
                <w:sz w:val="20"/>
                <w:szCs w:val="20"/>
              </w:rPr>
              <w:t>Other</w:t>
            </w:r>
          </w:p>
        </w:tc>
        <w:tc>
          <w:tcPr>
            <w:tcW w:w="1620" w:type="dxa"/>
          </w:tcPr>
          <w:p w14:paraId="0C89E19F" w14:textId="77777777" w:rsidR="00544D9F" w:rsidRPr="007561E3" w:rsidRDefault="00544D9F" w:rsidP="007B5DC5">
            <w:pPr>
              <w:spacing w:after="0"/>
              <w:jc w:val="right"/>
              <w:rPr>
                <w:rFonts w:cs="Arial"/>
                <w:sz w:val="20"/>
                <w:szCs w:val="20"/>
              </w:rPr>
            </w:pPr>
            <w:r w:rsidRPr="007561E3">
              <w:rPr>
                <w:rFonts w:cs="Arial"/>
                <w:sz w:val="20"/>
                <w:szCs w:val="20"/>
              </w:rPr>
              <w:t>52.0</w:t>
            </w:r>
          </w:p>
        </w:tc>
        <w:tc>
          <w:tcPr>
            <w:tcW w:w="1620" w:type="dxa"/>
          </w:tcPr>
          <w:p w14:paraId="20A142BE" w14:textId="77777777" w:rsidR="00544D9F" w:rsidRPr="007561E3" w:rsidRDefault="00544D9F" w:rsidP="007B5DC5">
            <w:pPr>
              <w:spacing w:after="0"/>
              <w:jc w:val="right"/>
              <w:rPr>
                <w:rFonts w:cs="Arial"/>
                <w:sz w:val="20"/>
                <w:szCs w:val="20"/>
              </w:rPr>
            </w:pPr>
            <w:r w:rsidRPr="007561E3">
              <w:rPr>
                <w:rFonts w:cs="Arial"/>
                <w:sz w:val="20"/>
                <w:szCs w:val="20"/>
              </w:rPr>
              <w:t>57.7</w:t>
            </w:r>
          </w:p>
        </w:tc>
        <w:tc>
          <w:tcPr>
            <w:tcW w:w="1620" w:type="dxa"/>
          </w:tcPr>
          <w:p w14:paraId="658A2C6B" w14:textId="77777777" w:rsidR="00544D9F" w:rsidRPr="007561E3" w:rsidRDefault="00544D9F" w:rsidP="007B5DC5">
            <w:pPr>
              <w:spacing w:after="0"/>
              <w:jc w:val="right"/>
              <w:rPr>
                <w:rFonts w:cs="Arial"/>
                <w:sz w:val="20"/>
                <w:szCs w:val="20"/>
              </w:rPr>
            </w:pPr>
            <w:r w:rsidRPr="007561E3">
              <w:rPr>
                <w:rFonts w:cs="Arial"/>
                <w:sz w:val="20"/>
                <w:szCs w:val="20"/>
              </w:rPr>
              <w:t>54.8</w:t>
            </w:r>
          </w:p>
        </w:tc>
        <w:tc>
          <w:tcPr>
            <w:tcW w:w="1440" w:type="dxa"/>
          </w:tcPr>
          <w:p w14:paraId="00D6E3F6" w14:textId="77777777" w:rsidR="00544D9F" w:rsidRPr="007561E3" w:rsidRDefault="00544D9F" w:rsidP="007B5DC5">
            <w:pPr>
              <w:spacing w:after="0"/>
              <w:jc w:val="right"/>
              <w:rPr>
                <w:rFonts w:cs="Arial"/>
                <w:sz w:val="20"/>
                <w:szCs w:val="20"/>
              </w:rPr>
            </w:pPr>
            <w:r w:rsidRPr="007561E3">
              <w:rPr>
                <w:rFonts w:cs="Arial"/>
                <w:sz w:val="20"/>
                <w:szCs w:val="20"/>
              </w:rPr>
              <w:t>60.8</w:t>
            </w:r>
          </w:p>
        </w:tc>
      </w:tr>
      <w:tr w:rsidR="00544D9F" w:rsidRPr="007561E3" w14:paraId="7A50B84A" w14:textId="77777777">
        <w:trPr>
          <w:trHeight w:val="201"/>
        </w:trPr>
        <w:tc>
          <w:tcPr>
            <w:tcW w:w="2268" w:type="dxa"/>
          </w:tcPr>
          <w:p w14:paraId="0000BC20" w14:textId="77777777" w:rsidR="00544D9F" w:rsidRPr="00606BF5" w:rsidRDefault="00544D9F" w:rsidP="00606BF5">
            <w:pPr>
              <w:pStyle w:val="TableRowHead"/>
              <w:rPr>
                <w:sz w:val="20"/>
                <w:szCs w:val="20"/>
              </w:rPr>
            </w:pPr>
            <w:r w:rsidRPr="00606BF5">
              <w:rPr>
                <w:sz w:val="20"/>
                <w:szCs w:val="20"/>
              </w:rPr>
              <w:t xml:space="preserve">Total </w:t>
            </w:r>
          </w:p>
        </w:tc>
        <w:tc>
          <w:tcPr>
            <w:tcW w:w="1620" w:type="dxa"/>
          </w:tcPr>
          <w:p w14:paraId="373DBED0" w14:textId="77777777" w:rsidR="00544D9F" w:rsidRPr="00025A7D" w:rsidRDefault="00544D9F" w:rsidP="007B5DC5">
            <w:pPr>
              <w:spacing w:after="0"/>
              <w:jc w:val="right"/>
              <w:rPr>
                <w:rFonts w:cs="Arial"/>
                <w:b/>
                <w:sz w:val="20"/>
                <w:szCs w:val="20"/>
              </w:rPr>
            </w:pPr>
            <w:r w:rsidRPr="00025A7D">
              <w:rPr>
                <w:rFonts w:cs="Arial"/>
                <w:b/>
                <w:sz w:val="20"/>
                <w:szCs w:val="20"/>
              </w:rPr>
              <w:t xml:space="preserve"> 90.0</w:t>
            </w:r>
          </w:p>
        </w:tc>
        <w:tc>
          <w:tcPr>
            <w:tcW w:w="1620" w:type="dxa"/>
          </w:tcPr>
          <w:p w14:paraId="56CE0B54" w14:textId="77777777" w:rsidR="00544D9F" w:rsidRPr="00025A7D" w:rsidRDefault="00544D9F" w:rsidP="007B5DC5">
            <w:pPr>
              <w:spacing w:after="0"/>
              <w:jc w:val="right"/>
              <w:rPr>
                <w:rFonts w:cs="Arial"/>
                <w:b/>
                <w:sz w:val="20"/>
                <w:szCs w:val="20"/>
              </w:rPr>
            </w:pPr>
            <w:r w:rsidRPr="00025A7D">
              <w:rPr>
                <w:rFonts w:cs="Arial"/>
                <w:b/>
                <w:sz w:val="20"/>
                <w:szCs w:val="20"/>
              </w:rPr>
              <w:t>100</w:t>
            </w:r>
          </w:p>
        </w:tc>
        <w:tc>
          <w:tcPr>
            <w:tcW w:w="1620" w:type="dxa"/>
          </w:tcPr>
          <w:p w14:paraId="39956E02" w14:textId="77777777" w:rsidR="00544D9F" w:rsidRPr="00025A7D" w:rsidRDefault="00544D9F" w:rsidP="007B5DC5">
            <w:pPr>
              <w:spacing w:after="0"/>
              <w:jc w:val="right"/>
              <w:rPr>
                <w:rFonts w:cs="Arial"/>
                <w:b/>
                <w:sz w:val="20"/>
                <w:szCs w:val="20"/>
              </w:rPr>
            </w:pPr>
            <w:r w:rsidRPr="00025A7D">
              <w:rPr>
                <w:rFonts w:cs="Arial"/>
                <w:b/>
                <w:sz w:val="20"/>
                <w:szCs w:val="20"/>
              </w:rPr>
              <w:t>90</w:t>
            </w:r>
          </w:p>
        </w:tc>
        <w:tc>
          <w:tcPr>
            <w:tcW w:w="1440" w:type="dxa"/>
          </w:tcPr>
          <w:p w14:paraId="34AA0A0F" w14:textId="77777777" w:rsidR="00544D9F" w:rsidRPr="00025A7D" w:rsidRDefault="00544D9F" w:rsidP="007B5DC5">
            <w:pPr>
              <w:spacing w:after="0"/>
              <w:jc w:val="right"/>
              <w:rPr>
                <w:rFonts w:cs="Arial"/>
                <w:b/>
                <w:sz w:val="20"/>
                <w:szCs w:val="20"/>
              </w:rPr>
            </w:pPr>
            <w:r w:rsidRPr="00025A7D">
              <w:rPr>
                <w:rFonts w:cs="Arial"/>
                <w:b/>
                <w:sz w:val="20"/>
                <w:szCs w:val="20"/>
              </w:rPr>
              <w:t>100</w:t>
            </w:r>
          </w:p>
        </w:tc>
      </w:tr>
    </w:tbl>
    <w:p w14:paraId="05BADCBB" w14:textId="77777777" w:rsidR="00544D9F" w:rsidRDefault="00544D9F" w:rsidP="00544D9F"/>
    <w:p w14:paraId="6CB2B07F" w14:textId="77777777" w:rsidR="00544D9F" w:rsidRDefault="00D3776B" w:rsidP="00C13592">
      <w:pPr>
        <w:pStyle w:val="Heading2"/>
        <w:spacing w:line="240" w:lineRule="auto"/>
      </w:pPr>
      <w:bookmarkStart w:id="22" w:name="_Toc252539358"/>
      <w:bookmarkStart w:id="23" w:name="_Toc290886610"/>
      <w:r>
        <w:lastRenderedPageBreak/>
        <w:t>2</w:t>
      </w:r>
      <w:r w:rsidR="00544D9F">
        <w:t>.2 Disability service providers per person</w:t>
      </w:r>
      <w:bookmarkEnd w:id="22"/>
      <w:bookmarkEnd w:id="23"/>
      <w:r w:rsidR="00544D9F">
        <w:t xml:space="preserve"> </w:t>
      </w:r>
    </w:p>
    <w:p w14:paraId="1E29EBAE" w14:textId="77777777" w:rsidR="00544D9F" w:rsidRPr="00544D9F" w:rsidRDefault="00544D9F" w:rsidP="00544D9F">
      <w:r>
        <w:t>To give a sense of how ma</w:t>
      </w:r>
      <w:r w:rsidR="004328CC">
        <w:t>n</w:t>
      </w:r>
      <w:r>
        <w:t>y service providers deliver major elements of DSS at a regional</w:t>
      </w:r>
      <w:r w:rsidR="006C1F42">
        <w:t xml:space="preserve"> level,</w:t>
      </w:r>
      <w:r>
        <w:t xml:space="preserve"> the table below sets out the number of providers in the Auckland and Northland region</w:t>
      </w:r>
      <w:r w:rsidR="006C1F42">
        <w:rPr>
          <w:rStyle w:val="FootnoteReference"/>
        </w:rPr>
        <w:footnoteReference w:id="12"/>
      </w:r>
      <w:r>
        <w:t xml:space="preserve">, which has combined population of </w:t>
      </w:r>
      <w:r w:rsidR="007E6BD4">
        <w:t>just under 570, 000</w:t>
      </w:r>
      <w:r>
        <w:t>.</w:t>
      </w:r>
    </w:p>
    <w:p w14:paraId="49432948" w14:textId="77777777" w:rsidR="007E6BD4" w:rsidRPr="00193877" w:rsidRDefault="00544D9F" w:rsidP="00C13592">
      <w:pPr>
        <w:pStyle w:val="TableTitle"/>
        <w:spacing w:line="240" w:lineRule="auto"/>
      </w:pPr>
      <w:r w:rsidRPr="00193877">
        <w:t xml:space="preserve">Table </w:t>
      </w:r>
      <w:r w:rsidR="00BA1D63">
        <w:t>4</w:t>
      </w:r>
      <w:r w:rsidRPr="00193877">
        <w:t>: Number of service providers in sample region</w:t>
      </w:r>
    </w:p>
    <w:tbl>
      <w:tblPr>
        <w:tblW w:w="0" w:type="auto"/>
        <w:tblLook w:val="01E0" w:firstRow="1" w:lastRow="1" w:firstColumn="1" w:lastColumn="1" w:noHBand="0" w:noVBand="0"/>
      </w:tblPr>
      <w:tblGrid>
        <w:gridCol w:w="3393"/>
        <w:gridCol w:w="2590"/>
        <w:gridCol w:w="2323"/>
      </w:tblGrid>
      <w:tr w:rsidR="00544D9F" w14:paraId="40784519" w14:textId="77777777">
        <w:tc>
          <w:tcPr>
            <w:tcW w:w="3484" w:type="dxa"/>
          </w:tcPr>
          <w:p w14:paraId="30939C67" w14:textId="77777777" w:rsidR="00544D9F" w:rsidRPr="00606BF5" w:rsidRDefault="00544D9F" w:rsidP="00606BF5">
            <w:pPr>
              <w:pStyle w:val="TableHead"/>
              <w:rPr>
                <w:sz w:val="20"/>
                <w:szCs w:val="20"/>
              </w:rPr>
            </w:pPr>
            <w:r w:rsidRPr="00606BF5">
              <w:rPr>
                <w:sz w:val="20"/>
                <w:szCs w:val="20"/>
              </w:rPr>
              <w:t>Service providers in Auckland and Northland DHBs funded by Disability Services, a part of Health and Disability National Services of the Ministry of Health</w:t>
            </w:r>
          </w:p>
        </w:tc>
        <w:tc>
          <w:tcPr>
            <w:tcW w:w="2662" w:type="dxa"/>
          </w:tcPr>
          <w:p w14:paraId="29E3EED1" w14:textId="77777777" w:rsidR="00544D9F" w:rsidRPr="00606BF5" w:rsidRDefault="00544D9F" w:rsidP="00606BF5">
            <w:pPr>
              <w:pStyle w:val="TableHead"/>
              <w:rPr>
                <w:sz w:val="20"/>
                <w:szCs w:val="20"/>
              </w:rPr>
            </w:pPr>
            <w:r w:rsidRPr="00606BF5">
              <w:rPr>
                <w:sz w:val="20"/>
                <w:szCs w:val="20"/>
              </w:rPr>
              <w:t>Number of service providers</w:t>
            </w:r>
          </w:p>
        </w:tc>
        <w:tc>
          <w:tcPr>
            <w:tcW w:w="2376" w:type="dxa"/>
          </w:tcPr>
          <w:p w14:paraId="284D81C6" w14:textId="77777777" w:rsidR="00544D9F" w:rsidRPr="00606BF5" w:rsidRDefault="00544D9F" w:rsidP="00606BF5">
            <w:pPr>
              <w:pStyle w:val="TableHead"/>
              <w:rPr>
                <w:color w:val="000000"/>
                <w:sz w:val="20"/>
                <w:szCs w:val="20"/>
              </w:rPr>
            </w:pPr>
            <w:r w:rsidRPr="00606BF5">
              <w:rPr>
                <w:color w:val="000000"/>
                <w:sz w:val="20"/>
                <w:szCs w:val="20"/>
              </w:rPr>
              <w:t>Head of population per service provider</w:t>
            </w:r>
          </w:p>
        </w:tc>
      </w:tr>
      <w:tr w:rsidR="00544D9F" w14:paraId="1E0E926F" w14:textId="77777777">
        <w:tc>
          <w:tcPr>
            <w:tcW w:w="3484" w:type="dxa"/>
          </w:tcPr>
          <w:p w14:paraId="60FFA473" w14:textId="77777777" w:rsidR="00544D9F" w:rsidRPr="00606BF5" w:rsidRDefault="00544D9F" w:rsidP="00606BF5">
            <w:pPr>
              <w:pStyle w:val="TableRowHead"/>
              <w:rPr>
                <w:sz w:val="20"/>
                <w:szCs w:val="20"/>
              </w:rPr>
            </w:pPr>
            <w:r w:rsidRPr="00606BF5">
              <w:rPr>
                <w:sz w:val="20"/>
                <w:szCs w:val="20"/>
              </w:rPr>
              <w:t xml:space="preserve">Home Based Support Services </w:t>
            </w:r>
          </w:p>
          <w:p w14:paraId="4A54BDD9" w14:textId="77777777" w:rsidR="00544D9F" w:rsidRPr="00606BF5" w:rsidRDefault="00544D9F" w:rsidP="00606BF5">
            <w:pPr>
              <w:pStyle w:val="TableRowHead"/>
              <w:rPr>
                <w:sz w:val="20"/>
                <w:szCs w:val="20"/>
              </w:rPr>
            </w:pPr>
          </w:p>
        </w:tc>
        <w:tc>
          <w:tcPr>
            <w:tcW w:w="2662" w:type="dxa"/>
          </w:tcPr>
          <w:p w14:paraId="30040127" w14:textId="77777777" w:rsidR="00544D9F" w:rsidRPr="00936300" w:rsidRDefault="00544D9F" w:rsidP="007B5DC5">
            <w:pPr>
              <w:spacing w:after="0"/>
              <w:jc w:val="right"/>
              <w:rPr>
                <w:rFonts w:cs="Arial"/>
                <w:sz w:val="20"/>
                <w:szCs w:val="20"/>
              </w:rPr>
            </w:pPr>
            <w:r w:rsidRPr="00936300">
              <w:rPr>
                <w:rFonts w:cs="Arial"/>
                <w:sz w:val="20"/>
                <w:szCs w:val="20"/>
              </w:rPr>
              <w:t>21</w:t>
            </w:r>
          </w:p>
        </w:tc>
        <w:tc>
          <w:tcPr>
            <w:tcW w:w="2376" w:type="dxa"/>
          </w:tcPr>
          <w:p w14:paraId="24AD0E69" w14:textId="77777777" w:rsidR="00544D9F" w:rsidRPr="00862F8F" w:rsidRDefault="00544D9F" w:rsidP="007B5DC5">
            <w:pPr>
              <w:spacing w:after="0"/>
              <w:jc w:val="right"/>
              <w:rPr>
                <w:rFonts w:cs="Arial"/>
                <w:color w:val="000000"/>
                <w:sz w:val="20"/>
                <w:szCs w:val="20"/>
              </w:rPr>
            </w:pPr>
            <w:r w:rsidRPr="00862F8F">
              <w:rPr>
                <w:rFonts w:cs="Arial"/>
                <w:color w:val="000000"/>
                <w:sz w:val="20"/>
                <w:szCs w:val="20"/>
              </w:rPr>
              <w:t>27</w:t>
            </w:r>
            <w:r w:rsidR="00DA3757">
              <w:rPr>
                <w:rFonts w:cs="Arial"/>
                <w:color w:val="000000"/>
                <w:sz w:val="20"/>
                <w:szCs w:val="20"/>
              </w:rPr>
              <w:t>,</w:t>
            </w:r>
            <w:r w:rsidR="007E6BD4">
              <w:rPr>
                <w:rFonts w:cs="Arial"/>
                <w:color w:val="000000"/>
                <w:sz w:val="20"/>
                <w:szCs w:val="20"/>
              </w:rPr>
              <w:t>000</w:t>
            </w:r>
          </w:p>
        </w:tc>
      </w:tr>
      <w:tr w:rsidR="00544D9F" w14:paraId="5AC23A9A" w14:textId="77777777">
        <w:tc>
          <w:tcPr>
            <w:tcW w:w="3484" w:type="dxa"/>
          </w:tcPr>
          <w:p w14:paraId="30148052" w14:textId="77777777" w:rsidR="00544D9F" w:rsidRPr="00606BF5" w:rsidRDefault="00544D9F" w:rsidP="00606BF5">
            <w:pPr>
              <w:pStyle w:val="TableRowHead"/>
              <w:rPr>
                <w:sz w:val="20"/>
                <w:szCs w:val="20"/>
              </w:rPr>
            </w:pPr>
            <w:r w:rsidRPr="00606BF5">
              <w:rPr>
                <w:sz w:val="20"/>
                <w:szCs w:val="20"/>
              </w:rPr>
              <w:t>Community Residential Support Services - Intellectual Disability Providers</w:t>
            </w:r>
          </w:p>
        </w:tc>
        <w:tc>
          <w:tcPr>
            <w:tcW w:w="2662" w:type="dxa"/>
          </w:tcPr>
          <w:p w14:paraId="1D8B9505" w14:textId="77777777" w:rsidR="00544D9F" w:rsidRPr="00936300" w:rsidRDefault="00544D9F" w:rsidP="007B5DC5">
            <w:pPr>
              <w:spacing w:after="0"/>
              <w:jc w:val="right"/>
              <w:rPr>
                <w:rFonts w:cs="Arial"/>
                <w:sz w:val="20"/>
                <w:szCs w:val="20"/>
              </w:rPr>
            </w:pPr>
            <w:r w:rsidRPr="00936300">
              <w:rPr>
                <w:rFonts w:cs="Arial"/>
                <w:sz w:val="20"/>
                <w:szCs w:val="20"/>
              </w:rPr>
              <w:t>20</w:t>
            </w:r>
          </w:p>
        </w:tc>
        <w:tc>
          <w:tcPr>
            <w:tcW w:w="2376" w:type="dxa"/>
          </w:tcPr>
          <w:p w14:paraId="0EE0A262" w14:textId="77777777" w:rsidR="00544D9F" w:rsidRPr="00862F8F" w:rsidRDefault="00544D9F" w:rsidP="007B5DC5">
            <w:pPr>
              <w:spacing w:after="0"/>
              <w:jc w:val="right"/>
              <w:rPr>
                <w:rFonts w:cs="Arial"/>
                <w:color w:val="000000"/>
                <w:sz w:val="20"/>
                <w:szCs w:val="20"/>
              </w:rPr>
            </w:pPr>
            <w:r w:rsidRPr="00862F8F">
              <w:rPr>
                <w:rFonts w:cs="Arial"/>
                <w:color w:val="000000"/>
                <w:sz w:val="20"/>
                <w:szCs w:val="20"/>
              </w:rPr>
              <w:t>28</w:t>
            </w:r>
            <w:r w:rsidR="007E6BD4">
              <w:rPr>
                <w:rFonts w:cs="Arial"/>
                <w:color w:val="000000"/>
                <w:sz w:val="20"/>
                <w:szCs w:val="20"/>
              </w:rPr>
              <w:t>,500</w:t>
            </w:r>
          </w:p>
        </w:tc>
      </w:tr>
      <w:tr w:rsidR="00544D9F" w14:paraId="113F74DA" w14:textId="77777777">
        <w:tc>
          <w:tcPr>
            <w:tcW w:w="3484" w:type="dxa"/>
          </w:tcPr>
          <w:p w14:paraId="684F1E34" w14:textId="77777777" w:rsidR="00544D9F" w:rsidRPr="00606BF5" w:rsidRDefault="00544D9F" w:rsidP="00606BF5">
            <w:pPr>
              <w:pStyle w:val="TableRowHead"/>
              <w:rPr>
                <w:sz w:val="20"/>
                <w:szCs w:val="20"/>
              </w:rPr>
            </w:pPr>
            <w:r w:rsidRPr="00606BF5">
              <w:rPr>
                <w:sz w:val="20"/>
                <w:szCs w:val="20"/>
              </w:rPr>
              <w:t xml:space="preserve">Needs Assessment &amp; Service Coordination </w:t>
            </w:r>
          </w:p>
        </w:tc>
        <w:tc>
          <w:tcPr>
            <w:tcW w:w="2662" w:type="dxa"/>
          </w:tcPr>
          <w:p w14:paraId="3E469F2F" w14:textId="77777777" w:rsidR="00544D9F" w:rsidRPr="00936300" w:rsidRDefault="00544D9F" w:rsidP="007B5DC5">
            <w:pPr>
              <w:spacing w:after="0"/>
              <w:jc w:val="right"/>
              <w:rPr>
                <w:rFonts w:cs="Arial"/>
                <w:sz w:val="20"/>
                <w:szCs w:val="20"/>
              </w:rPr>
            </w:pPr>
            <w:r w:rsidRPr="00936300">
              <w:rPr>
                <w:rFonts w:cs="Arial"/>
                <w:sz w:val="20"/>
                <w:szCs w:val="20"/>
              </w:rPr>
              <w:t>6</w:t>
            </w:r>
          </w:p>
        </w:tc>
        <w:tc>
          <w:tcPr>
            <w:tcW w:w="2376" w:type="dxa"/>
          </w:tcPr>
          <w:p w14:paraId="3655B64D" w14:textId="77777777" w:rsidR="00544D9F" w:rsidRPr="00862F8F" w:rsidRDefault="007E6BD4" w:rsidP="007B5DC5">
            <w:pPr>
              <w:spacing w:after="0"/>
              <w:jc w:val="right"/>
              <w:rPr>
                <w:rFonts w:cs="Arial"/>
                <w:color w:val="000000"/>
                <w:sz w:val="20"/>
                <w:szCs w:val="20"/>
              </w:rPr>
            </w:pPr>
            <w:r>
              <w:rPr>
                <w:rFonts w:cs="Arial"/>
                <w:color w:val="000000"/>
                <w:sz w:val="20"/>
                <w:szCs w:val="20"/>
              </w:rPr>
              <w:t>95,000</w:t>
            </w:r>
          </w:p>
        </w:tc>
      </w:tr>
      <w:tr w:rsidR="00544D9F" w14:paraId="69B66EAC" w14:textId="77777777">
        <w:tc>
          <w:tcPr>
            <w:tcW w:w="3484" w:type="dxa"/>
          </w:tcPr>
          <w:p w14:paraId="4A72909B" w14:textId="77777777" w:rsidR="00544D9F" w:rsidRPr="00606BF5" w:rsidRDefault="00544D9F" w:rsidP="00606BF5">
            <w:pPr>
              <w:pStyle w:val="TableRowHead"/>
              <w:rPr>
                <w:sz w:val="20"/>
                <w:szCs w:val="20"/>
              </w:rPr>
            </w:pPr>
            <w:r w:rsidRPr="00606BF5">
              <w:rPr>
                <w:sz w:val="20"/>
                <w:szCs w:val="20"/>
              </w:rPr>
              <w:t xml:space="preserve">Community Residential Support Services - Physical Disability </w:t>
            </w:r>
          </w:p>
        </w:tc>
        <w:tc>
          <w:tcPr>
            <w:tcW w:w="2662" w:type="dxa"/>
          </w:tcPr>
          <w:p w14:paraId="28227A1A" w14:textId="77777777" w:rsidR="00544D9F" w:rsidRPr="00936300" w:rsidRDefault="00544D9F" w:rsidP="007B5DC5">
            <w:pPr>
              <w:spacing w:after="0"/>
              <w:jc w:val="right"/>
              <w:rPr>
                <w:rFonts w:cs="Arial"/>
                <w:sz w:val="20"/>
                <w:szCs w:val="20"/>
              </w:rPr>
            </w:pPr>
            <w:r w:rsidRPr="00936300">
              <w:rPr>
                <w:rFonts w:cs="Arial"/>
                <w:sz w:val="20"/>
                <w:szCs w:val="20"/>
              </w:rPr>
              <w:t>5</w:t>
            </w:r>
          </w:p>
        </w:tc>
        <w:tc>
          <w:tcPr>
            <w:tcW w:w="2376" w:type="dxa"/>
          </w:tcPr>
          <w:p w14:paraId="4DB31195" w14:textId="77777777" w:rsidR="00544D9F" w:rsidRPr="00862F8F" w:rsidRDefault="007E6BD4" w:rsidP="007B5DC5">
            <w:pPr>
              <w:spacing w:after="0"/>
              <w:jc w:val="right"/>
              <w:rPr>
                <w:rFonts w:cs="Arial"/>
                <w:color w:val="000000"/>
                <w:sz w:val="20"/>
                <w:szCs w:val="20"/>
              </w:rPr>
            </w:pPr>
            <w:r>
              <w:rPr>
                <w:rFonts w:cs="Arial"/>
                <w:color w:val="000000"/>
                <w:sz w:val="20"/>
                <w:szCs w:val="20"/>
              </w:rPr>
              <w:t>114,000</w:t>
            </w:r>
            <w:r w:rsidR="00544D9F" w:rsidRPr="00862F8F">
              <w:rPr>
                <w:rFonts w:cs="Arial"/>
                <w:color w:val="000000"/>
                <w:sz w:val="20"/>
                <w:szCs w:val="20"/>
              </w:rPr>
              <w:t xml:space="preserve"> </w:t>
            </w:r>
          </w:p>
        </w:tc>
      </w:tr>
      <w:tr w:rsidR="00544D9F" w14:paraId="370B9D4A" w14:textId="77777777">
        <w:tc>
          <w:tcPr>
            <w:tcW w:w="3484" w:type="dxa"/>
          </w:tcPr>
          <w:p w14:paraId="16C0ABC1" w14:textId="77777777" w:rsidR="00544D9F" w:rsidRPr="00606BF5" w:rsidRDefault="00544D9F" w:rsidP="00606BF5">
            <w:pPr>
              <w:pStyle w:val="TableRowHead"/>
              <w:rPr>
                <w:sz w:val="20"/>
                <w:szCs w:val="20"/>
              </w:rPr>
            </w:pPr>
            <w:r w:rsidRPr="00606BF5">
              <w:rPr>
                <w:sz w:val="20"/>
                <w:szCs w:val="20"/>
              </w:rPr>
              <w:t>Supported Independent Living</w:t>
            </w:r>
          </w:p>
        </w:tc>
        <w:tc>
          <w:tcPr>
            <w:tcW w:w="2662" w:type="dxa"/>
          </w:tcPr>
          <w:p w14:paraId="7889DAD5" w14:textId="77777777" w:rsidR="00544D9F" w:rsidRPr="00936300" w:rsidRDefault="00544D9F" w:rsidP="007B5DC5">
            <w:pPr>
              <w:spacing w:after="0"/>
              <w:jc w:val="right"/>
              <w:rPr>
                <w:rFonts w:cs="Arial"/>
                <w:sz w:val="20"/>
                <w:szCs w:val="20"/>
              </w:rPr>
            </w:pPr>
            <w:r w:rsidRPr="00936300">
              <w:rPr>
                <w:rFonts w:cs="Arial"/>
                <w:sz w:val="20"/>
                <w:szCs w:val="20"/>
              </w:rPr>
              <w:t>4</w:t>
            </w:r>
          </w:p>
        </w:tc>
        <w:tc>
          <w:tcPr>
            <w:tcW w:w="2376" w:type="dxa"/>
          </w:tcPr>
          <w:p w14:paraId="5B9D27C5" w14:textId="77777777" w:rsidR="00544D9F" w:rsidRPr="00862F8F" w:rsidRDefault="007E6BD4" w:rsidP="007B5DC5">
            <w:pPr>
              <w:spacing w:after="0"/>
              <w:jc w:val="right"/>
              <w:rPr>
                <w:rFonts w:cs="Arial"/>
                <w:color w:val="000000"/>
                <w:sz w:val="20"/>
                <w:szCs w:val="20"/>
              </w:rPr>
            </w:pPr>
            <w:r>
              <w:rPr>
                <w:rFonts w:cs="Arial"/>
                <w:color w:val="000000"/>
                <w:sz w:val="20"/>
                <w:szCs w:val="20"/>
              </w:rPr>
              <w:t>142,5</w:t>
            </w:r>
            <w:r w:rsidR="00544D9F" w:rsidRPr="00862F8F">
              <w:rPr>
                <w:rFonts w:cs="Arial"/>
                <w:color w:val="000000"/>
                <w:sz w:val="20"/>
                <w:szCs w:val="20"/>
              </w:rPr>
              <w:t xml:space="preserve">00 </w:t>
            </w:r>
          </w:p>
        </w:tc>
      </w:tr>
      <w:tr w:rsidR="00544D9F" w14:paraId="7CC42696" w14:textId="77777777">
        <w:tc>
          <w:tcPr>
            <w:tcW w:w="3484" w:type="dxa"/>
          </w:tcPr>
          <w:p w14:paraId="539DE8DD" w14:textId="77777777" w:rsidR="00544D9F" w:rsidRPr="00606BF5" w:rsidRDefault="00544D9F" w:rsidP="00606BF5">
            <w:pPr>
              <w:pStyle w:val="TableRowHead"/>
              <w:rPr>
                <w:sz w:val="20"/>
                <w:szCs w:val="20"/>
              </w:rPr>
            </w:pPr>
            <w:r w:rsidRPr="00606BF5">
              <w:rPr>
                <w:sz w:val="20"/>
                <w:szCs w:val="20"/>
              </w:rPr>
              <w:t xml:space="preserve">Individualised Funding Services </w:t>
            </w:r>
          </w:p>
        </w:tc>
        <w:tc>
          <w:tcPr>
            <w:tcW w:w="2662" w:type="dxa"/>
          </w:tcPr>
          <w:p w14:paraId="6BFB3CFA" w14:textId="77777777" w:rsidR="00544D9F" w:rsidRPr="00936300" w:rsidRDefault="00544D9F" w:rsidP="007B5DC5">
            <w:pPr>
              <w:spacing w:after="0"/>
              <w:jc w:val="right"/>
              <w:rPr>
                <w:rFonts w:cs="Arial"/>
                <w:sz w:val="20"/>
                <w:szCs w:val="20"/>
              </w:rPr>
            </w:pPr>
            <w:r w:rsidRPr="00936300">
              <w:rPr>
                <w:rFonts w:cs="Arial"/>
                <w:sz w:val="20"/>
                <w:szCs w:val="20"/>
              </w:rPr>
              <w:t>1</w:t>
            </w:r>
          </w:p>
        </w:tc>
        <w:tc>
          <w:tcPr>
            <w:tcW w:w="2376" w:type="dxa"/>
          </w:tcPr>
          <w:p w14:paraId="205F22BB" w14:textId="77777777" w:rsidR="00544D9F" w:rsidRPr="00862F8F" w:rsidRDefault="007E6BD4" w:rsidP="007B5DC5">
            <w:pPr>
              <w:spacing w:after="0"/>
              <w:jc w:val="right"/>
              <w:rPr>
                <w:rFonts w:cs="Arial"/>
                <w:color w:val="000000"/>
                <w:sz w:val="20"/>
                <w:szCs w:val="20"/>
              </w:rPr>
            </w:pPr>
            <w:r>
              <w:rPr>
                <w:rFonts w:cs="Arial"/>
                <w:color w:val="000000"/>
                <w:sz w:val="20"/>
                <w:szCs w:val="20"/>
              </w:rPr>
              <w:t>570,000</w:t>
            </w:r>
            <w:r w:rsidR="00544D9F">
              <w:rPr>
                <w:rFonts w:cs="Arial"/>
                <w:color w:val="000000"/>
                <w:sz w:val="20"/>
                <w:szCs w:val="20"/>
              </w:rPr>
              <w:t>*</w:t>
            </w:r>
          </w:p>
        </w:tc>
      </w:tr>
    </w:tbl>
    <w:p w14:paraId="0C0953B6" w14:textId="77777777" w:rsidR="00544D9F" w:rsidRDefault="00544D9F" w:rsidP="00606BF5">
      <w:pPr>
        <w:pStyle w:val="TableNote"/>
      </w:pPr>
      <w:r>
        <w:t>*</w:t>
      </w:r>
      <w:r w:rsidRPr="005D5DFA">
        <w:t xml:space="preserve"> </w:t>
      </w:r>
      <w:proofErr w:type="spellStart"/>
      <w:r w:rsidRPr="005D5DFA">
        <w:t>Manawanui</w:t>
      </w:r>
      <w:proofErr w:type="spellEnd"/>
      <w:r>
        <w:t xml:space="preserve"> </w:t>
      </w:r>
      <w:proofErr w:type="spellStart"/>
      <w:r>
        <w:t>InCharge</w:t>
      </w:r>
      <w:proofErr w:type="spellEnd"/>
      <w:r>
        <w:t xml:space="preserve"> </w:t>
      </w:r>
      <w:r w:rsidRPr="00862F8F">
        <w:t xml:space="preserve">is in fact the only agency in the whole of </w:t>
      </w:r>
      <w:smartTag w:uri="urn:schemas-microsoft-com:office:smarttags" w:element="country-region">
        <w:smartTag w:uri="urn:schemas-microsoft-com:office:smarttags" w:element="place">
          <w:r w:rsidRPr="00862F8F">
            <w:t>New Zealand</w:t>
          </w:r>
        </w:smartTag>
      </w:smartTag>
      <w:r w:rsidRPr="00862F8F">
        <w:t xml:space="preserve"> which delivers the Individualised Funding Services</w:t>
      </w:r>
      <w:r>
        <w:t xml:space="preserve">. </w:t>
      </w:r>
    </w:p>
    <w:p w14:paraId="5CDD3379" w14:textId="77777777" w:rsidR="00544D9F" w:rsidRDefault="00204E28" w:rsidP="00C13592">
      <w:pPr>
        <w:pStyle w:val="Heading1"/>
        <w:spacing w:line="240" w:lineRule="auto"/>
      </w:pPr>
      <w:bookmarkStart w:id="24" w:name="_Toc252539359"/>
      <w:r>
        <w:br w:type="page"/>
      </w:r>
      <w:bookmarkStart w:id="25" w:name="_Toc290886611"/>
      <w:r w:rsidR="00D3776B">
        <w:lastRenderedPageBreak/>
        <w:t>3</w:t>
      </w:r>
      <w:r w:rsidR="00544D9F">
        <w:t>. Description of Formal System for the Delivery of Health and Personal Social Services for People with Disabilities</w:t>
      </w:r>
      <w:bookmarkEnd w:id="24"/>
      <w:bookmarkEnd w:id="25"/>
      <w:r w:rsidR="00544D9F">
        <w:t xml:space="preserve"> </w:t>
      </w:r>
    </w:p>
    <w:p w14:paraId="2D0C984D" w14:textId="77777777" w:rsidR="00544D9F" w:rsidRDefault="00544D9F" w:rsidP="00544D9F">
      <w:r>
        <w:t xml:space="preserve">In </w:t>
      </w:r>
      <w:smartTag w:uri="urn:schemas-microsoft-com:office:smarttags" w:element="country-region">
        <w:smartTag w:uri="urn:schemas-microsoft-com:office:smarttags" w:element="place">
          <w:r>
            <w:t>New Zealand</w:t>
          </w:r>
        </w:smartTag>
      </w:smartTag>
      <w:r>
        <w:t xml:space="preserve"> formal responsibilities and disability support actions are dispersed through 1</w:t>
      </w:r>
      <w:r w:rsidR="00204E28">
        <w:t>0 different government agencies</w:t>
      </w:r>
      <w:r>
        <w:t xml:space="preserve"> - transport, educatio</w:t>
      </w:r>
      <w:r w:rsidR="006C1F42">
        <w:t xml:space="preserve">n, health, social development, </w:t>
      </w:r>
      <w:r>
        <w:t xml:space="preserve">child, youth, and family, housing, accident, economic development, </w:t>
      </w:r>
      <w:r w:rsidR="005D5DFA">
        <w:t>veterans’</w:t>
      </w:r>
      <w:r>
        <w:t xml:space="preserve"> affairs, and state services. Many health and support services for people with disabilities are funded by Vote:</w:t>
      </w:r>
      <w:r w:rsidR="007E6BD4">
        <w:t xml:space="preserve"> </w:t>
      </w:r>
      <w:r>
        <w:t>Health</w:t>
      </w:r>
      <w:r w:rsidR="006C1F42">
        <w:rPr>
          <w:rStyle w:val="FootnoteReference"/>
        </w:rPr>
        <w:footnoteReference w:id="13"/>
      </w:r>
      <w:r>
        <w:t xml:space="preserve"> . </w:t>
      </w:r>
    </w:p>
    <w:p w14:paraId="573B98AA" w14:textId="77777777" w:rsidR="00544D9F" w:rsidRDefault="00D3776B" w:rsidP="00C13592">
      <w:pPr>
        <w:pStyle w:val="Heading2"/>
        <w:spacing w:line="240" w:lineRule="auto"/>
      </w:pPr>
      <w:bookmarkStart w:id="26" w:name="_Toc252539360"/>
      <w:bookmarkStart w:id="27" w:name="_Toc290886612"/>
      <w:r>
        <w:t>3</w:t>
      </w:r>
      <w:r w:rsidR="00F3124A">
        <w:t xml:space="preserve">.1 </w:t>
      </w:r>
      <w:r w:rsidR="00544D9F">
        <w:t>Responsibilities for particular groups of disabled people</w:t>
      </w:r>
      <w:bookmarkEnd w:id="26"/>
      <w:bookmarkEnd w:id="27"/>
    </w:p>
    <w:p w14:paraId="245C91AB" w14:textId="77777777" w:rsidR="00544D9F" w:rsidRDefault="00544D9F" w:rsidP="00D2713D">
      <w:pPr>
        <w:spacing w:after="120"/>
      </w:pPr>
      <w:r>
        <w:t>Responsibilities for particular groups of disabled people can be summarised as follows:</w:t>
      </w:r>
    </w:p>
    <w:p w14:paraId="0E4D13C8" w14:textId="77777777" w:rsidR="00544D9F" w:rsidRDefault="00544D9F" w:rsidP="00544D9F">
      <w:pPr>
        <w:pStyle w:val="ListBullet"/>
      </w:pPr>
      <w:r>
        <w:t xml:space="preserve">Ministry of Health funds supports for people with long-term physical, sensory and/or intellectual disabilities who are primarily aged under 65 </w:t>
      </w:r>
    </w:p>
    <w:p w14:paraId="3DFC9E26" w14:textId="77777777" w:rsidR="00544D9F" w:rsidRDefault="00544D9F" w:rsidP="00544D9F">
      <w:pPr>
        <w:pStyle w:val="ListBullet"/>
      </w:pPr>
      <w:r>
        <w:t xml:space="preserve">District Health Boards (DHBs) fund support for people with psychiatric disabilities, people aged 65 and over disabled by ageing, people with support needs expected to last less than six months, or those aged 50-64 years whose needs are largely similar to older people </w:t>
      </w:r>
    </w:p>
    <w:p w14:paraId="1F4BDE04" w14:textId="77777777" w:rsidR="00544D9F" w:rsidRDefault="00544D9F" w:rsidP="00D2713D">
      <w:pPr>
        <w:pStyle w:val="ListBullet"/>
        <w:spacing w:after="240"/>
        <w:ind w:left="357" w:hanging="357"/>
      </w:pPr>
      <w:r>
        <w:t>Accident Compensation Corporation (ACC) funds support for people disabled by accident. (ACC is discussed further below)</w:t>
      </w:r>
    </w:p>
    <w:p w14:paraId="3C90FA7F" w14:textId="77777777" w:rsidR="00544D9F" w:rsidRDefault="00F23F2B" w:rsidP="00C13592">
      <w:pPr>
        <w:pStyle w:val="Heading2"/>
        <w:spacing w:line="240" w:lineRule="auto"/>
      </w:pPr>
      <w:bookmarkStart w:id="28" w:name="_Toc250627435"/>
      <w:bookmarkStart w:id="29" w:name="_Toc250627746"/>
      <w:bookmarkStart w:id="30" w:name="_Toc250627924"/>
      <w:bookmarkStart w:id="31" w:name="_Toc252539361"/>
      <w:bookmarkStart w:id="32" w:name="_Toc290886613"/>
      <w:r>
        <w:t xml:space="preserve">3.2 </w:t>
      </w:r>
      <w:r w:rsidRPr="00C70973">
        <w:t>Responsibilities</w:t>
      </w:r>
      <w:r w:rsidR="00544D9F" w:rsidRPr="00C70973">
        <w:t xml:space="preserve"> for supporting partic</w:t>
      </w:r>
      <w:r w:rsidR="00544D9F">
        <w:t>ular aspects of people's lives</w:t>
      </w:r>
      <w:bookmarkEnd w:id="28"/>
      <w:bookmarkEnd w:id="29"/>
      <w:bookmarkEnd w:id="30"/>
      <w:bookmarkEnd w:id="31"/>
      <w:bookmarkEnd w:id="32"/>
    </w:p>
    <w:p w14:paraId="20E6B913" w14:textId="77777777" w:rsidR="00544D9F" w:rsidRPr="00C70973" w:rsidRDefault="00544D9F" w:rsidP="00D2713D">
      <w:pPr>
        <w:autoSpaceDE w:val="0"/>
        <w:autoSpaceDN w:val="0"/>
        <w:adjustRightInd w:val="0"/>
        <w:spacing w:after="120" w:line="240" w:lineRule="atLeast"/>
        <w:rPr>
          <w:rFonts w:cs="Arial"/>
          <w:color w:val="000000"/>
        </w:rPr>
      </w:pPr>
      <w:r w:rsidRPr="00C70973">
        <w:rPr>
          <w:rFonts w:cs="Arial"/>
          <w:color w:val="000000"/>
        </w:rPr>
        <w:t>Responsibilities for supporting particular aspects of people's lives</w:t>
      </w:r>
      <w:r>
        <w:rPr>
          <w:rFonts w:cs="Arial"/>
          <w:color w:val="000000"/>
        </w:rPr>
        <w:t xml:space="preserve"> can be summarised as follows:</w:t>
      </w:r>
    </w:p>
    <w:p w14:paraId="4E56C6B3" w14:textId="77777777" w:rsidR="00544D9F" w:rsidRPr="00930CE5" w:rsidRDefault="00544D9F" w:rsidP="00D2713D">
      <w:pPr>
        <w:pStyle w:val="ListBullet"/>
      </w:pPr>
      <w:r w:rsidRPr="00930CE5">
        <w:t>Ministry of Social Development focuses on supporting disability-related income, vocational and employment need</w:t>
      </w:r>
    </w:p>
    <w:p w14:paraId="72118EBA" w14:textId="77777777" w:rsidR="00544D9F" w:rsidRPr="00930CE5" w:rsidRDefault="00544D9F" w:rsidP="00D2713D">
      <w:pPr>
        <w:pStyle w:val="ListBullet"/>
      </w:pPr>
      <w:r w:rsidRPr="00930CE5">
        <w:t xml:space="preserve">Ministry of Education focuses on supporting disability-related education need </w:t>
      </w:r>
    </w:p>
    <w:p w14:paraId="269D5D46" w14:textId="77777777" w:rsidR="00544D9F" w:rsidRPr="00930CE5" w:rsidRDefault="00544D9F" w:rsidP="00D2713D">
      <w:pPr>
        <w:pStyle w:val="ListBullet"/>
      </w:pPr>
      <w:r w:rsidRPr="00930CE5">
        <w:t>Ministry of Health and DHBs tend to focus on support for daily living</w:t>
      </w:r>
    </w:p>
    <w:p w14:paraId="7E1008E3" w14:textId="77777777" w:rsidR="00544D9F" w:rsidRDefault="00D3776B" w:rsidP="00C13592">
      <w:pPr>
        <w:pStyle w:val="Heading2"/>
        <w:spacing w:line="240" w:lineRule="auto"/>
      </w:pPr>
      <w:bookmarkStart w:id="33" w:name="_Toc250627436"/>
      <w:bookmarkStart w:id="34" w:name="_Toc250627747"/>
      <w:bookmarkStart w:id="35" w:name="_Toc250627925"/>
      <w:bookmarkStart w:id="36" w:name="_Toc252539362"/>
      <w:bookmarkStart w:id="37" w:name="_Toc290886614"/>
      <w:r>
        <w:t>3</w:t>
      </w:r>
      <w:r w:rsidR="00544D9F">
        <w:t>.3 Ministry of Health</w:t>
      </w:r>
      <w:r w:rsidR="00DA3757">
        <w:t xml:space="preserve"> (Mo</w:t>
      </w:r>
      <w:r>
        <w:t>H)</w:t>
      </w:r>
      <w:r w:rsidR="00544D9F">
        <w:t>, Disability Supports Services</w:t>
      </w:r>
      <w:bookmarkEnd w:id="33"/>
      <w:bookmarkEnd w:id="34"/>
      <w:bookmarkEnd w:id="35"/>
      <w:bookmarkEnd w:id="36"/>
      <w:bookmarkEnd w:id="37"/>
    </w:p>
    <w:p w14:paraId="4831F116" w14:textId="77777777" w:rsidR="00544D9F" w:rsidRDefault="00544D9F" w:rsidP="00544D9F">
      <w:r w:rsidRPr="00C70973">
        <w:t xml:space="preserve">In </w:t>
      </w:r>
      <w:smartTag w:uri="urn:schemas-microsoft-com:office:smarttags" w:element="country-region">
        <w:smartTag w:uri="urn:schemas-microsoft-com:office:smarttags" w:element="place">
          <w:r w:rsidRPr="00C70973">
            <w:t>New Zealand</w:t>
          </w:r>
        </w:smartTag>
      </w:smartTag>
      <w:r w:rsidRPr="00C70973">
        <w:t xml:space="preserve"> most of the day-to-day business of the health and disability system, and around three quarters of funding, is administered by DHBs.  DHBs plan, manage, provide and purchase services for their district populations, including primary care, public health services, and disability </w:t>
      </w:r>
      <w:r w:rsidRPr="00C70973">
        <w:lastRenderedPageBreak/>
        <w:t xml:space="preserve">support services for older people, those with psychiatric-related disability and temporary needs not expected to last longer than six months. </w:t>
      </w:r>
    </w:p>
    <w:p w14:paraId="3EFAC650" w14:textId="77777777" w:rsidR="00544D9F" w:rsidRDefault="00544D9F" w:rsidP="00544D9F">
      <w:r w:rsidRPr="00C70973">
        <w:t xml:space="preserve">The Ministry of Health has a range of roles, </w:t>
      </w:r>
      <w:r w:rsidR="004328CC">
        <w:t xml:space="preserve">including provision of centralised funding for a number of national services which </w:t>
      </w:r>
      <w:r w:rsidRPr="00C70973">
        <w:t>includ</w:t>
      </w:r>
      <w:r w:rsidR="004328CC">
        <w:t>es</w:t>
      </w:r>
      <w:r w:rsidRPr="00C70973">
        <w:t xml:space="preserve"> some disability support and public health services. </w:t>
      </w:r>
    </w:p>
    <w:p w14:paraId="3596C56D" w14:textId="77777777" w:rsidR="00544D9F" w:rsidRDefault="00544D9F" w:rsidP="00544D9F">
      <w:r w:rsidRPr="00841656">
        <w:t>Responsibility for funding, planning and developing Disability Support Services (DSS) sits with the Disability Support Services Group in the Health and Disability National Services Directorate</w:t>
      </w:r>
      <w:r>
        <w:t xml:space="preserve">. </w:t>
      </w:r>
      <w:r w:rsidRPr="00841656">
        <w:t xml:space="preserve">Responsibility for policy functions sits with </w:t>
      </w:r>
      <w:r w:rsidR="00D56D3A">
        <w:t xml:space="preserve">the </w:t>
      </w:r>
      <w:r w:rsidRPr="00841656">
        <w:t xml:space="preserve">Disability Services Policy Team in the Population Health Directorate. </w:t>
      </w:r>
    </w:p>
    <w:p w14:paraId="7420C2AF" w14:textId="77777777" w:rsidR="00544D9F" w:rsidRDefault="00544D9F" w:rsidP="00544D9F">
      <w:r w:rsidRPr="00841656">
        <w:t>DSS funding is for people with long-term physical, intellectual and sensory disabilities who are primarily under age 65, and their families. DSS funds a range of supports to help people live at home and access their community (via home &amp; community support, supported independent living, respite and carer support) or to support alternative living arrangements (via residential care, living with other families)</w:t>
      </w:r>
      <w:r w:rsidR="00D56D3A">
        <w:t>.</w:t>
      </w:r>
      <w:r w:rsidRPr="00841656">
        <w:t xml:space="preserve"> MOH also funds equipment, housing and vehicle modifications on a national basis for both disabled and older people</w:t>
      </w:r>
      <w:r>
        <w:t xml:space="preserve">. </w:t>
      </w:r>
    </w:p>
    <w:p w14:paraId="27D9967B" w14:textId="77777777" w:rsidR="00544D9F" w:rsidRDefault="00544D9F" w:rsidP="00544D9F">
      <w:r w:rsidRPr="00D36A02">
        <w:rPr>
          <w:color w:val="231F20"/>
        </w:rPr>
        <w:t xml:space="preserve">The Health and Disability Services Act 1993 attempted to introduce market mechanisms by establishing a </w:t>
      </w:r>
      <w:r w:rsidRPr="00D36A02">
        <w:t xml:space="preserve">purchaser-provider split within </w:t>
      </w:r>
      <w:smartTag w:uri="urn:schemas-microsoft-com:office:smarttags" w:element="country-region">
        <w:smartTag w:uri="urn:schemas-microsoft-com:office:smarttags" w:element="place">
          <w:r w:rsidRPr="00D36A02">
            <w:t>New Zealand</w:t>
          </w:r>
        </w:smartTag>
      </w:smartTag>
      <w:r w:rsidRPr="00D36A02">
        <w:t xml:space="preserve"> health and disability service provision. This development was largely rolled back by the </w:t>
      </w:r>
      <w:r w:rsidRPr="00D36A02">
        <w:rPr>
          <w:color w:val="231F20"/>
        </w:rPr>
        <w:t>New Zealand Public Health and Disability Act 2000</w:t>
      </w:r>
      <w:r w:rsidRPr="00D36A02">
        <w:t xml:space="preserve"> which established 21 District Health Boards to provide and purchase health services. Nevertheless contracting (by DHBs</w:t>
      </w:r>
      <w:r>
        <w:t xml:space="preserve"> and the Ministry of Health</w:t>
      </w:r>
      <w:r w:rsidRPr="00D36A02">
        <w:t>) of community based services remains the norm. Disability Support Service</w:t>
      </w:r>
      <w:r w:rsidR="00DA3757">
        <w:t>s</w:t>
      </w:r>
      <w:r w:rsidRPr="00D36A02">
        <w:t xml:space="preserve"> (for those under 65) are contracted directly by the Ministry for Health. </w:t>
      </w:r>
      <w:r>
        <w:t>To deliver a Disability Support Service an agency must sign a contract and deliver the service in accordance with national standards and service specification set by the Ministry of Health. S</w:t>
      </w:r>
      <w:r w:rsidRPr="00D36A02">
        <w:t xml:space="preserve">ervice specifications </w:t>
      </w:r>
      <w:r>
        <w:t>detail,</w:t>
      </w:r>
      <w:r w:rsidRPr="00D36A02">
        <w:t xml:space="preserve"> inter alia</w:t>
      </w:r>
      <w:r>
        <w:t>;</w:t>
      </w:r>
      <w:r w:rsidRPr="00D36A02">
        <w:t xml:space="preserve"> philosophy, definitions, objectives, quality requirements, monitoring and reporting arrangements.</w:t>
      </w:r>
    </w:p>
    <w:p w14:paraId="616EBD88" w14:textId="77777777" w:rsidR="00544D9F" w:rsidRDefault="00544D9F" w:rsidP="00544D9F">
      <w:r>
        <w:t>Contracts between MoH and DSS providers are framed by national standards and national service specifications frameworks</w:t>
      </w:r>
      <w:r w:rsidR="00DA3757">
        <w:t>,</w:t>
      </w:r>
      <w:r>
        <w:t xml:space="preserve"> </w:t>
      </w:r>
      <w:r w:rsidR="00DA3757">
        <w:t>which contributes to a</w:t>
      </w:r>
      <w:r>
        <w:t xml:space="preserve"> transparent and standardised model of service delivery. Key informants</w:t>
      </w:r>
      <w:r>
        <w:rPr>
          <w:rStyle w:val="FootnoteReference"/>
          <w:rFonts w:cs="Arial"/>
        </w:rPr>
        <w:footnoteReference w:id="14"/>
      </w:r>
      <w:r>
        <w:t xml:space="preserve"> stated that this was in some respects a very positive aspect of the </w:t>
      </w:r>
      <w:smartTag w:uri="urn:schemas-microsoft-com:office:smarttags" w:element="country-region">
        <w:smartTag w:uri="urn:schemas-microsoft-com:office:smarttags" w:element="place">
          <w:r>
            <w:t>New Zealand</w:t>
          </w:r>
        </w:smartTag>
      </w:smartTag>
      <w:r>
        <w:t xml:space="preserve"> disability services system but it also resulted in stifling service innovations.</w:t>
      </w:r>
    </w:p>
    <w:p w14:paraId="7069E3DE" w14:textId="77777777" w:rsidR="001E330B" w:rsidRDefault="00544D9F" w:rsidP="00D3776B">
      <w:r w:rsidRPr="00D36A02">
        <w:lastRenderedPageBreak/>
        <w:t>DSS funding under the Vote: Health is capped so services can only be provided to the extent that funding is available. However, the DSS proportion of Vote: Health is ringfenced</w:t>
      </w:r>
      <w:r w:rsidR="001E330B">
        <w:t>.</w:t>
      </w:r>
    </w:p>
    <w:p w14:paraId="2957B735" w14:textId="77777777" w:rsidR="00544D9F" w:rsidRPr="00193877" w:rsidRDefault="001E330B" w:rsidP="00C13592">
      <w:pPr>
        <w:pStyle w:val="TableTitle"/>
        <w:spacing w:line="240" w:lineRule="auto"/>
      </w:pPr>
      <w:r>
        <w:br w:type="page"/>
      </w:r>
      <w:r w:rsidR="00BA1D63">
        <w:lastRenderedPageBreak/>
        <w:t>Table 5</w:t>
      </w:r>
      <w:r w:rsidR="00544D9F" w:rsidRPr="00193877">
        <w:t>: Capped and ringfenced disability budget element of Vote: Health</w:t>
      </w:r>
      <w:r w:rsidR="008F58BB">
        <w:rPr>
          <w:rStyle w:val="FootnoteReference"/>
          <w:rFonts w:cs="Arial"/>
          <w:b w:val="0"/>
          <w:sz w:val="20"/>
          <w:szCs w:val="20"/>
        </w:rPr>
        <w:footnoteReference w:id="15"/>
      </w:r>
    </w:p>
    <w:tbl>
      <w:tblPr>
        <w:tblW w:w="9180" w:type="dxa"/>
        <w:tblInd w:w="-252" w:type="dxa"/>
        <w:tblLayout w:type="fixed"/>
        <w:tblLook w:val="01E0" w:firstRow="1" w:lastRow="1" w:firstColumn="1" w:lastColumn="1" w:noHBand="0" w:noVBand="0"/>
      </w:tblPr>
      <w:tblGrid>
        <w:gridCol w:w="1674"/>
        <w:gridCol w:w="1106"/>
        <w:gridCol w:w="1180"/>
        <w:gridCol w:w="1620"/>
        <w:gridCol w:w="1620"/>
        <w:gridCol w:w="1980"/>
      </w:tblGrid>
      <w:tr w:rsidR="007E6BD4" w:rsidRPr="00D36A02" w14:paraId="75669B14" w14:textId="77777777">
        <w:tc>
          <w:tcPr>
            <w:tcW w:w="1674" w:type="dxa"/>
          </w:tcPr>
          <w:p w14:paraId="251C33F6" w14:textId="77777777" w:rsidR="007E6BD4" w:rsidRPr="00670292" w:rsidRDefault="007E6BD4" w:rsidP="00670292">
            <w:pPr>
              <w:pStyle w:val="TableHead"/>
              <w:rPr>
                <w:sz w:val="20"/>
                <w:szCs w:val="20"/>
              </w:rPr>
            </w:pPr>
            <w:r w:rsidRPr="00670292">
              <w:rPr>
                <w:sz w:val="20"/>
                <w:szCs w:val="20"/>
              </w:rPr>
              <w:t xml:space="preserve">Year </w:t>
            </w:r>
          </w:p>
        </w:tc>
        <w:tc>
          <w:tcPr>
            <w:tcW w:w="1106" w:type="dxa"/>
          </w:tcPr>
          <w:p w14:paraId="460237B0" w14:textId="77777777" w:rsidR="007E6BD4" w:rsidRPr="00670292" w:rsidRDefault="007E6BD4" w:rsidP="00670292">
            <w:pPr>
              <w:pStyle w:val="TableHead"/>
              <w:rPr>
                <w:sz w:val="20"/>
                <w:szCs w:val="20"/>
              </w:rPr>
            </w:pPr>
            <w:r w:rsidRPr="00670292">
              <w:rPr>
                <w:sz w:val="20"/>
                <w:szCs w:val="20"/>
              </w:rPr>
              <w:t>Disability support</w:t>
            </w:r>
            <w:r w:rsidR="008F58BB" w:rsidRPr="00670292">
              <w:rPr>
                <w:rStyle w:val="FootnoteReference"/>
                <w:rFonts w:cs="Arial"/>
                <w:b w:val="0"/>
                <w:bCs/>
                <w:sz w:val="20"/>
                <w:szCs w:val="20"/>
              </w:rPr>
              <w:footnoteReference w:id="16"/>
            </w:r>
          </w:p>
        </w:tc>
        <w:tc>
          <w:tcPr>
            <w:tcW w:w="1180" w:type="dxa"/>
          </w:tcPr>
          <w:p w14:paraId="5E1F342D" w14:textId="77777777" w:rsidR="007E6BD4" w:rsidRPr="00670292" w:rsidRDefault="007E6BD4" w:rsidP="00670292">
            <w:pPr>
              <w:pStyle w:val="TableHead"/>
              <w:rPr>
                <w:sz w:val="20"/>
                <w:szCs w:val="20"/>
              </w:rPr>
            </w:pPr>
            <w:r w:rsidRPr="00670292">
              <w:rPr>
                <w:sz w:val="20"/>
                <w:szCs w:val="20"/>
              </w:rPr>
              <w:t>Estimated DHB</w:t>
            </w:r>
            <w:r w:rsidR="008F58BB" w:rsidRPr="00670292">
              <w:rPr>
                <w:rStyle w:val="FootnoteReference"/>
                <w:rFonts w:cs="Arial"/>
                <w:b w:val="0"/>
                <w:bCs/>
                <w:sz w:val="20"/>
                <w:szCs w:val="20"/>
              </w:rPr>
              <w:footnoteReference w:id="17"/>
            </w:r>
            <w:r w:rsidRPr="00670292">
              <w:rPr>
                <w:sz w:val="20"/>
                <w:szCs w:val="20"/>
              </w:rPr>
              <w:t xml:space="preserve"> </w:t>
            </w:r>
          </w:p>
        </w:tc>
        <w:tc>
          <w:tcPr>
            <w:tcW w:w="1620" w:type="dxa"/>
          </w:tcPr>
          <w:p w14:paraId="6E2188FF" w14:textId="77777777" w:rsidR="007E6BD4" w:rsidRPr="00670292" w:rsidRDefault="007E6BD4" w:rsidP="00670292">
            <w:pPr>
              <w:pStyle w:val="TableHead"/>
              <w:rPr>
                <w:sz w:val="20"/>
                <w:szCs w:val="20"/>
              </w:rPr>
            </w:pPr>
            <w:r w:rsidRPr="00670292">
              <w:rPr>
                <w:sz w:val="20"/>
                <w:szCs w:val="20"/>
              </w:rPr>
              <w:t>Total disability support from Vote: Health</w:t>
            </w:r>
            <w:r w:rsidR="00321C76" w:rsidRPr="00670292">
              <w:rPr>
                <w:sz w:val="20"/>
                <w:szCs w:val="20"/>
              </w:rPr>
              <w:t xml:space="preserve"> </w:t>
            </w:r>
          </w:p>
        </w:tc>
        <w:tc>
          <w:tcPr>
            <w:tcW w:w="1620" w:type="dxa"/>
          </w:tcPr>
          <w:p w14:paraId="179198FF" w14:textId="77777777" w:rsidR="007E6BD4" w:rsidRPr="00670292" w:rsidRDefault="00321C76" w:rsidP="00670292">
            <w:pPr>
              <w:pStyle w:val="TableHead"/>
              <w:rPr>
                <w:sz w:val="20"/>
                <w:szCs w:val="20"/>
              </w:rPr>
            </w:pPr>
            <w:r w:rsidRPr="00670292">
              <w:rPr>
                <w:sz w:val="20"/>
                <w:szCs w:val="20"/>
              </w:rPr>
              <w:t>Total disability support from Vote: Health</w:t>
            </w:r>
          </w:p>
        </w:tc>
        <w:tc>
          <w:tcPr>
            <w:tcW w:w="1980" w:type="dxa"/>
          </w:tcPr>
          <w:p w14:paraId="47A739F1" w14:textId="77777777" w:rsidR="007E6BD4" w:rsidRPr="00670292" w:rsidRDefault="007E6BD4" w:rsidP="00670292">
            <w:pPr>
              <w:pStyle w:val="TableHead"/>
              <w:rPr>
                <w:sz w:val="20"/>
                <w:szCs w:val="20"/>
              </w:rPr>
            </w:pPr>
            <w:r w:rsidRPr="00670292">
              <w:rPr>
                <w:sz w:val="20"/>
                <w:szCs w:val="20"/>
              </w:rPr>
              <w:t xml:space="preserve">% of Vote Health’s </w:t>
            </w:r>
            <w:proofErr w:type="spellStart"/>
            <w:r w:rsidRPr="00670292">
              <w:rPr>
                <w:sz w:val="20"/>
                <w:szCs w:val="20"/>
              </w:rPr>
              <w:t>nondepartmental</w:t>
            </w:r>
            <w:proofErr w:type="spellEnd"/>
            <w:r w:rsidRPr="00670292">
              <w:rPr>
                <w:sz w:val="20"/>
                <w:szCs w:val="20"/>
              </w:rPr>
              <w:t xml:space="preserve"> expenditure</w:t>
            </w:r>
          </w:p>
        </w:tc>
      </w:tr>
      <w:tr w:rsidR="007E6BD4" w:rsidRPr="00D36A02" w14:paraId="59B6CCE9" w14:textId="77777777">
        <w:tc>
          <w:tcPr>
            <w:tcW w:w="1674" w:type="dxa"/>
            <w:vAlign w:val="bottom"/>
          </w:tcPr>
          <w:p w14:paraId="7C5847DF" w14:textId="77777777" w:rsidR="007E6BD4" w:rsidRPr="00D36A02" w:rsidRDefault="007E6BD4" w:rsidP="007E6BD4">
            <w:pPr>
              <w:spacing w:after="0"/>
              <w:rPr>
                <w:rFonts w:cs="Arial"/>
                <w:sz w:val="20"/>
                <w:szCs w:val="20"/>
              </w:rPr>
            </w:pPr>
          </w:p>
        </w:tc>
        <w:tc>
          <w:tcPr>
            <w:tcW w:w="1106" w:type="dxa"/>
          </w:tcPr>
          <w:p w14:paraId="61CA2EB8" w14:textId="77777777" w:rsidR="007E6BD4" w:rsidRPr="00D36A02" w:rsidRDefault="007E6BD4" w:rsidP="00DA3757">
            <w:pPr>
              <w:spacing w:after="0"/>
              <w:jc w:val="right"/>
              <w:rPr>
                <w:rFonts w:cs="Arial"/>
                <w:sz w:val="20"/>
                <w:szCs w:val="20"/>
              </w:rPr>
            </w:pPr>
            <w:r>
              <w:rPr>
                <w:rFonts w:cs="Arial"/>
                <w:sz w:val="20"/>
                <w:szCs w:val="20"/>
              </w:rPr>
              <w:t>NZ</w:t>
            </w:r>
            <w:r w:rsidRPr="00D36A02">
              <w:rPr>
                <w:rFonts w:cs="Arial"/>
                <w:sz w:val="20"/>
                <w:szCs w:val="20"/>
              </w:rPr>
              <w:t>$ (million)</w:t>
            </w:r>
          </w:p>
        </w:tc>
        <w:tc>
          <w:tcPr>
            <w:tcW w:w="1180" w:type="dxa"/>
          </w:tcPr>
          <w:p w14:paraId="246F3AA9" w14:textId="77777777" w:rsidR="007E6BD4" w:rsidRPr="00D36A02" w:rsidRDefault="007E6BD4" w:rsidP="00DA3757">
            <w:pPr>
              <w:spacing w:after="0"/>
              <w:jc w:val="right"/>
              <w:rPr>
                <w:rFonts w:cs="Arial"/>
                <w:sz w:val="20"/>
                <w:szCs w:val="20"/>
              </w:rPr>
            </w:pPr>
            <w:r>
              <w:rPr>
                <w:rFonts w:cs="Arial"/>
                <w:sz w:val="20"/>
                <w:szCs w:val="20"/>
              </w:rPr>
              <w:t>NZ</w:t>
            </w:r>
            <w:r w:rsidRPr="00D36A02">
              <w:rPr>
                <w:rFonts w:cs="Arial"/>
                <w:sz w:val="20"/>
                <w:szCs w:val="20"/>
              </w:rPr>
              <w:t>$ (million)</w:t>
            </w:r>
          </w:p>
        </w:tc>
        <w:tc>
          <w:tcPr>
            <w:tcW w:w="1620" w:type="dxa"/>
          </w:tcPr>
          <w:p w14:paraId="5A2A3BDC" w14:textId="77777777" w:rsidR="00321C76" w:rsidRDefault="007E6BD4" w:rsidP="00DA3757">
            <w:pPr>
              <w:spacing w:after="0"/>
              <w:jc w:val="right"/>
              <w:rPr>
                <w:rFonts w:cs="Arial"/>
                <w:sz w:val="20"/>
                <w:szCs w:val="20"/>
              </w:rPr>
            </w:pPr>
            <w:r>
              <w:rPr>
                <w:rFonts w:cs="Arial"/>
                <w:sz w:val="20"/>
                <w:szCs w:val="20"/>
              </w:rPr>
              <w:t>NZ</w:t>
            </w:r>
            <w:r w:rsidRPr="00D36A02">
              <w:rPr>
                <w:rFonts w:cs="Arial"/>
                <w:sz w:val="20"/>
                <w:szCs w:val="20"/>
              </w:rPr>
              <w:t xml:space="preserve">$ </w:t>
            </w:r>
          </w:p>
          <w:p w14:paraId="2147584A" w14:textId="77777777" w:rsidR="007E6BD4" w:rsidRPr="00D36A02" w:rsidRDefault="007E6BD4" w:rsidP="00DA3757">
            <w:pPr>
              <w:spacing w:after="0"/>
              <w:jc w:val="right"/>
              <w:rPr>
                <w:rFonts w:cs="Arial"/>
                <w:sz w:val="20"/>
                <w:szCs w:val="20"/>
              </w:rPr>
            </w:pPr>
            <w:r w:rsidRPr="00D36A02">
              <w:rPr>
                <w:rFonts w:cs="Arial"/>
                <w:sz w:val="20"/>
                <w:szCs w:val="20"/>
              </w:rPr>
              <w:t>(million)</w:t>
            </w:r>
          </w:p>
        </w:tc>
        <w:tc>
          <w:tcPr>
            <w:tcW w:w="1620" w:type="dxa"/>
          </w:tcPr>
          <w:p w14:paraId="4912E1E7" w14:textId="77777777" w:rsidR="007E6BD4" w:rsidRDefault="00321C76" w:rsidP="00DA3757">
            <w:pPr>
              <w:spacing w:after="0"/>
              <w:jc w:val="right"/>
              <w:rPr>
                <w:rFonts w:cs="Arial"/>
                <w:sz w:val="20"/>
                <w:szCs w:val="20"/>
              </w:rPr>
            </w:pPr>
            <w:r>
              <w:rPr>
                <w:rFonts w:cs="Arial"/>
                <w:sz w:val="20"/>
                <w:szCs w:val="20"/>
              </w:rPr>
              <w:t>€ euros</w:t>
            </w:r>
          </w:p>
          <w:p w14:paraId="74713EA5" w14:textId="77777777" w:rsidR="00321C76" w:rsidRPr="00D36A02" w:rsidRDefault="00321C76" w:rsidP="00DA3757">
            <w:pPr>
              <w:spacing w:after="0"/>
              <w:jc w:val="right"/>
              <w:rPr>
                <w:rFonts w:cs="Arial"/>
                <w:sz w:val="20"/>
                <w:szCs w:val="20"/>
              </w:rPr>
            </w:pPr>
            <w:r>
              <w:rPr>
                <w:rFonts w:cs="Arial"/>
                <w:sz w:val="20"/>
                <w:szCs w:val="20"/>
              </w:rPr>
              <w:t>(million)</w:t>
            </w:r>
          </w:p>
        </w:tc>
        <w:tc>
          <w:tcPr>
            <w:tcW w:w="1980" w:type="dxa"/>
            <w:vAlign w:val="bottom"/>
          </w:tcPr>
          <w:p w14:paraId="377D3714" w14:textId="77777777" w:rsidR="007E6BD4" w:rsidRPr="00D36A02" w:rsidRDefault="007E6BD4" w:rsidP="007E6BD4">
            <w:pPr>
              <w:spacing w:after="0"/>
              <w:rPr>
                <w:rFonts w:cs="Arial"/>
                <w:sz w:val="20"/>
                <w:szCs w:val="20"/>
              </w:rPr>
            </w:pPr>
          </w:p>
        </w:tc>
      </w:tr>
      <w:tr w:rsidR="007E6BD4" w:rsidRPr="00D36A02" w14:paraId="5C031000" w14:textId="77777777">
        <w:tc>
          <w:tcPr>
            <w:tcW w:w="1674" w:type="dxa"/>
            <w:vAlign w:val="bottom"/>
          </w:tcPr>
          <w:p w14:paraId="54DFEDE5" w14:textId="77777777" w:rsidR="007E6BD4" w:rsidRPr="00670292" w:rsidRDefault="007E6BD4" w:rsidP="00670292">
            <w:pPr>
              <w:pStyle w:val="TableRowHead"/>
              <w:rPr>
                <w:sz w:val="20"/>
                <w:szCs w:val="20"/>
              </w:rPr>
            </w:pPr>
            <w:r w:rsidRPr="00670292">
              <w:rPr>
                <w:sz w:val="20"/>
                <w:szCs w:val="20"/>
              </w:rPr>
              <w:t xml:space="preserve">1996/97 </w:t>
            </w:r>
          </w:p>
        </w:tc>
        <w:tc>
          <w:tcPr>
            <w:tcW w:w="1106" w:type="dxa"/>
            <w:vAlign w:val="bottom"/>
          </w:tcPr>
          <w:p w14:paraId="2DB64F92" w14:textId="77777777" w:rsidR="007E6BD4" w:rsidRPr="00D36A02" w:rsidRDefault="007E6BD4" w:rsidP="007E6BD4">
            <w:pPr>
              <w:spacing w:after="0"/>
              <w:jc w:val="right"/>
              <w:rPr>
                <w:rFonts w:cs="Arial"/>
                <w:sz w:val="20"/>
                <w:szCs w:val="20"/>
              </w:rPr>
            </w:pPr>
            <w:r w:rsidRPr="00D36A02">
              <w:rPr>
                <w:rFonts w:cs="Arial"/>
                <w:sz w:val="20"/>
                <w:szCs w:val="20"/>
              </w:rPr>
              <w:t>852</w:t>
            </w:r>
          </w:p>
        </w:tc>
        <w:tc>
          <w:tcPr>
            <w:tcW w:w="1180" w:type="dxa"/>
            <w:vAlign w:val="bottom"/>
          </w:tcPr>
          <w:p w14:paraId="461764A9" w14:textId="77777777" w:rsidR="007E6BD4" w:rsidRPr="00D36A02" w:rsidRDefault="007E6BD4" w:rsidP="007E6BD4">
            <w:pPr>
              <w:spacing w:after="0"/>
              <w:rPr>
                <w:rFonts w:cs="Arial"/>
                <w:sz w:val="20"/>
                <w:szCs w:val="20"/>
              </w:rPr>
            </w:pPr>
          </w:p>
        </w:tc>
        <w:tc>
          <w:tcPr>
            <w:tcW w:w="1620" w:type="dxa"/>
            <w:vAlign w:val="bottom"/>
          </w:tcPr>
          <w:p w14:paraId="0A7D9252" w14:textId="77777777" w:rsidR="007E6BD4" w:rsidRPr="00D36A02" w:rsidRDefault="007E6BD4" w:rsidP="007E6BD4">
            <w:pPr>
              <w:spacing w:after="0"/>
              <w:jc w:val="right"/>
              <w:rPr>
                <w:rFonts w:cs="Arial"/>
                <w:sz w:val="20"/>
                <w:szCs w:val="20"/>
              </w:rPr>
            </w:pPr>
            <w:r w:rsidRPr="00D36A02">
              <w:rPr>
                <w:rFonts w:cs="Arial"/>
                <w:sz w:val="20"/>
                <w:szCs w:val="20"/>
              </w:rPr>
              <w:t>852</w:t>
            </w:r>
          </w:p>
        </w:tc>
        <w:tc>
          <w:tcPr>
            <w:tcW w:w="1620" w:type="dxa"/>
          </w:tcPr>
          <w:p w14:paraId="0E630EFC" w14:textId="77777777" w:rsidR="007E6BD4" w:rsidRPr="00D36A02" w:rsidRDefault="00321C76" w:rsidP="007E6BD4">
            <w:pPr>
              <w:spacing w:after="0"/>
              <w:jc w:val="right"/>
              <w:rPr>
                <w:rFonts w:cs="Arial"/>
                <w:sz w:val="20"/>
                <w:szCs w:val="20"/>
              </w:rPr>
            </w:pPr>
            <w:r>
              <w:rPr>
                <w:rFonts w:cs="Arial"/>
                <w:sz w:val="20"/>
                <w:szCs w:val="20"/>
              </w:rPr>
              <w:t>451</w:t>
            </w:r>
          </w:p>
        </w:tc>
        <w:tc>
          <w:tcPr>
            <w:tcW w:w="1980" w:type="dxa"/>
            <w:vAlign w:val="bottom"/>
          </w:tcPr>
          <w:p w14:paraId="0942A00F" w14:textId="77777777" w:rsidR="007E6BD4" w:rsidRPr="00D36A02" w:rsidRDefault="007E6BD4" w:rsidP="007E6BD4">
            <w:pPr>
              <w:spacing w:after="0"/>
              <w:jc w:val="right"/>
              <w:rPr>
                <w:rFonts w:cs="Arial"/>
                <w:sz w:val="20"/>
                <w:szCs w:val="20"/>
              </w:rPr>
            </w:pPr>
            <w:r w:rsidRPr="00D36A02">
              <w:rPr>
                <w:rFonts w:cs="Arial"/>
                <w:sz w:val="20"/>
                <w:szCs w:val="20"/>
              </w:rPr>
              <w:t>17.6</w:t>
            </w:r>
          </w:p>
        </w:tc>
      </w:tr>
      <w:tr w:rsidR="007E6BD4" w:rsidRPr="00D36A02" w14:paraId="62663495" w14:textId="77777777">
        <w:tc>
          <w:tcPr>
            <w:tcW w:w="1674" w:type="dxa"/>
            <w:vAlign w:val="bottom"/>
          </w:tcPr>
          <w:p w14:paraId="7C89C4CF" w14:textId="77777777" w:rsidR="007E6BD4" w:rsidRPr="00670292" w:rsidRDefault="007E6BD4" w:rsidP="00670292">
            <w:pPr>
              <w:pStyle w:val="TableRowHead"/>
              <w:rPr>
                <w:sz w:val="20"/>
                <w:szCs w:val="20"/>
              </w:rPr>
            </w:pPr>
            <w:r w:rsidRPr="00670292">
              <w:rPr>
                <w:sz w:val="20"/>
                <w:szCs w:val="20"/>
              </w:rPr>
              <w:t xml:space="preserve">1997/98 </w:t>
            </w:r>
          </w:p>
        </w:tc>
        <w:tc>
          <w:tcPr>
            <w:tcW w:w="1106" w:type="dxa"/>
            <w:vAlign w:val="bottom"/>
          </w:tcPr>
          <w:p w14:paraId="4C504038" w14:textId="77777777" w:rsidR="007E6BD4" w:rsidRPr="00D36A02" w:rsidRDefault="007E6BD4" w:rsidP="007E6BD4">
            <w:pPr>
              <w:spacing w:after="0"/>
              <w:jc w:val="right"/>
              <w:rPr>
                <w:rFonts w:cs="Arial"/>
                <w:sz w:val="20"/>
                <w:szCs w:val="20"/>
              </w:rPr>
            </w:pPr>
            <w:r w:rsidRPr="00D36A02">
              <w:rPr>
                <w:rFonts w:cs="Arial"/>
                <w:sz w:val="20"/>
                <w:szCs w:val="20"/>
              </w:rPr>
              <w:t>945</w:t>
            </w:r>
          </w:p>
        </w:tc>
        <w:tc>
          <w:tcPr>
            <w:tcW w:w="1180" w:type="dxa"/>
            <w:vAlign w:val="bottom"/>
          </w:tcPr>
          <w:p w14:paraId="3DBC8A79" w14:textId="77777777" w:rsidR="007E6BD4" w:rsidRPr="00D36A02" w:rsidRDefault="007E6BD4" w:rsidP="007E6BD4">
            <w:pPr>
              <w:spacing w:after="0"/>
              <w:rPr>
                <w:rFonts w:cs="Arial"/>
                <w:sz w:val="20"/>
                <w:szCs w:val="20"/>
              </w:rPr>
            </w:pPr>
          </w:p>
        </w:tc>
        <w:tc>
          <w:tcPr>
            <w:tcW w:w="1620" w:type="dxa"/>
            <w:vAlign w:val="bottom"/>
          </w:tcPr>
          <w:p w14:paraId="05190D8A" w14:textId="77777777" w:rsidR="007E6BD4" w:rsidRPr="00D36A02" w:rsidRDefault="007E6BD4" w:rsidP="007E6BD4">
            <w:pPr>
              <w:spacing w:after="0"/>
              <w:jc w:val="right"/>
              <w:rPr>
                <w:rFonts w:cs="Arial"/>
                <w:sz w:val="20"/>
                <w:szCs w:val="20"/>
              </w:rPr>
            </w:pPr>
            <w:r w:rsidRPr="00D36A02">
              <w:rPr>
                <w:rFonts w:cs="Arial"/>
                <w:sz w:val="20"/>
                <w:szCs w:val="20"/>
              </w:rPr>
              <w:t>945</w:t>
            </w:r>
          </w:p>
        </w:tc>
        <w:tc>
          <w:tcPr>
            <w:tcW w:w="1620" w:type="dxa"/>
          </w:tcPr>
          <w:p w14:paraId="2D2928D9" w14:textId="77777777" w:rsidR="007E6BD4" w:rsidRPr="00D36A02" w:rsidRDefault="00321C76" w:rsidP="007E6BD4">
            <w:pPr>
              <w:spacing w:after="0"/>
              <w:jc w:val="right"/>
              <w:rPr>
                <w:rFonts w:cs="Arial"/>
                <w:sz w:val="20"/>
                <w:szCs w:val="20"/>
              </w:rPr>
            </w:pPr>
            <w:r>
              <w:rPr>
                <w:rFonts w:cs="Arial"/>
                <w:sz w:val="20"/>
                <w:szCs w:val="20"/>
              </w:rPr>
              <w:t>500</w:t>
            </w:r>
          </w:p>
        </w:tc>
        <w:tc>
          <w:tcPr>
            <w:tcW w:w="1980" w:type="dxa"/>
            <w:vAlign w:val="bottom"/>
          </w:tcPr>
          <w:p w14:paraId="1F10CBC6" w14:textId="77777777" w:rsidR="007E6BD4" w:rsidRPr="00D36A02" w:rsidRDefault="007E6BD4" w:rsidP="007E6BD4">
            <w:pPr>
              <w:spacing w:after="0"/>
              <w:jc w:val="right"/>
              <w:rPr>
                <w:rFonts w:cs="Arial"/>
                <w:sz w:val="20"/>
                <w:szCs w:val="20"/>
              </w:rPr>
            </w:pPr>
            <w:r w:rsidRPr="00D36A02">
              <w:rPr>
                <w:rFonts w:cs="Arial"/>
                <w:sz w:val="20"/>
                <w:szCs w:val="20"/>
              </w:rPr>
              <w:t>18.3</w:t>
            </w:r>
          </w:p>
        </w:tc>
      </w:tr>
      <w:tr w:rsidR="007E6BD4" w:rsidRPr="00D36A02" w14:paraId="15D874EB" w14:textId="77777777">
        <w:tc>
          <w:tcPr>
            <w:tcW w:w="1674" w:type="dxa"/>
            <w:vAlign w:val="bottom"/>
          </w:tcPr>
          <w:p w14:paraId="05FC272D" w14:textId="77777777" w:rsidR="007E6BD4" w:rsidRPr="00670292" w:rsidRDefault="007E6BD4" w:rsidP="00670292">
            <w:pPr>
              <w:pStyle w:val="TableRowHead"/>
              <w:rPr>
                <w:sz w:val="20"/>
                <w:szCs w:val="20"/>
              </w:rPr>
            </w:pPr>
            <w:r w:rsidRPr="00670292">
              <w:rPr>
                <w:sz w:val="20"/>
                <w:szCs w:val="20"/>
              </w:rPr>
              <w:t xml:space="preserve">1998/99 </w:t>
            </w:r>
          </w:p>
        </w:tc>
        <w:tc>
          <w:tcPr>
            <w:tcW w:w="1106" w:type="dxa"/>
            <w:vAlign w:val="bottom"/>
          </w:tcPr>
          <w:p w14:paraId="3577A42B" w14:textId="77777777" w:rsidR="007E6BD4" w:rsidRPr="00D36A02" w:rsidRDefault="007E6BD4" w:rsidP="007E6BD4">
            <w:pPr>
              <w:spacing w:after="0"/>
              <w:jc w:val="right"/>
              <w:rPr>
                <w:rFonts w:cs="Arial"/>
                <w:sz w:val="20"/>
                <w:szCs w:val="20"/>
              </w:rPr>
            </w:pPr>
            <w:r w:rsidRPr="00D36A02">
              <w:rPr>
                <w:rFonts w:cs="Arial"/>
                <w:sz w:val="20"/>
                <w:szCs w:val="20"/>
              </w:rPr>
              <w:t>1,047</w:t>
            </w:r>
          </w:p>
        </w:tc>
        <w:tc>
          <w:tcPr>
            <w:tcW w:w="1180" w:type="dxa"/>
            <w:vAlign w:val="bottom"/>
          </w:tcPr>
          <w:p w14:paraId="49E1CFA6" w14:textId="77777777" w:rsidR="007E6BD4" w:rsidRPr="00D36A02" w:rsidRDefault="007E6BD4" w:rsidP="007E6BD4">
            <w:pPr>
              <w:spacing w:after="0"/>
              <w:rPr>
                <w:rFonts w:cs="Arial"/>
                <w:sz w:val="20"/>
                <w:szCs w:val="20"/>
              </w:rPr>
            </w:pPr>
          </w:p>
        </w:tc>
        <w:tc>
          <w:tcPr>
            <w:tcW w:w="1620" w:type="dxa"/>
            <w:vAlign w:val="bottom"/>
          </w:tcPr>
          <w:p w14:paraId="76E7FED3" w14:textId="77777777" w:rsidR="007E6BD4" w:rsidRPr="00D36A02" w:rsidRDefault="007E6BD4" w:rsidP="007E6BD4">
            <w:pPr>
              <w:spacing w:after="0"/>
              <w:jc w:val="right"/>
              <w:rPr>
                <w:rFonts w:cs="Arial"/>
                <w:sz w:val="20"/>
                <w:szCs w:val="20"/>
              </w:rPr>
            </w:pPr>
            <w:r w:rsidRPr="00D36A02">
              <w:rPr>
                <w:rFonts w:cs="Arial"/>
                <w:sz w:val="20"/>
                <w:szCs w:val="20"/>
              </w:rPr>
              <w:t>1,047</w:t>
            </w:r>
          </w:p>
        </w:tc>
        <w:tc>
          <w:tcPr>
            <w:tcW w:w="1620" w:type="dxa"/>
          </w:tcPr>
          <w:p w14:paraId="3D27D798" w14:textId="77777777" w:rsidR="007E6BD4" w:rsidRPr="00D36A02" w:rsidRDefault="00321C76" w:rsidP="007E6BD4">
            <w:pPr>
              <w:spacing w:after="0"/>
              <w:jc w:val="right"/>
              <w:rPr>
                <w:rFonts w:cs="Arial"/>
                <w:sz w:val="20"/>
                <w:szCs w:val="20"/>
              </w:rPr>
            </w:pPr>
            <w:r>
              <w:rPr>
                <w:rFonts w:cs="Arial"/>
                <w:sz w:val="20"/>
                <w:szCs w:val="20"/>
              </w:rPr>
              <w:t>555</w:t>
            </w:r>
          </w:p>
        </w:tc>
        <w:tc>
          <w:tcPr>
            <w:tcW w:w="1980" w:type="dxa"/>
            <w:vAlign w:val="bottom"/>
          </w:tcPr>
          <w:p w14:paraId="3C86AE46" w14:textId="77777777" w:rsidR="007E6BD4" w:rsidRPr="00D36A02" w:rsidRDefault="007E6BD4" w:rsidP="007E6BD4">
            <w:pPr>
              <w:spacing w:after="0"/>
              <w:jc w:val="right"/>
              <w:rPr>
                <w:rFonts w:cs="Arial"/>
                <w:sz w:val="20"/>
                <w:szCs w:val="20"/>
              </w:rPr>
            </w:pPr>
            <w:r w:rsidRPr="00D36A02">
              <w:rPr>
                <w:rFonts w:cs="Arial"/>
                <w:sz w:val="20"/>
                <w:szCs w:val="20"/>
              </w:rPr>
              <w:t>18.7</w:t>
            </w:r>
          </w:p>
        </w:tc>
      </w:tr>
      <w:tr w:rsidR="007E6BD4" w:rsidRPr="00D36A02" w14:paraId="39753AB6" w14:textId="77777777">
        <w:tc>
          <w:tcPr>
            <w:tcW w:w="1674" w:type="dxa"/>
            <w:vAlign w:val="bottom"/>
          </w:tcPr>
          <w:p w14:paraId="2C0A2BC5" w14:textId="77777777" w:rsidR="007E6BD4" w:rsidRPr="00670292" w:rsidRDefault="007E6BD4" w:rsidP="00670292">
            <w:pPr>
              <w:pStyle w:val="TableRowHead"/>
              <w:rPr>
                <w:sz w:val="20"/>
                <w:szCs w:val="20"/>
              </w:rPr>
            </w:pPr>
            <w:r w:rsidRPr="00670292">
              <w:rPr>
                <w:sz w:val="20"/>
                <w:szCs w:val="20"/>
              </w:rPr>
              <w:t>1999/2000</w:t>
            </w:r>
          </w:p>
        </w:tc>
        <w:tc>
          <w:tcPr>
            <w:tcW w:w="1106" w:type="dxa"/>
            <w:vAlign w:val="bottom"/>
          </w:tcPr>
          <w:p w14:paraId="1D3DFA96" w14:textId="77777777" w:rsidR="007E6BD4" w:rsidRPr="00D36A02" w:rsidRDefault="007E6BD4" w:rsidP="007E6BD4">
            <w:pPr>
              <w:spacing w:after="0"/>
              <w:jc w:val="right"/>
              <w:rPr>
                <w:rFonts w:cs="Arial"/>
                <w:sz w:val="20"/>
                <w:szCs w:val="20"/>
              </w:rPr>
            </w:pPr>
            <w:r w:rsidRPr="00D36A02">
              <w:rPr>
                <w:rFonts w:cs="Arial"/>
                <w:sz w:val="20"/>
                <w:szCs w:val="20"/>
              </w:rPr>
              <w:t>1,125</w:t>
            </w:r>
          </w:p>
        </w:tc>
        <w:tc>
          <w:tcPr>
            <w:tcW w:w="1180" w:type="dxa"/>
            <w:vAlign w:val="bottom"/>
          </w:tcPr>
          <w:p w14:paraId="6DC3140C" w14:textId="77777777" w:rsidR="007E6BD4" w:rsidRPr="00D36A02" w:rsidRDefault="007E6BD4" w:rsidP="007E6BD4">
            <w:pPr>
              <w:spacing w:after="0"/>
              <w:rPr>
                <w:rFonts w:cs="Arial"/>
                <w:sz w:val="20"/>
                <w:szCs w:val="20"/>
              </w:rPr>
            </w:pPr>
          </w:p>
        </w:tc>
        <w:tc>
          <w:tcPr>
            <w:tcW w:w="1620" w:type="dxa"/>
            <w:vAlign w:val="bottom"/>
          </w:tcPr>
          <w:p w14:paraId="6FE4FC1B" w14:textId="77777777" w:rsidR="007E6BD4" w:rsidRPr="00D36A02" w:rsidRDefault="007E6BD4" w:rsidP="007E6BD4">
            <w:pPr>
              <w:spacing w:after="0"/>
              <w:jc w:val="right"/>
              <w:rPr>
                <w:rFonts w:cs="Arial"/>
                <w:sz w:val="20"/>
                <w:szCs w:val="20"/>
              </w:rPr>
            </w:pPr>
            <w:r w:rsidRPr="00D36A02">
              <w:rPr>
                <w:rFonts w:cs="Arial"/>
                <w:sz w:val="20"/>
                <w:szCs w:val="20"/>
              </w:rPr>
              <w:t>1,125</w:t>
            </w:r>
          </w:p>
        </w:tc>
        <w:tc>
          <w:tcPr>
            <w:tcW w:w="1620" w:type="dxa"/>
          </w:tcPr>
          <w:p w14:paraId="3EA87971" w14:textId="77777777" w:rsidR="007E6BD4" w:rsidRPr="00D36A02" w:rsidRDefault="00321C76" w:rsidP="007E6BD4">
            <w:pPr>
              <w:spacing w:after="0"/>
              <w:jc w:val="right"/>
              <w:rPr>
                <w:rFonts w:cs="Arial"/>
                <w:sz w:val="20"/>
                <w:szCs w:val="20"/>
              </w:rPr>
            </w:pPr>
            <w:r>
              <w:rPr>
                <w:rFonts w:cs="Arial"/>
                <w:sz w:val="20"/>
                <w:szCs w:val="20"/>
              </w:rPr>
              <w:t>596</w:t>
            </w:r>
          </w:p>
        </w:tc>
        <w:tc>
          <w:tcPr>
            <w:tcW w:w="1980" w:type="dxa"/>
            <w:vAlign w:val="bottom"/>
          </w:tcPr>
          <w:p w14:paraId="6047B19A" w14:textId="77777777" w:rsidR="007E6BD4" w:rsidRPr="00D36A02" w:rsidRDefault="007E6BD4" w:rsidP="007E6BD4">
            <w:pPr>
              <w:spacing w:after="0"/>
              <w:jc w:val="right"/>
              <w:rPr>
                <w:rFonts w:cs="Arial"/>
                <w:sz w:val="20"/>
                <w:szCs w:val="20"/>
              </w:rPr>
            </w:pPr>
            <w:r w:rsidRPr="00D36A02">
              <w:rPr>
                <w:rFonts w:cs="Arial"/>
                <w:sz w:val="20"/>
                <w:szCs w:val="20"/>
              </w:rPr>
              <w:t>19</w:t>
            </w:r>
          </w:p>
        </w:tc>
      </w:tr>
      <w:tr w:rsidR="007E6BD4" w:rsidRPr="00D36A02" w14:paraId="082259FA" w14:textId="77777777">
        <w:tc>
          <w:tcPr>
            <w:tcW w:w="1674" w:type="dxa"/>
            <w:vAlign w:val="bottom"/>
          </w:tcPr>
          <w:p w14:paraId="615A22D2" w14:textId="77777777" w:rsidR="007E6BD4" w:rsidRPr="00670292" w:rsidRDefault="007E6BD4" w:rsidP="00670292">
            <w:pPr>
              <w:pStyle w:val="TableRowHead"/>
              <w:rPr>
                <w:sz w:val="20"/>
                <w:szCs w:val="20"/>
              </w:rPr>
            </w:pPr>
            <w:r w:rsidRPr="00670292">
              <w:rPr>
                <w:sz w:val="20"/>
                <w:szCs w:val="20"/>
              </w:rPr>
              <w:t xml:space="preserve">2000/01 </w:t>
            </w:r>
          </w:p>
        </w:tc>
        <w:tc>
          <w:tcPr>
            <w:tcW w:w="1106" w:type="dxa"/>
            <w:vAlign w:val="bottom"/>
          </w:tcPr>
          <w:p w14:paraId="59F6AFCC" w14:textId="77777777" w:rsidR="007E6BD4" w:rsidRPr="00D36A02" w:rsidRDefault="007E6BD4" w:rsidP="007E6BD4">
            <w:pPr>
              <w:spacing w:after="0"/>
              <w:jc w:val="right"/>
              <w:rPr>
                <w:rFonts w:cs="Arial"/>
                <w:sz w:val="20"/>
                <w:szCs w:val="20"/>
              </w:rPr>
            </w:pPr>
            <w:r w:rsidRPr="00D36A02">
              <w:rPr>
                <w:rFonts w:cs="Arial"/>
                <w:sz w:val="20"/>
                <w:szCs w:val="20"/>
              </w:rPr>
              <w:t>1,168</w:t>
            </w:r>
          </w:p>
        </w:tc>
        <w:tc>
          <w:tcPr>
            <w:tcW w:w="1180" w:type="dxa"/>
            <w:vAlign w:val="bottom"/>
          </w:tcPr>
          <w:p w14:paraId="67C31952" w14:textId="77777777" w:rsidR="007E6BD4" w:rsidRPr="00D36A02" w:rsidRDefault="007E6BD4" w:rsidP="007E6BD4">
            <w:pPr>
              <w:spacing w:after="0"/>
              <w:rPr>
                <w:rFonts w:cs="Arial"/>
                <w:sz w:val="20"/>
                <w:szCs w:val="20"/>
              </w:rPr>
            </w:pPr>
          </w:p>
        </w:tc>
        <w:tc>
          <w:tcPr>
            <w:tcW w:w="1620" w:type="dxa"/>
            <w:vAlign w:val="bottom"/>
          </w:tcPr>
          <w:p w14:paraId="42AF546D" w14:textId="77777777" w:rsidR="007E6BD4" w:rsidRPr="00D36A02" w:rsidRDefault="007E6BD4" w:rsidP="007E6BD4">
            <w:pPr>
              <w:spacing w:after="0"/>
              <w:jc w:val="right"/>
              <w:rPr>
                <w:rFonts w:cs="Arial"/>
                <w:sz w:val="20"/>
                <w:szCs w:val="20"/>
              </w:rPr>
            </w:pPr>
            <w:r w:rsidRPr="00D36A02">
              <w:rPr>
                <w:rFonts w:cs="Arial"/>
                <w:sz w:val="20"/>
                <w:szCs w:val="20"/>
              </w:rPr>
              <w:t>1,168</w:t>
            </w:r>
          </w:p>
        </w:tc>
        <w:tc>
          <w:tcPr>
            <w:tcW w:w="1620" w:type="dxa"/>
          </w:tcPr>
          <w:p w14:paraId="5B46BA2E" w14:textId="77777777" w:rsidR="007E6BD4" w:rsidRPr="00D36A02" w:rsidRDefault="00321C76" w:rsidP="007E6BD4">
            <w:pPr>
              <w:spacing w:after="0"/>
              <w:jc w:val="right"/>
              <w:rPr>
                <w:rFonts w:cs="Arial"/>
                <w:sz w:val="20"/>
                <w:szCs w:val="20"/>
              </w:rPr>
            </w:pPr>
            <w:r>
              <w:rPr>
                <w:rFonts w:cs="Arial"/>
                <w:sz w:val="20"/>
                <w:szCs w:val="20"/>
              </w:rPr>
              <w:t>619</w:t>
            </w:r>
          </w:p>
        </w:tc>
        <w:tc>
          <w:tcPr>
            <w:tcW w:w="1980" w:type="dxa"/>
            <w:vAlign w:val="bottom"/>
          </w:tcPr>
          <w:p w14:paraId="436155B8" w14:textId="77777777" w:rsidR="007E6BD4" w:rsidRPr="00D36A02" w:rsidRDefault="007E6BD4" w:rsidP="007E6BD4">
            <w:pPr>
              <w:spacing w:after="0"/>
              <w:jc w:val="right"/>
              <w:rPr>
                <w:rFonts w:cs="Arial"/>
                <w:sz w:val="20"/>
                <w:szCs w:val="20"/>
              </w:rPr>
            </w:pPr>
            <w:r w:rsidRPr="00D36A02">
              <w:rPr>
                <w:rFonts w:cs="Arial"/>
                <w:sz w:val="20"/>
                <w:szCs w:val="20"/>
              </w:rPr>
              <w:t>18.8</w:t>
            </w:r>
          </w:p>
        </w:tc>
      </w:tr>
      <w:tr w:rsidR="007E6BD4" w:rsidRPr="00D36A02" w14:paraId="0F445527" w14:textId="77777777">
        <w:tc>
          <w:tcPr>
            <w:tcW w:w="1674" w:type="dxa"/>
            <w:vAlign w:val="bottom"/>
          </w:tcPr>
          <w:p w14:paraId="28E26F0A" w14:textId="77777777" w:rsidR="007E6BD4" w:rsidRPr="00670292" w:rsidRDefault="007E6BD4" w:rsidP="00670292">
            <w:pPr>
              <w:pStyle w:val="TableRowHead"/>
              <w:rPr>
                <w:sz w:val="20"/>
                <w:szCs w:val="20"/>
              </w:rPr>
            </w:pPr>
            <w:r w:rsidRPr="00670292">
              <w:rPr>
                <w:sz w:val="20"/>
                <w:szCs w:val="20"/>
              </w:rPr>
              <w:t xml:space="preserve">2001/02 </w:t>
            </w:r>
          </w:p>
        </w:tc>
        <w:tc>
          <w:tcPr>
            <w:tcW w:w="1106" w:type="dxa"/>
            <w:vAlign w:val="bottom"/>
          </w:tcPr>
          <w:p w14:paraId="11CA9459" w14:textId="77777777" w:rsidR="007E6BD4" w:rsidRPr="00D36A02" w:rsidRDefault="007E6BD4" w:rsidP="007E6BD4">
            <w:pPr>
              <w:spacing w:after="0"/>
              <w:jc w:val="right"/>
              <w:rPr>
                <w:rFonts w:cs="Arial"/>
                <w:sz w:val="20"/>
                <w:szCs w:val="20"/>
              </w:rPr>
            </w:pPr>
            <w:r w:rsidRPr="00D36A02">
              <w:rPr>
                <w:rFonts w:cs="Arial"/>
                <w:sz w:val="20"/>
                <w:szCs w:val="20"/>
              </w:rPr>
              <w:t>1,185</w:t>
            </w:r>
          </w:p>
        </w:tc>
        <w:tc>
          <w:tcPr>
            <w:tcW w:w="1180" w:type="dxa"/>
            <w:vAlign w:val="bottom"/>
          </w:tcPr>
          <w:p w14:paraId="23A9D946" w14:textId="77777777" w:rsidR="007E6BD4" w:rsidRPr="00D36A02" w:rsidRDefault="007E6BD4" w:rsidP="007E6BD4">
            <w:pPr>
              <w:spacing w:after="0"/>
              <w:rPr>
                <w:rFonts w:cs="Arial"/>
                <w:sz w:val="20"/>
                <w:szCs w:val="20"/>
              </w:rPr>
            </w:pPr>
          </w:p>
        </w:tc>
        <w:tc>
          <w:tcPr>
            <w:tcW w:w="1620" w:type="dxa"/>
            <w:vAlign w:val="bottom"/>
          </w:tcPr>
          <w:p w14:paraId="46011C16" w14:textId="77777777" w:rsidR="007E6BD4" w:rsidRPr="00D36A02" w:rsidRDefault="007E6BD4" w:rsidP="007E6BD4">
            <w:pPr>
              <w:spacing w:after="0"/>
              <w:jc w:val="right"/>
              <w:rPr>
                <w:rFonts w:cs="Arial"/>
                <w:sz w:val="20"/>
                <w:szCs w:val="20"/>
              </w:rPr>
            </w:pPr>
            <w:r w:rsidRPr="00D36A02">
              <w:rPr>
                <w:rFonts w:cs="Arial"/>
                <w:sz w:val="20"/>
                <w:szCs w:val="20"/>
              </w:rPr>
              <w:t>1,185</w:t>
            </w:r>
          </w:p>
        </w:tc>
        <w:tc>
          <w:tcPr>
            <w:tcW w:w="1620" w:type="dxa"/>
          </w:tcPr>
          <w:p w14:paraId="339F40AC" w14:textId="77777777" w:rsidR="007E6BD4" w:rsidRPr="00D36A02" w:rsidRDefault="00321C76" w:rsidP="007E6BD4">
            <w:pPr>
              <w:spacing w:after="0"/>
              <w:jc w:val="right"/>
              <w:rPr>
                <w:rFonts w:cs="Arial"/>
                <w:sz w:val="20"/>
                <w:szCs w:val="20"/>
              </w:rPr>
            </w:pPr>
            <w:r>
              <w:rPr>
                <w:rFonts w:cs="Arial"/>
                <w:sz w:val="20"/>
                <w:szCs w:val="20"/>
              </w:rPr>
              <w:t>628</w:t>
            </w:r>
          </w:p>
        </w:tc>
        <w:tc>
          <w:tcPr>
            <w:tcW w:w="1980" w:type="dxa"/>
            <w:vAlign w:val="bottom"/>
          </w:tcPr>
          <w:p w14:paraId="7F80E7AA" w14:textId="77777777" w:rsidR="007E6BD4" w:rsidRPr="00D36A02" w:rsidRDefault="007E6BD4" w:rsidP="007E6BD4">
            <w:pPr>
              <w:spacing w:after="0"/>
              <w:jc w:val="right"/>
              <w:rPr>
                <w:rFonts w:cs="Arial"/>
                <w:sz w:val="20"/>
                <w:szCs w:val="20"/>
              </w:rPr>
            </w:pPr>
            <w:r w:rsidRPr="00D36A02">
              <w:rPr>
                <w:rFonts w:cs="Arial"/>
                <w:sz w:val="20"/>
                <w:szCs w:val="20"/>
              </w:rPr>
              <w:t>18.7</w:t>
            </w:r>
          </w:p>
        </w:tc>
      </w:tr>
      <w:tr w:rsidR="007E6BD4" w:rsidRPr="00D36A02" w14:paraId="38C8D8D0" w14:textId="77777777">
        <w:tc>
          <w:tcPr>
            <w:tcW w:w="1674" w:type="dxa"/>
            <w:vAlign w:val="bottom"/>
          </w:tcPr>
          <w:p w14:paraId="4B837E54" w14:textId="77777777" w:rsidR="007E6BD4" w:rsidRPr="00670292" w:rsidRDefault="007E6BD4" w:rsidP="00670292">
            <w:pPr>
              <w:pStyle w:val="TableRowHead"/>
              <w:rPr>
                <w:sz w:val="20"/>
                <w:szCs w:val="20"/>
              </w:rPr>
            </w:pPr>
            <w:r w:rsidRPr="00670292">
              <w:rPr>
                <w:sz w:val="20"/>
                <w:szCs w:val="20"/>
              </w:rPr>
              <w:t xml:space="preserve">2002/03 </w:t>
            </w:r>
          </w:p>
        </w:tc>
        <w:tc>
          <w:tcPr>
            <w:tcW w:w="1106" w:type="dxa"/>
            <w:vAlign w:val="bottom"/>
          </w:tcPr>
          <w:p w14:paraId="0E922918" w14:textId="77777777" w:rsidR="007E6BD4" w:rsidRPr="00D36A02" w:rsidRDefault="007E6BD4" w:rsidP="007E6BD4">
            <w:pPr>
              <w:spacing w:after="0"/>
              <w:jc w:val="right"/>
              <w:rPr>
                <w:rFonts w:cs="Arial"/>
                <w:sz w:val="20"/>
                <w:szCs w:val="20"/>
              </w:rPr>
            </w:pPr>
            <w:r w:rsidRPr="00D36A02">
              <w:rPr>
                <w:rFonts w:cs="Arial"/>
                <w:sz w:val="20"/>
                <w:szCs w:val="20"/>
              </w:rPr>
              <w:t>1,277</w:t>
            </w:r>
          </w:p>
        </w:tc>
        <w:tc>
          <w:tcPr>
            <w:tcW w:w="1180" w:type="dxa"/>
            <w:vAlign w:val="bottom"/>
          </w:tcPr>
          <w:p w14:paraId="183F49A0" w14:textId="77777777" w:rsidR="007E6BD4" w:rsidRPr="00D36A02" w:rsidRDefault="007E6BD4" w:rsidP="007E6BD4">
            <w:pPr>
              <w:spacing w:after="0"/>
              <w:rPr>
                <w:rFonts w:cs="Arial"/>
                <w:sz w:val="20"/>
                <w:szCs w:val="20"/>
              </w:rPr>
            </w:pPr>
          </w:p>
        </w:tc>
        <w:tc>
          <w:tcPr>
            <w:tcW w:w="1620" w:type="dxa"/>
            <w:vAlign w:val="bottom"/>
          </w:tcPr>
          <w:p w14:paraId="4EF832AD" w14:textId="77777777" w:rsidR="007E6BD4" w:rsidRPr="00D36A02" w:rsidRDefault="00321C76" w:rsidP="007E6BD4">
            <w:pPr>
              <w:spacing w:after="0"/>
              <w:jc w:val="right"/>
              <w:rPr>
                <w:rFonts w:cs="Arial"/>
                <w:sz w:val="20"/>
                <w:szCs w:val="20"/>
              </w:rPr>
            </w:pPr>
            <w:r>
              <w:rPr>
                <w:rFonts w:cs="Arial"/>
                <w:sz w:val="20"/>
                <w:szCs w:val="20"/>
              </w:rPr>
              <w:t>1,</w:t>
            </w:r>
            <w:r w:rsidR="007E6BD4" w:rsidRPr="00D36A02">
              <w:rPr>
                <w:rFonts w:cs="Arial"/>
                <w:sz w:val="20"/>
                <w:szCs w:val="20"/>
              </w:rPr>
              <w:t xml:space="preserve">277 </w:t>
            </w:r>
          </w:p>
        </w:tc>
        <w:tc>
          <w:tcPr>
            <w:tcW w:w="1620" w:type="dxa"/>
          </w:tcPr>
          <w:p w14:paraId="22BCEF7D" w14:textId="77777777" w:rsidR="007E6BD4" w:rsidRPr="00D36A02" w:rsidRDefault="00321C76" w:rsidP="007E6BD4">
            <w:pPr>
              <w:spacing w:after="0"/>
              <w:jc w:val="right"/>
              <w:rPr>
                <w:rFonts w:cs="Arial"/>
                <w:sz w:val="20"/>
                <w:szCs w:val="20"/>
              </w:rPr>
            </w:pPr>
            <w:r>
              <w:rPr>
                <w:rFonts w:cs="Arial"/>
                <w:sz w:val="20"/>
                <w:szCs w:val="20"/>
              </w:rPr>
              <w:t>677</w:t>
            </w:r>
          </w:p>
        </w:tc>
        <w:tc>
          <w:tcPr>
            <w:tcW w:w="1980" w:type="dxa"/>
            <w:vAlign w:val="bottom"/>
          </w:tcPr>
          <w:p w14:paraId="453C63AE" w14:textId="77777777" w:rsidR="007E6BD4" w:rsidRPr="00D36A02" w:rsidRDefault="007E6BD4" w:rsidP="007E6BD4">
            <w:pPr>
              <w:spacing w:after="0"/>
              <w:jc w:val="right"/>
              <w:rPr>
                <w:rFonts w:cs="Arial"/>
                <w:sz w:val="20"/>
                <w:szCs w:val="20"/>
              </w:rPr>
            </w:pPr>
            <w:r w:rsidRPr="00D36A02">
              <w:rPr>
                <w:rFonts w:cs="Arial"/>
                <w:sz w:val="20"/>
                <w:szCs w:val="20"/>
              </w:rPr>
              <w:t>18.8</w:t>
            </w:r>
          </w:p>
        </w:tc>
      </w:tr>
      <w:tr w:rsidR="007E6BD4" w:rsidRPr="00D36A02" w14:paraId="211B9302" w14:textId="77777777">
        <w:tc>
          <w:tcPr>
            <w:tcW w:w="1674" w:type="dxa"/>
            <w:vAlign w:val="bottom"/>
          </w:tcPr>
          <w:p w14:paraId="0C326BCC" w14:textId="77777777" w:rsidR="007E6BD4" w:rsidRPr="00670292" w:rsidRDefault="007E6BD4" w:rsidP="00670292">
            <w:pPr>
              <w:pStyle w:val="TableRowHead"/>
              <w:rPr>
                <w:sz w:val="20"/>
                <w:szCs w:val="20"/>
              </w:rPr>
            </w:pPr>
            <w:r w:rsidRPr="00670292">
              <w:rPr>
                <w:sz w:val="20"/>
                <w:szCs w:val="20"/>
              </w:rPr>
              <w:t xml:space="preserve">2003/04 </w:t>
            </w:r>
          </w:p>
        </w:tc>
        <w:tc>
          <w:tcPr>
            <w:tcW w:w="1106" w:type="dxa"/>
            <w:vAlign w:val="bottom"/>
          </w:tcPr>
          <w:p w14:paraId="055E287C" w14:textId="77777777" w:rsidR="007E6BD4" w:rsidRPr="00D36A02" w:rsidRDefault="007E6BD4" w:rsidP="007E6BD4">
            <w:pPr>
              <w:spacing w:after="0"/>
              <w:jc w:val="right"/>
              <w:rPr>
                <w:rFonts w:cs="Arial"/>
                <w:sz w:val="20"/>
                <w:szCs w:val="20"/>
              </w:rPr>
            </w:pPr>
            <w:r w:rsidRPr="00D36A02">
              <w:rPr>
                <w:rFonts w:cs="Arial"/>
                <w:sz w:val="20"/>
                <w:szCs w:val="20"/>
              </w:rPr>
              <w:t>807</w:t>
            </w:r>
          </w:p>
        </w:tc>
        <w:tc>
          <w:tcPr>
            <w:tcW w:w="1180" w:type="dxa"/>
            <w:vAlign w:val="bottom"/>
          </w:tcPr>
          <w:p w14:paraId="0843D971" w14:textId="77777777" w:rsidR="007E6BD4" w:rsidRPr="00D36A02" w:rsidRDefault="007E6BD4" w:rsidP="007E6BD4">
            <w:pPr>
              <w:spacing w:after="0"/>
              <w:jc w:val="right"/>
              <w:rPr>
                <w:rFonts w:cs="Arial"/>
                <w:sz w:val="20"/>
                <w:szCs w:val="20"/>
              </w:rPr>
            </w:pPr>
            <w:r w:rsidRPr="00D36A02">
              <w:rPr>
                <w:rFonts w:cs="Arial"/>
                <w:sz w:val="20"/>
                <w:szCs w:val="20"/>
              </w:rPr>
              <w:t>610</w:t>
            </w:r>
          </w:p>
        </w:tc>
        <w:tc>
          <w:tcPr>
            <w:tcW w:w="1620" w:type="dxa"/>
            <w:vAlign w:val="bottom"/>
          </w:tcPr>
          <w:p w14:paraId="2DF986F7" w14:textId="77777777" w:rsidR="007E6BD4" w:rsidRPr="00D36A02" w:rsidRDefault="007E6BD4" w:rsidP="007E6BD4">
            <w:pPr>
              <w:spacing w:after="0"/>
              <w:jc w:val="right"/>
              <w:rPr>
                <w:rFonts w:cs="Arial"/>
                <w:sz w:val="20"/>
                <w:szCs w:val="20"/>
              </w:rPr>
            </w:pPr>
            <w:r w:rsidRPr="00D36A02">
              <w:rPr>
                <w:rFonts w:cs="Arial"/>
                <w:sz w:val="20"/>
                <w:szCs w:val="20"/>
              </w:rPr>
              <w:t>1,416</w:t>
            </w:r>
          </w:p>
        </w:tc>
        <w:tc>
          <w:tcPr>
            <w:tcW w:w="1620" w:type="dxa"/>
          </w:tcPr>
          <w:p w14:paraId="58BB6D13" w14:textId="77777777" w:rsidR="007E6BD4" w:rsidRPr="00D36A02" w:rsidRDefault="00321C76" w:rsidP="007E6BD4">
            <w:pPr>
              <w:spacing w:after="0"/>
              <w:jc w:val="right"/>
              <w:rPr>
                <w:rFonts w:cs="Arial"/>
                <w:sz w:val="20"/>
                <w:szCs w:val="20"/>
              </w:rPr>
            </w:pPr>
            <w:r>
              <w:rPr>
                <w:rFonts w:cs="Arial"/>
                <w:sz w:val="20"/>
                <w:szCs w:val="20"/>
              </w:rPr>
              <w:t>750</w:t>
            </w:r>
          </w:p>
        </w:tc>
        <w:tc>
          <w:tcPr>
            <w:tcW w:w="1980" w:type="dxa"/>
            <w:vAlign w:val="bottom"/>
          </w:tcPr>
          <w:p w14:paraId="29544659" w14:textId="77777777" w:rsidR="007E6BD4" w:rsidRPr="00D36A02" w:rsidRDefault="007E6BD4" w:rsidP="007E6BD4">
            <w:pPr>
              <w:spacing w:after="0"/>
              <w:jc w:val="right"/>
              <w:rPr>
                <w:rFonts w:cs="Arial"/>
                <w:sz w:val="20"/>
                <w:szCs w:val="20"/>
              </w:rPr>
            </w:pPr>
            <w:r w:rsidRPr="00D36A02">
              <w:rPr>
                <w:rFonts w:cs="Arial"/>
                <w:sz w:val="20"/>
                <w:szCs w:val="20"/>
              </w:rPr>
              <w:t>18.9</w:t>
            </w:r>
          </w:p>
        </w:tc>
      </w:tr>
      <w:tr w:rsidR="007E6BD4" w:rsidRPr="00D36A02" w14:paraId="08E4157A" w14:textId="77777777">
        <w:tc>
          <w:tcPr>
            <w:tcW w:w="1674" w:type="dxa"/>
            <w:vAlign w:val="bottom"/>
          </w:tcPr>
          <w:p w14:paraId="39E382ED" w14:textId="77777777" w:rsidR="007E6BD4" w:rsidRPr="00670292" w:rsidRDefault="007E6BD4" w:rsidP="00670292">
            <w:pPr>
              <w:pStyle w:val="TableRowHead"/>
              <w:rPr>
                <w:sz w:val="20"/>
                <w:szCs w:val="20"/>
              </w:rPr>
            </w:pPr>
            <w:r w:rsidRPr="00670292">
              <w:rPr>
                <w:sz w:val="20"/>
                <w:szCs w:val="20"/>
              </w:rPr>
              <w:t xml:space="preserve">2004/05 </w:t>
            </w:r>
          </w:p>
        </w:tc>
        <w:tc>
          <w:tcPr>
            <w:tcW w:w="1106" w:type="dxa"/>
            <w:vAlign w:val="bottom"/>
          </w:tcPr>
          <w:p w14:paraId="682297B6" w14:textId="77777777" w:rsidR="007E6BD4" w:rsidRPr="00D36A02" w:rsidRDefault="007E6BD4" w:rsidP="007E6BD4">
            <w:pPr>
              <w:spacing w:after="0"/>
              <w:jc w:val="right"/>
              <w:rPr>
                <w:rFonts w:cs="Arial"/>
                <w:sz w:val="20"/>
                <w:szCs w:val="20"/>
              </w:rPr>
            </w:pPr>
            <w:r w:rsidRPr="00D36A02">
              <w:rPr>
                <w:rFonts w:cs="Arial"/>
                <w:sz w:val="20"/>
                <w:szCs w:val="20"/>
              </w:rPr>
              <w:t>638</w:t>
            </w:r>
          </w:p>
        </w:tc>
        <w:tc>
          <w:tcPr>
            <w:tcW w:w="1180" w:type="dxa"/>
            <w:vAlign w:val="bottom"/>
          </w:tcPr>
          <w:p w14:paraId="12230440" w14:textId="77777777" w:rsidR="007E6BD4" w:rsidRPr="00D36A02" w:rsidRDefault="007E6BD4" w:rsidP="007E6BD4">
            <w:pPr>
              <w:spacing w:after="0"/>
              <w:jc w:val="right"/>
              <w:rPr>
                <w:rFonts w:cs="Arial"/>
                <w:sz w:val="20"/>
                <w:szCs w:val="20"/>
              </w:rPr>
            </w:pPr>
            <w:r w:rsidRPr="00D36A02">
              <w:rPr>
                <w:rFonts w:cs="Arial"/>
                <w:sz w:val="20"/>
                <w:szCs w:val="20"/>
              </w:rPr>
              <w:t>856</w:t>
            </w:r>
          </w:p>
        </w:tc>
        <w:tc>
          <w:tcPr>
            <w:tcW w:w="1620" w:type="dxa"/>
            <w:vAlign w:val="bottom"/>
          </w:tcPr>
          <w:p w14:paraId="6466CAA3" w14:textId="77777777" w:rsidR="007E6BD4" w:rsidRPr="00D36A02" w:rsidRDefault="007E6BD4" w:rsidP="007E6BD4">
            <w:pPr>
              <w:spacing w:after="0"/>
              <w:jc w:val="right"/>
              <w:rPr>
                <w:rFonts w:cs="Arial"/>
                <w:sz w:val="20"/>
                <w:szCs w:val="20"/>
              </w:rPr>
            </w:pPr>
            <w:r w:rsidRPr="00D36A02">
              <w:rPr>
                <w:rFonts w:cs="Arial"/>
                <w:sz w:val="20"/>
                <w:szCs w:val="20"/>
              </w:rPr>
              <w:t>1,493</w:t>
            </w:r>
          </w:p>
        </w:tc>
        <w:tc>
          <w:tcPr>
            <w:tcW w:w="1620" w:type="dxa"/>
          </w:tcPr>
          <w:p w14:paraId="5678C2AE" w14:textId="77777777" w:rsidR="007E6BD4" w:rsidRPr="00D36A02" w:rsidRDefault="00321C76" w:rsidP="007E6BD4">
            <w:pPr>
              <w:spacing w:after="0"/>
              <w:jc w:val="right"/>
              <w:rPr>
                <w:rFonts w:cs="Arial"/>
                <w:sz w:val="20"/>
                <w:szCs w:val="20"/>
              </w:rPr>
            </w:pPr>
            <w:r>
              <w:rPr>
                <w:rFonts w:cs="Arial"/>
                <w:sz w:val="20"/>
                <w:szCs w:val="20"/>
              </w:rPr>
              <w:t>791</w:t>
            </w:r>
          </w:p>
        </w:tc>
        <w:tc>
          <w:tcPr>
            <w:tcW w:w="1980" w:type="dxa"/>
            <w:vAlign w:val="bottom"/>
          </w:tcPr>
          <w:p w14:paraId="71D16387" w14:textId="77777777" w:rsidR="007E6BD4" w:rsidRPr="00D36A02" w:rsidRDefault="007E6BD4" w:rsidP="007E6BD4">
            <w:pPr>
              <w:spacing w:after="0"/>
              <w:jc w:val="right"/>
              <w:rPr>
                <w:rFonts w:cs="Arial"/>
                <w:sz w:val="20"/>
                <w:szCs w:val="20"/>
              </w:rPr>
            </w:pPr>
            <w:r w:rsidRPr="00D36A02">
              <w:rPr>
                <w:rFonts w:cs="Arial"/>
                <w:sz w:val="20"/>
                <w:szCs w:val="20"/>
              </w:rPr>
              <w:t>18.3</w:t>
            </w:r>
          </w:p>
        </w:tc>
      </w:tr>
      <w:tr w:rsidR="007E6BD4" w:rsidRPr="00D36A02" w14:paraId="1A3B1B42" w14:textId="77777777">
        <w:tc>
          <w:tcPr>
            <w:tcW w:w="1674" w:type="dxa"/>
            <w:vAlign w:val="bottom"/>
          </w:tcPr>
          <w:p w14:paraId="31189E4C" w14:textId="77777777" w:rsidR="007E6BD4" w:rsidRPr="00670292" w:rsidRDefault="007E6BD4" w:rsidP="00670292">
            <w:pPr>
              <w:pStyle w:val="TableRowHead"/>
              <w:rPr>
                <w:sz w:val="20"/>
                <w:szCs w:val="20"/>
              </w:rPr>
            </w:pPr>
            <w:r w:rsidRPr="00670292">
              <w:rPr>
                <w:sz w:val="20"/>
                <w:szCs w:val="20"/>
              </w:rPr>
              <w:t xml:space="preserve">2005/06 </w:t>
            </w:r>
          </w:p>
        </w:tc>
        <w:tc>
          <w:tcPr>
            <w:tcW w:w="1106" w:type="dxa"/>
            <w:vAlign w:val="bottom"/>
          </w:tcPr>
          <w:p w14:paraId="187D8D33" w14:textId="77777777" w:rsidR="007E6BD4" w:rsidRPr="00D36A02" w:rsidRDefault="007E6BD4" w:rsidP="007E6BD4">
            <w:pPr>
              <w:spacing w:after="0"/>
              <w:jc w:val="right"/>
              <w:rPr>
                <w:rFonts w:cs="Arial"/>
                <w:sz w:val="20"/>
                <w:szCs w:val="20"/>
              </w:rPr>
            </w:pPr>
            <w:r w:rsidRPr="00D36A02">
              <w:rPr>
                <w:rFonts w:cs="Arial"/>
                <w:sz w:val="20"/>
                <w:szCs w:val="20"/>
              </w:rPr>
              <w:t>699</w:t>
            </w:r>
          </w:p>
        </w:tc>
        <w:tc>
          <w:tcPr>
            <w:tcW w:w="1180" w:type="dxa"/>
            <w:vAlign w:val="bottom"/>
          </w:tcPr>
          <w:p w14:paraId="239E8ADC" w14:textId="77777777" w:rsidR="007E6BD4" w:rsidRPr="00D36A02" w:rsidRDefault="007E6BD4" w:rsidP="007E6BD4">
            <w:pPr>
              <w:spacing w:after="0"/>
              <w:jc w:val="right"/>
              <w:rPr>
                <w:rFonts w:cs="Arial"/>
                <w:sz w:val="20"/>
                <w:szCs w:val="20"/>
              </w:rPr>
            </w:pPr>
            <w:r w:rsidRPr="00D36A02">
              <w:rPr>
                <w:rFonts w:cs="Arial"/>
                <w:sz w:val="20"/>
                <w:szCs w:val="20"/>
              </w:rPr>
              <w:t>1,018</w:t>
            </w:r>
          </w:p>
        </w:tc>
        <w:tc>
          <w:tcPr>
            <w:tcW w:w="1620" w:type="dxa"/>
            <w:vAlign w:val="bottom"/>
          </w:tcPr>
          <w:p w14:paraId="1441EFA5" w14:textId="77777777" w:rsidR="007E6BD4" w:rsidRPr="00D36A02" w:rsidRDefault="007E6BD4" w:rsidP="007E6BD4">
            <w:pPr>
              <w:spacing w:after="0"/>
              <w:jc w:val="right"/>
              <w:rPr>
                <w:rFonts w:cs="Arial"/>
                <w:sz w:val="20"/>
                <w:szCs w:val="20"/>
              </w:rPr>
            </w:pPr>
            <w:r w:rsidRPr="00D36A02">
              <w:rPr>
                <w:rFonts w:cs="Arial"/>
                <w:sz w:val="20"/>
                <w:szCs w:val="20"/>
              </w:rPr>
              <w:t>1,717</w:t>
            </w:r>
          </w:p>
        </w:tc>
        <w:tc>
          <w:tcPr>
            <w:tcW w:w="1620" w:type="dxa"/>
          </w:tcPr>
          <w:p w14:paraId="409338A0" w14:textId="77777777" w:rsidR="007E6BD4" w:rsidRPr="00D36A02" w:rsidRDefault="00321C76" w:rsidP="007E6BD4">
            <w:pPr>
              <w:spacing w:after="0"/>
              <w:jc w:val="right"/>
              <w:rPr>
                <w:rFonts w:cs="Arial"/>
                <w:sz w:val="20"/>
                <w:szCs w:val="20"/>
              </w:rPr>
            </w:pPr>
            <w:r>
              <w:rPr>
                <w:rFonts w:cs="Arial"/>
                <w:sz w:val="20"/>
                <w:szCs w:val="20"/>
              </w:rPr>
              <w:t>910</w:t>
            </w:r>
          </w:p>
        </w:tc>
        <w:tc>
          <w:tcPr>
            <w:tcW w:w="1980" w:type="dxa"/>
            <w:vAlign w:val="bottom"/>
          </w:tcPr>
          <w:p w14:paraId="6AF027FE" w14:textId="77777777" w:rsidR="007E6BD4" w:rsidRPr="00D36A02" w:rsidRDefault="007E6BD4" w:rsidP="007E6BD4">
            <w:pPr>
              <w:spacing w:after="0"/>
              <w:jc w:val="right"/>
              <w:rPr>
                <w:rFonts w:cs="Arial"/>
                <w:sz w:val="20"/>
                <w:szCs w:val="20"/>
              </w:rPr>
            </w:pPr>
            <w:r w:rsidRPr="00D36A02">
              <w:rPr>
                <w:rFonts w:cs="Arial"/>
                <w:sz w:val="20"/>
                <w:szCs w:val="20"/>
              </w:rPr>
              <w:t>19.3</w:t>
            </w:r>
          </w:p>
        </w:tc>
      </w:tr>
      <w:tr w:rsidR="007E6BD4" w:rsidRPr="00D36A02" w14:paraId="75E6FFA1" w14:textId="77777777">
        <w:tc>
          <w:tcPr>
            <w:tcW w:w="1674" w:type="dxa"/>
            <w:vAlign w:val="bottom"/>
          </w:tcPr>
          <w:p w14:paraId="689180AD" w14:textId="77777777" w:rsidR="007E6BD4" w:rsidRPr="00670292" w:rsidRDefault="007E6BD4" w:rsidP="00670292">
            <w:pPr>
              <w:pStyle w:val="TableRowHead"/>
              <w:rPr>
                <w:sz w:val="20"/>
                <w:szCs w:val="20"/>
              </w:rPr>
            </w:pPr>
            <w:r w:rsidRPr="00670292">
              <w:rPr>
                <w:sz w:val="20"/>
                <w:szCs w:val="20"/>
              </w:rPr>
              <w:t xml:space="preserve">2006/07 </w:t>
            </w:r>
          </w:p>
        </w:tc>
        <w:tc>
          <w:tcPr>
            <w:tcW w:w="1106" w:type="dxa"/>
            <w:vAlign w:val="bottom"/>
          </w:tcPr>
          <w:p w14:paraId="3102548D" w14:textId="77777777" w:rsidR="007E6BD4" w:rsidRPr="00D36A02" w:rsidRDefault="007E6BD4" w:rsidP="007E6BD4">
            <w:pPr>
              <w:spacing w:after="0"/>
              <w:jc w:val="right"/>
              <w:rPr>
                <w:rFonts w:cs="Arial"/>
                <w:sz w:val="20"/>
                <w:szCs w:val="20"/>
              </w:rPr>
            </w:pPr>
            <w:r w:rsidRPr="00D36A02">
              <w:rPr>
                <w:rFonts w:cs="Arial"/>
                <w:sz w:val="20"/>
                <w:szCs w:val="20"/>
              </w:rPr>
              <w:t>755</w:t>
            </w:r>
          </w:p>
        </w:tc>
        <w:tc>
          <w:tcPr>
            <w:tcW w:w="1180" w:type="dxa"/>
            <w:vAlign w:val="bottom"/>
          </w:tcPr>
          <w:p w14:paraId="417267AF" w14:textId="77777777" w:rsidR="007E6BD4" w:rsidRPr="00D36A02" w:rsidRDefault="007E6BD4" w:rsidP="007E6BD4">
            <w:pPr>
              <w:spacing w:after="0"/>
              <w:jc w:val="right"/>
              <w:rPr>
                <w:rFonts w:cs="Arial"/>
                <w:sz w:val="20"/>
                <w:szCs w:val="20"/>
              </w:rPr>
            </w:pPr>
            <w:r w:rsidRPr="00D36A02">
              <w:rPr>
                <w:rFonts w:cs="Arial"/>
                <w:sz w:val="20"/>
                <w:szCs w:val="20"/>
              </w:rPr>
              <w:t>1,074</w:t>
            </w:r>
          </w:p>
        </w:tc>
        <w:tc>
          <w:tcPr>
            <w:tcW w:w="1620" w:type="dxa"/>
            <w:vAlign w:val="bottom"/>
          </w:tcPr>
          <w:p w14:paraId="5D0082D5" w14:textId="77777777" w:rsidR="007E6BD4" w:rsidRPr="00D36A02" w:rsidRDefault="007E6BD4" w:rsidP="007E6BD4">
            <w:pPr>
              <w:spacing w:after="0"/>
              <w:jc w:val="right"/>
              <w:rPr>
                <w:rFonts w:cs="Arial"/>
                <w:sz w:val="20"/>
                <w:szCs w:val="20"/>
              </w:rPr>
            </w:pPr>
            <w:r w:rsidRPr="00D36A02">
              <w:rPr>
                <w:rFonts w:cs="Arial"/>
                <w:sz w:val="20"/>
                <w:szCs w:val="20"/>
              </w:rPr>
              <w:t>1,829</w:t>
            </w:r>
          </w:p>
        </w:tc>
        <w:tc>
          <w:tcPr>
            <w:tcW w:w="1620" w:type="dxa"/>
          </w:tcPr>
          <w:p w14:paraId="77A8128C" w14:textId="77777777" w:rsidR="007E6BD4" w:rsidRPr="00D36A02" w:rsidRDefault="00321C76" w:rsidP="007E6BD4">
            <w:pPr>
              <w:spacing w:after="0"/>
              <w:jc w:val="right"/>
              <w:rPr>
                <w:rFonts w:cs="Arial"/>
                <w:sz w:val="20"/>
                <w:szCs w:val="20"/>
              </w:rPr>
            </w:pPr>
            <w:r>
              <w:rPr>
                <w:rFonts w:cs="Arial"/>
                <w:sz w:val="20"/>
                <w:szCs w:val="20"/>
              </w:rPr>
              <w:t>969</w:t>
            </w:r>
          </w:p>
        </w:tc>
        <w:tc>
          <w:tcPr>
            <w:tcW w:w="1980" w:type="dxa"/>
            <w:vAlign w:val="bottom"/>
          </w:tcPr>
          <w:p w14:paraId="05DC77A7" w14:textId="77777777" w:rsidR="007E6BD4" w:rsidRPr="00D36A02" w:rsidRDefault="007E6BD4" w:rsidP="007E6BD4">
            <w:pPr>
              <w:spacing w:after="0"/>
              <w:jc w:val="right"/>
              <w:rPr>
                <w:rFonts w:cs="Arial"/>
                <w:sz w:val="20"/>
                <w:szCs w:val="20"/>
              </w:rPr>
            </w:pPr>
            <w:r w:rsidRPr="00D36A02">
              <w:rPr>
                <w:rFonts w:cs="Arial"/>
                <w:sz w:val="20"/>
                <w:szCs w:val="20"/>
              </w:rPr>
              <w:t>18.7</w:t>
            </w:r>
          </w:p>
        </w:tc>
      </w:tr>
      <w:tr w:rsidR="007E6BD4" w:rsidRPr="00D36A02" w14:paraId="6867CB7C" w14:textId="77777777">
        <w:tc>
          <w:tcPr>
            <w:tcW w:w="1674" w:type="dxa"/>
            <w:vAlign w:val="bottom"/>
          </w:tcPr>
          <w:p w14:paraId="39E9CC02" w14:textId="77777777" w:rsidR="007E6BD4" w:rsidRPr="00670292" w:rsidRDefault="007E6BD4" w:rsidP="00670292">
            <w:pPr>
              <w:pStyle w:val="TableRowHead"/>
              <w:rPr>
                <w:sz w:val="20"/>
                <w:szCs w:val="20"/>
              </w:rPr>
            </w:pPr>
            <w:r w:rsidRPr="00670292">
              <w:rPr>
                <w:sz w:val="20"/>
                <w:szCs w:val="20"/>
              </w:rPr>
              <w:t xml:space="preserve">2007/08 </w:t>
            </w:r>
          </w:p>
        </w:tc>
        <w:tc>
          <w:tcPr>
            <w:tcW w:w="1106" w:type="dxa"/>
            <w:vAlign w:val="bottom"/>
          </w:tcPr>
          <w:p w14:paraId="594440C4" w14:textId="77777777" w:rsidR="007E6BD4" w:rsidRPr="00D36A02" w:rsidRDefault="007E6BD4" w:rsidP="007E6BD4">
            <w:pPr>
              <w:spacing w:after="0"/>
              <w:jc w:val="right"/>
              <w:rPr>
                <w:rFonts w:cs="Arial"/>
                <w:sz w:val="20"/>
                <w:szCs w:val="20"/>
              </w:rPr>
            </w:pPr>
            <w:r w:rsidRPr="00D36A02">
              <w:rPr>
                <w:rFonts w:cs="Arial"/>
                <w:sz w:val="20"/>
                <w:szCs w:val="20"/>
              </w:rPr>
              <w:t>839</w:t>
            </w:r>
          </w:p>
        </w:tc>
        <w:tc>
          <w:tcPr>
            <w:tcW w:w="1180" w:type="dxa"/>
            <w:vAlign w:val="bottom"/>
          </w:tcPr>
          <w:p w14:paraId="2A758974" w14:textId="77777777" w:rsidR="007E6BD4" w:rsidRPr="00D36A02" w:rsidRDefault="007E6BD4" w:rsidP="007E6BD4">
            <w:pPr>
              <w:spacing w:after="0"/>
              <w:jc w:val="right"/>
              <w:rPr>
                <w:rFonts w:cs="Arial"/>
                <w:sz w:val="20"/>
                <w:szCs w:val="20"/>
              </w:rPr>
            </w:pPr>
            <w:r w:rsidRPr="00D36A02">
              <w:rPr>
                <w:rFonts w:cs="Arial"/>
                <w:sz w:val="20"/>
                <w:szCs w:val="20"/>
              </w:rPr>
              <w:t>1,162</w:t>
            </w:r>
          </w:p>
        </w:tc>
        <w:tc>
          <w:tcPr>
            <w:tcW w:w="1620" w:type="dxa"/>
            <w:vAlign w:val="bottom"/>
          </w:tcPr>
          <w:p w14:paraId="7A26F058" w14:textId="77777777" w:rsidR="007E6BD4" w:rsidRPr="00D36A02" w:rsidRDefault="007E6BD4" w:rsidP="007E6BD4">
            <w:pPr>
              <w:spacing w:after="0"/>
              <w:jc w:val="right"/>
              <w:rPr>
                <w:rFonts w:cs="Arial"/>
                <w:sz w:val="20"/>
                <w:szCs w:val="20"/>
              </w:rPr>
            </w:pPr>
            <w:r w:rsidRPr="00D36A02">
              <w:rPr>
                <w:rFonts w:cs="Arial"/>
                <w:sz w:val="20"/>
                <w:szCs w:val="20"/>
              </w:rPr>
              <w:t>2,000</w:t>
            </w:r>
          </w:p>
        </w:tc>
        <w:tc>
          <w:tcPr>
            <w:tcW w:w="1620" w:type="dxa"/>
          </w:tcPr>
          <w:p w14:paraId="42DF4B91" w14:textId="77777777" w:rsidR="007E6BD4" w:rsidRPr="00D36A02" w:rsidRDefault="00321C76" w:rsidP="007E6BD4">
            <w:pPr>
              <w:spacing w:after="0"/>
              <w:jc w:val="right"/>
              <w:rPr>
                <w:rFonts w:cs="Arial"/>
                <w:sz w:val="20"/>
                <w:szCs w:val="20"/>
              </w:rPr>
            </w:pPr>
            <w:r>
              <w:rPr>
                <w:rFonts w:cs="Arial"/>
                <w:sz w:val="20"/>
                <w:szCs w:val="20"/>
              </w:rPr>
              <w:t>1,060</w:t>
            </w:r>
          </w:p>
        </w:tc>
        <w:tc>
          <w:tcPr>
            <w:tcW w:w="1980" w:type="dxa"/>
            <w:vAlign w:val="bottom"/>
          </w:tcPr>
          <w:p w14:paraId="0B62CD39" w14:textId="77777777" w:rsidR="007E6BD4" w:rsidRPr="00D36A02" w:rsidRDefault="007E6BD4" w:rsidP="007E6BD4">
            <w:pPr>
              <w:spacing w:after="0"/>
              <w:jc w:val="right"/>
              <w:rPr>
                <w:rFonts w:cs="Arial"/>
                <w:sz w:val="20"/>
                <w:szCs w:val="20"/>
              </w:rPr>
            </w:pPr>
            <w:r w:rsidRPr="00D36A02">
              <w:rPr>
                <w:rFonts w:cs="Arial"/>
                <w:sz w:val="20"/>
                <w:szCs w:val="20"/>
              </w:rPr>
              <w:t>18.4</w:t>
            </w:r>
          </w:p>
        </w:tc>
      </w:tr>
    </w:tbl>
    <w:p w14:paraId="70F654B2" w14:textId="77777777" w:rsidR="00544D9F" w:rsidRDefault="00544D9F" w:rsidP="00670292">
      <w:pPr>
        <w:pStyle w:val="TableNote"/>
      </w:pPr>
      <w:r w:rsidRPr="00314A99">
        <w:t>(1.00 NZD = 0.</w:t>
      </w:r>
      <w:r w:rsidR="00321C76">
        <w:t>53</w:t>
      </w:r>
      <w:r w:rsidRPr="00314A99">
        <w:t xml:space="preserve"> EUR</w:t>
      </w:r>
      <w:r>
        <w:t xml:space="preserve"> on </w:t>
      </w:r>
      <w:r w:rsidR="00DA3757">
        <w:t>25th of M</w:t>
      </w:r>
      <w:r w:rsidR="00321C76">
        <w:t>arch 2010</w:t>
      </w:r>
      <w:r w:rsidRPr="00314A99">
        <w:t>)</w:t>
      </w:r>
    </w:p>
    <w:p w14:paraId="351C2C26" w14:textId="77777777" w:rsidR="00544D9F" w:rsidRDefault="00544D9F" w:rsidP="00544D9F">
      <w:r>
        <w:t>DSSs are predominantly community-based and delivered by private and not-for-profit providers. Providers vary in size from large national providers to small owner-operated local enterprises</w:t>
      </w:r>
      <w:r w:rsidR="00D56D3A">
        <w:rPr>
          <w:rStyle w:val="FootnoteReference"/>
        </w:rPr>
        <w:footnoteReference w:id="18"/>
      </w:r>
      <w:r>
        <w:t xml:space="preserve">.  In 2009, the Disability Support Services Group in the Ministry of Health </w:t>
      </w:r>
      <w:r w:rsidR="00DA3757">
        <w:t>directly funded</w:t>
      </w:r>
      <w:r>
        <w:t xml:space="preserve"> ongoing supports for about 31,000 people</w:t>
      </w:r>
      <w:r w:rsidR="00DA3757">
        <w:t>, of whom</w:t>
      </w:r>
      <w:r>
        <w:t xml:space="preserve"> approximately 7,</w:t>
      </w:r>
      <w:r w:rsidR="00D56D3A">
        <w:t xml:space="preserve">000 </w:t>
      </w:r>
      <w:r w:rsidR="008E3292">
        <w:t>were</w:t>
      </w:r>
      <w:r w:rsidR="00D56D3A">
        <w:t xml:space="preserve"> in residential services</w:t>
      </w:r>
      <w:r w:rsidR="00D56D3A">
        <w:rPr>
          <w:rStyle w:val="FootnoteReference"/>
        </w:rPr>
        <w:footnoteReference w:id="19"/>
      </w:r>
      <w:r>
        <w:t>. The Disability Support Services Group in the Ministry of Health directly manages 1200 contracts with disability service providers</w:t>
      </w:r>
      <w:r w:rsidR="00D56D3A">
        <w:rPr>
          <w:rStyle w:val="FootnoteReference"/>
        </w:rPr>
        <w:footnoteReference w:id="20"/>
      </w:r>
      <w:r>
        <w:t>.</w:t>
      </w:r>
    </w:p>
    <w:p w14:paraId="14D66E79" w14:textId="77777777" w:rsidR="00544D9F" w:rsidRDefault="00D3776B" w:rsidP="00C13592">
      <w:pPr>
        <w:pStyle w:val="Heading2"/>
        <w:spacing w:line="240" w:lineRule="auto"/>
      </w:pPr>
      <w:bookmarkStart w:id="38" w:name="_Toc252539363"/>
      <w:bookmarkStart w:id="39" w:name="_Toc290886615"/>
      <w:r>
        <w:lastRenderedPageBreak/>
        <w:t>3</w:t>
      </w:r>
      <w:r w:rsidR="00544D9F">
        <w:t xml:space="preserve">.4 Is there a cross-Governmental strategy on disability in </w:t>
      </w:r>
      <w:smartTag w:uri="urn:schemas-microsoft-com:office:smarttags" w:element="country-region">
        <w:smartTag w:uri="urn:schemas-microsoft-com:office:smarttags" w:element="place">
          <w:r w:rsidR="00544D9F">
            <w:t>New Zealand</w:t>
          </w:r>
        </w:smartTag>
      </w:smartTag>
      <w:r w:rsidR="00544D9F">
        <w:t>?</w:t>
      </w:r>
      <w:bookmarkEnd w:id="38"/>
      <w:bookmarkEnd w:id="39"/>
    </w:p>
    <w:p w14:paraId="0158C212" w14:textId="77777777" w:rsidR="00544D9F" w:rsidRDefault="00E45B2A" w:rsidP="00544D9F">
      <w:r>
        <w:t xml:space="preserve">The </w:t>
      </w:r>
      <w:r w:rsidR="00544D9F">
        <w:t xml:space="preserve">New Zealand Disability Strategy 2001 presents a "long-term plan for changing </w:t>
      </w:r>
      <w:smartTag w:uri="urn:schemas-microsoft-com:office:smarttags" w:element="country-region">
        <w:smartTag w:uri="urn:schemas-microsoft-com:office:smarttags" w:element="place">
          <w:r w:rsidR="00544D9F">
            <w:t>New Zealand</w:t>
          </w:r>
        </w:smartTag>
      </w:smartTag>
      <w:r w:rsidR="00544D9F">
        <w:t xml:space="preserve"> from a disabling to an inclusive society". There are 15 Objectives, and over 100 action points spread across all Government Departments. Under the strategy government agencies are required to report each year on their progress in implementing the New Zealand Disability Strategy. The Minister for Disability Issues is required to report annually to Parliament on progress in implementing the New Zealand Disability Strategy. </w:t>
      </w:r>
    </w:p>
    <w:p w14:paraId="4519E329" w14:textId="77777777" w:rsidR="00544D9F" w:rsidRDefault="00544D9F" w:rsidP="00544D9F">
      <w:r>
        <w:t>The Office of Disability Issues monitors progress on the New Zealand Disability Strategy. In 2008 the Government directed the Office for Disability Issues to develop a framework for longer-term planning and reporting against the disability strategy to make targets for achievement in priority areas, including disability supports.</w:t>
      </w:r>
    </w:p>
    <w:p w14:paraId="0D2C85B3" w14:textId="77777777" w:rsidR="00544D9F" w:rsidRDefault="00544D9F" w:rsidP="00544D9F">
      <w:r>
        <w:t>In 2009 a new ministerial oversight committee, the Ministerial Com</w:t>
      </w:r>
      <w:r w:rsidR="00D56D3A">
        <w:t>mittee on Disability Issues</w:t>
      </w:r>
      <w:r>
        <w:t xml:space="preserve">, (Chaired by the Minister for Disability Issues) was established to ensure that the Government's multi-billion dollar annual disability spend is meeting the needs of disabled people fairly and effectively. </w:t>
      </w:r>
    </w:p>
    <w:p w14:paraId="0011CEE4" w14:textId="77777777" w:rsidR="00544D9F" w:rsidRDefault="00D3776B" w:rsidP="00C13592">
      <w:pPr>
        <w:pStyle w:val="Heading2"/>
        <w:spacing w:line="240" w:lineRule="auto"/>
      </w:pPr>
      <w:bookmarkStart w:id="40" w:name="_Toc252539364"/>
      <w:bookmarkStart w:id="41" w:name="_Toc290886616"/>
      <w:r>
        <w:t>3</w:t>
      </w:r>
      <w:r w:rsidR="00544D9F">
        <w:t xml:space="preserve">.5 Is there an explicit policy on independence and community living in </w:t>
      </w:r>
      <w:smartTag w:uri="urn:schemas-microsoft-com:office:smarttags" w:element="country-region">
        <w:smartTag w:uri="urn:schemas-microsoft-com:office:smarttags" w:element="place">
          <w:r w:rsidR="00544D9F">
            <w:t>New Zealand</w:t>
          </w:r>
        </w:smartTag>
      </w:smartTag>
      <w:r w:rsidR="00544D9F">
        <w:t>?</w:t>
      </w:r>
      <w:bookmarkEnd w:id="40"/>
      <w:bookmarkEnd w:id="41"/>
    </w:p>
    <w:p w14:paraId="463AB068" w14:textId="77777777" w:rsidR="00544D9F" w:rsidRDefault="00544D9F" w:rsidP="00D2713D">
      <w:pPr>
        <w:spacing w:after="120"/>
      </w:pPr>
      <w:r>
        <w:t xml:space="preserve">The New Zealand Government policy states that the goal of disability policy is to support people to live </w:t>
      </w:r>
      <w:r w:rsidR="00D56D3A">
        <w:t xml:space="preserve">in the </w:t>
      </w:r>
      <w:r>
        <w:t>community, as was outlined in 1992 in A New Deal: Support for independence for people with disabilities:</w:t>
      </w:r>
    </w:p>
    <w:p w14:paraId="548E6CBC" w14:textId="77777777" w:rsidR="00544D9F" w:rsidRDefault="00544D9F" w:rsidP="00D2713D">
      <w:pPr>
        <w:pStyle w:val="BlockQuote"/>
        <w:spacing w:after="240"/>
      </w:pPr>
      <w:r>
        <w:t>The basic prerequisites of living independently include access to information, equipment and environmental support services, income, appropriate housing and personal support services. The Government remains committed to assisting with the provision of independent living settings in the community and in people’s own homes, rather than institutions, wherever possible</w:t>
      </w:r>
      <w:r w:rsidR="00D56D3A">
        <w:rPr>
          <w:rStyle w:val="FootnoteReference"/>
        </w:rPr>
        <w:footnoteReference w:id="21"/>
      </w:r>
      <w:r>
        <w:t xml:space="preserve"> </w:t>
      </w:r>
    </w:p>
    <w:p w14:paraId="76EE3F6F" w14:textId="77777777" w:rsidR="00544D9F" w:rsidRDefault="00544D9F" w:rsidP="00544D9F">
      <w:r>
        <w:t xml:space="preserve">People with a disability </w:t>
      </w:r>
      <w:r w:rsidR="00E45B2A">
        <w:t>as a</w:t>
      </w:r>
      <w:r>
        <w:t xml:space="preserve"> result of an accident have their service provision funded by the Accident Compensation Corporation (ACC) rather than by the Ministry of Health and other relevant ministries</w:t>
      </w:r>
      <w:r w:rsidR="00D56D3A">
        <w:rPr>
          <w:rStyle w:val="FootnoteReference"/>
        </w:rPr>
        <w:footnoteReference w:id="22"/>
      </w:r>
      <w:r>
        <w:t xml:space="preserve">. Key informants all agreed that those with ACC funding had higher levels of funding which gave them </w:t>
      </w:r>
      <w:r>
        <w:lastRenderedPageBreak/>
        <w:t xml:space="preserve">greater choice of providers and access to certain services which other people with disabilities would have to make out of pocket payments for. This two-tier level of access to disability services is currently a point of controversy in </w:t>
      </w:r>
      <w:smartTag w:uri="urn:schemas-microsoft-com:office:smarttags" w:element="country-region">
        <w:smartTag w:uri="urn:schemas-microsoft-com:office:smarttags" w:element="place">
          <w:r>
            <w:t>New Zealand</w:t>
          </w:r>
        </w:smartTag>
      </w:smartTag>
      <w:r>
        <w:t>.</w:t>
      </w:r>
    </w:p>
    <w:p w14:paraId="2D048F0B" w14:textId="77777777" w:rsidR="00544D9F" w:rsidRDefault="00544D9F" w:rsidP="00D2713D">
      <w:pPr>
        <w:spacing w:after="120"/>
      </w:pPr>
      <w:r>
        <w:t>The Health and Disability Commissioner Act 1994 established the Office of the Health and Disability Commissioner with the role of:</w:t>
      </w:r>
    </w:p>
    <w:p w14:paraId="22F06D71" w14:textId="77777777" w:rsidR="00544D9F" w:rsidRDefault="00544D9F" w:rsidP="00A6263C">
      <w:pPr>
        <w:pStyle w:val="BlockQuote"/>
        <w:spacing w:after="240"/>
      </w:pPr>
      <w:r>
        <w:t>[P]</w:t>
      </w:r>
      <w:proofErr w:type="spellStart"/>
      <w:r>
        <w:t>romoting</w:t>
      </w:r>
      <w:proofErr w:type="spellEnd"/>
      <w:r>
        <w:t xml:space="preserve"> and protecting the rights of health and disability consumers, and facilitating the fair, simple, speedy, and efficient resolution of complaints - together with a national network of independent advocates, under the Director of Advocacy, and an independent prosecutor, the Director of Proceedings</w:t>
      </w:r>
      <w:r w:rsidR="0077370B">
        <w:rPr>
          <w:rStyle w:val="FootnoteReference"/>
        </w:rPr>
        <w:footnoteReference w:id="23"/>
      </w:r>
      <w:r w:rsidR="0077370B">
        <w:t>.</w:t>
      </w:r>
    </w:p>
    <w:p w14:paraId="7CA356B9" w14:textId="77777777" w:rsidR="00544D9F" w:rsidRDefault="00544D9F" w:rsidP="00544D9F">
      <w:r>
        <w:t>Peoples' rights as consumers of health and disability services are enshrined in the Code of Health and Disability Services Consumers' Rights (1996)</w:t>
      </w:r>
      <w:r w:rsidR="0077370B">
        <w:rPr>
          <w:rStyle w:val="FootnoteReference"/>
        </w:rPr>
        <w:footnoteReference w:id="24"/>
      </w:r>
      <w:r>
        <w:t>.</w:t>
      </w:r>
    </w:p>
    <w:p w14:paraId="2142ECC6" w14:textId="77777777" w:rsidR="00544D9F" w:rsidRDefault="00204E28" w:rsidP="00C13592">
      <w:pPr>
        <w:pStyle w:val="Heading1"/>
        <w:spacing w:line="240" w:lineRule="auto"/>
      </w:pPr>
      <w:bookmarkStart w:id="42" w:name="_Toc252539365"/>
      <w:r>
        <w:br w:type="page"/>
      </w:r>
      <w:bookmarkStart w:id="43" w:name="_Toc290886617"/>
      <w:r w:rsidR="00D3776B">
        <w:lastRenderedPageBreak/>
        <w:t>4</w:t>
      </w:r>
      <w:r w:rsidR="00544D9F">
        <w:t>. Focus on Selected Services for People with Disabilities</w:t>
      </w:r>
      <w:bookmarkEnd w:id="42"/>
      <w:bookmarkEnd w:id="43"/>
    </w:p>
    <w:p w14:paraId="1F821B42" w14:textId="77777777" w:rsidR="00544D9F" w:rsidRDefault="00D3776B" w:rsidP="00C13592">
      <w:pPr>
        <w:pStyle w:val="Heading2"/>
        <w:spacing w:line="240" w:lineRule="auto"/>
      </w:pPr>
      <w:bookmarkStart w:id="44" w:name="_Toc252539366"/>
      <w:bookmarkStart w:id="45" w:name="_Toc290886618"/>
      <w:r>
        <w:t>4</w:t>
      </w:r>
      <w:r w:rsidR="00544D9F">
        <w:t>.1 Residential services</w:t>
      </w:r>
      <w:bookmarkEnd w:id="44"/>
      <w:bookmarkEnd w:id="45"/>
    </w:p>
    <w:p w14:paraId="5D5C76B6" w14:textId="77777777" w:rsidR="00544D9F" w:rsidRDefault="00544D9F" w:rsidP="00544D9F">
      <w:r>
        <w:t xml:space="preserve">At the height of institutionalisation, in 1964, over 10,000 people with intellectual disabilities and/or mental health issues were housed in 13 institutions across </w:t>
      </w:r>
      <w:smartTag w:uri="urn:schemas-microsoft-com:office:smarttags" w:element="country-region">
        <w:smartTag w:uri="urn:schemas-microsoft-com:office:smarttags" w:element="place">
          <w:r>
            <w:t>New Zealand</w:t>
          </w:r>
        </w:smartTag>
      </w:smartTag>
      <w:r>
        <w:t xml:space="preserve">. Deinstitutionalisation, which began in the 1980s, was completed in October 2006 with the closure of Levin’s Kimberley Centre. </w:t>
      </w:r>
      <w:smartTag w:uri="urn:schemas-microsoft-com:office:smarttags" w:element="country-region">
        <w:smartTag w:uri="urn:schemas-microsoft-com:office:smarttags" w:element="place">
          <w:r>
            <w:t>New Zealand</w:t>
          </w:r>
        </w:smartTag>
      </w:smartTag>
      <w:r>
        <w:t xml:space="preserve"> is seen as one of the first countr</w:t>
      </w:r>
      <w:r w:rsidR="0077370B">
        <w:t xml:space="preserve">ies to have </w:t>
      </w:r>
      <w:r w:rsidR="00D2713D">
        <w:t xml:space="preserve">initiated </w:t>
      </w:r>
      <w:r w:rsidR="0077370B">
        <w:t>deinstitutionalis</w:t>
      </w:r>
      <w:r w:rsidR="00D2713D">
        <w:t>ation programme</w:t>
      </w:r>
      <w:r w:rsidR="0077370B">
        <w:rPr>
          <w:rStyle w:val="FootnoteReference"/>
        </w:rPr>
        <w:footnoteReference w:id="25"/>
      </w:r>
      <w:r>
        <w:t>.</w:t>
      </w:r>
    </w:p>
    <w:p w14:paraId="3F4305C0" w14:textId="77777777" w:rsidR="001E330B" w:rsidRDefault="00544D9F" w:rsidP="00643A19">
      <w:r>
        <w:t>Deinstitutionalisation originally focused on moving people into group homes in the community but has increasingly focused on supporting peo</w:t>
      </w:r>
      <w:r w:rsidR="00BA1D63">
        <w:t>ple in their own homes. Tables 6 and 7</w:t>
      </w:r>
      <w:r>
        <w:t xml:space="preserve"> provide some detail on residential and non-residential service users. More than twice as many service users receive services in their own home.</w:t>
      </w:r>
    </w:p>
    <w:p w14:paraId="0940643B" w14:textId="77777777" w:rsidR="00544D9F" w:rsidRPr="00193877" w:rsidRDefault="00BA1D63" w:rsidP="00C13592">
      <w:pPr>
        <w:pStyle w:val="TableTitle"/>
        <w:spacing w:line="240" w:lineRule="auto"/>
      </w:pPr>
      <w:r>
        <w:t>Table 6</w:t>
      </w:r>
      <w:r w:rsidR="00544D9F" w:rsidRPr="00193877">
        <w:t>: Residen</w:t>
      </w:r>
      <w:r w:rsidR="00BF6E87">
        <w:t>tial Service users analysed by a</w:t>
      </w:r>
      <w:r w:rsidR="00544D9F" w:rsidRPr="00193877">
        <w:t>ge</w:t>
      </w:r>
      <w:r w:rsidR="0077370B">
        <w:rPr>
          <w:rStyle w:val="FootnoteReference"/>
          <w:rFonts w:cs="Arial"/>
          <w:b w:val="0"/>
          <w:sz w:val="20"/>
          <w:szCs w:val="20"/>
        </w:rPr>
        <w:footnoteReference w:id="26"/>
      </w:r>
    </w:p>
    <w:tbl>
      <w:tblPr>
        <w:tblW w:w="0" w:type="auto"/>
        <w:tblLook w:val="01E0" w:firstRow="1" w:lastRow="1" w:firstColumn="1" w:lastColumn="1" w:noHBand="0" w:noVBand="0"/>
      </w:tblPr>
      <w:tblGrid>
        <w:gridCol w:w="1212"/>
        <w:gridCol w:w="972"/>
        <w:gridCol w:w="1011"/>
        <w:gridCol w:w="1026"/>
        <w:gridCol w:w="1004"/>
        <w:gridCol w:w="1020"/>
        <w:gridCol w:w="999"/>
        <w:gridCol w:w="1062"/>
      </w:tblGrid>
      <w:tr w:rsidR="00544D9F" w:rsidRPr="00FD350A" w14:paraId="5BF22B17" w14:textId="77777777">
        <w:tc>
          <w:tcPr>
            <w:tcW w:w="1333" w:type="dxa"/>
            <w:vMerge w:val="restart"/>
          </w:tcPr>
          <w:p w14:paraId="0651D7DF" w14:textId="77777777" w:rsidR="00544D9F" w:rsidRPr="00670292" w:rsidRDefault="00544D9F" w:rsidP="00670292">
            <w:pPr>
              <w:pStyle w:val="TableHead"/>
              <w:rPr>
                <w:sz w:val="20"/>
                <w:szCs w:val="20"/>
              </w:rPr>
            </w:pPr>
            <w:r w:rsidRPr="00670292">
              <w:rPr>
                <w:sz w:val="20"/>
                <w:szCs w:val="20"/>
              </w:rPr>
              <w:t>Age</w:t>
            </w:r>
          </w:p>
        </w:tc>
        <w:tc>
          <w:tcPr>
            <w:tcW w:w="6127" w:type="dxa"/>
            <w:gridSpan w:val="6"/>
          </w:tcPr>
          <w:p w14:paraId="0CD32E7A" w14:textId="77777777" w:rsidR="00544D9F" w:rsidRPr="00670292" w:rsidRDefault="00544D9F" w:rsidP="00670292">
            <w:pPr>
              <w:pStyle w:val="TableHead"/>
              <w:rPr>
                <w:sz w:val="20"/>
                <w:szCs w:val="20"/>
              </w:rPr>
            </w:pPr>
            <w:r w:rsidRPr="00670292">
              <w:rPr>
                <w:sz w:val="20"/>
                <w:szCs w:val="20"/>
              </w:rPr>
              <w:t>Type of residence</w:t>
            </w:r>
          </w:p>
        </w:tc>
        <w:tc>
          <w:tcPr>
            <w:tcW w:w="1062" w:type="dxa"/>
            <w:vMerge w:val="restart"/>
          </w:tcPr>
          <w:p w14:paraId="1CAAB518" w14:textId="77777777" w:rsidR="00544D9F" w:rsidRPr="00670292" w:rsidRDefault="00544D9F" w:rsidP="00670292">
            <w:pPr>
              <w:pStyle w:val="TableHead"/>
              <w:rPr>
                <w:sz w:val="20"/>
                <w:szCs w:val="20"/>
              </w:rPr>
            </w:pPr>
            <w:r w:rsidRPr="00670292">
              <w:rPr>
                <w:sz w:val="20"/>
                <w:szCs w:val="20"/>
              </w:rPr>
              <w:t>Total numbers</w:t>
            </w:r>
          </w:p>
        </w:tc>
      </w:tr>
      <w:tr w:rsidR="00544D9F" w:rsidRPr="00FD350A" w14:paraId="47C6D9A6" w14:textId="77777777">
        <w:tc>
          <w:tcPr>
            <w:tcW w:w="1333" w:type="dxa"/>
            <w:vMerge/>
          </w:tcPr>
          <w:p w14:paraId="746BF53B" w14:textId="77777777" w:rsidR="00544D9F" w:rsidRPr="00FD350A" w:rsidRDefault="00544D9F" w:rsidP="002C6BDF">
            <w:pPr>
              <w:spacing w:after="0"/>
              <w:rPr>
                <w:rFonts w:cs="Arial"/>
                <w:sz w:val="20"/>
                <w:szCs w:val="20"/>
              </w:rPr>
            </w:pPr>
          </w:p>
        </w:tc>
        <w:tc>
          <w:tcPr>
            <w:tcW w:w="1978" w:type="dxa"/>
            <w:gridSpan w:val="2"/>
          </w:tcPr>
          <w:p w14:paraId="6CABDD81" w14:textId="77777777" w:rsidR="00544D9F" w:rsidRPr="00670292" w:rsidRDefault="00544D9F" w:rsidP="00670292">
            <w:pPr>
              <w:pStyle w:val="TableHead"/>
              <w:rPr>
                <w:sz w:val="20"/>
                <w:szCs w:val="20"/>
              </w:rPr>
            </w:pPr>
            <w:r w:rsidRPr="00670292">
              <w:rPr>
                <w:sz w:val="20"/>
                <w:szCs w:val="20"/>
              </w:rPr>
              <w:t>Rest Home</w:t>
            </w:r>
          </w:p>
        </w:tc>
        <w:tc>
          <w:tcPr>
            <w:tcW w:w="2082" w:type="dxa"/>
            <w:gridSpan w:val="2"/>
          </w:tcPr>
          <w:p w14:paraId="185D8E7C" w14:textId="77777777" w:rsidR="00544D9F" w:rsidRPr="00670292" w:rsidRDefault="00544D9F" w:rsidP="00670292">
            <w:pPr>
              <w:pStyle w:val="TableHead"/>
              <w:rPr>
                <w:sz w:val="20"/>
                <w:szCs w:val="20"/>
              </w:rPr>
            </w:pPr>
            <w:r w:rsidRPr="00670292">
              <w:rPr>
                <w:sz w:val="20"/>
                <w:szCs w:val="20"/>
              </w:rPr>
              <w:t>Community Residential</w:t>
            </w:r>
            <w:r w:rsidR="00BF6E87" w:rsidRPr="00670292">
              <w:rPr>
                <w:sz w:val="20"/>
                <w:szCs w:val="20"/>
              </w:rPr>
              <w:t xml:space="preserve"> (group home)</w:t>
            </w:r>
          </w:p>
        </w:tc>
        <w:tc>
          <w:tcPr>
            <w:tcW w:w="2067" w:type="dxa"/>
            <w:gridSpan w:val="2"/>
          </w:tcPr>
          <w:p w14:paraId="582FDED2" w14:textId="77777777" w:rsidR="00544D9F" w:rsidRPr="00670292" w:rsidRDefault="00544D9F" w:rsidP="00670292">
            <w:pPr>
              <w:pStyle w:val="TableHead"/>
              <w:rPr>
                <w:sz w:val="20"/>
                <w:szCs w:val="20"/>
              </w:rPr>
            </w:pPr>
            <w:r w:rsidRPr="00670292">
              <w:rPr>
                <w:sz w:val="20"/>
                <w:szCs w:val="20"/>
              </w:rPr>
              <w:t>Hospital</w:t>
            </w:r>
          </w:p>
        </w:tc>
        <w:tc>
          <w:tcPr>
            <w:tcW w:w="1062" w:type="dxa"/>
            <w:vMerge/>
          </w:tcPr>
          <w:p w14:paraId="3F840BD6" w14:textId="77777777" w:rsidR="00544D9F" w:rsidRPr="00FD350A" w:rsidRDefault="00544D9F" w:rsidP="002C6BDF">
            <w:pPr>
              <w:spacing w:after="0"/>
              <w:rPr>
                <w:rFonts w:cs="Arial"/>
                <w:sz w:val="20"/>
                <w:szCs w:val="20"/>
              </w:rPr>
            </w:pPr>
          </w:p>
        </w:tc>
      </w:tr>
      <w:tr w:rsidR="00544D9F" w:rsidRPr="00FD350A" w14:paraId="5EA3D3FD" w14:textId="77777777">
        <w:tc>
          <w:tcPr>
            <w:tcW w:w="1333" w:type="dxa"/>
            <w:vMerge/>
          </w:tcPr>
          <w:p w14:paraId="32988508" w14:textId="77777777" w:rsidR="00544D9F" w:rsidRPr="00FD350A" w:rsidRDefault="00544D9F" w:rsidP="002C6BDF">
            <w:pPr>
              <w:spacing w:after="0"/>
              <w:rPr>
                <w:rFonts w:cs="Arial"/>
                <w:sz w:val="20"/>
                <w:szCs w:val="20"/>
              </w:rPr>
            </w:pPr>
          </w:p>
        </w:tc>
        <w:tc>
          <w:tcPr>
            <w:tcW w:w="928" w:type="dxa"/>
          </w:tcPr>
          <w:p w14:paraId="20344193" w14:textId="77777777" w:rsidR="00544D9F" w:rsidRPr="00670292" w:rsidRDefault="00544D9F" w:rsidP="00670292">
            <w:pPr>
              <w:pStyle w:val="TableHead"/>
              <w:rPr>
                <w:sz w:val="20"/>
                <w:szCs w:val="20"/>
              </w:rPr>
            </w:pPr>
            <w:r w:rsidRPr="00670292">
              <w:rPr>
                <w:sz w:val="20"/>
                <w:szCs w:val="20"/>
              </w:rPr>
              <w:t xml:space="preserve">Number </w:t>
            </w:r>
          </w:p>
        </w:tc>
        <w:tc>
          <w:tcPr>
            <w:tcW w:w="1050" w:type="dxa"/>
          </w:tcPr>
          <w:p w14:paraId="0FC46AB0" w14:textId="77777777" w:rsidR="00544D9F" w:rsidRPr="00670292" w:rsidRDefault="00544D9F" w:rsidP="00670292">
            <w:pPr>
              <w:pStyle w:val="TableHead"/>
              <w:rPr>
                <w:sz w:val="20"/>
                <w:szCs w:val="20"/>
              </w:rPr>
            </w:pPr>
            <w:r w:rsidRPr="00670292">
              <w:rPr>
                <w:sz w:val="20"/>
                <w:szCs w:val="20"/>
              </w:rPr>
              <w:t>% of Age Cohort</w:t>
            </w:r>
          </w:p>
        </w:tc>
        <w:tc>
          <w:tcPr>
            <w:tcW w:w="1041" w:type="dxa"/>
          </w:tcPr>
          <w:p w14:paraId="7D3DA3F2" w14:textId="77777777" w:rsidR="00544D9F" w:rsidRPr="00670292" w:rsidRDefault="00544D9F" w:rsidP="00670292">
            <w:pPr>
              <w:pStyle w:val="TableHead"/>
              <w:rPr>
                <w:sz w:val="20"/>
                <w:szCs w:val="20"/>
              </w:rPr>
            </w:pPr>
            <w:r w:rsidRPr="00670292">
              <w:rPr>
                <w:sz w:val="20"/>
                <w:szCs w:val="20"/>
              </w:rPr>
              <w:t xml:space="preserve">Number </w:t>
            </w:r>
          </w:p>
        </w:tc>
        <w:tc>
          <w:tcPr>
            <w:tcW w:w="1041" w:type="dxa"/>
          </w:tcPr>
          <w:p w14:paraId="40C77C17" w14:textId="77777777" w:rsidR="00544D9F" w:rsidRPr="00670292" w:rsidRDefault="00544D9F" w:rsidP="00670292">
            <w:pPr>
              <w:pStyle w:val="TableHead"/>
              <w:rPr>
                <w:sz w:val="20"/>
                <w:szCs w:val="20"/>
              </w:rPr>
            </w:pPr>
            <w:r w:rsidRPr="00670292">
              <w:rPr>
                <w:sz w:val="20"/>
                <w:szCs w:val="20"/>
              </w:rPr>
              <w:t>% of Age Cohort</w:t>
            </w:r>
          </w:p>
        </w:tc>
        <w:tc>
          <w:tcPr>
            <w:tcW w:w="1033" w:type="dxa"/>
          </w:tcPr>
          <w:p w14:paraId="3FF05DE4" w14:textId="77777777" w:rsidR="00544D9F" w:rsidRPr="00670292" w:rsidRDefault="00544D9F" w:rsidP="00670292">
            <w:pPr>
              <w:pStyle w:val="TableHead"/>
              <w:rPr>
                <w:sz w:val="20"/>
                <w:szCs w:val="20"/>
              </w:rPr>
            </w:pPr>
            <w:r w:rsidRPr="00670292">
              <w:rPr>
                <w:sz w:val="20"/>
                <w:szCs w:val="20"/>
              </w:rPr>
              <w:t xml:space="preserve">Number </w:t>
            </w:r>
          </w:p>
        </w:tc>
        <w:tc>
          <w:tcPr>
            <w:tcW w:w="1034" w:type="dxa"/>
          </w:tcPr>
          <w:p w14:paraId="034EBE03" w14:textId="77777777" w:rsidR="00544D9F" w:rsidRPr="00670292" w:rsidRDefault="00544D9F" w:rsidP="00670292">
            <w:pPr>
              <w:pStyle w:val="TableHead"/>
              <w:rPr>
                <w:sz w:val="20"/>
                <w:szCs w:val="20"/>
              </w:rPr>
            </w:pPr>
            <w:r w:rsidRPr="00670292">
              <w:rPr>
                <w:sz w:val="20"/>
                <w:szCs w:val="20"/>
              </w:rPr>
              <w:t>% of Age Cohort</w:t>
            </w:r>
          </w:p>
        </w:tc>
        <w:tc>
          <w:tcPr>
            <w:tcW w:w="1062" w:type="dxa"/>
            <w:vMerge/>
          </w:tcPr>
          <w:p w14:paraId="7EDC25D2" w14:textId="77777777" w:rsidR="00544D9F" w:rsidRPr="00FD350A" w:rsidRDefault="00544D9F" w:rsidP="002C6BDF">
            <w:pPr>
              <w:spacing w:after="0"/>
              <w:rPr>
                <w:rFonts w:cs="Arial"/>
                <w:sz w:val="20"/>
                <w:szCs w:val="20"/>
              </w:rPr>
            </w:pPr>
          </w:p>
        </w:tc>
      </w:tr>
      <w:tr w:rsidR="00544D9F" w:rsidRPr="00FD350A" w14:paraId="0811445D" w14:textId="77777777">
        <w:tc>
          <w:tcPr>
            <w:tcW w:w="1333" w:type="dxa"/>
          </w:tcPr>
          <w:p w14:paraId="4E0874A4" w14:textId="77777777" w:rsidR="00544D9F" w:rsidRPr="00670292" w:rsidRDefault="00544D9F" w:rsidP="00670292">
            <w:pPr>
              <w:pStyle w:val="TableRowHead"/>
              <w:rPr>
                <w:sz w:val="20"/>
                <w:szCs w:val="20"/>
              </w:rPr>
            </w:pPr>
            <w:r w:rsidRPr="00670292">
              <w:rPr>
                <w:sz w:val="20"/>
                <w:szCs w:val="20"/>
              </w:rPr>
              <w:lastRenderedPageBreak/>
              <w:t>14 and under</w:t>
            </w:r>
          </w:p>
        </w:tc>
        <w:tc>
          <w:tcPr>
            <w:tcW w:w="928" w:type="dxa"/>
          </w:tcPr>
          <w:p w14:paraId="356F885A" w14:textId="77777777" w:rsidR="00544D9F" w:rsidRPr="00FD350A" w:rsidRDefault="00544D9F" w:rsidP="002C6BDF">
            <w:pPr>
              <w:spacing w:after="0"/>
              <w:jc w:val="right"/>
              <w:rPr>
                <w:rFonts w:cs="Arial"/>
                <w:sz w:val="20"/>
                <w:szCs w:val="20"/>
              </w:rPr>
            </w:pPr>
            <w:r w:rsidRPr="00FD350A">
              <w:rPr>
                <w:rFonts w:cs="Arial"/>
                <w:sz w:val="20"/>
                <w:szCs w:val="20"/>
              </w:rPr>
              <w:t>7</w:t>
            </w:r>
          </w:p>
        </w:tc>
        <w:tc>
          <w:tcPr>
            <w:tcW w:w="1050" w:type="dxa"/>
          </w:tcPr>
          <w:p w14:paraId="12CEB732" w14:textId="77777777" w:rsidR="00544D9F" w:rsidRPr="00FD350A" w:rsidRDefault="00544D9F" w:rsidP="002C6BDF">
            <w:pPr>
              <w:spacing w:after="0"/>
              <w:jc w:val="right"/>
              <w:rPr>
                <w:rFonts w:cs="Arial"/>
                <w:sz w:val="20"/>
                <w:szCs w:val="20"/>
              </w:rPr>
            </w:pPr>
            <w:r w:rsidRPr="00FD350A">
              <w:rPr>
                <w:rFonts w:cs="Arial"/>
                <w:sz w:val="20"/>
                <w:szCs w:val="20"/>
              </w:rPr>
              <w:t>5.6</w:t>
            </w:r>
          </w:p>
        </w:tc>
        <w:tc>
          <w:tcPr>
            <w:tcW w:w="1041" w:type="dxa"/>
          </w:tcPr>
          <w:p w14:paraId="1F56AC1E" w14:textId="77777777" w:rsidR="00544D9F" w:rsidRPr="00FD350A" w:rsidRDefault="00544D9F" w:rsidP="002C6BDF">
            <w:pPr>
              <w:spacing w:after="0"/>
              <w:jc w:val="right"/>
              <w:rPr>
                <w:rFonts w:cs="Arial"/>
                <w:sz w:val="20"/>
                <w:szCs w:val="20"/>
              </w:rPr>
            </w:pPr>
            <w:r w:rsidRPr="00FD350A">
              <w:rPr>
                <w:rFonts w:cs="Arial"/>
                <w:sz w:val="20"/>
                <w:szCs w:val="20"/>
              </w:rPr>
              <w:t>112</w:t>
            </w:r>
          </w:p>
        </w:tc>
        <w:tc>
          <w:tcPr>
            <w:tcW w:w="1041" w:type="dxa"/>
          </w:tcPr>
          <w:p w14:paraId="5B15C227" w14:textId="77777777" w:rsidR="00544D9F" w:rsidRPr="00FD350A" w:rsidRDefault="00544D9F" w:rsidP="002C6BDF">
            <w:pPr>
              <w:spacing w:after="0"/>
              <w:jc w:val="right"/>
              <w:rPr>
                <w:rFonts w:cs="Arial"/>
                <w:sz w:val="20"/>
                <w:szCs w:val="20"/>
              </w:rPr>
            </w:pPr>
            <w:r w:rsidRPr="00FD350A">
              <w:rPr>
                <w:rFonts w:cs="Arial"/>
                <w:sz w:val="20"/>
                <w:szCs w:val="20"/>
              </w:rPr>
              <w:t>89.6%</w:t>
            </w:r>
          </w:p>
        </w:tc>
        <w:tc>
          <w:tcPr>
            <w:tcW w:w="1033" w:type="dxa"/>
          </w:tcPr>
          <w:p w14:paraId="6CC64867" w14:textId="77777777" w:rsidR="00544D9F" w:rsidRPr="00FD350A" w:rsidRDefault="00544D9F" w:rsidP="002C6BDF">
            <w:pPr>
              <w:spacing w:after="0"/>
              <w:jc w:val="right"/>
              <w:rPr>
                <w:rFonts w:cs="Arial"/>
                <w:sz w:val="20"/>
                <w:szCs w:val="20"/>
              </w:rPr>
            </w:pPr>
            <w:r w:rsidRPr="00FD350A">
              <w:rPr>
                <w:rFonts w:cs="Arial"/>
                <w:sz w:val="20"/>
                <w:szCs w:val="20"/>
              </w:rPr>
              <w:t>6</w:t>
            </w:r>
          </w:p>
        </w:tc>
        <w:tc>
          <w:tcPr>
            <w:tcW w:w="1034" w:type="dxa"/>
          </w:tcPr>
          <w:p w14:paraId="0DD48963" w14:textId="77777777" w:rsidR="00544D9F" w:rsidRPr="00FD350A" w:rsidRDefault="00544D9F" w:rsidP="002C6BDF">
            <w:pPr>
              <w:spacing w:after="0"/>
              <w:jc w:val="right"/>
              <w:rPr>
                <w:rFonts w:cs="Arial"/>
                <w:sz w:val="20"/>
                <w:szCs w:val="20"/>
              </w:rPr>
            </w:pPr>
            <w:r w:rsidRPr="00FD350A">
              <w:rPr>
                <w:rFonts w:cs="Arial"/>
                <w:sz w:val="20"/>
                <w:szCs w:val="20"/>
              </w:rPr>
              <w:t>4.8%</w:t>
            </w:r>
          </w:p>
        </w:tc>
        <w:tc>
          <w:tcPr>
            <w:tcW w:w="1062" w:type="dxa"/>
          </w:tcPr>
          <w:p w14:paraId="2DA75915" w14:textId="77777777" w:rsidR="00544D9F" w:rsidRPr="00FD350A" w:rsidRDefault="00544D9F" w:rsidP="002C6BDF">
            <w:pPr>
              <w:spacing w:after="0"/>
              <w:jc w:val="right"/>
              <w:rPr>
                <w:rFonts w:cs="Arial"/>
                <w:sz w:val="20"/>
                <w:szCs w:val="20"/>
              </w:rPr>
            </w:pPr>
            <w:r w:rsidRPr="00FD350A">
              <w:rPr>
                <w:rFonts w:cs="Arial"/>
                <w:sz w:val="20"/>
                <w:szCs w:val="20"/>
              </w:rPr>
              <w:t>125</w:t>
            </w:r>
          </w:p>
        </w:tc>
      </w:tr>
      <w:tr w:rsidR="00544D9F" w:rsidRPr="00FD350A" w14:paraId="72CF474E" w14:textId="77777777">
        <w:tc>
          <w:tcPr>
            <w:tcW w:w="1333" w:type="dxa"/>
          </w:tcPr>
          <w:p w14:paraId="19784D13" w14:textId="77777777" w:rsidR="00544D9F" w:rsidRPr="00670292" w:rsidRDefault="00544D9F" w:rsidP="00670292">
            <w:pPr>
              <w:pStyle w:val="TableRowHead"/>
              <w:rPr>
                <w:sz w:val="20"/>
                <w:szCs w:val="20"/>
              </w:rPr>
            </w:pPr>
            <w:r w:rsidRPr="00670292">
              <w:rPr>
                <w:sz w:val="20"/>
                <w:szCs w:val="20"/>
              </w:rPr>
              <w:t>15 to 44</w:t>
            </w:r>
          </w:p>
        </w:tc>
        <w:tc>
          <w:tcPr>
            <w:tcW w:w="928" w:type="dxa"/>
          </w:tcPr>
          <w:p w14:paraId="3731889A" w14:textId="77777777" w:rsidR="00544D9F" w:rsidRPr="00FD350A" w:rsidRDefault="00544D9F" w:rsidP="002C6BDF">
            <w:pPr>
              <w:spacing w:after="0"/>
              <w:jc w:val="right"/>
              <w:rPr>
                <w:rFonts w:cs="Arial"/>
                <w:sz w:val="20"/>
                <w:szCs w:val="20"/>
              </w:rPr>
            </w:pPr>
            <w:r w:rsidRPr="00FD350A">
              <w:rPr>
                <w:rFonts w:cs="Arial"/>
                <w:sz w:val="20"/>
                <w:szCs w:val="20"/>
              </w:rPr>
              <w:t>50</w:t>
            </w:r>
          </w:p>
        </w:tc>
        <w:tc>
          <w:tcPr>
            <w:tcW w:w="1050" w:type="dxa"/>
          </w:tcPr>
          <w:p w14:paraId="0252465A" w14:textId="77777777" w:rsidR="00544D9F" w:rsidRPr="00FD350A" w:rsidRDefault="00544D9F" w:rsidP="002C6BDF">
            <w:pPr>
              <w:spacing w:after="0"/>
              <w:jc w:val="right"/>
              <w:rPr>
                <w:rFonts w:cs="Arial"/>
                <w:sz w:val="20"/>
                <w:szCs w:val="20"/>
              </w:rPr>
            </w:pPr>
            <w:r w:rsidRPr="00FD350A">
              <w:rPr>
                <w:rFonts w:cs="Arial"/>
                <w:sz w:val="20"/>
                <w:szCs w:val="20"/>
              </w:rPr>
              <w:t>1.3%</w:t>
            </w:r>
          </w:p>
        </w:tc>
        <w:tc>
          <w:tcPr>
            <w:tcW w:w="1041" w:type="dxa"/>
          </w:tcPr>
          <w:p w14:paraId="2961AC56" w14:textId="77777777" w:rsidR="00544D9F" w:rsidRPr="00FD350A" w:rsidRDefault="00544D9F" w:rsidP="002C6BDF">
            <w:pPr>
              <w:spacing w:after="0"/>
              <w:jc w:val="right"/>
              <w:rPr>
                <w:rFonts w:cs="Arial"/>
                <w:sz w:val="20"/>
                <w:szCs w:val="20"/>
              </w:rPr>
            </w:pPr>
            <w:r w:rsidRPr="00FD350A">
              <w:rPr>
                <w:rFonts w:cs="Arial"/>
                <w:sz w:val="20"/>
                <w:szCs w:val="20"/>
              </w:rPr>
              <w:t>3</w:t>
            </w:r>
            <w:r w:rsidR="00A6263C">
              <w:rPr>
                <w:rFonts w:cs="Arial"/>
                <w:sz w:val="20"/>
                <w:szCs w:val="20"/>
              </w:rPr>
              <w:t>,</w:t>
            </w:r>
            <w:r w:rsidRPr="00FD350A">
              <w:rPr>
                <w:rFonts w:cs="Arial"/>
                <w:sz w:val="20"/>
                <w:szCs w:val="20"/>
              </w:rPr>
              <w:t>463</w:t>
            </w:r>
          </w:p>
        </w:tc>
        <w:tc>
          <w:tcPr>
            <w:tcW w:w="1041" w:type="dxa"/>
          </w:tcPr>
          <w:p w14:paraId="231D1738" w14:textId="77777777" w:rsidR="00544D9F" w:rsidRPr="00FD350A" w:rsidRDefault="00544D9F" w:rsidP="002C6BDF">
            <w:pPr>
              <w:spacing w:after="0"/>
              <w:jc w:val="right"/>
              <w:rPr>
                <w:rFonts w:cs="Arial"/>
                <w:sz w:val="20"/>
                <w:szCs w:val="20"/>
              </w:rPr>
            </w:pPr>
            <w:r w:rsidRPr="00FD350A">
              <w:rPr>
                <w:rFonts w:cs="Arial"/>
                <w:sz w:val="20"/>
                <w:szCs w:val="20"/>
              </w:rPr>
              <w:t>92.5%</w:t>
            </w:r>
          </w:p>
        </w:tc>
        <w:tc>
          <w:tcPr>
            <w:tcW w:w="1033" w:type="dxa"/>
          </w:tcPr>
          <w:p w14:paraId="2E107DC3" w14:textId="77777777" w:rsidR="00544D9F" w:rsidRPr="00FD350A" w:rsidRDefault="00544D9F" w:rsidP="002C6BDF">
            <w:pPr>
              <w:spacing w:after="0"/>
              <w:jc w:val="right"/>
              <w:rPr>
                <w:rFonts w:cs="Arial"/>
                <w:sz w:val="20"/>
                <w:szCs w:val="20"/>
              </w:rPr>
            </w:pPr>
            <w:r w:rsidRPr="00FD350A">
              <w:rPr>
                <w:rFonts w:cs="Arial"/>
                <w:sz w:val="20"/>
                <w:szCs w:val="20"/>
              </w:rPr>
              <w:t>229</w:t>
            </w:r>
          </w:p>
        </w:tc>
        <w:tc>
          <w:tcPr>
            <w:tcW w:w="1034" w:type="dxa"/>
          </w:tcPr>
          <w:p w14:paraId="49B56114" w14:textId="77777777" w:rsidR="00544D9F" w:rsidRPr="00FD350A" w:rsidRDefault="00544D9F" w:rsidP="002C6BDF">
            <w:pPr>
              <w:spacing w:after="0"/>
              <w:jc w:val="right"/>
              <w:rPr>
                <w:rFonts w:cs="Arial"/>
                <w:sz w:val="20"/>
                <w:szCs w:val="20"/>
              </w:rPr>
            </w:pPr>
            <w:r w:rsidRPr="00FD350A">
              <w:rPr>
                <w:rFonts w:cs="Arial"/>
                <w:sz w:val="20"/>
                <w:szCs w:val="20"/>
              </w:rPr>
              <w:t>6.1%</w:t>
            </w:r>
          </w:p>
        </w:tc>
        <w:tc>
          <w:tcPr>
            <w:tcW w:w="1062" w:type="dxa"/>
          </w:tcPr>
          <w:p w14:paraId="4E5A21CB" w14:textId="77777777" w:rsidR="00544D9F" w:rsidRPr="00FD350A" w:rsidRDefault="00544D9F" w:rsidP="002C6BDF">
            <w:pPr>
              <w:spacing w:after="0"/>
              <w:jc w:val="right"/>
              <w:rPr>
                <w:rFonts w:cs="Arial"/>
                <w:sz w:val="20"/>
                <w:szCs w:val="20"/>
              </w:rPr>
            </w:pPr>
            <w:r w:rsidRPr="00FD350A">
              <w:rPr>
                <w:rFonts w:cs="Arial"/>
                <w:sz w:val="20"/>
                <w:szCs w:val="20"/>
              </w:rPr>
              <w:t>3</w:t>
            </w:r>
            <w:r w:rsidR="00A6263C">
              <w:rPr>
                <w:rFonts w:cs="Arial"/>
                <w:sz w:val="20"/>
                <w:szCs w:val="20"/>
              </w:rPr>
              <w:t>,</w:t>
            </w:r>
            <w:r w:rsidRPr="00FD350A">
              <w:rPr>
                <w:rFonts w:cs="Arial"/>
                <w:sz w:val="20"/>
                <w:szCs w:val="20"/>
              </w:rPr>
              <w:t>742</w:t>
            </w:r>
          </w:p>
        </w:tc>
      </w:tr>
      <w:tr w:rsidR="00544D9F" w:rsidRPr="00FD350A" w14:paraId="248C8733" w14:textId="77777777">
        <w:tc>
          <w:tcPr>
            <w:tcW w:w="1333" w:type="dxa"/>
          </w:tcPr>
          <w:p w14:paraId="14EF5E05" w14:textId="77777777" w:rsidR="00544D9F" w:rsidRPr="00670292" w:rsidRDefault="00544D9F" w:rsidP="00670292">
            <w:pPr>
              <w:pStyle w:val="TableRowHead"/>
              <w:rPr>
                <w:sz w:val="20"/>
                <w:szCs w:val="20"/>
              </w:rPr>
            </w:pPr>
            <w:r w:rsidRPr="00670292">
              <w:rPr>
                <w:sz w:val="20"/>
                <w:szCs w:val="20"/>
              </w:rPr>
              <w:t>45 to 64</w:t>
            </w:r>
          </w:p>
        </w:tc>
        <w:tc>
          <w:tcPr>
            <w:tcW w:w="928" w:type="dxa"/>
          </w:tcPr>
          <w:p w14:paraId="3DF6A1D6" w14:textId="77777777" w:rsidR="00544D9F" w:rsidRPr="00FD350A" w:rsidRDefault="00544D9F" w:rsidP="002C6BDF">
            <w:pPr>
              <w:spacing w:after="0"/>
              <w:jc w:val="right"/>
              <w:rPr>
                <w:rFonts w:cs="Arial"/>
                <w:sz w:val="20"/>
                <w:szCs w:val="20"/>
              </w:rPr>
            </w:pPr>
            <w:r w:rsidRPr="00FD350A">
              <w:rPr>
                <w:rFonts w:cs="Arial"/>
                <w:sz w:val="20"/>
                <w:szCs w:val="20"/>
              </w:rPr>
              <w:t>478</w:t>
            </w:r>
          </w:p>
        </w:tc>
        <w:tc>
          <w:tcPr>
            <w:tcW w:w="1050" w:type="dxa"/>
          </w:tcPr>
          <w:p w14:paraId="39AB552D" w14:textId="77777777" w:rsidR="00544D9F" w:rsidRPr="00FD350A" w:rsidRDefault="00544D9F" w:rsidP="002C6BDF">
            <w:pPr>
              <w:spacing w:after="0"/>
              <w:jc w:val="right"/>
              <w:rPr>
                <w:rFonts w:cs="Arial"/>
                <w:sz w:val="20"/>
                <w:szCs w:val="20"/>
              </w:rPr>
            </w:pPr>
            <w:r w:rsidRPr="00FD350A">
              <w:rPr>
                <w:rFonts w:cs="Arial"/>
                <w:sz w:val="20"/>
                <w:szCs w:val="20"/>
              </w:rPr>
              <w:t>15.2%</w:t>
            </w:r>
          </w:p>
        </w:tc>
        <w:tc>
          <w:tcPr>
            <w:tcW w:w="1041" w:type="dxa"/>
          </w:tcPr>
          <w:p w14:paraId="7CEF6F4B" w14:textId="77777777" w:rsidR="00544D9F" w:rsidRPr="00FD350A" w:rsidRDefault="00544D9F" w:rsidP="002C6BDF">
            <w:pPr>
              <w:spacing w:after="0"/>
              <w:jc w:val="right"/>
              <w:rPr>
                <w:rFonts w:cs="Arial"/>
                <w:sz w:val="20"/>
                <w:szCs w:val="20"/>
              </w:rPr>
            </w:pPr>
            <w:r w:rsidRPr="00FD350A">
              <w:rPr>
                <w:rFonts w:cs="Arial"/>
                <w:sz w:val="20"/>
                <w:szCs w:val="20"/>
              </w:rPr>
              <w:t>2</w:t>
            </w:r>
            <w:r w:rsidR="00A6263C">
              <w:rPr>
                <w:rFonts w:cs="Arial"/>
                <w:sz w:val="20"/>
                <w:szCs w:val="20"/>
              </w:rPr>
              <w:t>,</w:t>
            </w:r>
            <w:r w:rsidRPr="00FD350A">
              <w:rPr>
                <w:rFonts w:cs="Arial"/>
                <w:sz w:val="20"/>
                <w:szCs w:val="20"/>
              </w:rPr>
              <w:t>025</w:t>
            </w:r>
          </w:p>
        </w:tc>
        <w:tc>
          <w:tcPr>
            <w:tcW w:w="1041" w:type="dxa"/>
          </w:tcPr>
          <w:p w14:paraId="088D892F" w14:textId="77777777" w:rsidR="00544D9F" w:rsidRPr="00FD350A" w:rsidRDefault="00544D9F" w:rsidP="002C6BDF">
            <w:pPr>
              <w:spacing w:after="0"/>
              <w:jc w:val="right"/>
              <w:rPr>
                <w:rFonts w:cs="Arial"/>
                <w:sz w:val="20"/>
                <w:szCs w:val="20"/>
              </w:rPr>
            </w:pPr>
            <w:r w:rsidRPr="00FD350A">
              <w:rPr>
                <w:rFonts w:cs="Arial"/>
                <w:sz w:val="20"/>
                <w:szCs w:val="20"/>
              </w:rPr>
              <w:t>64.3%</w:t>
            </w:r>
          </w:p>
        </w:tc>
        <w:tc>
          <w:tcPr>
            <w:tcW w:w="1033" w:type="dxa"/>
          </w:tcPr>
          <w:p w14:paraId="38D48A25" w14:textId="77777777" w:rsidR="00544D9F" w:rsidRPr="00FD350A" w:rsidRDefault="00544D9F" w:rsidP="002C6BDF">
            <w:pPr>
              <w:spacing w:after="0"/>
              <w:jc w:val="right"/>
              <w:rPr>
                <w:rFonts w:cs="Arial"/>
                <w:sz w:val="20"/>
                <w:szCs w:val="20"/>
              </w:rPr>
            </w:pPr>
            <w:r w:rsidRPr="00FD350A">
              <w:rPr>
                <w:rFonts w:cs="Arial"/>
                <w:sz w:val="20"/>
                <w:szCs w:val="20"/>
              </w:rPr>
              <w:t>648</w:t>
            </w:r>
          </w:p>
        </w:tc>
        <w:tc>
          <w:tcPr>
            <w:tcW w:w="1034" w:type="dxa"/>
          </w:tcPr>
          <w:p w14:paraId="4CC47E83" w14:textId="77777777" w:rsidR="00544D9F" w:rsidRPr="00FD350A" w:rsidRDefault="00544D9F" w:rsidP="002C6BDF">
            <w:pPr>
              <w:spacing w:after="0"/>
              <w:jc w:val="right"/>
              <w:rPr>
                <w:rFonts w:cs="Arial"/>
                <w:sz w:val="20"/>
                <w:szCs w:val="20"/>
              </w:rPr>
            </w:pPr>
            <w:r w:rsidRPr="00FD350A">
              <w:rPr>
                <w:rFonts w:cs="Arial"/>
                <w:sz w:val="20"/>
                <w:szCs w:val="20"/>
              </w:rPr>
              <w:t>20.6%</w:t>
            </w:r>
          </w:p>
        </w:tc>
        <w:tc>
          <w:tcPr>
            <w:tcW w:w="1062" w:type="dxa"/>
          </w:tcPr>
          <w:p w14:paraId="293655F6" w14:textId="77777777" w:rsidR="00544D9F" w:rsidRPr="00FD350A" w:rsidRDefault="00544D9F" w:rsidP="002C6BDF">
            <w:pPr>
              <w:spacing w:after="0"/>
              <w:jc w:val="right"/>
              <w:rPr>
                <w:rFonts w:cs="Arial"/>
                <w:sz w:val="20"/>
                <w:szCs w:val="20"/>
              </w:rPr>
            </w:pPr>
            <w:r w:rsidRPr="00FD350A">
              <w:rPr>
                <w:rFonts w:cs="Arial"/>
                <w:sz w:val="20"/>
                <w:szCs w:val="20"/>
              </w:rPr>
              <w:t>3</w:t>
            </w:r>
            <w:r w:rsidR="00A6263C">
              <w:rPr>
                <w:rFonts w:cs="Arial"/>
                <w:sz w:val="20"/>
                <w:szCs w:val="20"/>
              </w:rPr>
              <w:t>,</w:t>
            </w:r>
            <w:r w:rsidRPr="00FD350A">
              <w:rPr>
                <w:rFonts w:cs="Arial"/>
                <w:sz w:val="20"/>
                <w:szCs w:val="20"/>
              </w:rPr>
              <w:t>151</w:t>
            </w:r>
          </w:p>
        </w:tc>
      </w:tr>
      <w:tr w:rsidR="00544D9F" w:rsidRPr="00FD350A" w14:paraId="3444CEA3" w14:textId="77777777">
        <w:tc>
          <w:tcPr>
            <w:tcW w:w="1333" w:type="dxa"/>
          </w:tcPr>
          <w:p w14:paraId="3E2B7848" w14:textId="77777777" w:rsidR="00544D9F" w:rsidRPr="00670292" w:rsidRDefault="00544D9F" w:rsidP="00670292">
            <w:pPr>
              <w:pStyle w:val="TableRowHead"/>
              <w:rPr>
                <w:sz w:val="20"/>
                <w:szCs w:val="20"/>
              </w:rPr>
            </w:pPr>
            <w:r w:rsidRPr="00670292">
              <w:rPr>
                <w:sz w:val="20"/>
                <w:szCs w:val="20"/>
              </w:rPr>
              <w:t>65 to 74</w:t>
            </w:r>
          </w:p>
        </w:tc>
        <w:tc>
          <w:tcPr>
            <w:tcW w:w="928" w:type="dxa"/>
          </w:tcPr>
          <w:p w14:paraId="24B24A4F" w14:textId="77777777" w:rsidR="00544D9F" w:rsidRPr="00FD350A" w:rsidRDefault="00544D9F" w:rsidP="002C6BDF">
            <w:pPr>
              <w:spacing w:after="0"/>
              <w:jc w:val="right"/>
              <w:rPr>
                <w:rFonts w:cs="Arial"/>
                <w:sz w:val="20"/>
                <w:szCs w:val="20"/>
              </w:rPr>
            </w:pPr>
            <w:r w:rsidRPr="00FD350A">
              <w:rPr>
                <w:rFonts w:cs="Arial"/>
                <w:sz w:val="20"/>
                <w:szCs w:val="20"/>
              </w:rPr>
              <w:t>1</w:t>
            </w:r>
            <w:r w:rsidR="00D2713D">
              <w:rPr>
                <w:rFonts w:cs="Arial"/>
                <w:sz w:val="20"/>
                <w:szCs w:val="20"/>
              </w:rPr>
              <w:t>,</w:t>
            </w:r>
            <w:r w:rsidRPr="00FD350A">
              <w:rPr>
                <w:rFonts w:cs="Arial"/>
                <w:sz w:val="20"/>
                <w:szCs w:val="20"/>
              </w:rPr>
              <w:t>415</w:t>
            </w:r>
          </w:p>
        </w:tc>
        <w:tc>
          <w:tcPr>
            <w:tcW w:w="1050" w:type="dxa"/>
          </w:tcPr>
          <w:p w14:paraId="66D97E9B" w14:textId="77777777" w:rsidR="00544D9F" w:rsidRPr="00FD350A" w:rsidRDefault="00544D9F" w:rsidP="002C6BDF">
            <w:pPr>
              <w:spacing w:after="0"/>
              <w:jc w:val="right"/>
              <w:rPr>
                <w:rFonts w:cs="Arial"/>
                <w:sz w:val="20"/>
                <w:szCs w:val="20"/>
              </w:rPr>
            </w:pPr>
            <w:r w:rsidRPr="00FD350A">
              <w:rPr>
                <w:rFonts w:cs="Arial"/>
                <w:sz w:val="20"/>
                <w:szCs w:val="20"/>
              </w:rPr>
              <w:t>52.9%</w:t>
            </w:r>
          </w:p>
        </w:tc>
        <w:tc>
          <w:tcPr>
            <w:tcW w:w="1041" w:type="dxa"/>
          </w:tcPr>
          <w:p w14:paraId="40DAEC35" w14:textId="77777777" w:rsidR="00544D9F" w:rsidRPr="00FD350A" w:rsidRDefault="00544D9F" w:rsidP="002C6BDF">
            <w:pPr>
              <w:spacing w:after="0"/>
              <w:jc w:val="right"/>
              <w:rPr>
                <w:rFonts w:cs="Arial"/>
                <w:sz w:val="20"/>
                <w:szCs w:val="20"/>
              </w:rPr>
            </w:pPr>
            <w:r w:rsidRPr="00FD350A">
              <w:rPr>
                <w:rFonts w:cs="Arial"/>
                <w:sz w:val="20"/>
                <w:szCs w:val="20"/>
              </w:rPr>
              <w:t>263</w:t>
            </w:r>
          </w:p>
        </w:tc>
        <w:tc>
          <w:tcPr>
            <w:tcW w:w="1041" w:type="dxa"/>
          </w:tcPr>
          <w:p w14:paraId="29A47650" w14:textId="77777777" w:rsidR="00544D9F" w:rsidRPr="00FD350A" w:rsidRDefault="00544D9F" w:rsidP="002C6BDF">
            <w:pPr>
              <w:spacing w:after="0"/>
              <w:jc w:val="right"/>
              <w:rPr>
                <w:rFonts w:cs="Arial"/>
                <w:sz w:val="20"/>
                <w:szCs w:val="20"/>
              </w:rPr>
            </w:pPr>
            <w:r w:rsidRPr="00FD350A">
              <w:rPr>
                <w:rFonts w:cs="Arial"/>
                <w:sz w:val="20"/>
                <w:szCs w:val="20"/>
              </w:rPr>
              <w:t>9.8%</w:t>
            </w:r>
          </w:p>
        </w:tc>
        <w:tc>
          <w:tcPr>
            <w:tcW w:w="1033" w:type="dxa"/>
          </w:tcPr>
          <w:p w14:paraId="255B925D" w14:textId="77777777" w:rsidR="00544D9F" w:rsidRPr="00FD350A" w:rsidRDefault="00544D9F" w:rsidP="002C6BDF">
            <w:pPr>
              <w:spacing w:after="0"/>
              <w:jc w:val="right"/>
              <w:rPr>
                <w:rFonts w:cs="Arial"/>
                <w:sz w:val="20"/>
                <w:szCs w:val="20"/>
              </w:rPr>
            </w:pPr>
            <w:r w:rsidRPr="00FD350A">
              <w:rPr>
                <w:rFonts w:cs="Arial"/>
                <w:sz w:val="20"/>
                <w:szCs w:val="20"/>
              </w:rPr>
              <w:t>995</w:t>
            </w:r>
          </w:p>
        </w:tc>
        <w:tc>
          <w:tcPr>
            <w:tcW w:w="1034" w:type="dxa"/>
          </w:tcPr>
          <w:p w14:paraId="450AAF36" w14:textId="77777777" w:rsidR="00544D9F" w:rsidRPr="00FD350A" w:rsidRDefault="00544D9F" w:rsidP="002C6BDF">
            <w:pPr>
              <w:spacing w:after="0"/>
              <w:jc w:val="right"/>
              <w:rPr>
                <w:rFonts w:cs="Arial"/>
                <w:sz w:val="20"/>
                <w:szCs w:val="20"/>
              </w:rPr>
            </w:pPr>
            <w:r w:rsidRPr="00FD350A">
              <w:rPr>
                <w:rFonts w:cs="Arial"/>
                <w:sz w:val="20"/>
                <w:szCs w:val="20"/>
              </w:rPr>
              <w:t>37.2%</w:t>
            </w:r>
          </w:p>
        </w:tc>
        <w:tc>
          <w:tcPr>
            <w:tcW w:w="1062" w:type="dxa"/>
          </w:tcPr>
          <w:p w14:paraId="45F071A6" w14:textId="77777777" w:rsidR="00544D9F" w:rsidRPr="00FD350A" w:rsidRDefault="00544D9F" w:rsidP="002C6BDF">
            <w:pPr>
              <w:spacing w:after="0"/>
              <w:jc w:val="right"/>
              <w:rPr>
                <w:rFonts w:cs="Arial"/>
                <w:sz w:val="20"/>
                <w:szCs w:val="20"/>
              </w:rPr>
            </w:pPr>
            <w:r w:rsidRPr="00FD350A">
              <w:rPr>
                <w:rFonts w:cs="Arial"/>
                <w:sz w:val="20"/>
                <w:szCs w:val="20"/>
              </w:rPr>
              <w:t>2</w:t>
            </w:r>
            <w:r w:rsidR="00A6263C">
              <w:rPr>
                <w:rFonts w:cs="Arial"/>
                <w:sz w:val="20"/>
                <w:szCs w:val="20"/>
              </w:rPr>
              <w:t>,</w:t>
            </w:r>
            <w:r w:rsidRPr="00FD350A">
              <w:rPr>
                <w:rFonts w:cs="Arial"/>
                <w:sz w:val="20"/>
                <w:szCs w:val="20"/>
              </w:rPr>
              <w:t>673</w:t>
            </w:r>
          </w:p>
        </w:tc>
      </w:tr>
      <w:tr w:rsidR="00544D9F" w:rsidRPr="00FD350A" w14:paraId="39BD09B1" w14:textId="77777777">
        <w:tc>
          <w:tcPr>
            <w:tcW w:w="1333" w:type="dxa"/>
          </w:tcPr>
          <w:p w14:paraId="4EB81B2E" w14:textId="77777777" w:rsidR="00544D9F" w:rsidRPr="00670292" w:rsidRDefault="00544D9F" w:rsidP="00670292">
            <w:pPr>
              <w:pStyle w:val="TableRowHead"/>
              <w:rPr>
                <w:sz w:val="20"/>
                <w:szCs w:val="20"/>
              </w:rPr>
            </w:pPr>
            <w:r w:rsidRPr="00670292">
              <w:rPr>
                <w:sz w:val="20"/>
                <w:szCs w:val="20"/>
              </w:rPr>
              <w:t>75 and older</w:t>
            </w:r>
          </w:p>
        </w:tc>
        <w:tc>
          <w:tcPr>
            <w:tcW w:w="928" w:type="dxa"/>
          </w:tcPr>
          <w:p w14:paraId="07F796FF" w14:textId="77777777" w:rsidR="00544D9F" w:rsidRPr="00FD350A" w:rsidRDefault="00544D9F" w:rsidP="002C6BDF">
            <w:pPr>
              <w:spacing w:after="0"/>
              <w:jc w:val="right"/>
              <w:rPr>
                <w:rFonts w:cs="Arial"/>
                <w:sz w:val="20"/>
                <w:szCs w:val="20"/>
              </w:rPr>
            </w:pPr>
            <w:r w:rsidRPr="00FD350A">
              <w:rPr>
                <w:rFonts w:cs="Arial"/>
                <w:sz w:val="20"/>
                <w:szCs w:val="20"/>
              </w:rPr>
              <w:t>10</w:t>
            </w:r>
            <w:r w:rsidR="00D2713D">
              <w:rPr>
                <w:rFonts w:cs="Arial"/>
                <w:sz w:val="20"/>
                <w:szCs w:val="20"/>
              </w:rPr>
              <w:t>,</w:t>
            </w:r>
            <w:r w:rsidRPr="00FD350A">
              <w:rPr>
                <w:rFonts w:cs="Arial"/>
                <w:sz w:val="20"/>
                <w:szCs w:val="20"/>
              </w:rPr>
              <w:t>211</w:t>
            </w:r>
          </w:p>
        </w:tc>
        <w:tc>
          <w:tcPr>
            <w:tcW w:w="1050" w:type="dxa"/>
          </w:tcPr>
          <w:p w14:paraId="40685B9A" w14:textId="77777777" w:rsidR="00544D9F" w:rsidRPr="00FD350A" w:rsidRDefault="00544D9F" w:rsidP="002C6BDF">
            <w:pPr>
              <w:spacing w:after="0"/>
              <w:jc w:val="right"/>
              <w:rPr>
                <w:rFonts w:cs="Arial"/>
                <w:sz w:val="20"/>
                <w:szCs w:val="20"/>
              </w:rPr>
            </w:pPr>
            <w:r w:rsidRPr="00FD350A">
              <w:rPr>
                <w:rFonts w:cs="Arial"/>
                <w:sz w:val="20"/>
                <w:szCs w:val="20"/>
              </w:rPr>
              <w:t>56.6%</w:t>
            </w:r>
          </w:p>
        </w:tc>
        <w:tc>
          <w:tcPr>
            <w:tcW w:w="1041" w:type="dxa"/>
          </w:tcPr>
          <w:p w14:paraId="7E8EE7CD" w14:textId="77777777" w:rsidR="00544D9F" w:rsidRPr="00FD350A" w:rsidRDefault="00544D9F" w:rsidP="002C6BDF">
            <w:pPr>
              <w:spacing w:after="0"/>
              <w:jc w:val="right"/>
              <w:rPr>
                <w:rFonts w:cs="Arial"/>
                <w:sz w:val="20"/>
                <w:szCs w:val="20"/>
              </w:rPr>
            </w:pPr>
            <w:r w:rsidRPr="00FD350A">
              <w:rPr>
                <w:rFonts w:cs="Arial"/>
                <w:sz w:val="20"/>
                <w:szCs w:val="20"/>
              </w:rPr>
              <w:t>101</w:t>
            </w:r>
          </w:p>
        </w:tc>
        <w:tc>
          <w:tcPr>
            <w:tcW w:w="1041" w:type="dxa"/>
          </w:tcPr>
          <w:p w14:paraId="4B5FA0E7" w14:textId="77777777" w:rsidR="00544D9F" w:rsidRPr="00FD350A" w:rsidRDefault="00544D9F" w:rsidP="002C6BDF">
            <w:pPr>
              <w:spacing w:after="0"/>
              <w:jc w:val="right"/>
              <w:rPr>
                <w:rFonts w:cs="Arial"/>
                <w:sz w:val="20"/>
                <w:szCs w:val="20"/>
              </w:rPr>
            </w:pPr>
            <w:r w:rsidRPr="00FD350A">
              <w:rPr>
                <w:rFonts w:cs="Arial"/>
                <w:sz w:val="20"/>
                <w:szCs w:val="20"/>
              </w:rPr>
              <w:t>0.6%</w:t>
            </w:r>
          </w:p>
        </w:tc>
        <w:tc>
          <w:tcPr>
            <w:tcW w:w="1033" w:type="dxa"/>
          </w:tcPr>
          <w:p w14:paraId="2EAC9A75" w14:textId="77777777" w:rsidR="00544D9F" w:rsidRPr="00FD350A" w:rsidRDefault="00544D9F" w:rsidP="002C6BDF">
            <w:pPr>
              <w:spacing w:after="0"/>
              <w:jc w:val="right"/>
              <w:rPr>
                <w:rFonts w:cs="Arial"/>
                <w:sz w:val="20"/>
                <w:szCs w:val="20"/>
              </w:rPr>
            </w:pPr>
            <w:r w:rsidRPr="00FD350A">
              <w:rPr>
                <w:rFonts w:cs="Arial"/>
                <w:sz w:val="20"/>
                <w:szCs w:val="20"/>
              </w:rPr>
              <w:t>7</w:t>
            </w:r>
            <w:r w:rsidR="00A6263C">
              <w:rPr>
                <w:rFonts w:cs="Arial"/>
                <w:sz w:val="20"/>
                <w:szCs w:val="20"/>
              </w:rPr>
              <w:t>,</w:t>
            </w:r>
            <w:r w:rsidRPr="00FD350A">
              <w:rPr>
                <w:rFonts w:cs="Arial"/>
                <w:sz w:val="20"/>
                <w:szCs w:val="20"/>
              </w:rPr>
              <w:t>714</w:t>
            </w:r>
          </w:p>
        </w:tc>
        <w:tc>
          <w:tcPr>
            <w:tcW w:w="1034" w:type="dxa"/>
          </w:tcPr>
          <w:p w14:paraId="2EAE3A7E" w14:textId="77777777" w:rsidR="00544D9F" w:rsidRPr="00FD350A" w:rsidRDefault="00544D9F" w:rsidP="002C6BDF">
            <w:pPr>
              <w:spacing w:after="0"/>
              <w:jc w:val="right"/>
              <w:rPr>
                <w:rFonts w:cs="Arial"/>
                <w:sz w:val="20"/>
                <w:szCs w:val="20"/>
              </w:rPr>
            </w:pPr>
            <w:r w:rsidRPr="00FD350A">
              <w:rPr>
                <w:rFonts w:cs="Arial"/>
                <w:sz w:val="20"/>
                <w:szCs w:val="20"/>
              </w:rPr>
              <w:t>42.8%</w:t>
            </w:r>
          </w:p>
        </w:tc>
        <w:tc>
          <w:tcPr>
            <w:tcW w:w="1062" w:type="dxa"/>
          </w:tcPr>
          <w:p w14:paraId="6D06D241" w14:textId="77777777" w:rsidR="00544D9F" w:rsidRPr="00FD350A" w:rsidRDefault="00544D9F" w:rsidP="002C6BDF">
            <w:pPr>
              <w:spacing w:after="0"/>
              <w:jc w:val="right"/>
              <w:rPr>
                <w:rFonts w:cs="Arial"/>
                <w:sz w:val="20"/>
                <w:szCs w:val="20"/>
              </w:rPr>
            </w:pPr>
            <w:r w:rsidRPr="00FD350A">
              <w:rPr>
                <w:rFonts w:cs="Arial"/>
                <w:sz w:val="20"/>
                <w:szCs w:val="20"/>
              </w:rPr>
              <w:t>18</w:t>
            </w:r>
            <w:r w:rsidR="00A6263C">
              <w:rPr>
                <w:rFonts w:cs="Arial"/>
                <w:sz w:val="20"/>
                <w:szCs w:val="20"/>
              </w:rPr>
              <w:t>,</w:t>
            </w:r>
            <w:r w:rsidRPr="00FD350A">
              <w:rPr>
                <w:rFonts w:cs="Arial"/>
                <w:sz w:val="20"/>
                <w:szCs w:val="20"/>
              </w:rPr>
              <w:t>026</w:t>
            </w:r>
          </w:p>
        </w:tc>
      </w:tr>
      <w:tr w:rsidR="00544D9F" w:rsidRPr="00FD350A" w14:paraId="5B8D85D0" w14:textId="77777777">
        <w:tc>
          <w:tcPr>
            <w:tcW w:w="1333" w:type="dxa"/>
          </w:tcPr>
          <w:p w14:paraId="24298B5E" w14:textId="77777777" w:rsidR="00544D9F" w:rsidRPr="00670292" w:rsidRDefault="00544D9F" w:rsidP="00670292">
            <w:pPr>
              <w:pStyle w:val="TableRowHead"/>
              <w:rPr>
                <w:sz w:val="20"/>
                <w:szCs w:val="20"/>
              </w:rPr>
            </w:pPr>
            <w:r w:rsidRPr="00670292">
              <w:rPr>
                <w:sz w:val="20"/>
                <w:szCs w:val="20"/>
              </w:rPr>
              <w:t>Total</w:t>
            </w:r>
          </w:p>
        </w:tc>
        <w:tc>
          <w:tcPr>
            <w:tcW w:w="928" w:type="dxa"/>
          </w:tcPr>
          <w:p w14:paraId="68D4543C" w14:textId="77777777" w:rsidR="00544D9F" w:rsidRPr="00FD350A" w:rsidRDefault="00544D9F" w:rsidP="002C6BDF">
            <w:pPr>
              <w:spacing w:after="0"/>
              <w:jc w:val="right"/>
              <w:rPr>
                <w:rFonts w:cs="Arial"/>
                <w:sz w:val="20"/>
                <w:szCs w:val="20"/>
              </w:rPr>
            </w:pPr>
            <w:r w:rsidRPr="00FD350A">
              <w:rPr>
                <w:rFonts w:cs="Arial"/>
                <w:sz w:val="20"/>
                <w:szCs w:val="20"/>
              </w:rPr>
              <w:t>12,161</w:t>
            </w:r>
          </w:p>
        </w:tc>
        <w:tc>
          <w:tcPr>
            <w:tcW w:w="1050" w:type="dxa"/>
          </w:tcPr>
          <w:p w14:paraId="34B07FC1" w14:textId="77777777" w:rsidR="00544D9F" w:rsidRPr="00FD350A" w:rsidRDefault="00544D9F" w:rsidP="002C6BDF">
            <w:pPr>
              <w:spacing w:after="0"/>
              <w:jc w:val="right"/>
              <w:rPr>
                <w:rFonts w:cs="Arial"/>
                <w:sz w:val="20"/>
                <w:szCs w:val="20"/>
              </w:rPr>
            </w:pPr>
            <w:r w:rsidRPr="00FD350A">
              <w:rPr>
                <w:rFonts w:cs="Arial"/>
                <w:sz w:val="20"/>
                <w:szCs w:val="20"/>
              </w:rPr>
              <w:t>43.9%</w:t>
            </w:r>
          </w:p>
        </w:tc>
        <w:tc>
          <w:tcPr>
            <w:tcW w:w="1041" w:type="dxa"/>
          </w:tcPr>
          <w:p w14:paraId="7221CF8D" w14:textId="77777777" w:rsidR="00544D9F" w:rsidRPr="00FD350A" w:rsidRDefault="00544D9F" w:rsidP="002C6BDF">
            <w:pPr>
              <w:spacing w:after="0"/>
              <w:jc w:val="right"/>
              <w:rPr>
                <w:rFonts w:cs="Arial"/>
                <w:sz w:val="20"/>
                <w:szCs w:val="20"/>
              </w:rPr>
            </w:pPr>
            <w:r w:rsidRPr="00FD350A">
              <w:rPr>
                <w:rFonts w:cs="Arial"/>
                <w:sz w:val="20"/>
                <w:szCs w:val="20"/>
              </w:rPr>
              <w:t>5</w:t>
            </w:r>
            <w:r w:rsidR="00A6263C">
              <w:rPr>
                <w:rFonts w:cs="Arial"/>
                <w:sz w:val="20"/>
                <w:szCs w:val="20"/>
              </w:rPr>
              <w:t>,</w:t>
            </w:r>
            <w:r w:rsidRPr="00FD350A">
              <w:rPr>
                <w:rFonts w:cs="Arial"/>
                <w:sz w:val="20"/>
                <w:szCs w:val="20"/>
              </w:rPr>
              <w:t>964</w:t>
            </w:r>
          </w:p>
        </w:tc>
        <w:tc>
          <w:tcPr>
            <w:tcW w:w="1041" w:type="dxa"/>
          </w:tcPr>
          <w:p w14:paraId="16243628" w14:textId="77777777" w:rsidR="00544D9F" w:rsidRPr="00FD350A" w:rsidRDefault="00544D9F" w:rsidP="002C6BDF">
            <w:pPr>
              <w:spacing w:after="0"/>
              <w:jc w:val="right"/>
              <w:rPr>
                <w:rFonts w:cs="Arial"/>
                <w:sz w:val="20"/>
                <w:szCs w:val="20"/>
              </w:rPr>
            </w:pPr>
            <w:r w:rsidRPr="00FD350A">
              <w:rPr>
                <w:rFonts w:cs="Arial"/>
                <w:sz w:val="20"/>
                <w:szCs w:val="20"/>
              </w:rPr>
              <w:t>21.5%</w:t>
            </w:r>
          </w:p>
        </w:tc>
        <w:tc>
          <w:tcPr>
            <w:tcW w:w="1033" w:type="dxa"/>
          </w:tcPr>
          <w:p w14:paraId="063E5F99" w14:textId="77777777" w:rsidR="00544D9F" w:rsidRPr="00FD350A" w:rsidRDefault="00544D9F" w:rsidP="002C6BDF">
            <w:pPr>
              <w:spacing w:after="0"/>
              <w:jc w:val="right"/>
              <w:rPr>
                <w:rFonts w:cs="Arial"/>
                <w:sz w:val="20"/>
                <w:szCs w:val="20"/>
              </w:rPr>
            </w:pPr>
            <w:r w:rsidRPr="00FD350A">
              <w:rPr>
                <w:rFonts w:cs="Arial"/>
                <w:sz w:val="20"/>
                <w:szCs w:val="20"/>
              </w:rPr>
              <w:t>9,592</w:t>
            </w:r>
          </w:p>
        </w:tc>
        <w:tc>
          <w:tcPr>
            <w:tcW w:w="1034" w:type="dxa"/>
          </w:tcPr>
          <w:p w14:paraId="21E61380" w14:textId="77777777" w:rsidR="00544D9F" w:rsidRPr="00FD350A" w:rsidRDefault="00544D9F" w:rsidP="002C6BDF">
            <w:pPr>
              <w:spacing w:after="0"/>
              <w:jc w:val="right"/>
              <w:rPr>
                <w:rFonts w:cs="Arial"/>
                <w:sz w:val="20"/>
                <w:szCs w:val="20"/>
              </w:rPr>
            </w:pPr>
            <w:r w:rsidRPr="00FD350A">
              <w:rPr>
                <w:rFonts w:cs="Arial"/>
                <w:sz w:val="20"/>
                <w:szCs w:val="20"/>
              </w:rPr>
              <w:t>34.6%</w:t>
            </w:r>
          </w:p>
        </w:tc>
        <w:tc>
          <w:tcPr>
            <w:tcW w:w="1062" w:type="dxa"/>
          </w:tcPr>
          <w:p w14:paraId="1286E1B5" w14:textId="77777777" w:rsidR="00544D9F" w:rsidRPr="00FD350A" w:rsidRDefault="00544D9F" w:rsidP="002C6BDF">
            <w:pPr>
              <w:spacing w:after="0"/>
              <w:jc w:val="right"/>
              <w:rPr>
                <w:rFonts w:cs="Arial"/>
                <w:sz w:val="20"/>
                <w:szCs w:val="20"/>
              </w:rPr>
            </w:pPr>
            <w:r w:rsidRPr="00FD350A">
              <w:rPr>
                <w:rFonts w:cs="Arial"/>
                <w:sz w:val="20"/>
                <w:szCs w:val="20"/>
              </w:rPr>
              <w:t>27,717</w:t>
            </w:r>
          </w:p>
        </w:tc>
      </w:tr>
    </w:tbl>
    <w:p w14:paraId="5F536B15" w14:textId="77777777" w:rsidR="00F3124A" w:rsidRDefault="00F3124A" w:rsidP="00F3124A"/>
    <w:p w14:paraId="1E3FDB66" w14:textId="77777777" w:rsidR="00544D9F" w:rsidRPr="00193877" w:rsidRDefault="00BA1D63" w:rsidP="00C13592">
      <w:pPr>
        <w:pStyle w:val="TableTitle"/>
        <w:spacing w:line="240" w:lineRule="auto"/>
      </w:pPr>
      <w:r>
        <w:t>Table 7</w:t>
      </w:r>
      <w:r w:rsidR="00544D9F" w:rsidRPr="00193877">
        <w:t>: Non-Residential service users analysed by ag</w:t>
      </w:r>
      <w:r w:rsidR="0077370B">
        <w:t>e</w:t>
      </w:r>
      <w:r w:rsidR="0077370B">
        <w:rPr>
          <w:rStyle w:val="FootnoteReference"/>
          <w:rFonts w:cs="Arial"/>
          <w:b w:val="0"/>
          <w:sz w:val="20"/>
          <w:szCs w:val="20"/>
        </w:rPr>
        <w:footnoteReference w:id="27"/>
      </w:r>
    </w:p>
    <w:tbl>
      <w:tblPr>
        <w:tblW w:w="0" w:type="auto"/>
        <w:tblLook w:val="01E0" w:firstRow="1" w:lastRow="1" w:firstColumn="1" w:lastColumn="1" w:noHBand="0" w:noVBand="0"/>
      </w:tblPr>
      <w:tblGrid>
        <w:gridCol w:w="1856"/>
        <w:gridCol w:w="890"/>
        <w:gridCol w:w="1053"/>
        <w:gridCol w:w="1217"/>
        <w:gridCol w:w="1053"/>
        <w:gridCol w:w="1385"/>
        <w:gridCol w:w="852"/>
      </w:tblGrid>
      <w:tr w:rsidR="00544D9F" w:rsidRPr="002C6BDF" w14:paraId="4038B88A" w14:textId="77777777" w:rsidTr="009A7C12">
        <w:trPr>
          <w:cantSplit/>
        </w:trPr>
        <w:tc>
          <w:tcPr>
            <w:tcW w:w="1908" w:type="dxa"/>
            <w:vMerge w:val="restart"/>
          </w:tcPr>
          <w:p w14:paraId="12D09892" w14:textId="77777777" w:rsidR="00544D9F" w:rsidRPr="00193877" w:rsidRDefault="00544D9F" w:rsidP="00BF6E87">
            <w:pPr>
              <w:spacing w:after="0"/>
              <w:rPr>
                <w:rFonts w:cs="Arial"/>
                <w:sz w:val="20"/>
                <w:szCs w:val="20"/>
              </w:rPr>
            </w:pPr>
          </w:p>
        </w:tc>
        <w:tc>
          <w:tcPr>
            <w:tcW w:w="5760" w:type="dxa"/>
            <w:gridSpan w:val="5"/>
          </w:tcPr>
          <w:p w14:paraId="6779DB93" w14:textId="77777777" w:rsidR="00544D9F" w:rsidRPr="00670292" w:rsidRDefault="00544D9F" w:rsidP="00670292">
            <w:pPr>
              <w:pStyle w:val="TableHead"/>
              <w:rPr>
                <w:sz w:val="20"/>
                <w:szCs w:val="20"/>
              </w:rPr>
            </w:pPr>
            <w:r w:rsidRPr="00670292">
              <w:rPr>
                <w:sz w:val="20"/>
                <w:szCs w:val="20"/>
              </w:rPr>
              <w:t>Age Group</w:t>
            </w:r>
          </w:p>
        </w:tc>
        <w:tc>
          <w:tcPr>
            <w:tcW w:w="854" w:type="dxa"/>
            <w:vMerge w:val="restart"/>
          </w:tcPr>
          <w:p w14:paraId="48E97BA1" w14:textId="77777777" w:rsidR="00544D9F" w:rsidRPr="00670292" w:rsidRDefault="00544D9F" w:rsidP="00670292">
            <w:pPr>
              <w:pStyle w:val="TableHead"/>
              <w:rPr>
                <w:sz w:val="20"/>
                <w:szCs w:val="20"/>
              </w:rPr>
            </w:pPr>
            <w:r w:rsidRPr="00670292">
              <w:rPr>
                <w:sz w:val="20"/>
                <w:szCs w:val="20"/>
              </w:rPr>
              <w:t>Total</w:t>
            </w:r>
          </w:p>
        </w:tc>
      </w:tr>
      <w:tr w:rsidR="00544D9F" w:rsidRPr="002C6BDF" w14:paraId="743AD9A9" w14:textId="77777777" w:rsidTr="009A7C12">
        <w:trPr>
          <w:cantSplit/>
        </w:trPr>
        <w:tc>
          <w:tcPr>
            <w:tcW w:w="1908" w:type="dxa"/>
            <w:vMerge/>
          </w:tcPr>
          <w:p w14:paraId="5B0C52EF" w14:textId="77777777" w:rsidR="00544D9F" w:rsidRPr="00193877" w:rsidRDefault="00544D9F" w:rsidP="00BF6E87">
            <w:pPr>
              <w:spacing w:after="0"/>
              <w:rPr>
                <w:rFonts w:cs="Arial"/>
                <w:sz w:val="20"/>
                <w:szCs w:val="20"/>
              </w:rPr>
            </w:pPr>
          </w:p>
        </w:tc>
        <w:tc>
          <w:tcPr>
            <w:tcW w:w="900" w:type="dxa"/>
          </w:tcPr>
          <w:p w14:paraId="02D67BA3" w14:textId="77777777" w:rsidR="00544D9F" w:rsidRPr="00670292" w:rsidRDefault="00544D9F" w:rsidP="00670292">
            <w:pPr>
              <w:pStyle w:val="TableHead"/>
              <w:rPr>
                <w:sz w:val="20"/>
                <w:szCs w:val="20"/>
              </w:rPr>
            </w:pPr>
            <w:r w:rsidRPr="00670292">
              <w:rPr>
                <w:sz w:val="20"/>
                <w:szCs w:val="20"/>
              </w:rPr>
              <w:t>14 and under</w:t>
            </w:r>
          </w:p>
        </w:tc>
        <w:tc>
          <w:tcPr>
            <w:tcW w:w="1080" w:type="dxa"/>
          </w:tcPr>
          <w:p w14:paraId="7951C366" w14:textId="77777777" w:rsidR="00544D9F" w:rsidRPr="00670292" w:rsidRDefault="00544D9F" w:rsidP="00670292">
            <w:pPr>
              <w:pStyle w:val="TableHead"/>
              <w:rPr>
                <w:sz w:val="20"/>
                <w:szCs w:val="20"/>
              </w:rPr>
            </w:pPr>
            <w:r w:rsidRPr="00670292">
              <w:rPr>
                <w:sz w:val="20"/>
                <w:szCs w:val="20"/>
              </w:rPr>
              <w:t xml:space="preserve">15 to 44 </w:t>
            </w:r>
          </w:p>
        </w:tc>
        <w:tc>
          <w:tcPr>
            <w:tcW w:w="1260" w:type="dxa"/>
          </w:tcPr>
          <w:p w14:paraId="50C2202F" w14:textId="77777777" w:rsidR="00544D9F" w:rsidRPr="00670292" w:rsidRDefault="00544D9F" w:rsidP="00670292">
            <w:pPr>
              <w:pStyle w:val="TableHead"/>
              <w:rPr>
                <w:sz w:val="20"/>
                <w:szCs w:val="20"/>
              </w:rPr>
            </w:pPr>
            <w:r w:rsidRPr="00670292">
              <w:rPr>
                <w:sz w:val="20"/>
                <w:szCs w:val="20"/>
              </w:rPr>
              <w:t>45 to 64</w:t>
            </w:r>
          </w:p>
        </w:tc>
        <w:tc>
          <w:tcPr>
            <w:tcW w:w="1080" w:type="dxa"/>
          </w:tcPr>
          <w:p w14:paraId="42598CDB" w14:textId="77777777" w:rsidR="00544D9F" w:rsidRPr="00670292" w:rsidRDefault="00544D9F" w:rsidP="00670292">
            <w:pPr>
              <w:pStyle w:val="TableHead"/>
              <w:rPr>
                <w:sz w:val="20"/>
                <w:szCs w:val="20"/>
              </w:rPr>
            </w:pPr>
            <w:r w:rsidRPr="00670292">
              <w:rPr>
                <w:sz w:val="20"/>
                <w:szCs w:val="20"/>
              </w:rPr>
              <w:t>65 to 74</w:t>
            </w:r>
          </w:p>
        </w:tc>
        <w:tc>
          <w:tcPr>
            <w:tcW w:w="1440" w:type="dxa"/>
          </w:tcPr>
          <w:p w14:paraId="007D88FA" w14:textId="77777777" w:rsidR="00544D9F" w:rsidRPr="00670292" w:rsidRDefault="00544D9F" w:rsidP="00670292">
            <w:pPr>
              <w:pStyle w:val="TableHead"/>
              <w:rPr>
                <w:sz w:val="20"/>
                <w:szCs w:val="20"/>
              </w:rPr>
            </w:pPr>
            <w:r w:rsidRPr="00670292">
              <w:rPr>
                <w:sz w:val="20"/>
                <w:szCs w:val="20"/>
              </w:rPr>
              <w:t>75 and older</w:t>
            </w:r>
          </w:p>
        </w:tc>
        <w:tc>
          <w:tcPr>
            <w:tcW w:w="854" w:type="dxa"/>
            <w:vMerge/>
          </w:tcPr>
          <w:p w14:paraId="6AFC8302" w14:textId="77777777" w:rsidR="00544D9F" w:rsidRPr="002C6BDF" w:rsidRDefault="00544D9F" w:rsidP="00BF6E87">
            <w:pPr>
              <w:spacing w:after="0"/>
              <w:rPr>
                <w:rFonts w:cs="Arial"/>
                <w:sz w:val="20"/>
                <w:szCs w:val="20"/>
              </w:rPr>
            </w:pPr>
          </w:p>
        </w:tc>
      </w:tr>
      <w:tr w:rsidR="00544D9F" w:rsidRPr="002C6BDF" w14:paraId="5FEEB91D" w14:textId="77777777" w:rsidTr="009A7C12">
        <w:trPr>
          <w:cantSplit/>
        </w:trPr>
        <w:tc>
          <w:tcPr>
            <w:tcW w:w="1908" w:type="dxa"/>
          </w:tcPr>
          <w:p w14:paraId="10BD3065" w14:textId="77777777" w:rsidR="00544D9F" w:rsidRPr="00670292" w:rsidRDefault="00544D9F" w:rsidP="00670292">
            <w:pPr>
              <w:pStyle w:val="TableRowHead"/>
              <w:rPr>
                <w:sz w:val="20"/>
                <w:szCs w:val="20"/>
              </w:rPr>
            </w:pPr>
            <w:r w:rsidRPr="00670292">
              <w:rPr>
                <w:sz w:val="20"/>
                <w:szCs w:val="20"/>
              </w:rPr>
              <w:t>Home Support</w:t>
            </w:r>
          </w:p>
        </w:tc>
        <w:tc>
          <w:tcPr>
            <w:tcW w:w="900" w:type="dxa"/>
          </w:tcPr>
          <w:p w14:paraId="44F639E1" w14:textId="77777777" w:rsidR="00544D9F" w:rsidRPr="002C6BDF" w:rsidRDefault="00544D9F" w:rsidP="00BF6E87">
            <w:pPr>
              <w:spacing w:after="0"/>
              <w:jc w:val="right"/>
              <w:rPr>
                <w:rFonts w:cs="Arial"/>
                <w:sz w:val="20"/>
                <w:szCs w:val="20"/>
              </w:rPr>
            </w:pPr>
            <w:r w:rsidRPr="002C6BDF">
              <w:rPr>
                <w:rFonts w:cs="Arial"/>
                <w:sz w:val="20"/>
                <w:szCs w:val="20"/>
              </w:rPr>
              <w:t>30.2%</w:t>
            </w:r>
          </w:p>
        </w:tc>
        <w:tc>
          <w:tcPr>
            <w:tcW w:w="1080" w:type="dxa"/>
          </w:tcPr>
          <w:p w14:paraId="35174681" w14:textId="77777777" w:rsidR="00544D9F" w:rsidRPr="002C6BDF" w:rsidRDefault="00544D9F" w:rsidP="00BF6E87">
            <w:pPr>
              <w:spacing w:after="0"/>
              <w:jc w:val="right"/>
              <w:rPr>
                <w:rFonts w:cs="Arial"/>
                <w:sz w:val="20"/>
                <w:szCs w:val="20"/>
              </w:rPr>
            </w:pPr>
            <w:r w:rsidRPr="002C6BDF">
              <w:rPr>
                <w:rFonts w:cs="Arial"/>
                <w:sz w:val="20"/>
                <w:szCs w:val="20"/>
              </w:rPr>
              <w:t>42.9%</w:t>
            </w:r>
          </w:p>
        </w:tc>
        <w:tc>
          <w:tcPr>
            <w:tcW w:w="1260" w:type="dxa"/>
          </w:tcPr>
          <w:p w14:paraId="58F88D91" w14:textId="77777777" w:rsidR="00544D9F" w:rsidRPr="002C6BDF" w:rsidRDefault="00544D9F" w:rsidP="00BF6E87">
            <w:pPr>
              <w:spacing w:after="0"/>
              <w:jc w:val="right"/>
              <w:rPr>
                <w:rFonts w:cs="Arial"/>
                <w:sz w:val="20"/>
                <w:szCs w:val="20"/>
              </w:rPr>
            </w:pPr>
            <w:r w:rsidRPr="002C6BDF">
              <w:rPr>
                <w:rFonts w:cs="Arial"/>
                <w:sz w:val="20"/>
                <w:szCs w:val="20"/>
              </w:rPr>
              <w:t>64.1%</w:t>
            </w:r>
          </w:p>
        </w:tc>
        <w:tc>
          <w:tcPr>
            <w:tcW w:w="1080" w:type="dxa"/>
          </w:tcPr>
          <w:p w14:paraId="525BD12F" w14:textId="77777777" w:rsidR="00544D9F" w:rsidRPr="002C6BDF" w:rsidRDefault="00544D9F" w:rsidP="00BF6E87">
            <w:pPr>
              <w:spacing w:after="0"/>
              <w:jc w:val="right"/>
              <w:rPr>
                <w:rFonts w:cs="Arial"/>
                <w:sz w:val="20"/>
                <w:szCs w:val="20"/>
              </w:rPr>
            </w:pPr>
            <w:r w:rsidRPr="002C6BDF">
              <w:rPr>
                <w:rFonts w:cs="Arial"/>
                <w:sz w:val="20"/>
                <w:szCs w:val="20"/>
              </w:rPr>
              <w:t>85.0%</w:t>
            </w:r>
          </w:p>
        </w:tc>
        <w:tc>
          <w:tcPr>
            <w:tcW w:w="1440" w:type="dxa"/>
          </w:tcPr>
          <w:p w14:paraId="2774EC4A" w14:textId="77777777" w:rsidR="00544D9F" w:rsidRPr="002C6BDF" w:rsidRDefault="00544D9F" w:rsidP="00BF6E87">
            <w:pPr>
              <w:spacing w:after="0"/>
              <w:jc w:val="right"/>
              <w:rPr>
                <w:rFonts w:cs="Arial"/>
                <w:sz w:val="20"/>
                <w:szCs w:val="20"/>
              </w:rPr>
            </w:pPr>
            <w:r w:rsidRPr="002C6BDF">
              <w:rPr>
                <w:rFonts w:cs="Arial"/>
                <w:sz w:val="20"/>
                <w:szCs w:val="20"/>
              </w:rPr>
              <w:t>92.5%</w:t>
            </w:r>
          </w:p>
        </w:tc>
        <w:tc>
          <w:tcPr>
            <w:tcW w:w="854" w:type="dxa"/>
          </w:tcPr>
          <w:p w14:paraId="4B99A228" w14:textId="77777777" w:rsidR="00544D9F" w:rsidRPr="002C6BDF" w:rsidRDefault="00544D9F" w:rsidP="00BF6E87">
            <w:pPr>
              <w:spacing w:after="0"/>
              <w:jc w:val="right"/>
              <w:rPr>
                <w:rFonts w:cs="Arial"/>
                <w:sz w:val="20"/>
                <w:szCs w:val="20"/>
              </w:rPr>
            </w:pPr>
            <w:r w:rsidRPr="002C6BDF">
              <w:rPr>
                <w:rFonts w:cs="Arial"/>
                <w:sz w:val="20"/>
                <w:szCs w:val="20"/>
              </w:rPr>
              <w:t>79.9%</w:t>
            </w:r>
          </w:p>
        </w:tc>
      </w:tr>
      <w:tr w:rsidR="00544D9F" w:rsidRPr="002C6BDF" w14:paraId="3E58E3FA" w14:textId="77777777" w:rsidTr="009A7C12">
        <w:trPr>
          <w:cantSplit/>
        </w:trPr>
        <w:tc>
          <w:tcPr>
            <w:tcW w:w="1908" w:type="dxa"/>
          </w:tcPr>
          <w:p w14:paraId="64406C8B" w14:textId="77777777" w:rsidR="00544D9F" w:rsidRPr="00670292" w:rsidRDefault="00544D9F" w:rsidP="00670292">
            <w:pPr>
              <w:pStyle w:val="TableRowHead"/>
              <w:rPr>
                <w:sz w:val="20"/>
                <w:szCs w:val="20"/>
              </w:rPr>
            </w:pPr>
            <w:r w:rsidRPr="00670292">
              <w:rPr>
                <w:sz w:val="20"/>
                <w:szCs w:val="20"/>
              </w:rPr>
              <w:t>Carer Support</w:t>
            </w:r>
          </w:p>
        </w:tc>
        <w:tc>
          <w:tcPr>
            <w:tcW w:w="900" w:type="dxa"/>
          </w:tcPr>
          <w:p w14:paraId="1690F6A0" w14:textId="77777777" w:rsidR="00544D9F" w:rsidRPr="002C6BDF" w:rsidRDefault="00544D9F" w:rsidP="00BF6E87">
            <w:pPr>
              <w:spacing w:after="0"/>
              <w:jc w:val="right"/>
              <w:rPr>
                <w:rFonts w:cs="Arial"/>
                <w:sz w:val="20"/>
                <w:szCs w:val="20"/>
              </w:rPr>
            </w:pPr>
            <w:r w:rsidRPr="002C6BDF">
              <w:rPr>
                <w:rFonts w:cs="Arial"/>
                <w:sz w:val="20"/>
                <w:szCs w:val="20"/>
              </w:rPr>
              <w:t>66.0%</w:t>
            </w:r>
          </w:p>
        </w:tc>
        <w:tc>
          <w:tcPr>
            <w:tcW w:w="1080" w:type="dxa"/>
          </w:tcPr>
          <w:p w14:paraId="525221B4" w14:textId="77777777" w:rsidR="00544D9F" w:rsidRPr="002C6BDF" w:rsidRDefault="00544D9F" w:rsidP="00BF6E87">
            <w:pPr>
              <w:spacing w:after="0"/>
              <w:jc w:val="right"/>
              <w:rPr>
                <w:rFonts w:cs="Arial"/>
                <w:sz w:val="20"/>
                <w:szCs w:val="20"/>
              </w:rPr>
            </w:pPr>
            <w:r w:rsidRPr="002C6BDF">
              <w:rPr>
                <w:rFonts w:cs="Arial"/>
                <w:sz w:val="20"/>
                <w:szCs w:val="20"/>
              </w:rPr>
              <w:t>41.9%</w:t>
            </w:r>
          </w:p>
        </w:tc>
        <w:tc>
          <w:tcPr>
            <w:tcW w:w="1260" w:type="dxa"/>
          </w:tcPr>
          <w:p w14:paraId="33E3DE78" w14:textId="77777777" w:rsidR="00544D9F" w:rsidRPr="002C6BDF" w:rsidRDefault="00544D9F" w:rsidP="00BF6E87">
            <w:pPr>
              <w:spacing w:after="0"/>
              <w:jc w:val="right"/>
              <w:rPr>
                <w:rFonts w:cs="Arial"/>
                <w:sz w:val="20"/>
                <w:szCs w:val="20"/>
              </w:rPr>
            </w:pPr>
            <w:r w:rsidRPr="002C6BDF">
              <w:rPr>
                <w:rFonts w:cs="Arial"/>
                <w:sz w:val="20"/>
                <w:szCs w:val="20"/>
              </w:rPr>
              <w:t>27.3%</w:t>
            </w:r>
          </w:p>
        </w:tc>
        <w:tc>
          <w:tcPr>
            <w:tcW w:w="1080" w:type="dxa"/>
          </w:tcPr>
          <w:p w14:paraId="47DA6089" w14:textId="77777777" w:rsidR="00544D9F" w:rsidRPr="002C6BDF" w:rsidRDefault="00544D9F" w:rsidP="00BF6E87">
            <w:pPr>
              <w:spacing w:after="0"/>
              <w:jc w:val="right"/>
              <w:rPr>
                <w:rFonts w:cs="Arial"/>
                <w:sz w:val="20"/>
                <w:szCs w:val="20"/>
              </w:rPr>
            </w:pPr>
            <w:r w:rsidRPr="002C6BDF">
              <w:rPr>
                <w:rFonts w:cs="Arial"/>
                <w:sz w:val="20"/>
                <w:szCs w:val="20"/>
              </w:rPr>
              <w:t>12.0%</w:t>
            </w:r>
          </w:p>
        </w:tc>
        <w:tc>
          <w:tcPr>
            <w:tcW w:w="1440" w:type="dxa"/>
          </w:tcPr>
          <w:p w14:paraId="1FB6316D" w14:textId="77777777" w:rsidR="00544D9F" w:rsidRPr="002C6BDF" w:rsidRDefault="00544D9F" w:rsidP="00BF6E87">
            <w:pPr>
              <w:spacing w:after="0"/>
              <w:jc w:val="right"/>
              <w:rPr>
                <w:rFonts w:cs="Arial"/>
                <w:sz w:val="20"/>
                <w:szCs w:val="20"/>
              </w:rPr>
            </w:pPr>
            <w:r w:rsidRPr="002C6BDF">
              <w:rPr>
                <w:rFonts w:cs="Arial"/>
                <w:sz w:val="20"/>
                <w:szCs w:val="20"/>
              </w:rPr>
              <w:t>5.7%</w:t>
            </w:r>
          </w:p>
        </w:tc>
        <w:tc>
          <w:tcPr>
            <w:tcW w:w="854" w:type="dxa"/>
          </w:tcPr>
          <w:p w14:paraId="2B92EB48" w14:textId="77777777" w:rsidR="00544D9F" w:rsidRPr="002C6BDF" w:rsidRDefault="00544D9F" w:rsidP="00BF6E87">
            <w:pPr>
              <w:spacing w:after="0"/>
              <w:jc w:val="right"/>
              <w:rPr>
                <w:rFonts w:cs="Arial"/>
                <w:sz w:val="20"/>
                <w:szCs w:val="20"/>
              </w:rPr>
            </w:pPr>
            <w:r w:rsidRPr="002C6BDF">
              <w:rPr>
                <w:rFonts w:cs="Arial"/>
                <w:sz w:val="20"/>
                <w:szCs w:val="20"/>
              </w:rPr>
              <w:t>16.1%</w:t>
            </w:r>
          </w:p>
        </w:tc>
      </w:tr>
      <w:tr w:rsidR="00544D9F" w:rsidRPr="002C6BDF" w14:paraId="0C5E7167" w14:textId="77777777" w:rsidTr="009A7C12">
        <w:trPr>
          <w:cantSplit/>
          <w:trHeight w:val="109"/>
        </w:trPr>
        <w:tc>
          <w:tcPr>
            <w:tcW w:w="1908" w:type="dxa"/>
          </w:tcPr>
          <w:p w14:paraId="732EB7D9" w14:textId="77777777" w:rsidR="00544D9F" w:rsidRPr="00670292" w:rsidRDefault="00544D9F" w:rsidP="00670292">
            <w:pPr>
              <w:pStyle w:val="TableRowHead"/>
              <w:rPr>
                <w:sz w:val="20"/>
                <w:szCs w:val="20"/>
              </w:rPr>
            </w:pPr>
            <w:r w:rsidRPr="00670292">
              <w:rPr>
                <w:sz w:val="20"/>
                <w:szCs w:val="20"/>
              </w:rPr>
              <w:t>SIL</w:t>
            </w:r>
          </w:p>
        </w:tc>
        <w:tc>
          <w:tcPr>
            <w:tcW w:w="900" w:type="dxa"/>
          </w:tcPr>
          <w:p w14:paraId="624FEB5A" w14:textId="77777777" w:rsidR="00544D9F" w:rsidRPr="002C6BDF" w:rsidRDefault="00544D9F" w:rsidP="00BF6E87">
            <w:pPr>
              <w:spacing w:after="0"/>
              <w:jc w:val="right"/>
              <w:rPr>
                <w:rFonts w:cs="Arial"/>
                <w:sz w:val="20"/>
                <w:szCs w:val="20"/>
              </w:rPr>
            </w:pPr>
            <w:r w:rsidRPr="002C6BDF">
              <w:rPr>
                <w:rFonts w:cs="Arial"/>
                <w:sz w:val="20"/>
                <w:szCs w:val="20"/>
              </w:rPr>
              <w:t>0.1%</w:t>
            </w:r>
          </w:p>
        </w:tc>
        <w:tc>
          <w:tcPr>
            <w:tcW w:w="1080" w:type="dxa"/>
          </w:tcPr>
          <w:p w14:paraId="2F04CEB6" w14:textId="77777777" w:rsidR="00544D9F" w:rsidRPr="002C6BDF" w:rsidRDefault="00544D9F" w:rsidP="00BF6E87">
            <w:pPr>
              <w:spacing w:after="0"/>
              <w:jc w:val="right"/>
              <w:rPr>
                <w:rFonts w:cs="Arial"/>
                <w:sz w:val="20"/>
                <w:szCs w:val="20"/>
              </w:rPr>
            </w:pPr>
            <w:r w:rsidRPr="002C6BDF">
              <w:rPr>
                <w:rFonts w:cs="Arial"/>
                <w:sz w:val="20"/>
                <w:szCs w:val="20"/>
              </w:rPr>
              <w:t>7.6%</w:t>
            </w:r>
          </w:p>
        </w:tc>
        <w:tc>
          <w:tcPr>
            <w:tcW w:w="1260" w:type="dxa"/>
          </w:tcPr>
          <w:p w14:paraId="667AEEFC" w14:textId="77777777" w:rsidR="00544D9F" w:rsidRPr="002C6BDF" w:rsidRDefault="00544D9F" w:rsidP="00BF6E87">
            <w:pPr>
              <w:spacing w:after="0"/>
              <w:jc w:val="right"/>
              <w:rPr>
                <w:rFonts w:cs="Arial"/>
                <w:sz w:val="20"/>
                <w:szCs w:val="20"/>
              </w:rPr>
            </w:pPr>
            <w:r w:rsidRPr="002C6BDF">
              <w:rPr>
                <w:rFonts w:cs="Arial"/>
                <w:sz w:val="20"/>
                <w:szCs w:val="20"/>
              </w:rPr>
              <w:t>3.7%</w:t>
            </w:r>
          </w:p>
        </w:tc>
        <w:tc>
          <w:tcPr>
            <w:tcW w:w="1080" w:type="dxa"/>
          </w:tcPr>
          <w:p w14:paraId="152F35B5" w14:textId="77777777" w:rsidR="00544D9F" w:rsidRPr="002C6BDF" w:rsidRDefault="00544D9F" w:rsidP="00BF6E87">
            <w:pPr>
              <w:spacing w:after="0"/>
              <w:jc w:val="right"/>
              <w:rPr>
                <w:rFonts w:cs="Arial"/>
                <w:sz w:val="20"/>
                <w:szCs w:val="20"/>
              </w:rPr>
            </w:pPr>
            <w:r w:rsidRPr="002C6BDF">
              <w:rPr>
                <w:rFonts w:cs="Arial"/>
                <w:sz w:val="20"/>
                <w:szCs w:val="20"/>
              </w:rPr>
              <w:t>0.4%</w:t>
            </w:r>
          </w:p>
        </w:tc>
        <w:tc>
          <w:tcPr>
            <w:tcW w:w="1440" w:type="dxa"/>
          </w:tcPr>
          <w:p w14:paraId="4F2C1368" w14:textId="77777777" w:rsidR="00544D9F" w:rsidRPr="002C6BDF" w:rsidRDefault="00544D9F" w:rsidP="00BF6E87">
            <w:pPr>
              <w:spacing w:after="0"/>
              <w:jc w:val="right"/>
              <w:rPr>
                <w:rFonts w:cs="Arial"/>
                <w:sz w:val="20"/>
                <w:szCs w:val="20"/>
              </w:rPr>
            </w:pPr>
            <w:r w:rsidRPr="002C6BDF">
              <w:rPr>
                <w:rFonts w:cs="Arial"/>
                <w:sz w:val="20"/>
                <w:szCs w:val="20"/>
              </w:rPr>
              <w:t>0.2%</w:t>
            </w:r>
          </w:p>
        </w:tc>
        <w:tc>
          <w:tcPr>
            <w:tcW w:w="854" w:type="dxa"/>
          </w:tcPr>
          <w:p w14:paraId="68F14E87" w14:textId="77777777" w:rsidR="00544D9F" w:rsidRPr="002C6BDF" w:rsidRDefault="00544D9F" w:rsidP="00BF6E87">
            <w:pPr>
              <w:spacing w:after="0"/>
              <w:jc w:val="right"/>
              <w:rPr>
                <w:rFonts w:cs="Arial"/>
                <w:sz w:val="20"/>
                <w:szCs w:val="20"/>
              </w:rPr>
            </w:pPr>
            <w:r w:rsidRPr="002C6BDF">
              <w:rPr>
                <w:rFonts w:cs="Arial"/>
                <w:sz w:val="20"/>
                <w:szCs w:val="20"/>
              </w:rPr>
              <w:t>1.2%</w:t>
            </w:r>
          </w:p>
        </w:tc>
      </w:tr>
      <w:tr w:rsidR="00544D9F" w:rsidRPr="002C6BDF" w14:paraId="1C052EDD" w14:textId="77777777" w:rsidTr="009A7C12">
        <w:trPr>
          <w:cantSplit/>
        </w:trPr>
        <w:tc>
          <w:tcPr>
            <w:tcW w:w="1908" w:type="dxa"/>
          </w:tcPr>
          <w:p w14:paraId="1E314686" w14:textId="77777777" w:rsidR="00544D9F" w:rsidRPr="00670292" w:rsidRDefault="00544D9F" w:rsidP="00670292">
            <w:pPr>
              <w:pStyle w:val="TableRowHead"/>
              <w:rPr>
                <w:sz w:val="20"/>
                <w:szCs w:val="20"/>
              </w:rPr>
            </w:pPr>
            <w:r w:rsidRPr="00670292">
              <w:rPr>
                <w:sz w:val="20"/>
                <w:szCs w:val="20"/>
              </w:rPr>
              <w:t>Ageing in Place</w:t>
            </w:r>
          </w:p>
        </w:tc>
        <w:tc>
          <w:tcPr>
            <w:tcW w:w="900" w:type="dxa"/>
          </w:tcPr>
          <w:p w14:paraId="636B4ECE" w14:textId="77777777" w:rsidR="00544D9F" w:rsidRPr="002C6BDF" w:rsidRDefault="00544D9F" w:rsidP="00BF6E87">
            <w:pPr>
              <w:spacing w:after="0"/>
              <w:jc w:val="right"/>
              <w:rPr>
                <w:rFonts w:cs="Arial"/>
                <w:sz w:val="20"/>
                <w:szCs w:val="20"/>
              </w:rPr>
            </w:pPr>
            <w:r w:rsidRPr="002C6BDF">
              <w:rPr>
                <w:rFonts w:cs="Arial"/>
                <w:sz w:val="20"/>
                <w:szCs w:val="20"/>
              </w:rPr>
              <w:t>0.0%</w:t>
            </w:r>
          </w:p>
        </w:tc>
        <w:tc>
          <w:tcPr>
            <w:tcW w:w="1080" w:type="dxa"/>
          </w:tcPr>
          <w:p w14:paraId="26BB23A8" w14:textId="77777777" w:rsidR="00544D9F" w:rsidRPr="002C6BDF" w:rsidRDefault="00544D9F" w:rsidP="00BF6E87">
            <w:pPr>
              <w:spacing w:after="0"/>
              <w:jc w:val="right"/>
              <w:rPr>
                <w:rFonts w:cs="Arial"/>
                <w:sz w:val="20"/>
                <w:szCs w:val="20"/>
              </w:rPr>
            </w:pPr>
            <w:r w:rsidRPr="002C6BDF">
              <w:rPr>
                <w:rFonts w:cs="Arial"/>
                <w:sz w:val="20"/>
                <w:szCs w:val="20"/>
              </w:rPr>
              <w:t>0.0%</w:t>
            </w:r>
          </w:p>
        </w:tc>
        <w:tc>
          <w:tcPr>
            <w:tcW w:w="1260" w:type="dxa"/>
          </w:tcPr>
          <w:p w14:paraId="7453B04E" w14:textId="77777777" w:rsidR="00544D9F" w:rsidRPr="002C6BDF" w:rsidRDefault="00544D9F" w:rsidP="00BF6E87">
            <w:pPr>
              <w:spacing w:after="0"/>
              <w:jc w:val="right"/>
              <w:rPr>
                <w:rFonts w:cs="Arial"/>
                <w:sz w:val="20"/>
                <w:szCs w:val="20"/>
              </w:rPr>
            </w:pPr>
            <w:r w:rsidRPr="002C6BDF">
              <w:rPr>
                <w:rFonts w:cs="Arial"/>
                <w:sz w:val="20"/>
                <w:szCs w:val="20"/>
              </w:rPr>
              <w:t>0.0%</w:t>
            </w:r>
          </w:p>
        </w:tc>
        <w:tc>
          <w:tcPr>
            <w:tcW w:w="1080" w:type="dxa"/>
          </w:tcPr>
          <w:p w14:paraId="499F9D17" w14:textId="77777777" w:rsidR="00544D9F" w:rsidRPr="002C6BDF" w:rsidRDefault="00544D9F" w:rsidP="00BF6E87">
            <w:pPr>
              <w:spacing w:after="0"/>
              <w:jc w:val="right"/>
              <w:rPr>
                <w:rFonts w:cs="Arial"/>
                <w:sz w:val="20"/>
                <w:szCs w:val="20"/>
              </w:rPr>
            </w:pPr>
            <w:r w:rsidRPr="002C6BDF">
              <w:rPr>
                <w:rFonts w:cs="Arial"/>
                <w:sz w:val="20"/>
                <w:szCs w:val="20"/>
              </w:rPr>
              <w:t>0.1%</w:t>
            </w:r>
          </w:p>
        </w:tc>
        <w:tc>
          <w:tcPr>
            <w:tcW w:w="1440" w:type="dxa"/>
          </w:tcPr>
          <w:p w14:paraId="0B5A65D5" w14:textId="77777777" w:rsidR="00544D9F" w:rsidRPr="002C6BDF" w:rsidRDefault="00544D9F" w:rsidP="00BF6E87">
            <w:pPr>
              <w:spacing w:after="0"/>
              <w:jc w:val="right"/>
              <w:rPr>
                <w:rFonts w:cs="Arial"/>
                <w:sz w:val="20"/>
                <w:szCs w:val="20"/>
              </w:rPr>
            </w:pPr>
            <w:r w:rsidRPr="002C6BDF">
              <w:rPr>
                <w:rFonts w:cs="Arial"/>
                <w:sz w:val="20"/>
                <w:szCs w:val="20"/>
              </w:rPr>
              <w:t>0.1%</w:t>
            </w:r>
          </w:p>
        </w:tc>
        <w:tc>
          <w:tcPr>
            <w:tcW w:w="854" w:type="dxa"/>
          </w:tcPr>
          <w:p w14:paraId="26015421" w14:textId="77777777" w:rsidR="00544D9F" w:rsidRPr="002C6BDF" w:rsidRDefault="00544D9F" w:rsidP="00BF6E87">
            <w:pPr>
              <w:spacing w:after="0"/>
              <w:jc w:val="right"/>
              <w:rPr>
                <w:rFonts w:cs="Arial"/>
                <w:sz w:val="20"/>
                <w:szCs w:val="20"/>
              </w:rPr>
            </w:pPr>
            <w:r w:rsidRPr="002C6BDF">
              <w:rPr>
                <w:rFonts w:cs="Arial"/>
                <w:sz w:val="20"/>
                <w:szCs w:val="20"/>
              </w:rPr>
              <w:t>0.1%</w:t>
            </w:r>
          </w:p>
        </w:tc>
      </w:tr>
      <w:tr w:rsidR="00544D9F" w:rsidRPr="002C6BDF" w14:paraId="15C5E1B6" w14:textId="77777777" w:rsidTr="009A7C12">
        <w:trPr>
          <w:cantSplit/>
        </w:trPr>
        <w:tc>
          <w:tcPr>
            <w:tcW w:w="1908" w:type="dxa"/>
          </w:tcPr>
          <w:p w14:paraId="0DE38298" w14:textId="77777777" w:rsidR="00544D9F" w:rsidRPr="00670292" w:rsidRDefault="00544D9F" w:rsidP="00670292">
            <w:pPr>
              <w:pStyle w:val="TableRowHead"/>
              <w:rPr>
                <w:sz w:val="20"/>
                <w:szCs w:val="20"/>
              </w:rPr>
            </w:pPr>
            <w:r w:rsidRPr="00670292">
              <w:rPr>
                <w:sz w:val="20"/>
                <w:szCs w:val="20"/>
              </w:rPr>
              <w:t>High and complex</w:t>
            </w:r>
          </w:p>
        </w:tc>
        <w:tc>
          <w:tcPr>
            <w:tcW w:w="900" w:type="dxa"/>
          </w:tcPr>
          <w:p w14:paraId="6C15BE6F" w14:textId="77777777" w:rsidR="00544D9F" w:rsidRPr="002C6BDF" w:rsidRDefault="00544D9F" w:rsidP="00BF6E87">
            <w:pPr>
              <w:spacing w:after="0"/>
              <w:jc w:val="right"/>
              <w:rPr>
                <w:rFonts w:cs="Arial"/>
                <w:sz w:val="20"/>
                <w:szCs w:val="20"/>
              </w:rPr>
            </w:pPr>
            <w:r w:rsidRPr="002C6BDF">
              <w:rPr>
                <w:rFonts w:cs="Arial"/>
                <w:sz w:val="20"/>
                <w:szCs w:val="20"/>
              </w:rPr>
              <w:t>0.0%</w:t>
            </w:r>
          </w:p>
        </w:tc>
        <w:tc>
          <w:tcPr>
            <w:tcW w:w="1080" w:type="dxa"/>
          </w:tcPr>
          <w:p w14:paraId="19379187" w14:textId="77777777" w:rsidR="00544D9F" w:rsidRPr="002C6BDF" w:rsidRDefault="00544D9F" w:rsidP="00BF6E87">
            <w:pPr>
              <w:spacing w:after="0"/>
              <w:jc w:val="right"/>
              <w:rPr>
                <w:rFonts w:cs="Arial"/>
                <w:sz w:val="20"/>
                <w:szCs w:val="20"/>
              </w:rPr>
            </w:pPr>
            <w:r w:rsidRPr="002C6BDF">
              <w:rPr>
                <w:rFonts w:cs="Arial"/>
                <w:sz w:val="20"/>
                <w:szCs w:val="20"/>
              </w:rPr>
              <w:t>0.1%</w:t>
            </w:r>
          </w:p>
        </w:tc>
        <w:tc>
          <w:tcPr>
            <w:tcW w:w="1260" w:type="dxa"/>
          </w:tcPr>
          <w:p w14:paraId="03D69C6C" w14:textId="77777777" w:rsidR="00544D9F" w:rsidRPr="002C6BDF" w:rsidRDefault="00544D9F" w:rsidP="00BF6E87">
            <w:pPr>
              <w:spacing w:after="0"/>
              <w:jc w:val="right"/>
              <w:rPr>
                <w:rFonts w:cs="Arial"/>
                <w:sz w:val="20"/>
                <w:szCs w:val="20"/>
              </w:rPr>
            </w:pPr>
            <w:r w:rsidRPr="002C6BDF">
              <w:rPr>
                <w:rFonts w:cs="Arial"/>
                <w:sz w:val="20"/>
                <w:szCs w:val="20"/>
              </w:rPr>
              <w:t>0.0%</w:t>
            </w:r>
          </w:p>
        </w:tc>
        <w:tc>
          <w:tcPr>
            <w:tcW w:w="1080" w:type="dxa"/>
          </w:tcPr>
          <w:p w14:paraId="5B3B8D6F" w14:textId="77777777" w:rsidR="00544D9F" w:rsidRPr="002C6BDF" w:rsidRDefault="00544D9F" w:rsidP="00BF6E87">
            <w:pPr>
              <w:spacing w:after="0"/>
              <w:jc w:val="right"/>
              <w:rPr>
                <w:rFonts w:cs="Arial"/>
                <w:sz w:val="20"/>
                <w:szCs w:val="20"/>
              </w:rPr>
            </w:pPr>
            <w:r w:rsidRPr="002C6BDF">
              <w:rPr>
                <w:rFonts w:cs="Arial"/>
                <w:sz w:val="20"/>
                <w:szCs w:val="20"/>
              </w:rPr>
              <w:t>0.0%</w:t>
            </w:r>
          </w:p>
        </w:tc>
        <w:tc>
          <w:tcPr>
            <w:tcW w:w="1440" w:type="dxa"/>
          </w:tcPr>
          <w:p w14:paraId="16ADCFFE" w14:textId="77777777" w:rsidR="00544D9F" w:rsidRPr="002C6BDF" w:rsidRDefault="00544D9F" w:rsidP="00BF6E87">
            <w:pPr>
              <w:spacing w:after="0"/>
              <w:jc w:val="right"/>
              <w:rPr>
                <w:rFonts w:cs="Arial"/>
                <w:sz w:val="20"/>
                <w:szCs w:val="20"/>
              </w:rPr>
            </w:pPr>
            <w:r w:rsidRPr="002C6BDF">
              <w:rPr>
                <w:rFonts w:cs="Arial"/>
                <w:sz w:val="20"/>
                <w:szCs w:val="20"/>
              </w:rPr>
              <w:t>0.0%</w:t>
            </w:r>
          </w:p>
        </w:tc>
        <w:tc>
          <w:tcPr>
            <w:tcW w:w="854" w:type="dxa"/>
          </w:tcPr>
          <w:p w14:paraId="2510EFA2" w14:textId="77777777" w:rsidR="00544D9F" w:rsidRPr="002C6BDF" w:rsidRDefault="00544D9F" w:rsidP="00BF6E87">
            <w:pPr>
              <w:spacing w:after="0"/>
              <w:jc w:val="right"/>
              <w:rPr>
                <w:rFonts w:cs="Arial"/>
                <w:sz w:val="20"/>
                <w:szCs w:val="20"/>
              </w:rPr>
            </w:pPr>
            <w:r w:rsidRPr="002C6BDF">
              <w:rPr>
                <w:rFonts w:cs="Arial"/>
                <w:sz w:val="20"/>
                <w:szCs w:val="20"/>
              </w:rPr>
              <w:t>0.0%</w:t>
            </w:r>
          </w:p>
        </w:tc>
      </w:tr>
      <w:tr w:rsidR="00544D9F" w:rsidRPr="002C6BDF" w14:paraId="78E43F76" w14:textId="77777777" w:rsidTr="009A7C12">
        <w:trPr>
          <w:cantSplit/>
        </w:trPr>
        <w:tc>
          <w:tcPr>
            <w:tcW w:w="1908" w:type="dxa"/>
          </w:tcPr>
          <w:p w14:paraId="6370BE02" w14:textId="77777777" w:rsidR="00544D9F" w:rsidRPr="00670292" w:rsidRDefault="00544D9F" w:rsidP="00670292">
            <w:pPr>
              <w:pStyle w:val="TableRowHead"/>
              <w:rPr>
                <w:sz w:val="20"/>
                <w:szCs w:val="20"/>
              </w:rPr>
            </w:pPr>
            <w:r w:rsidRPr="00670292">
              <w:rPr>
                <w:sz w:val="20"/>
                <w:szCs w:val="20"/>
              </w:rPr>
              <w:t>Respite</w:t>
            </w:r>
          </w:p>
        </w:tc>
        <w:tc>
          <w:tcPr>
            <w:tcW w:w="900" w:type="dxa"/>
          </w:tcPr>
          <w:p w14:paraId="77364A16" w14:textId="77777777" w:rsidR="00544D9F" w:rsidRPr="002C6BDF" w:rsidRDefault="00544D9F" w:rsidP="00BF6E87">
            <w:pPr>
              <w:spacing w:after="0"/>
              <w:jc w:val="right"/>
              <w:rPr>
                <w:rFonts w:cs="Arial"/>
                <w:sz w:val="20"/>
                <w:szCs w:val="20"/>
              </w:rPr>
            </w:pPr>
            <w:r w:rsidRPr="002C6BDF">
              <w:rPr>
                <w:rFonts w:cs="Arial"/>
                <w:sz w:val="20"/>
                <w:szCs w:val="20"/>
              </w:rPr>
              <w:t>3.7%</w:t>
            </w:r>
          </w:p>
        </w:tc>
        <w:tc>
          <w:tcPr>
            <w:tcW w:w="1080" w:type="dxa"/>
          </w:tcPr>
          <w:p w14:paraId="78C51564" w14:textId="77777777" w:rsidR="00544D9F" w:rsidRPr="002C6BDF" w:rsidRDefault="00544D9F" w:rsidP="00BF6E87">
            <w:pPr>
              <w:spacing w:after="0"/>
              <w:jc w:val="right"/>
              <w:rPr>
                <w:rFonts w:cs="Arial"/>
                <w:sz w:val="20"/>
                <w:szCs w:val="20"/>
              </w:rPr>
            </w:pPr>
            <w:r w:rsidRPr="002C6BDF">
              <w:rPr>
                <w:rFonts w:cs="Arial"/>
                <w:sz w:val="20"/>
                <w:szCs w:val="20"/>
              </w:rPr>
              <w:t>2.6%</w:t>
            </w:r>
          </w:p>
        </w:tc>
        <w:tc>
          <w:tcPr>
            <w:tcW w:w="1260" w:type="dxa"/>
          </w:tcPr>
          <w:p w14:paraId="3BD290A5" w14:textId="77777777" w:rsidR="00544D9F" w:rsidRPr="002C6BDF" w:rsidRDefault="00544D9F" w:rsidP="00BF6E87">
            <w:pPr>
              <w:spacing w:after="0"/>
              <w:jc w:val="right"/>
              <w:rPr>
                <w:rFonts w:cs="Arial"/>
                <w:sz w:val="20"/>
                <w:szCs w:val="20"/>
              </w:rPr>
            </w:pPr>
            <w:r w:rsidRPr="002C6BDF">
              <w:rPr>
                <w:rFonts w:cs="Arial"/>
                <w:sz w:val="20"/>
                <w:szCs w:val="20"/>
              </w:rPr>
              <w:t>0.8%</w:t>
            </w:r>
          </w:p>
        </w:tc>
        <w:tc>
          <w:tcPr>
            <w:tcW w:w="1080" w:type="dxa"/>
          </w:tcPr>
          <w:p w14:paraId="1803D266" w14:textId="77777777" w:rsidR="00544D9F" w:rsidRPr="002C6BDF" w:rsidRDefault="00544D9F" w:rsidP="00BF6E87">
            <w:pPr>
              <w:spacing w:after="0"/>
              <w:jc w:val="right"/>
              <w:rPr>
                <w:rFonts w:cs="Arial"/>
                <w:sz w:val="20"/>
                <w:szCs w:val="20"/>
              </w:rPr>
            </w:pPr>
            <w:r w:rsidRPr="002C6BDF">
              <w:rPr>
                <w:rFonts w:cs="Arial"/>
                <w:sz w:val="20"/>
                <w:szCs w:val="20"/>
              </w:rPr>
              <w:t>0.3%</w:t>
            </w:r>
          </w:p>
        </w:tc>
        <w:tc>
          <w:tcPr>
            <w:tcW w:w="1440" w:type="dxa"/>
          </w:tcPr>
          <w:p w14:paraId="65AB5F54" w14:textId="77777777" w:rsidR="00544D9F" w:rsidRPr="002C6BDF" w:rsidRDefault="00544D9F" w:rsidP="00BF6E87">
            <w:pPr>
              <w:spacing w:after="0"/>
              <w:jc w:val="right"/>
              <w:rPr>
                <w:rFonts w:cs="Arial"/>
                <w:sz w:val="20"/>
                <w:szCs w:val="20"/>
              </w:rPr>
            </w:pPr>
            <w:r w:rsidRPr="002C6BDF">
              <w:rPr>
                <w:rFonts w:cs="Arial"/>
                <w:sz w:val="20"/>
                <w:szCs w:val="20"/>
              </w:rPr>
              <w:t>0.4 %</w:t>
            </w:r>
          </w:p>
        </w:tc>
        <w:tc>
          <w:tcPr>
            <w:tcW w:w="854" w:type="dxa"/>
          </w:tcPr>
          <w:p w14:paraId="7A751645" w14:textId="77777777" w:rsidR="00544D9F" w:rsidRPr="002C6BDF" w:rsidRDefault="00544D9F" w:rsidP="00BF6E87">
            <w:pPr>
              <w:spacing w:after="0"/>
              <w:jc w:val="right"/>
              <w:rPr>
                <w:rFonts w:cs="Arial"/>
                <w:sz w:val="20"/>
                <w:szCs w:val="20"/>
              </w:rPr>
            </w:pPr>
            <w:r w:rsidRPr="002C6BDF">
              <w:rPr>
                <w:rFonts w:cs="Arial"/>
                <w:sz w:val="20"/>
                <w:szCs w:val="20"/>
              </w:rPr>
              <w:t>0.9%</w:t>
            </w:r>
          </w:p>
        </w:tc>
      </w:tr>
      <w:tr w:rsidR="00544D9F" w:rsidRPr="002C6BDF" w14:paraId="7450D48A" w14:textId="77777777" w:rsidTr="009A7C12">
        <w:trPr>
          <w:cantSplit/>
        </w:trPr>
        <w:tc>
          <w:tcPr>
            <w:tcW w:w="1908" w:type="dxa"/>
          </w:tcPr>
          <w:p w14:paraId="67638F5F" w14:textId="77777777" w:rsidR="00544D9F" w:rsidRPr="00670292" w:rsidRDefault="00544D9F" w:rsidP="00670292">
            <w:pPr>
              <w:pStyle w:val="TableRowHead"/>
              <w:rPr>
                <w:sz w:val="20"/>
                <w:szCs w:val="20"/>
              </w:rPr>
            </w:pPr>
            <w:r w:rsidRPr="00670292">
              <w:rPr>
                <w:sz w:val="20"/>
                <w:szCs w:val="20"/>
              </w:rPr>
              <w:t>Day Programme</w:t>
            </w:r>
          </w:p>
        </w:tc>
        <w:tc>
          <w:tcPr>
            <w:tcW w:w="900" w:type="dxa"/>
          </w:tcPr>
          <w:p w14:paraId="718012F0" w14:textId="77777777" w:rsidR="00544D9F" w:rsidRPr="002C6BDF" w:rsidRDefault="00544D9F" w:rsidP="00BF6E87">
            <w:pPr>
              <w:spacing w:after="0"/>
              <w:jc w:val="right"/>
              <w:rPr>
                <w:rFonts w:cs="Arial"/>
                <w:sz w:val="20"/>
                <w:szCs w:val="20"/>
              </w:rPr>
            </w:pPr>
            <w:r w:rsidRPr="002C6BDF">
              <w:rPr>
                <w:rFonts w:cs="Arial"/>
                <w:sz w:val="20"/>
                <w:szCs w:val="20"/>
              </w:rPr>
              <w:t>0.0%</w:t>
            </w:r>
          </w:p>
        </w:tc>
        <w:tc>
          <w:tcPr>
            <w:tcW w:w="1080" w:type="dxa"/>
          </w:tcPr>
          <w:p w14:paraId="596382D0" w14:textId="77777777" w:rsidR="00544D9F" w:rsidRPr="002C6BDF" w:rsidRDefault="00544D9F" w:rsidP="00BF6E87">
            <w:pPr>
              <w:spacing w:after="0"/>
              <w:jc w:val="right"/>
              <w:rPr>
                <w:rFonts w:cs="Arial"/>
                <w:sz w:val="20"/>
                <w:szCs w:val="20"/>
              </w:rPr>
            </w:pPr>
            <w:r w:rsidRPr="002C6BDF">
              <w:rPr>
                <w:rFonts w:cs="Arial"/>
                <w:sz w:val="20"/>
                <w:szCs w:val="20"/>
              </w:rPr>
              <w:t>4.9%</w:t>
            </w:r>
          </w:p>
        </w:tc>
        <w:tc>
          <w:tcPr>
            <w:tcW w:w="1260" w:type="dxa"/>
          </w:tcPr>
          <w:p w14:paraId="599E48B1" w14:textId="77777777" w:rsidR="00544D9F" w:rsidRPr="002C6BDF" w:rsidRDefault="00544D9F" w:rsidP="00BF6E87">
            <w:pPr>
              <w:spacing w:after="0"/>
              <w:jc w:val="right"/>
              <w:rPr>
                <w:rFonts w:cs="Arial"/>
                <w:sz w:val="20"/>
                <w:szCs w:val="20"/>
              </w:rPr>
            </w:pPr>
            <w:r w:rsidRPr="002C6BDF">
              <w:rPr>
                <w:rFonts w:cs="Arial"/>
                <w:sz w:val="20"/>
                <w:szCs w:val="20"/>
              </w:rPr>
              <w:t>4.2%</w:t>
            </w:r>
          </w:p>
        </w:tc>
        <w:tc>
          <w:tcPr>
            <w:tcW w:w="1080" w:type="dxa"/>
          </w:tcPr>
          <w:p w14:paraId="2857940E" w14:textId="77777777" w:rsidR="00544D9F" w:rsidRPr="002C6BDF" w:rsidRDefault="00544D9F" w:rsidP="00BF6E87">
            <w:pPr>
              <w:spacing w:after="0"/>
              <w:jc w:val="right"/>
              <w:rPr>
                <w:rFonts w:cs="Arial"/>
                <w:sz w:val="20"/>
                <w:szCs w:val="20"/>
              </w:rPr>
            </w:pPr>
            <w:r w:rsidRPr="002C6BDF">
              <w:rPr>
                <w:rFonts w:cs="Arial"/>
                <w:sz w:val="20"/>
                <w:szCs w:val="20"/>
              </w:rPr>
              <w:t>2.2%</w:t>
            </w:r>
          </w:p>
        </w:tc>
        <w:tc>
          <w:tcPr>
            <w:tcW w:w="1440" w:type="dxa"/>
          </w:tcPr>
          <w:p w14:paraId="42D7AA30" w14:textId="77777777" w:rsidR="00544D9F" w:rsidRPr="002C6BDF" w:rsidRDefault="00544D9F" w:rsidP="00BF6E87">
            <w:pPr>
              <w:spacing w:after="0"/>
              <w:jc w:val="right"/>
              <w:rPr>
                <w:rFonts w:cs="Arial"/>
                <w:sz w:val="20"/>
                <w:szCs w:val="20"/>
              </w:rPr>
            </w:pPr>
            <w:r w:rsidRPr="002C6BDF">
              <w:rPr>
                <w:rFonts w:cs="Arial"/>
                <w:sz w:val="20"/>
                <w:szCs w:val="20"/>
              </w:rPr>
              <w:t>1.2%</w:t>
            </w:r>
          </w:p>
        </w:tc>
        <w:tc>
          <w:tcPr>
            <w:tcW w:w="854" w:type="dxa"/>
          </w:tcPr>
          <w:p w14:paraId="66A8C9C1" w14:textId="77777777" w:rsidR="00544D9F" w:rsidRPr="002C6BDF" w:rsidRDefault="00544D9F" w:rsidP="00BF6E87">
            <w:pPr>
              <w:spacing w:after="0"/>
              <w:jc w:val="right"/>
              <w:rPr>
                <w:rFonts w:cs="Arial"/>
                <w:sz w:val="20"/>
                <w:szCs w:val="20"/>
              </w:rPr>
            </w:pPr>
            <w:r w:rsidRPr="002C6BDF">
              <w:rPr>
                <w:rFonts w:cs="Arial"/>
                <w:sz w:val="20"/>
                <w:szCs w:val="20"/>
              </w:rPr>
              <w:t>1.8%</w:t>
            </w:r>
          </w:p>
        </w:tc>
      </w:tr>
      <w:tr w:rsidR="00544D9F" w:rsidRPr="002C6BDF" w14:paraId="7F88B9CE" w14:textId="77777777" w:rsidTr="009A7C12">
        <w:trPr>
          <w:cantSplit/>
        </w:trPr>
        <w:tc>
          <w:tcPr>
            <w:tcW w:w="1908" w:type="dxa"/>
          </w:tcPr>
          <w:p w14:paraId="5BF6B3C2" w14:textId="77777777" w:rsidR="00544D9F" w:rsidRPr="00670292" w:rsidRDefault="00544D9F" w:rsidP="00670292">
            <w:pPr>
              <w:pStyle w:val="TableRowHead"/>
              <w:rPr>
                <w:sz w:val="20"/>
                <w:szCs w:val="20"/>
              </w:rPr>
            </w:pPr>
            <w:r w:rsidRPr="00670292">
              <w:rPr>
                <w:sz w:val="20"/>
                <w:szCs w:val="20"/>
              </w:rPr>
              <w:t>Total</w:t>
            </w:r>
          </w:p>
        </w:tc>
        <w:tc>
          <w:tcPr>
            <w:tcW w:w="900" w:type="dxa"/>
          </w:tcPr>
          <w:p w14:paraId="225AFC9C" w14:textId="77777777" w:rsidR="00544D9F" w:rsidRPr="002C6BDF" w:rsidRDefault="00544D9F" w:rsidP="00BF6E87">
            <w:pPr>
              <w:spacing w:after="0"/>
              <w:jc w:val="right"/>
              <w:rPr>
                <w:rFonts w:cs="Arial"/>
                <w:sz w:val="20"/>
                <w:szCs w:val="20"/>
              </w:rPr>
            </w:pPr>
            <w:r w:rsidRPr="002C6BDF">
              <w:rPr>
                <w:rFonts w:cs="Arial"/>
                <w:sz w:val="20"/>
                <w:szCs w:val="20"/>
              </w:rPr>
              <w:t>100%</w:t>
            </w:r>
          </w:p>
        </w:tc>
        <w:tc>
          <w:tcPr>
            <w:tcW w:w="1080" w:type="dxa"/>
          </w:tcPr>
          <w:p w14:paraId="1799AC10" w14:textId="77777777" w:rsidR="00544D9F" w:rsidRPr="002C6BDF" w:rsidRDefault="00544D9F" w:rsidP="00BF6E87">
            <w:pPr>
              <w:spacing w:after="0"/>
              <w:jc w:val="right"/>
              <w:rPr>
                <w:rFonts w:cs="Arial"/>
                <w:sz w:val="20"/>
                <w:szCs w:val="20"/>
              </w:rPr>
            </w:pPr>
            <w:r w:rsidRPr="002C6BDF">
              <w:rPr>
                <w:rFonts w:cs="Arial"/>
                <w:sz w:val="20"/>
                <w:szCs w:val="20"/>
              </w:rPr>
              <w:t>100%</w:t>
            </w:r>
          </w:p>
        </w:tc>
        <w:tc>
          <w:tcPr>
            <w:tcW w:w="1260" w:type="dxa"/>
          </w:tcPr>
          <w:p w14:paraId="7D6AAEE9" w14:textId="77777777" w:rsidR="00544D9F" w:rsidRPr="002C6BDF" w:rsidRDefault="00544D9F" w:rsidP="00BF6E87">
            <w:pPr>
              <w:spacing w:after="0"/>
              <w:jc w:val="right"/>
              <w:rPr>
                <w:rFonts w:cs="Arial"/>
                <w:sz w:val="20"/>
                <w:szCs w:val="20"/>
              </w:rPr>
            </w:pPr>
            <w:r w:rsidRPr="002C6BDF">
              <w:rPr>
                <w:rFonts w:cs="Arial"/>
                <w:sz w:val="20"/>
                <w:szCs w:val="20"/>
              </w:rPr>
              <w:t>100%</w:t>
            </w:r>
          </w:p>
        </w:tc>
        <w:tc>
          <w:tcPr>
            <w:tcW w:w="1080" w:type="dxa"/>
          </w:tcPr>
          <w:p w14:paraId="00C51D54" w14:textId="77777777" w:rsidR="00544D9F" w:rsidRPr="002C6BDF" w:rsidRDefault="00544D9F" w:rsidP="00BF6E87">
            <w:pPr>
              <w:spacing w:after="0"/>
              <w:jc w:val="right"/>
              <w:rPr>
                <w:rFonts w:cs="Arial"/>
                <w:sz w:val="20"/>
                <w:szCs w:val="20"/>
              </w:rPr>
            </w:pPr>
            <w:r w:rsidRPr="002C6BDF">
              <w:rPr>
                <w:rFonts w:cs="Arial"/>
                <w:sz w:val="20"/>
                <w:szCs w:val="20"/>
              </w:rPr>
              <w:t>100%</w:t>
            </w:r>
          </w:p>
        </w:tc>
        <w:tc>
          <w:tcPr>
            <w:tcW w:w="1440" w:type="dxa"/>
          </w:tcPr>
          <w:p w14:paraId="2502DC96" w14:textId="77777777" w:rsidR="00544D9F" w:rsidRPr="002C6BDF" w:rsidRDefault="00544D9F" w:rsidP="00BF6E87">
            <w:pPr>
              <w:spacing w:after="0"/>
              <w:jc w:val="right"/>
              <w:rPr>
                <w:rFonts w:cs="Arial"/>
                <w:sz w:val="20"/>
                <w:szCs w:val="20"/>
              </w:rPr>
            </w:pPr>
            <w:r w:rsidRPr="002C6BDF">
              <w:rPr>
                <w:rFonts w:cs="Arial"/>
                <w:sz w:val="20"/>
                <w:szCs w:val="20"/>
              </w:rPr>
              <w:t>100%</w:t>
            </w:r>
          </w:p>
        </w:tc>
        <w:tc>
          <w:tcPr>
            <w:tcW w:w="854" w:type="dxa"/>
          </w:tcPr>
          <w:p w14:paraId="79D51B64" w14:textId="77777777" w:rsidR="00544D9F" w:rsidRPr="002C6BDF" w:rsidRDefault="00544D9F" w:rsidP="00BF6E87">
            <w:pPr>
              <w:spacing w:after="0"/>
              <w:jc w:val="right"/>
              <w:rPr>
                <w:rFonts w:cs="Arial"/>
                <w:sz w:val="20"/>
                <w:szCs w:val="20"/>
              </w:rPr>
            </w:pPr>
            <w:r w:rsidRPr="002C6BDF">
              <w:rPr>
                <w:rFonts w:cs="Arial"/>
                <w:sz w:val="20"/>
                <w:szCs w:val="20"/>
              </w:rPr>
              <w:t>100%</w:t>
            </w:r>
          </w:p>
        </w:tc>
      </w:tr>
      <w:tr w:rsidR="00544D9F" w:rsidRPr="002C6BDF" w14:paraId="72F25D2D" w14:textId="77777777" w:rsidTr="009A7C12">
        <w:trPr>
          <w:cantSplit/>
        </w:trPr>
        <w:tc>
          <w:tcPr>
            <w:tcW w:w="1908" w:type="dxa"/>
          </w:tcPr>
          <w:p w14:paraId="3B4D20C7" w14:textId="77777777" w:rsidR="00544D9F" w:rsidRPr="00670292" w:rsidRDefault="00544D9F" w:rsidP="00670292">
            <w:pPr>
              <w:pStyle w:val="TableRowHead"/>
              <w:rPr>
                <w:sz w:val="20"/>
                <w:szCs w:val="20"/>
              </w:rPr>
            </w:pPr>
            <w:r w:rsidRPr="00670292">
              <w:rPr>
                <w:sz w:val="20"/>
                <w:szCs w:val="20"/>
              </w:rPr>
              <w:t>N</w:t>
            </w:r>
          </w:p>
        </w:tc>
        <w:tc>
          <w:tcPr>
            <w:tcW w:w="900" w:type="dxa"/>
          </w:tcPr>
          <w:p w14:paraId="18EF3F66" w14:textId="77777777" w:rsidR="00544D9F" w:rsidRPr="002C6BDF" w:rsidRDefault="00544D9F" w:rsidP="00BF6E87">
            <w:pPr>
              <w:spacing w:after="0"/>
              <w:jc w:val="right"/>
              <w:rPr>
                <w:rFonts w:cs="Arial"/>
                <w:sz w:val="20"/>
                <w:szCs w:val="20"/>
              </w:rPr>
            </w:pPr>
            <w:r w:rsidRPr="002C6BDF">
              <w:rPr>
                <w:rFonts w:cs="Arial"/>
                <w:sz w:val="20"/>
                <w:szCs w:val="20"/>
              </w:rPr>
              <w:t>4,524</w:t>
            </w:r>
          </w:p>
        </w:tc>
        <w:tc>
          <w:tcPr>
            <w:tcW w:w="1080" w:type="dxa"/>
          </w:tcPr>
          <w:p w14:paraId="2D5FDC03" w14:textId="77777777" w:rsidR="00544D9F" w:rsidRPr="002C6BDF" w:rsidRDefault="00544D9F" w:rsidP="00BF6E87">
            <w:pPr>
              <w:spacing w:after="0"/>
              <w:jc w:val="right"/>
              <w:rPr>
                <w:rFonts w:cs="Arial"/>
                <w:sz w:val="20"/>
                <w:szCs w:val="20"/>
              </w:rPr>
            </w:pPr>
            <w:r w:rsidRPr="002C6BDF">
              <w:rPr>
                <w:rFonts w:cs="Arial"/>
                <w:sz w:val="20"/>
                <w:szCs w:val="20"/>
              </w:rPr>
              <w:t>5,324</w:t>
            </w:r>
          </w:p>
        </w:tc>
        <w:tc>
          <w:tcPr>
            <w:tcW w:w="1260" w:type="dxa"/>
          </w:tcPr>
          <w:p w14:paraId="51881C28" w14:textId="77777777" w:rsidR="00544D9F" w:rsidRPr="002C6BDF" w:rsidRDefault="00544D9F" w:rsidP="00BF6E87">
            <w:pPr>
              <w:spacing w:after="0"/>
              <w:jc w:val="right"/>
              <w:rPr>
                <w:rFonts w:cs="Arial"/>
                <w:sz w:val="20"/>
                <w:szCs w:val="20"/>
              </w:rPr>
            </w:pPr>
            <w:r w:rsidRPr="002C6BDF">
              <w:rPr>
                <w:rFonts w:cs="Arial"/>
                <w:sz w:val="20"/>
                <w:szCs w:val="20"/>
              </w:rPr>
              <w:t>6,281</w:t>
            </w:r>
          </w:p>
        </w:tc>
        <w:tc>
          <w:tcPr>
            <w:tcW w:w="1080" w:type="dxa"/>
          </w:tcPr>
          <w:p w14:paraId="6DAD05CB" w14:textId="77777777" w:rsidR="00544D9F" w:rsidRPr="002C6BDF" w:rsidRDefault="00544D9F" w:rsidP="00BF6E87">
            <w:pPr>
              <w:spacing w:after="0"/>
              <w:jc w:val="right"/>
              <w:rPr>
                <w:rFonts w:cs="Arial"/>
                <w:sz w:val="20"/>
                <w:szCs w:val="20"/>
              </w:rPr>
            </w:pPr>
            <w:r w:rsidRPr="002C6BDF">
              <w:rPr>
                <w:rFonts w:cs="Arial"/>
                <w:sz w:val="20"/>
                <w:szCs w:val="20"/>
              </w:rPr>
              <w:t>9,056</w:t>
            </w:r>
          </w:p>
        </w:tc>
        <w:tc>
          <w:tcPr>
            <w:tcW w:w="1440" w:type="dxa"/>
          </w:tcPr>
          <w:p w14:paraId="21C41FBB" w14:textId="77777777" w:rsidR="00544D9F" w:rsidRPr="002C6BDF" w:rsidRDefault="00544D9F" w:rsidP="00BF6E87">
            <w:pPr>
              <w:spacing w:after="0"/>
              <w:jc w:val="right"/>
              <w:rPr>
                <w:rFonts w:cs="Arial"/>
                <w:sz w:val="20"/>
                <w:szCs w:val="20"/>
              </w:rPr>
            </w:pPr>
            <w:r w:rsidRPr="002C6BDF">
              <w:rPr>
                <w:rFonts w:cs="Arial"/>
                <w:sz w:val="20"/>
                <w:szCs w:val="20"/>
              </w:rPr>
              <w:t>37,946</w:t>
            </w:r>
          </w:p>
        </w:tc>
        <w:tc>
          <w:tcPr>
            <w:tcW w:w="854" w:type="dxa"/>
          </w:tcPr>
          <w:p w14:paraId="7C01FA75" w14:textId="77777777" w:rsidR="00544D9F" w:rsidRPr="002C6BDF" w:rsidRDefault="00544D9F" w:rsidP="00BF6E87">
            <w:pPr>
              <w:spacing w:after="0"/>
              <w:jc w:val="right"/>
              <w:rPr>
                <w:rFonts w:cs="Arial"/>
                <w:sz w:val="20"/>
                <w:szCs w:val="20"/>
              </w:rPr>
            </w:pPr>
            <w:r w:rsidRPr="002C6BDF">
              <w:rPr>
                <w:rFonts w:cs="Arial"/>
                <w:sz w:val="20"/>
                <w:szCs w:val="20"/>
              </w:rPr>
              <w:t>63,131</w:t>
            </w:r>
          </w:p>
        </w:tc>
      </w:tr>
    </w:tbl>
    <w:p w14:paraId="12C0D507" w14:textId="0AB92B36" w:rsidR="007636BF" w:rsidRDefault="009A7C12" w:rsidP="007636BF">
      <w:pPr>
        <w:rPr>
          <w:b/>
          <w:bCs/>
          <w:color w:val="FFFFFF"/>
          <w:sz w:val="28"/>
          <w:szCs w:val="28"/>
        </w:rPr>
      </w:pPr>
      <w:r>
        <w:br w:type="textWrapping" w:clear="all"/>
      </w:r>
      <w:r w:rsidR="00544D9F">
        <w:t xml:space="preserve">The stated government policy of supporting people to live in the community has been reflected in increases for community based supports. </w:t>
      </w:r>
      <w:r w:rsidR="00204E28">
        <w:t>H</w:t>
      </w:r>
      <w:r w:rsidR="00204E28">
        <w:rPr>
          <w:color w:val="000000"/>
        </w:rPr>
        <w:t>ome-based support services have</w:t>
      </w:r>
      <w:r w:rsidR="00544D9F">
        <w:rPr>
          <w:color w:val="000000"/>
        </w:rPr>
        <w:t xml:space="preserve"> almost doubled from 1998 / 1999 to 2003 to 2</w:t>
      </w:r>
      <w:r w:rsidR="00BF6E87">
        <w:rPr>
          <w:color w:val="000000"/>
        </w:rPr>
        <w:t>004, rising from $93.5</w:t>
      </w:r>
      <w:r w:rsidR="00D2713D">
        <w:rPr>
          <w:color w:val="000000"/>
        </w:rPr>
        <w:t xml:space="preserve"> </w:t>
      </w:r>
      <w:r w:rsidR="00BF6E87">
        <w:rPr>
          <w:color w:val="000000"/>
        </w:rPr>
        <w:t>m</w:t>
      </w:r>
      <w:r w:rsidR="00D2713D">
        <w:rPr>
          <w:color w:val="000000"/>
        </w:rPr>
        <w:t>.</w:t>
      </w:r>
      <w:r w:rsidR="00BF6E87">
        <w:rPr>
          <w:color w:val="000000"/>
        </w:rPr>
        <w:t xml:space="preserve"> NZD to $170</w:t>
      </w:r>
      <w:r w:rsidR="00D2713D">
        <w:rPr>
          <w:color w:val="000000"/>
        </w:rPr>
        <w:t xml:space="preserve"> </w:t>
      </w:r>
      <w:r w:rsidR="00BF6E87">
        <w:rPr>
          <w:color w:val="000000"/>
        </w:rPr>
        <w:t>m. NZD (</w:t>
      </w:r>
      <w:r w:rsidR="00D2713D">
        <w:rPr>
          <w:color w:val="000000"/>
        </w:rPr>
        <w:t>€</w:t>
      </w:r>
      <w:r w:rsidR="00BF6E87">
        <w:rPr>
          <w:color w:val="000000"/>
        </w:rPr>
        <w:t>49.5</w:t>
      </w:r>
      <w:r w:rsidR="00D2713D">
        <w:rPr>
          <w:color w:val="000000"/>
        </w:rPr>
        <w:t xml:space="preserve"> </w:t>
      </w:r>
      <w:r w:rsidR="00BF6E87">
        <w:rPr>
          <w:color w:val="000000"/>
        </w:rPr>
        <w:t>m</w:t>
      </w:r>
      <w:r w:rsidR="00D2713D">
        <w:rPr>
          <w:color w:val="000000"/>
        </w:rPr>
        <w:t>.</w:t>
      </w:r>
      <w:r w:rsidR="00BF6E87">
        <w:rPr>
          <w:color w:val="000000"/>
        </w:rPr>
        <w:t xml:space="preserve"> to </w:t>
      </w:r>
      <w:r w:rsidR="00D2713D">
        <w:rPr>
          <w:color w:val="000000"/>
        </w:rPr>
        <w:t>€</w:t>
      </w:r>
      <w:r w:rsidR="00BF6E87">
        <w:rPr>
          <w:color w:val="000000"/>
        </w:rPr>
        <w:t>90.5</w:t>
      </w:r>
      <w:r w:rsidR="00D2713D">
        <w:rPr>
          <w:color w:val="000000"/>
        </w:rPr>
        <w:t xml:space="preserve"> m.</w:t>
      </w:r>
      <w:r w:rsidR="00BF6E87">
        <w:rPr>
          <w:color w:val="000000"/>
        </w:rPr>
        <w:t>)</w:t>
      </w:r>
      <w:r w:rsidR="00544D9F">
        <w:rPr>
          <w:color w:val="000000"/>
        </w:rPr>
        <w:t>. Caregiver support increased by about 50 percent from 1999/0</w:t>
      </w:r>
      <w:r w:rsidR="00BF6E87">
        <w:rPr>
          <w:color w:val="000000"/>
        </w:rPr>
        <w:t>0 to 2003/04, rising from $41.5</w:t>
      </w:r>
      <w:r w:rsidR="00D2713D">
        <w:rPr>
          <w:color w:val="000000"/>
        </w:rPr>
        <w:t xml:space="preserve"> </w:t>
      </w:r>
      <w:r w:rsidR="00BF6E87">
        <w:rPr>
          <w:color w:val="000000"/>
        </w:rPr>
        <w:t>m. NZD to $62.2</w:t>
      </w:r>
      <w:r w:rsidR="00D2713D">
        <w:rPr>
          <w:color w:val="000000"/>
        </w:rPr>
        <w:t xml:space="preserve"> m.</w:t>
      </w:r>
      <w:r w:rsidR="00BF6E87">
        <w:rPr>
          <w:color w:val="000000"/>
        </w:rPr>
        <w:t xml:space="preserve"> NZD (</w:t>
      </w:r>
      <w:r w:rsidR="00D2713D">
        <w:rPr>
          <w:color w:val="000000"/>
        </w:rPr>
        <w:t>€</w:t>
      </w:r>
      <w:r w:rsidR="00BF6E87">
        <w:rPr>
          <w:color w:val="000000"/>
        </w:rPr>
        <w:t>22</w:t>
      </w:r>
      <w:r w:rsidR="00D2713D">
        <w:rPr>
          <w:color w:val="000000"/>
        </w:rPr>
        <w:t xml:space="preserve"> </w:t>
      </w:r>
      <w:r w:rsidR="00BF6E87">
        <w:rPr>
          <w:color w:val="000000"/>
        </w:rPr>
        <w:t>m</w:t>
      </w:r>
      <w:r w:rsidR="00AD3136">
        <w:rPr>
          <w:color w:val="000000"/>
        </w:rPr>
        <w:t>.</w:t>
      </w:r>
      <w:r w:rsidR="00D2713D">
        <w:rPr>
          <w:color w:val="000000"/>
        </w:rPr>
        <w:t xml:space="preserve"> </w:t>
      </w:r>
      <w:r w:rsidR="00BF6E87">
        <w:rPr>
          <w:color w:val="000000"/>
        </w:rPr>
        <w:t xml:space="preserve">to </w:t>
      </w:r>
      <w:r w:rsidR="00D2713D">
        <w:rPr>
          <w:color w:val="000000"/>
        </w:rPr>
        <w:t>€33m.</w:t>
      </w:r>
      <w:r w:rsidR="00BF6E87">
        <w:rPr>
          <w:color w:val="000000"/>
        </w:rPr>
        <w:t>)</w:t>
      </w:r>
      <w:r w:rsidR="00F458E1">
        <w:rPr>
          <w:rStyle w:val="FootnoteReference"/>
          <w:rFonts w:cs="Arial"/>
          <w:color w:val="000000"/>
        </w:rPr>
        <w:footnoteReference w:id="28"/>
      </w:r>
      <w:r w:rsidR="00544D9F">
        <w:rPr>
          <w:color w:val="000000"/>
          <w:sz w:val="15"/>
          <w:szCs w:val="15"/>
        </w:rPr>
        <w:t>.</w:t>
      </w:r>
      <w:r w:rsidR="00544D9F">
        <w:rPr>
          <w:color w:val="000000"/>
        </w:rPr>
        <w:t xml:space="preserve"> </w:t>
      </w:r>
    </w:p>
    <w:p w14:paraId="70340C74" w14:textId="745F9AC1" w:rsidR="00544D9F" w:rsidRDefault="00544D9F" w:rsidP="007636BF">
      <w:pPr>
        <w:rPr>
          <w:rFonts w:cs="Arial"/>
        </w:rPr>
      </w:pPr>
      <w:r>
        <w:rPr>
          <w:rFonts w:cs="Arial"/>
        </w:rPr>
        <w:t xml:space="preserve">The lack of choice in ordinary, everyday issues such as when to go to bed, what to eat, what clothes to wear etc, has been highlighted for group home residents in </w:t>
      </w:r>
      <w:proofErr w:type="gramStart"/>
      <w:r>
        <w:rPr>
          <w:rFonts w:cs="Arial"/>
        </w:rPr>
        <w:t>a number of</w:t>
      </w:r>
      <w:proofErr w:type="gramEnd"/>
      <w:r>
        <w:rPr>
          <w:rFonts w:cs="Arial"/>
        </w:rPr>
        <w:t xml:space="preserve"> reports, in particular for people with intellectual </w:t>
      </w:r>
      <w:r>
        <w:rPr>
          <w:rFonts w:cs="Arial"/>
        </w:rPr>
        <w:lastRenderedPageBreak/>
        <w:t>disabilities in group homes</w:t>
      </w:r>
      <w:r w:rsidR="00F458E1">
        <w:rPr>
          <w:rStyle w:val="FootnoteReference"/>
          <w:rFonts w:cs="Arial"/>
        </w:rPr>
        <w:footnoteReference w:id="29"/>
      </w:r>
      <w:r>
        <w:rPr>
          <w:rFonts w:cs="Arial"/>
        </w:rPr>
        <w:t xml:space="preserve">.  In 2009 the Government announced a scoping project to deal with these issues. The scoping project will consider such things as: </w:t>
      </w:r>
    </w:p>
    <w:p w14:paraId="17CE9FB3" w14:textId="77777777" w:rsidR="00544D9F" w:rsidRDefault="00544D9F" w:rsidP="00A6263C">
      <w:pPr>
        <w:pStyle w:val="BlockQuote"/>
        <w:spacing w:after="240"/>
        <w:rPr>
          <w:rFonts w:cs="Arial"/>
          <w:sz w:val="20"/>
          <w:szCs w:val="20"/>
        </w:rPr>
      </w:pPr>
      <w:r w:rsidRPr="00544D9F">
        <w:t>[A]</w:t>
      </w:r>
      <w:proofErr w:type="spellStart"/>
      <w:r w:rsidRPr="00544D9F">
        <w:t>llowing</w:t>
      </w:r>
      <w:proofErr w:type="spellEnd"/>
      <w:r w:rsidRPr="00544D9F">
        <w:t xml:space="preserve"> residential providers to offer supported living services, and using the flexibility that is now included in the home and community support services</w:t>
      </w:r>
      <w:r w:rsidR="00F458E1">
        <w:rPr>
          <w:rStyle w:val="FootnoteReference"/>
        </w:rPr>
        <w:footnoteReference w:id="30"/>
      </w:r>
      <w:r w:rsidRPr="00D9472C">
        <w:rPr>
          <w:rFonts w:cs="Arial"/>
          <w:sz w:val="20"/>
          <w:szCs w:val="20"/>
        </w:rPr>
        <w:t>.</w:t>
      </w:r>
    </w:p>
    <w:p w14:paraId="6CD15CAF" w14:textId="77777777" w:rsidR="00544D9F" w:rsidRDefault="00D3776B" w:rsidP="00C13592">
      <w:pPr>
        <w:pStyle w:val="Heading2"/>
        <w:spacing w:line="240" w:lineRule="auto"/>
      </w:pPr>
      <w:bookmarkStart w:id="46" w:name="_Toc250627441"/>
      <w:bookmarkStart w:id="47" w:name="_Toc250627752"/>
      <w:bookmarkStart w:id="48" w:name="_Toc250627930"/>
      <w:bookmarkStart w:id="49" w:name="_Toc252539367"/>
      <w:bookmarkStart w:id="50" w:name="_Toc290886619"/>
      <w:r>
        <w:t>4</w:t>
      </w:r>
      <w:r w:rsidR="00544D9F">
        <w:t xml:space="preserve">.2 </w:t>
      </w:r>
      <w:r w:rsidR="00544D9F" w:rsidRPr="002F0404">
        <w:t xml:space="preserve">Medical </w:t>
      </w:r>
      <w:r w:rsidR="00544D9F">
        <w:t>and allied health services</w:t>
      </w:r>
      <w:bookmarkEnd w:id="46"/>
      <w:bookmarkEnd w:id="47"/>
      <w:bookmarkEnd w:id="48"/>
      <w:bookmarkEnd w:id="49"/>
      <w:bookmarkEnd w:id="50"/>
      <w:r w:rsidR="00544D9F">
        <w:t xml:space="preserve"> </w:t>
      </w:r>
    </w:p>
    <w:p w14:paraId="36DD8A6E" w14:textId="77777777" w:rsidR="00544D9F" w:rsidRDefault="00544D9F" w:rsidP="00544D9F">
      <w:r w:rsidRPr="0016134B">
        <w:t>Under the Health and Disability Servi</w:t>
      </w:r>
      <w:r>
        <w:t>ces Act 1993 r</w:t>
      </w:r>
      <w:r w:rsidRPr="0016134B">
        <w:t xml:space="preserve">esponsibility </w:t>
      </w:r>
      <w:r>
        <w:t>for disability services transferred from the Department of Soc</w:t>
      </w:r>
      <w:r w:rsidR="00F458E1">
        <w:t>ial Welfare to the Department of</w:t>
      </w:r>
      <w:r>
        <w:t xml:space="preserve"> Health. The </w:t>
      </w:r>
      <w:r w:rsidRPr="0016134B">
        <w:t>Health and Disability Servi</w:t>
      </w:r>
      <w:r>
        <w:t>ces Act 1993 attempted to establish an open market for health and disability services.  This led to the s</w:t>
      </w:r>
      <w:r w:rsidRPr="00DE0B78">
        <w:t>eparation between the purchasing of disability supports and the provision of disability suppo</w:t>
      </w:r>
      <w:r w:rsidR="00E45B2A">
        <w:t>rts, leading to the establishment</w:t>
      </w:r>
      <w:r w:rsidRPr="00DE0B78">
        <w:t xml:space="preserve"> of four regional health authorities (RHAs) taking on responsibility for purchasing</w:t>
      </w:r>
      <w:r w:rsidR="00E45B2A">
        <w:t xml:space="preserve"> services and supports</w:t>
      </w:r>
      <w:r w:rsidRPr="00DE0B78">
        <w:t xml:space="preserve">. </w:t>
      </w:r>
    </w:p>
    <w:p w14:paraId="6C146451" w14:textId="77777777" w:rsidR="00544D9F" w:rsidRDefault="00544D9F" w:rsidP="00D2713D">
      <w:pPr>
        <w:spacing w:after="120"/>
      </w:pPr>
      <w:r>
        <w:t xml:space="preserve">The </w:t>
      </w:r>
      <w:r w:rsidRPr="00B63EFE">
        <w:t xml:space="preserve">Public Health and Disability Act </w:t>
      </w:r>
      <w:r>
        <w:t>2000 reversed the market orientated reforms of the 1990s and established 21 District Health Boards (DHBs) which provide and purchase health services within geographic boundaries. However, despite the reversal of much of the market orientated reforms, contracting remains the norm in health and social care provision.</w:t>
      </w:r>
    </w:p>
    <w:p w14:paraId="655966C4" w14:textId="77777777" w:rsidR="00544D9F" w:rsidRDefault="00544D9F" w:rsidP="00A6263C">
      <w:pPr>
        <w:pStyle w:val="BlockQuote"/>
        <w:spacing w:after="240"/>
      </w:pPr>
      <w:r w:rsidRPr="009F0C02">
        <w:t>Contracting for health services between purchasers and providers was a key component of the 1990s reforms. Moreover, in spite of the subsequent restructurings, contracting has remained a central part of the management</w:t>
      </w:r>
      <w:r>
        <w:t xml:space="preserve"> </w:t>
      </w:r>
      <w:r w:rsidRPr="009F0C02">
        <w:t xml:space="preserve">of the health system in </w:t>
      </w:r>
      <w:smartTag w:uri="urn:schemas-microsoft-com:office:smarttags" w:element="country-region">
        <w:smartTag w:uri="urn:schemas-microsoft-com:office:smarttags" w:element="place">
          <w:r w:rsidRPr="009F0C02">
            <w:t>New Zealand</w:t>
          </w:r>
        </w:smartTag>
      </w:smartTag>
      <w:r>
        <w:rPr>
          <w:rStyle w:val="FootnoteReference"/>
          <w:rFonts w:cs="Arial"/>
          <w:bCs/>
          <w:color w:val="000000"/>
          <w:sz w:val="20"/>
          <w:szCs w:val="20"/>
        </w:rPr>
        <w:footnoteReference w:id="31"/>
      </w:r>
      <w:r w:rsidRPr="009F0C02">
        <w:t xml:space="preserve"> </w:t>
      </w:r>
    </w:p>
    <w:p w14:paraId="31C86A69" w14:textId="77777777" w:rsidR="00544D9F" w:rsidRDefault="00544D9F" w:rsidP="002C6BDF">
      <w:r>
        <w:t xml:space="preserve">The reforms of the 1990s also resulted in the separation of needs assessment from service provision, more choice between providers </w:t>
      </w:r>
      <w:r w:rsidR="00E45B2A">
        <w:t xml:space="preserve">as a result of more providers entering the market </w:t>
      </w:r>
      <w:r>
        <w:t xml:space="preserve">and health and disability services consumer protection legislation.  </w:t>
      </w:r>
    </w:p>
    <w:p w14:paraId="70A705A0" w14:textId="77777777" w:rsidR="00544D9F" w:rsidRDefault="00544D9F" w:rsidP="002C6BDF">
      <w:r w:rsidRPr="00930CE5">
        <w:t xml:space="preserve">District Health Boards and primary care networks provide medical care which DHBs fund. Disability service providers are rarely involved in providing para-medical supports to disability service users. Disability service providers tend </w:t>
      </w:r>
      <w:r w:rsidRPr="00930CE5">
        <w:lastRenderedPageBreak/>
        <w:t>not to have in-house medical, paramedical or therapy supports. A small number of service providers, who are mainly operating ID residential services, do have in-house psychologists.</w:t>
      </w:r>
    </w:p>
    <w:p w14:paraId="528FAFE7" w14:textId="77777777" w:rsidR="00544D9F" w:rsidRDefault="00544D9F" w:rsidP="002C6BDF">
      <w:r>
        <w:t>A distinction between health needs</w:t>
      </w:r>
      <w:r w:rsidRPr="00B93C21">
        <w:t xml:space="preserve"> </w:t>
      </w:r>
      <w:r>
        <w:t xml:space="preserve">and disability support needs exists in the assessment of needs for disability support services as operated by </w:t>
      </w:r>
      <w:r w:rsidR="008E3292">
        <w:t>Needs Assessment and Service Coordination (</w:t>
      </w:r>
      <w:r>
        <w:t>NASC</w:t>
      </w:r>
      <w:r w:rsidR="008E3292">
        <w:t>)</w:t>
      </w:r>
      <w:r>
        <w:t xml:space="preserve">. </w:t>
      </w:r>
      <w:r w:rsidR="00486E1A">
        <w:t xml:space="preserve">A </w:t>
      </w:r>
      <w:r w:rsidR="00926A10">
        <w:t xml:space="preserve">NASC assessment is </w:t>
      </w:r>
      <w:r w:rsidR="00486E1A">
        <w:t xml:space="preserve">"facilitated assessment" </w:t>
      </w:r>
      <w:r w:rsidR="00926A10">
        <w:t xml:space="preserve">generally conducted by someone with a social worker-type qualification and is focused on social </w:t>
      </w:r>
      <w:r w:rsidR="00486E1A">
        <w:t xml:space="preserve">and personal needs. People with complex conditions may be referred by get </w:t>
      </w:r>
      <w:r w:rsidR="00D2713D">
        <w:t>further</w:t>
      </w:r>
      <w:r w:rsidR="00486E1A">
        <w:t xml:space="preserve"> medical or diagnostic assessment</w:t>
      </w:r>
      <w:r w:rsidR="00D2713D">
        <w:t>s</w:t>
      </w:r>
      <w:r w:rsidR="00486E1A">
        <w:t xml:space="preserve"> or referred to </w:t>
      </w:r>
      <w:r w:rsidR="00D2713D">
        <w:t xml:space="preserve">the </w:t>
      </w:r>
      <w:r w:rsidR="00486E1A">
        <w:t xml:space="preserve">MoH's </w:t>
      </w:r>
      <w:r w:rsidR="00486E1A" w:rsidRPr="00486E1A">
        <w:t xml:space="preserve">Assessment Treatment and Rehabilitation (AT&amp;R) </w:t>
      </w:r>
      <w:r w:rsidR="00486E1A">
        <w:t xml:space="preserve">service where appropriate. </w:t>
      </w:r>
      <w:r w:rsidR="004328CC">
        <w:t xml:space="preserve"> Some commentators stressed the need for improved co-ordination of these separate assessments processes. </w:t>
      </w:r>
    </w:p>
    <w:p w14:paraId="6D5C1698" w14:textId="77777777" w:rsidR="00544D9F" w:rsidRDefault="00D3776B" w:rsidP="00C13592">
      <w:pPr>
        <w:pStyle w:val="Heading2"/>
        <w:spacing w:line="240" w:lineRule="auto"/>
        <w:rPr>
          <w:rFonts w:ascii="Arial" w:hAnsi="Arial"/>
        </w:rPr>
      </w:pPr>
      <w:bookmarkStart w:id="51" w:name="_Toc250627442"/>
      <w:bookmarkStart w:id="52" w:name="_Toc250627753"/>
      <w:bookmarkStart w:id="53" w:name="_Toc250627931"/>
      <w:bookmarkStart w:id="54" w:name="_Toc252539368"/>
      <w:bookmarkStart w:id="55" w:name="_Toc290886620"/>
      <w:r>
        <w:t>4</w:t>
      </w:r>
      <w:r w:rsidR="00544D9F">
        <w:t>.3 Housing</w:t>
      </w:r>
      <w:bookmarkEnd w:id="51"/>
      <w:bookmarkEnd w:id="52"/>
      <w:bookmarkEnd w:id="53"/>
      <w:bookmarkEnd w:id="54"/>
      <w:bookmarkEnd w:id="55"/>
      <w:r w:rsidR="00544D9F">
        <w:t xml:space="preserve"> </w:t>
      </w:r>
    </w:p>
    <w:p w14:paraId="00DBB1B8" w14:textId="77777777" w:rsidR="00544D9F" w:rsidRDefault="00544D9F" w:rsidP="00544D9F">
      <w:pPr>
        <w:autoSpaceDE w:val="0"/>
        <w:autoSpaceDN w:val="0"/>
        <w:adjustRightInd w:val="0"/>
        <w:rPr>
          <w:rFonts w:cs="Arial"/>
        </w:rPr>
      </w:pPr>
      <w:r w:rsidRPr="00F07D11">
        <w:rPr>
          <w:rFonts w:cs="Arial"/>
        </w:rPr>
        <w:t>As mentioned above the vast majority of people with disabilities l</w:t>
      </w:r>
      <w:r w:rsidR="00BF6E87">
        <w:rPr>
          <w:rFonts w:cs="Arial"/>
        </w:rPr>
        <w:t>ive in private households. Just under 28,000 people (out of 716,0</w:t>
      </w:r>
      <w:r w:rsidRPr="00F07D11">
        <w:rPr>
          <w:rFonts w:cs="Arial"/>
        </w:rPr>
        <w:t xml:space="preserve">00 with a disability) are in </w:t>
      </w:r>
      <w:r w:rsidRPr="0004343E">
        <w:rPr>
          <w:rFonts w:cs="Arial"/>
        </w:rPr>
        <w:t>receipt of residential support services</w:t>
      </w:r>
      <w:r>
        <w:rPr>
          <w:rStyle w:val="FootnoteReference"/>
          <w:rFonts w:cs="Arial"/>
        </w:rPr>
        <w:footnoteReference w:id="32"/>
      </w:r>
      <w:r w:rsidRPr="00F07D11">
        <w:rPr>
          <w:rFonts w:cs="Arial"/>
        </w:rPr>
        <w:t xml:space="preserve">. </w:t>
      </w:r>
      <w:r w:rsidR="00BF6E87">
        <w:rPr>
          <w:rFonts w:cs="Arial"/>
        </w:rPr>
        <w:t>Of this 28,000 people</w:t>
      </w:r>
      <w:r w:rsidR="00486E1A">
        <w:rPr>
          <w:rFonts w:cs="Arial"/>
        </w:rPr>
        <w:t>,</w:t>
      </w:r>
      <w:r w:rsidR="00BF6E87">
        <w:rPr>
          <w:rFonts w:cs="Arial"/>
        </w:rPr>
        <w:t xml:space="preserve"> 7</w:t>
      </w:r>
      <w:r w:rsidR="00486E1A">
        <w:rPr>
          <w:rFonts w:cs="Arial"/>
        </w:rPr>
        <w:t>,</w:t>
      </w:r>
      <w:r w:rsidR="00BF6E87">
        <w:rPr>
          <w:rFonts w:cs="Arial"/>
        </w:rPr>
        <w:t xml:space="preserve">000 are aged under 64. </w:t>
      </w:r>
      <w:r w:rsidRPr="00F07D11">
        <w:rPr>
          <w:rFonts w:cs="Arial"/>
        </w:rPr>
        <w:t xml:space="preserve">The Ministry </w:t>
      </w:r>
      <w:r>
        <w:rPr>
          <w:rFonts w:cs="Arial"/>
        </w:rPr>
        <w:t>of</w:t>
      </w:r>
      <w:r w:rsidRPr="00F07D11">
        <w:rPr>
          <w:rFonts w:cs="Arial"/>
        </w:rPr>
        <w:t xml:space="preserve"> Health funds housing modifications for those assessed as requiring such modifications</w:t>
      </w:r>
      <w:r>
        <w:rPr>
          <w:rFonts w:cs="Arial"/>
        </w:rPr>
        <w:t xml:space="preserve"> ranging from minor adaptations to structural changes depending on assessed need</w:t>
      </w:r>
      <w:r w:rsidRPr="00F07D11">
        <w:rPr>
          <w:rFonts w:cs="Arial"/>
        </w:rPr>
        <w:t>. Housing New Zealand Corporation (HNZC)</w:t>
      </w:r>
      <w:r>
        <w:rPr>
          <w:rFonts w:cs="Arial"/>
        </w:rPr>
        <w:t>,</w:t>
      </w:r>
      <w:r w:rsidRPr="00F07D11">
        <w:rPr>
          <w:rFonts w:cs="Arial"/>
        </w:rPr>
        <w:t xml:space="preserve"> the mainstream housing agency</w:t>
      </w:r>
      <w:r>
        <w:rPr>
          <w:rFonts w:cs="Arial"/>
        </w:rPr>
        <w:t>,</w:t>
      </w:r>
      <w:r w:rsidRPr="00F07D11">
        <w:rPr>
          <w:rFonts w:cs="Arial"/>
        </w:rPr>
        <w:t xml:space="preserve"> provides housing supports to people on low incomes including people with disabilities. The HNZC also operates the </w:t>
      </w:r>
      <w:r w:rsidRPr="00F07D11">
        <w:rPr>
          <w:rFonts w:cs="Arial"/>
          <w:bCs/>
        </w:rPr>
        <w:t>Suitable Homes Service</w:t>
      </w:r>
      <w:r w:rsidRPr="00F07D11">
        <w:rPr>
          <w:rFonts w:cs="Arial"/>
          <w:b/>
          <w:bCs/>
        </w:rPr>
        <w:t xml:space="preserve"> </w:t>
      </w:r>
      <w:r w:rsidRPr="00F07D11">
        <w:rPr>
          <w:rFonts w:cs="Arial"/>
        </w:rPr>
        <w:t xml:space="preserve">to help people with physical disabilities into a modified home suitable for their requirements. </w:t>
      </w:r>
      <w:r>
        <w:rPr>
          <w:rFonts w:cs="Arial"/>
        </w:rPr>
        <w:t xml:space="preserve">A subsidiary unit of HNZC </w:t>
      </w:r>
      <w:r w:rsidRPr="00F07D11">
        <w:rPr>
          <w:rFonts w:cs="Arial"/>
        </w:rPr>
        <w:t>Community Group Housing (CGH) provides rental homes for organisations offering</w:t>
      </w:r>
      <w:r>
        <w:rPr>
          <w:rFonts w:cs="Arial"/>
        </w:rPr>
        <w:t xml:space="preserve"> </w:t>
      </w:r>
      <w:r w:rsidRPr="00F07D11">
        <w:rPr>
          <w:rFonts w:cs="Arial"/>
        </w:rPr>
        <w:t xml:space="preserve">housing accommodation within the </w:t>
      </w:r>
      <w:r>
        <w:rPr>
          <w:rFonts w:cs="Arial"/>
        </w:rPr>
        <w:t>community. G</w:t>
      </w:r>
      <w:r w:rsidRPr="00F07D11">
        <w:rPr>
          <w:rFonts w:cs="Arial"/>
        </w:rPr>
        <w:t>roups renting these properties</w:t>
      </w:r>
      <w:r>
        <w:rPr>
          <w:rFonts w:cs="Arial"/>
        </w:rPr>
        <w:t xml:space="preserve"> </w:t>
      </w:r>
      <w:r w:rsidRPr="00F07D11">
        <w:rPr>
          <w:rFonts w:cs="Arial"/>
        </w:rPr>
        <w:t xml:space="preserve">provide services for people with </w:t>
      </w:r>
      <w:r>
        <w:rPr>
          <w:rFonts w:cs="Arial"/>
        </w:rPr>
        <w:t>special health or welfare needs, 74% of their housing stock are used for people with disabilities</w:t>
      </w:r>
      <w:r>
        <w:rPr>
          <w:rStyle w:val="FootnoteReference"/>
          <w:rFonts w:cs="Arial"/>
        </w:rPr>
        <w:footnoteReference w:id="33"/>
      </w:r>
      <w:r>
        <w:rPr>
          <w:rFonts w:cs="Arial"/>
        </w:rPr>
        <w:t xml:space="preserve">. Some local authorities also have accessible houses in their housing stock. Low income people with disabilities are entitled to apply for housing from mainstream housing providers (HNZC and local authorities) though key informants noted that waiting lists for accessible housing were generally longer than waiting lists for those not requiring accessible housing. </w:t>
      </w:r>
    </w:p>
    <w:p w14:paraId="073D93EC" w14:textId="77777777" w:rsidR="00544D9F" w:rsidRDefault="00D3776B" w:rsidP="00C13592">
      <w:pPr>
        <w:pStyle w:val="Heading2"/>
        <w:spacing w:line="240" w:lineRule="auto"/>
        <w:rPr>
          <w:rFonts w:ascii="Arial" w:hAnsi="Arial"/>
        </w:rPr>
      </w:pPr>
      <w:bookmarkStart w:id="56" w:name="_Toc250627443"/>
      <w:bookmarkStart w:id="57" w:name="_Toc250627754"/>
      <w:bookmarkStart w:id="58" w:name="_Toc250627932"/>
      <w:bookmarkStart w:id="59" w:name="_Toc252539369"/>
      <w:bookmarkStart w:id="60" w:name="_Toc290886621"/>
      <w:r>
        <w:t>4</w:t>
      </w:r>
      <w:r w:rsidR="00544D9F">
        <w:t xml:space="preserve">.4 </w:t>
      </w:r>
      <w:r w:rsidR="00544D9F" w:rsidRPr="00951EB7">
        <w:t>Assessment and resource allocatio</w:t>
      </w:r>
      <w:r w:rsidR="00544D9F">
        <w:t>n</w:t>
      </w:r>
      <w:bookmarkEnd w:id="56"/>
      <w:bookmarkEnd w:id="57"/>
      <w:bookmarkEnd w:id="58"/>
      <w:bookmarkEnd w:id="59"/>
      <w:bookmarkEnd w:id="60"/>
      <w:r w:rsidR="00544D9F" w:rsidRPr="00951EB7">
        <w:rPr>
          <w:rFonts w:ascii="Arial" w:hAnsi="Arial"/>
        </w:rPr>
        <w:t xml:space="preserve"> </w:t>
      </w:r>
    </w:p>
    <w:p w14:paraId="6060816D" w14:textId="77777777" w:rsidR="00512BD1" w:rsidRDefault="00544D9F" w:rsidP="00544D9F">
      <w:pPr>
        <w:autoSpaceDE w:val="0"/>
        <w:autoSpaceDN w:val="0"/>
        <w:adjustRightInd w:val="0"/>
        <w:rPr>
          <w:rFonts w:cs="Arial"/>
        </w:rPr>
      </w:pPr>
      <w:r>
        <w:rPr>
          <w:rFonts w:cs="Arial"/>
        </w:rPr>
        <w:t>Access to disability services requires that a person is assessed by a Needs Assessment Service Coordination (NASC)</w:t>
      </w:r>
      <w:r w:rsidR="00D64E01">
        <w:rPr>
          <w:rFonts w:cs="Arial"/>
        </w:rPr>
        <w:t xml:space="preserve"> service</w:t>
      </w:r>
      <w:r>
        <w:rPr>
          <w:rFonts w:cs="Arial"/>
        </w:rPr>
        <w:t>.  The 15 NASC</w:t>
      </w:r>
      <w:r w:rsidR="008E3292">
        <w:rPr>
          <w:rFonts w:cs="Arial"/>
        </w:rPr>
        <w:t>s</w:t>
      </w:r>
      <w:r>
        <w:rPr>
          <w:rFonts w:cs="Arial"/>
        </w:rPr>
        <w:t xml:space="preserve"> are separate from service providers and each has a "defined indicative budget based upon an annual allocation" from which it allocates packages of care for </w:t>
      </w:r>
      <w:r>
        <w:rPr>
          <w:rFonts w:cs="Arial"/>
        </w:rPr>
        <w:lastRenderedPageBreak/>
        <w:t>people with disabilities</w:t>
      </w:r>
      <w:r>
        <w:rPr>
          <w:rStyle w:val="FootnoteReference"/>
          <w:rFonts w:cs="Arial"/>
        </w:rPr>
        <w:footnoteReference w:id="34"/>
      </w:r>
      <w:r w:rsidRPr="00D36A02">
        <w:rPr>
          <w:rFonts w:cs="Arial"/>
        </w:rPr>
        <w:t xml:space="preserve">. </w:t>
      </w:r>
      <w:r>
        <w:rPr>
          <w:rFonts w:cs="Arial"/>
        </w:rPr>
        <w:t>In 2002 the Ministry of Health published guidelines on assessment and service c</w:t>
      </w:r>
      <w:r w:rsidRPr="00D36A02">
        <w:rPr>
          <w:rFonts w:cs="Arial"/>
        </w:rPr>
        <w:t>o-ordination</w:t>
      </w:r>
      <w:r>
        <w:rPr>
          <w:rStyle w:val="FootnoteReference"/>
          <w:rFonts w:cs="Arial"/>
        </w:rPr>
        <w:footnoteReference w:id="35"/>
      </w:r>
      <w:r>
        <w:rPr>
          <w:rFonts w:cs="Arial"/>
        </w:rPr>
        <w:t xml:space="preserve"> which included directions on </w:t>
      </w:r>
      <w:r w:rsidRPr="00A20443">
        <w:rPr>
          <w:rFonts w:cs="Arial"/>
        </w:rPr>
        <w:t>regarding resource allocation and prioritisation as a function of service coordination</w:t>
      </w:r>
      <w:r w:rsidR="00CF7FF9">
        <w:rPr>
          <w:rFonts w:cs="Arial"/>
        </w:rPr>
        <w:t>. The guidelines include</w:t>
      </w:r>
      <w:r>
        <w:rPr>
          <w:rFonts w:cs="Arial"/>
        </w:rPr>
        <w:t xml:space="preserve"> a </w:t>
      </w:r>
      <w:r w:rsidRPr="00A20443">
        <w:rPr>
          <w:rFonts w:cs="Arial"/>
        </w:rPr>
        <w:t>“Support Package Allocation Tool”</w:t>
      </w:r>
      <w:r>
        <w:rPr>
          <w:rFonts w:cs="Arial"/>
        </w:rPr>
        <w:t xml:space="preserve"> to assist NASCs </w:t>
      </w:r>
      <w:r w:rsidR="00CF7FF9">
        <w:rPr>
          <w:rFonts w:cs="Arial"/>
        </w:rPr>
        <w:t xml:space="preserve">to </w:t>
      </w:r>
      <w:r>
        <w:rPr>
          <w:rFonts w:cs="Arial"/>
        </w:rPr>
        <w:t>standardise their allocations.</w:t>
      </w:r>
      <w:r w:rsidR="00CF7FF9">
        <w:rPr>
          <w:rFonts w:cs="Arial"/>
        </w:rPr>
        <w:t xml:space="preserve"> </w:t>
      </w:r>
      <w:r w:rsidR="00512BD1">
        <w:rPr>
          <w:rFonts w:cs="Arial"/>
        </w:rPr>
        <w:t xml:space="preserve">This tool is a relatively simple framework for linking levels of assessed need to five support package bands. </w:t>
      </w:r>
    </w:p>
    <w:p w14:paraId="71521CE1" w14:textId="77777777" w:rsidR="00544D9F" w:rsidRDefault="00486E1A" w:rsidP="00A6263C">
      <w:pPr>
        <w:autoSpaceDE w:val="0"/>
        <w:autoSpaceDN w:val="0"/>
        <w:adjustRightInd w:val="0"/>
        <w:spacing w:after="120"/>
        <w:rPr>
          <w:rFonts w:cs="Arial"/>
        </w:rPr>
      </w:pPr>
      <w:r>
        <w:rPr>
          <w:rFonts w:cs="Arial"/>
        </w:rPr>
        <w:t>The NASC</w:t>
      </w:r>
      <w:r w:rsidR="00544D9F">
        <w:rPr>
          <w:rFonts w:cs="Arial"/>
        </w:rPr>
        <w:t>s</w:t>
      </w:r>
      <w:r>
        <w:rPr>
          <w:rFonts w:cs="Arial"/>
        </w:rPr>
        <w:t>'</w:t>
      </w:r>
      <w:r w:rsidR="00544D9F">
        <w:rPr>
          <w:rFonts w:cs="Arial"/>
        </w:rPr>
        <w:t xml:space="preserve"> assessment and service coordination role will be discussed in more detail below. However, </w:t>
      </w:r>
      <w:r w:rsidR="0081168E">
        <w:rPr>
          <w:rFonts w:cs="Arial"/>
        </w:rPr>
        <w:t>it is</w:t>
      </w:r>
      <w:r w:rsidR="00544D9F">
        <w:rPr>
          <w:rFonts w:cs="Arial"/>
        </w:rPr>
        <w:t xml:space="preserve"> important to note is that NAS</w:t>
      </w:r>
      <w:r>
        <w:rPr>
          <w:rFonts w:cs="Arial"/>
        </w:rPr>
        <w:t>C</w:t>
      </w:r>
      <w:r w:rsidR="00544D9F">
        <w:rPr>
          <w:rFonts w:cs="Arial"/>
        </w:rPr>
        <w:t>s perform a budget management or gatekeeping role rather than a budg</w:t>
      </w:r>
      <w:r w:rsidR="00037DE4">
        <w:rPr>
          <w:rFonts w:cs="Arial"/>
        </w:rPr>
        <w:t>et holding service. As Bray put</w:t>
      </w:r>
      <w:r w:rsidR="00544D9F">
        <w:rPr>
          <w:rFonts w:cs="Arial"/>
        </w:rPr>
        <w:t xml:space="preserve"> it: </w:t>
      </w:r>
    </w:p>
    <w:p w14:paraId="762AEA02" w14:textId="77777777" w:rsidR="00544D9F" w:rsidRDefault="00544D9F" w:rsidP="00A6263C">
      <w:pPr>
        <w:pStyle w:val="BlockQuote"/>
        <w:spacing w:after="240"/>
      </w:pPr>
      <w:r w:rsidRPr="005C1737">
        <w:t>While the MOH decides on the available budget for services, NASC services (through service coordination) are responsible for resource allocation for each disabled person</w:t>
      </w:r>
      <w:r>
        <w:rPr>
          <w:rStyle w:val="FootnoteReference"/>
          <w:rFonts w:cs="Arial"/>
          <w:sz w:val="20"/>
          <w:szCs w:val="20"/>
        </w:rPr>
        <w:footnoteReference w:id="36"/>
      </w:r>
    </w:p>
    <w:p w14:paraId="67603BBF" w14:textId="77777777" w:rsidR="00544D9F" w:rsidRDefault="00544D9F" w:rsidP="00544D9F">
      <w:pPr>
        <w:autoSpaceDE w:val="0"/>
        <w:autoSpaceDN w:val="0"/>
        <w:adjustRightInd w:val="0"/>
        <w:rPr>
          <w:rFonts w:cs="Arial"/>
        </w:rPr>
      </w:pPr>
      <w:r>
        <w:rPr>
          <w:rFonts w:cs="Arial"/>
        </w:rPr>
        <w:t>While providers have a contract with the Ministry of Health detailing their commitments regarding their requirements to deliver according to service specifications and standards</w:t>
      </w:r>
      <w:r w:rsidR="00F458E1">
        <w:rPr>
          <w:rFonts w:cs="Arial"/>
        </w:rPr>
        <w:t>,</w:t>
      </w:r>
      <w:r>
        <w:rPr>
          <w:rFonts w:cs="Arial"/>
        </w:rPr>
        <w:t xml:space="preserve"> they receive funding on the basis of the number service users allocated to their services by NASCs. </w:t>
      </w:r>
      <w:r w:rsidRPr="00CE03EC">
        <w:rPr>
          <w:rFonts w:cs="Arial"/>
        </w:rPr>
        <w:t xml:space="preserve"> </w:t>
      </w:r>
      <w:r>
        <w:rPr>
          <w:rFonts w:cs="Arial"/>
        </w:rPr>
        <w:t>NASCs' capacity to direct disability service users to certain providers rather than others gives them the de facto power to direct where funding goes. Funding therefore follows the service user.</w:t>
      </w:r>
      <w:r w:rsidR="00CC1B5C">
        <w:rPr>
          <w:rFonts w:cs="Arial"/>
        </w:rPr>
        <w:t xml:space="preserve"> Some </w:t>
      </w:r>
      <w:r w:rsidR="00153414">
        <w:rPr>
          <w:rFonts w:cs="Arial"/>
        </w:rPr>
        <w:t>commentators have noted that the limited number of providers in a given area that have a contract with the Ministry of Health sets limits on the amount of choice available to people with disabilities.</w:t>
      </w:r>
    </w:p>
    <w:p w14:paraId="71E0F350" w14:textId="77777777" w:rsidR="00544D9F" w:rsidRDefault="00D3776B" w:rsidP="00C13592">
      <w:pPr>
        <w:pStyle w:val="Heading2"/>
        <w:spacing w:line="240" w:lineRule="auto"/>
        <w:rPr>
          <w:rFonts w:ascii="Arial" w:hAnsi="Arial"/>
          <w:i/>
        </w:rPr>
      </w:pPr>
      <w:bookmarkStart w:id="61" w:name="_Toc250627444"/>
      <w:bookmarkStart w:id="62" w:name="_Toc250627755"/>
      <w:bookmarkStart w:id="63" w:name="_Toc250627933"/>
      <w:bookmarkStart w:id="64" w:name="_Toc252539370"/>
      <w:bookmarkStart w:id="65" w:name="_Toc290886622"/>
      <w:r>
        <w:t>4</w:t>
      </w:r>
      <w:r w:rsidR="00544D9F">
        <w:t>.5 Care Support for people with disabilities</w:t>
      </w:r>
      <w:bookmarkEnd w:id="61"/>
      <w:bookmarkEnd w:id="62"/>
      <w:bookmarkEnd w:id="63"/>
      <w:bookmarkEnd w:id="64"/>
      <w:bookmarkEnd w:id="65"/>
    </w:p>
    <w:p w14:paraId="5DE3379A" w14:textId="77777777" w:rsidR="00544D9F" w:rsidRDefault="00544D9F" w:rsidP="00544D9F">
      <w:pPr>
        <w:rPr>
          <w:rFonts w:cs="Arial"/>
        </w:rPr>
      </w:pPr>
      <w:r>
        <w:rPr>
          <w:rFonts w:cs="Arial"/>
        </w:rPr>
        <w:t xml:space="preserve">According to the 2001 </w:t>
      </w:r>
      <w:r w:rsidR="00486E1A">
        <w:rPr>
          <w:rFonts w:cs="Arial"/>
        </w:rPr>
        <w:t>D</w:t>
      </w:r>
      <w:r>
        <w:rPr>
          <w:rFonts w:cs="Arial"/>
        </w:rPr>
        <w:t xml:space="preserve">isability Survey </w:t>
      </w:r>
      <w:r w:rsidR="00F458E1">
        <w:rPr>
          <w:rFonts w:cs="Arial"/>
        </w:rPr>
        <w:t>8</w:t>
      </w:r>
      <w:r>
        <w:rPr>
          <w:rFonts w:cs="Arial"/>
        </w:rPr>
        <w:t>%</w:t>
      </w:r>
      <w:r w:rsidR="00F458E1">
        <w:rPr>
          <w:rFonts w:cs="Arial"/>
        </w:rPr>
        <w:t xml:space="preserve"> </w:t>
      </w:r>
      <w:r w:rsidRPr="0090718B">
        <w:rPr>
          <w:rFonts w:cs="Arial"/>
        </w:rPr>
        <w:t>of adults with disability, an estimated 50,600 people, received home support services or the money to pay for such services from a government agency</w:t>
      </w:r>
      <w:r>
        <w:rPr>
          <w:rFonts w:cs="Arial"/>
        </w:rPr>
        <w:t xml:space="preserve"> in the previous 12 months</w:t>
      </w:r>
      <w:r w:rsidRPr="0090718B">
        <w:rPr>
          <w:rFonts w:cs="Arial"/>
        </w:rPr>
        <w:t>.</w:t>
      </w:r>
      <w:r>
        <w:rPr>
          <w:rFonts w:cs="Arial"/>
        </w:rPr>
        <w:t xml:space="preserve"> Older adults with disabilities were most likely to receive government funded home support. </w:t>
      </w:r>
      <w:r w:rsidRPr="0090718B">
        <w:rPr>
          <w:rFonts w:cs="Arial"/>
        </w:rPr>
        <w:t xml:space="preserve">Adults with disability aged 75-84 and 85 and over were more likely than younger adults with disability to receive </w:t>
      </w:r>
      <w:r>
        <w:rPr>
          <w:rFonts w:cs="Arial"/>
        </w:rPr>
        <w:t xml:space="preserve">government funded home support - </w:t>
      </w:r>
      <w:r w:rsidR="00037DE4">
        <w:rPr>
          <w:rFonts w:cs="Arial"/>
        </w:rPr>
        <w:t>18% and 26</w:t>
      </w:r>
      <w:r>
        <w:rPr>
          <w:rFonts w:cs="Arial"/>
        </w:rPr>
        <w:t xml:space="preserve">% respectively. 20% </w:t>
      </w:r>
      <w:r w:rsidRPr="0090718B">
        <w:rPr>
          <w:rFonts w:cs="Arial"/>
        </w:rPr>
        <w:t>of adults with severe disability received government-funded</w:t>
      </w:r>
      <w:r w:rsidR="00F458E1">
        <w:rPr>
          <w:rFonts w:cs="Arial"/>
        </w:rPr>
        <w:t xml:space="preserve"> home support, compared with 12% </w:t>
      </w:r>
      <w:r w:rsidRPr="0090718B">
        <w:rPr>
          <w:rFonts w:cs="Arial"/>
        </w:rPr>
        <w:t>of adults</w:t>
      </w:r>
      <w:r w:rsidR="00F458E1">
        <w:rPr>
          <w:rFonts w:cs="Arial"/>
        </w:rPr>
        <w:t xml:space="preserve"> with moderate disability and 1%</w:t>
      </w:r>
      <w:r w:rsidRPr="0090718B">
        <w:rPr>
          <w:rFonts w:cs="Arial"/>
        </w:rPr>
        <w:t xml:space="preserve"> of adults with mild disability</w:t>
      </w:r>
      <w:r>
        <w:rPr>
          <w:rStyle w:val="FootnoteReference"/>
          <w:rFonts w:cs="Arial"/>
        </w:rPr>
        <w:footnoteReference w:id="37"/>
      </w:r>
      <w:r>
        <w:rPr>
          <w:rFonts w:cs="Arial"/>
        </w:rPr>
        <w:t>.</w:t>
      </w:r>
    </w:p>
    <w:p w14:paraId="70D8EC61" w14:textId="77777777" w:rsidR="00544D9F" w:rsidRDefault="00544D9F" w:rsidP="00544D9F">
      <w:pPr>
        <w:rPr>
          <w:rFonts w:cs="Arial"/>
        </w:rPr>
      </w:pPr>
      <w:r>
        <w:rPr>
          <w:rFonts w:cs="Arial"/>
        </w:rPr>
        <w:lastRenderedPageBreak/>
        <w:t>The 2004 Service Users Survey showed that o</w:t>
      </w:r>
      <w:r w:rsidRPr="00B541B9">
        <w:rPr>
          <w:rFonts w:cs="Arial"/>
        </w:rPr>
        <w:t>ver two third</w:t>
      </w:r>
      <w:r>
        <w:rPr>
          <w:rFonts w:cs="Arial"/>
        </w:rPr>
        <w:t>s</w:t>
      </w:r>
      <w:r w:rsidRPr="00B541B9">
        <w:rPr>
          <w:rFonts w:cs="Arial"/>
        </w:rPr>
        <w:t xml:space="preserve"> of </w:t>
      </w:r>
      <w:r>
        <w:rPr>
          <w:rFonts w:cs="Arial"/>
        </w:rPr>
        <w:t>people</w:t>
      </w:r>
      <w:r w:rsidRPr="00B541B9">
        <w:rPr>
          <w:rFonts w:cs="Arial"/>
        </w:rPr>
        <w:t xml:space="preserve"> </w:t>
      </w:r>
      <w:r>
        <w:rPr>
          <w:rFonts w:cs="Arial"/>
        </w:rPr>
        <w:t xml:space="preserve">with disabilities </w:t>
      </w:r>
      <w:r w:rsidRPr="00B541B9">
        <w:rPr>
          <w:rFonts w:cs="Arial"/>
        </w:rPr>
        <w:t xml:space="preserve">receiving </w:t>
      </w:r>
      <w:r w:rsidR="00F458E1">
        <w:rPr>
          <w:rFonts w:cs="Arial"/>
        </w:rPr>
        <w:t xml:space="preserve">a </w:t>
      </w:r>
      <w:r>
        <w:rPr>
          <w:rFonts w:cs="Arial"/>
        </w:rPr>
        <w:t xml:space="preserve">service funded by the Ministry of Health were receiving a non-residential service. By far the biggest component of this service is domestic assistance and personal care which was delivered to </w:t>
      </w:r>
      <w:r w:rsidR="00037DE4">
        <w:rPr>
          <w:rFonts w:cs="Arial"/>
        </w:rPr>
        <w:t xml:space="preserve">over 50,400 </w:t>
      </w:r>
      <w:r>
        <w:rPr>
          <w:rFonts w:cs="Arial"/>
        </w:rPr>
        <w:t xml:space="preserve">people with disabilities in 2004. On average people received 7.2 domestic assistance and personal care hours a week (5.1 </w:t>
      </w:r>
      <w:r w:rsidR="00D64E01">
        <w:rPr>
          <w:rFonts w:cs="Arial"/>
        </w:rPr>
        <w:t xml:space="preserve">hours </w:t>
      </w:r>
      <w:r>
        <w:rPr>
          <w:rFonts w:cs="Arial"/>
        </w:rPr>
        <w:t>was the average alloc</w:t>
      </w:r>
      <w:r w:rsidR="00046914">
        <w:rPr>
          <w:rFonts w:cs="Arial"/>
        </w:rPr>
        <w:t>ation of domestic assistance oand</w:t>
      </w:r>
      <w:r>
        <w:rPr>
          <w:rFonts w:cs="Arial"/>
        </w:rPr>
        <w:t xml:space="preserve">13 hours was the average allocation </w:t>
      </w:r>
      <w:r w:rsidR="00F458E1">
        <w:rPr>
          <w:rFonts w:cs="Arial"/>
        </w:rPr>
        <w:t xml:space="preserve">of </w:t>
      </w:r>
      <w:r>
        <w:rPr>
          <w:rFonts w:cs="Arial"/>
        </w:rPr>
        <w:t>personal care)</w:t>
      </w:r>
      <w:r>
        <w:rPr>
          <w:rStyle w:val="FootnoteReference"/>
          <w:rFonts w:cs="Arial"/>
        </w:rPr>
        <w:footnoteReference w:id="38"/>
      </w:r>
      <w:r>
        <w:rPr>
          <w:rFonts w:cs="Arial"/>
        </w:rPr>
        <w:t xml:space="preserve">. </w:t>
      </w:r>
    </w:p>
    <w:p w14:paraId="4CF1327C" w14:textId="77777777" w:rsidR="00544D9F" w:rsidRDefault="00544D9F" w:rsidP="00544D9F">
      <w:pPr>
        <w:rPr>
          <w:rFonts w:cs="Arial"/>
        </w:rPr>
      </w:pPr>
      <w:r>
        <w:rPr>
          <w:rFonts w:cs="Arial"/>
        </w:rPr>
        <w:t xml:space="preserve">A new service specification for these services now called </w:t>
      </w:r>
      <w:r w:rsidRPr="00763401">
        <w:rPr>
          <w:rFonts w:cs="Arial"/>
        </w:rPr>
        <w:t>Home and Community Support Services (HCSS)</w:t>
      </w:r>
      <w:r>
        <w:rPr>
          <w:rFonts w:cs="Arial"/>
        </w:rPr>
        <w:t xml:space="preserve"> was published in 2008</w:t>
      </w:r>
      <w:r>
        <w:rPr>
          <w:rStyle w:val="FootnoteReference"/>
          <w:rFonts w:cs="Arial"/>
        </w:rPr>
        <w:footnoteReference w:id="39"/>
      </w:r>
      <w:r>
        <w:rPr>
          <w:rFonts w:cs="Arial"/>
        </w:rPr>
        <w:t xml:space="preserve">. HCSS is delivered primarily by not-for-profit and some for-profit agencies, some of which are disability specific and others cater for a range of people requiring assistance in their home. </w:t>
      </w:r>
      <w:r w:rsidRPr="00CB1B97">
        <w:rPr>
          <w:rFonts w:cs="Arial"/>
        </w:rPr>
        <w:t xml:space="preserve">This </w:t>
      </w:r>
      <w:r>
        <w:rPr>
          <w:rFonts w:cs="Arial"/>
        </w:rPr>
        <w:t>2008</w:t>
      </w:r>
      <w:r w:rsidRPr="00CB1B97">
        <w:rPr>
          <w:rFonts w:cs="Arial"/>
        </w:rPr>
        <w:t xml:space="preserve"> service specification allows for a set number of hours of</w:t>
      </w:r>
      <w:r>
        <w:rPr>
          <w:rFonts w:cs="Arial"/>
        </w:rPr>
        <w:t xml:space="preserve"> </w:t>
      </w:r>
      <w:r w:rsidRPr="00CB1B97">
        <w:rPr>
          <w:rFonts w:cs="Arial"/>
        </w:rPr>
        <w:t>‘core services’ (i.e. essential for maintaining health and safety), and additional</w:t>
      </w:r>
      <w:r>
        <w:rPr>
          <w:rFonts w:cs="Arial"/>
        </w:rPr>
        <w:t xml:space="preserve"> </w:t>
      </w:r>
      <w:r w:rsidRPr="00CB1B97">
        <w:rPr>
          <w:rFonts w:cs="Arial"/>
        </w:rPr>
        <w:t>‘flexible’ hours that a person can choose to use to support activities that are important</w:t>
      </w:r>
      <w:r>
        <w:rPr>
          <w:rFonts w:cs="Arial"/>
        </w:rPr>
        <w:t xml:space="preserve"> </w:t>
      </w:r>
      <w:r w:rsidRPr="00CB1B97">
        <w:rPr>
          <w:rFonts w:cs="Arial"/>
        </w:rPr>
        <w:t>to them, such as leisure or cultural pursuits</w:t>
      </w:r>
      <w:r>
        <w:rPr>
          <w:rStyle w:val="FootnoteReference"/>
          <w:rFonts w:cs="Arial"/>
        </w:rPr>
        <w:footnoteReference w:id="40"/>
      </w:r>
      <w:r w:rsidRPr="00CB1B97">
        <w:rPr>
          <w:rFonts w:cs="Arial"/>
        </w:rPr>
        <w:t>.</w:t>
      </w:r>
    </w:p>
    <w:p w14:paraId="5C2A9297" w14:textId="77777777" w:rsidR="00544D9F" w:rsidRPr="0078116A" w:rsidRDefault="00D3776B" w:rsidP="00C13592">
      <w:pPr>
        <w:pStyle w:val="Heading2"/>
        <w:spacing w:line="240" w:lineRule="auto"/>
        <w:rPr>
          <w:rFonts w:ascii="Arial" w:hAnsi="Arial"/>
        </w:rPr>
      </w:pPr>
      <w:bookmarkStart w:id="66" w:name="_Toc250627445"/>
      <w:bookmarkStart w:id="67" w:name="_Toc250627756"/>
      <w:bookmarkStart w:id="68" w:name="_Toc250627934"/>
      <w:bookmarkStart w:id="69" w:name="_Toc252539371"/>
      <w:bookmarkStart w:id="70" w:name="_Toc290886623"/>
      <w:r>
        <w:t>4</w:t>
      </w:r>
      <w:r w:rsidR="00544D9F">
        <w:t xml:space="preserve">.6 </w:t>
      </w:r>
      <w:r w:rsidR="00544D9F" w:rsidRPr="0078116A">
        <w:t>Respite and Carer Supports</w:t>
      </w:r>
      <w:bookmarkEnd w:id="66"/>
      <w:bookmarkEnd w:id="67"/>
      <w:bookmarkEnd w:id="68"/>
      <w:bookmarkEnd w:id="69"/>
      <w:bookmarkEnd w:id="70"/>
    </w:p>
    <w:p w14:paraId="684698FF" w14:textId="77777777" w:rsidR="00544D9F" w:rsidRDefault="00544D9F" w:rsidP="00544D9F">
      <w:r>
        <w:t>According to the 2001 Disability Survey, o</w:t>
      </w:r>
      <w:r w:rsidRPr="006821AA">
        <w:t>f the estimated 108,000 adults with disability who had someone helping or looking af</w:t>
      </w:r>
      <w:r w:rsidR="00F3124A">
        <w:t>ter them because of disability,</w:t>
      </w:r>
      <w:r w:rsidR="00F458E1">
        <w:t xml:space="preserve"> </w:t>
      </w:r>
      <w:r w:rsidR="00037DE4">
        <w:t>just over 9</w:t>
      </w:r>
      <w:r w:rsidR="00046914">
        <w:t>,</w:t>
      </w:r>
      <w:r w:rsidR="00037DE4">
        <w:t>0</w:t>
      </w:r>
      <w:r w:rsidR="00F458E1">
        <w:t>00 or 8</w:t>
      </w:r>
      <w:r>
        <w:t>% had received financial help from a government agency in the previous 12 months to pay for respite care. This included an estimated 5</w:t>
      </w:r>
      <w:r w:rsidR="00046914">
        <w:t>,</w:t>
      </w:r>
      <w:r>
        <w:t>900 adults with severe disability. In terms of disability type, adults with intellectual disability (14</w:t>
      </w:r>
      <w:r w:rsidR="00F458E1">
        <w:t>%</w:t>
      </w:r>
      <w:r>
        <w:t>) were the most likely to have received financial help from a government agency for respite care</w:t>
      </w:r>
      <w:r>
        <w:rPr>
          <w:rStyle w:val="FootnoteReference"/>
        </w:rPr>
        <w:footnoteReference w:id="41"/>
      </w:r>
      <w:r w:rsidR="00037DE4">
        <w:t>. An estimated 10,300 or 10</w:t>
      </w:r>
      <w:r>
        <w:t xml:space="preserve">% (of the </w:t>
      </w:r>
      <w:r w:rsidRPr="006821AA">
        <w:t>108,000 adults</w:t>
      </w:r>
      <w:r>
        <w:t>) reported an unmet need for respite care in the previous 12 mont</w:t>
      </w:r>
      <w:r w:rsidR="00F458E1">
        <w:t xml:space="preserve">hs. This is the equivalent of 2% </w:t>
      </w:r>
      <w:r>
        <w:t>of all adults with disability. An estimated 8</w:t>
      </w:r>
      <w:r w:rsidR="00046914">
        <w:t>,</w:t>
      </w:r>
      <w:r>
        <w:t>000 ad</w:t>
      </w:r>
      <w:r w:rsidR="00F458E1">
        <w:t>ults with severe disability, 11%</w:t>
      </w:r>
      <w:r>
        <w:t xml:space="preserve"> of all adults with severe disability, reported an unmet need for respite care in the previous 12 months</w:t>
      </w:r>
      <w:r>
        <w:rPr>
          <w:rStyle w:val="FootnoteReference"/>
        </w:rPr>
        <w:footnoteReference w:id="42"/>
      </w:r>
      <w:r>
        <w:t xml:space="preserve">. </w:t>
      </w:r>
    </w:p>
    <w:p w14:paraId="77686F49" w14:textId="77777777" w:rsidR="00544D9F" w:rsidRDefault="00544D9F" w:rsidP="00544D9F">
      <w:pPr>
        <w:rPr>
          <w:rFonts w:cs="Arial"/>
        </w:rPr>
      </w:pPr>
      <w:r w:rsidRPr="006821AA">
        <w:rPr>
          <w:rFonts w:cs="Arial"/>
        </w:rPr>
        <w:lastRenderedPageBreak/>
        <w:t>Respite services are available via NASC assessment. The amount of respite support given depends on need and availability</w:t>
      </w:r>
      <w:r w:rsidRPr="006821AA">
        <w:rPr>
          <w:rStyle w:val="FootnoteReference"/>
          <w:rFonts w:cs="Arial"/>
        </w:rPr>
        <w:footnoteReference w:id="43"/>
      </w:r>
      <w:r w:rsidRPr="006821AA">
        <w:rPr>
          <w:rFonts w:cs="Arial"/>
        </w:rPr>
        <w:t>. There is a national Service Specification for disability respite supports</w:t>
      </w:r>
      <w:r>
        <w:rPr>
          <w:rStyle w:val="FootnoteReference"/>
          <w:rFonts w:cs="Arial"/>
        </w:rPr>
        <w:footnoteReference w:id="44"/>
      </w:r>
      <w:r w:rsidRPr="006821AA">
        <w:rPr>
          <w:rFonts w:cs="Arial"/>
        </w:rPr>
        <w:t>.</w:t>
      </w:r>
      <w:r>
        <w:rPr>
          <w:rFonts w:cs="Arial"/>
        </w:rPr>
        <w:t xml:space="preserve"> </w:t>
      </w:r>
    </w:p>
    <w:p w14:paraId="7C823EFF" w14:textId="77777777" w:rsidR="001E330B" w:rsidRDefault="00F458E1" w:rsidP="00544D9F">
      <w:pPr>
        <w:rPr>
          <w:rFonts w:cs="Arial"/>
        </w:rPr>
      </w:pPr>
      <w:r>
        <w:rPr>
          <w:rFonts w:cs="Arial"/>
        </w:rPr>
        <w:t xml:space="preserve">Carer support payments are </w:t>
      </w:r>
      <w:r w:rsidR="00544D9F" w:rsidRPr="00C51989">
        <w:rPr>
          <w:rFonts w:cs="Arial"/>
        </w:rPr>
        <w:t>available to people who provide full time (defined as more than four hours a day) non-paid care. Access to carer support payment is via NASC assessment. Friends, neighbours and some family members can receive carer support payments</w:t>
      </w:r>
      <w:r w:rsidR="00544D9F" w:rsidRPr="00C51989">
        <w:rPr>
          <w:rStyle w:val="FootnoteReference"/>
          <w:rFonts w:cs="Arial"/>
        </w:rPr>
        <w:footnoteReference w:id="45"/>
      </w:r>
      <w:r w:rsidR="00BA1D63">
        <w:rPr>
          <w:rFonts w:cs="Arial"/>
        </w:rPr>
        <w:t>.  Table 8</w:t>
      </w:r>
      <w:r w:rsidR="00544D9F" w:rsidRPr="00C51989">
        <w:rPr>
          <w:rFonts w:cs="Arial"/>
        </w:rPr>
        <w:t xml:space="preserve"> below contains details of family, </w:t>
      </w:r>
      <w:proofErr w:type="spellStart"/>
      <w:r w:rsidR="00544D9F" w:rsidRPr="00C51989">
        <w:rPr>
          <w:rFonts w:cs="Arial"/>
        </w:rPr>
        <w:t>whänau</w:t>
      </w:r>
      <w:proofErr w:type="spellEnd"/>
      <w:r w:rsidR="00544D9F" w:rsidRPr="00C51989">
        <w:rPr>
          <w:rFonts w:cs="Arial"/>
        </w:rPr>
        <w:t xml:space="preserve">, friends, flatmates, neighbours or other informal carers providing help for adults with disability living in households who received payment from the person with disability or their family or from a government agency. </w:t>
      </w:r>
    </w:p>
    <w:p w14:paraId="2BB7CA07" w14:textId="77777777" w:rsidR="00544D9F" w:rsidRPr="00C51989" w:rsidRDefault="001E330B" w:rsidP="00C13592">
      <w:pPr>
        <w:pStyle w:val="TableTitle"/>
        <w:spacing w:line="240" w:lineRule="auto"/>
      </w:pPr>
      <w:r w:rsidRPr="00263B00">
        <w:br w:type="page"/>
      </w:r>
      <w:r w:rsidR="00BA1D63">
        <w:lastRenderedPageBreak/>
        <w:t>Table 8</w:t>
      </w:r>
      <w:r w:rsidR="00544D9F" w:rsidRPr="00037DE4">
        <w:t>: Informal carers receiving payment by activity</w:t>
      </w:r>
      <w:r w:rsidR="00544D9F" w:rsidRPr="00C51989">
        <w:rPr>
          <w:rStyle w:val="FootnoteReference"/>
          <w:rFonts w:cs="Arial"/>
        </w:rPr>
        <w:footnoteReference w:id="46"/>
      </w:r>
    </w:p>
    <w:tbl>
      <w:tblPr>
        <w:tblW w:w="0" w:type="auto"/>
        <w:tblLook w:val="01E0" w:firstRow="1" w:lastRow="1" w:firstColumn="1" w:lastColumn="1" w:noHBand="0" w:noVBand="0"/>
      </w:tblPr>
      <w:tblGrid>
        <w:gridCol w:w="2128"/>
        <w:gridCol w:w="1506"/>
        <w:gridCol w:w="1507"/>
        <w:gridCol w:w="1608"/>
        <w:gridCol w:w="1557"/>
      </w:tblGrid>
      <w:tr w:rsidR="00544D9F" w14:paraId="10908769" w14:textId="77777777">
        <w:tc>
          <w:tcPr>
            <w:tcW w:w="1728" w:type="dxa"/>
          </w:tcPr>
          <w:p w14:paraId="44CE3F17" w14:textId="77777777" w:rsidR="00544D9F" w:rsidRPr="009A7C12" w:rsidRDefault="00544D9F" w:rsidP="009A7C12">
            <w:pPr>
              <w:pStyle w:val="TableHead"/>
              <w:rPr>
                <w:sz w:val="20"/>
                <w:szCs w:val="20"/>
              </w:rPr>
            </w:pPr>
            <w:r w:rsidRPr="009A7C12">
              <w:rPr>
                <w:sz w:val="20"/>
                <w:szCs w:val="20"/>
              </w:rPr>
              <w:t xml:space="preserve">Activity </w:t>
            </w:r>
          </w:p>
        </w:tc>
        <w:tc>
          <w:tcPr>
            <w:tcW w:w="1620" w:type="dxa"/>
          </w:tcPr>
          <w:p w14:paraId="37573950" w14:textId="77777777" w:rsidR="00544D9F" w:rsidRPr="009A7C12" w:rsidRDefault="00544D9F" w:rsidP="009A7C12">
            <w:pPr>
              <w:pStyle w:val="TableHead"/>
              <w:rPr>
                <w:sz w:val="20"/>
                <w:szCs w:val="20"/>
              </w:rPr>
            </w:pPr>
            <w:r w:rsidRPr="009A7C12">
              <w:rPr>
                <w:sz w:val="20"/>
                <w:szCs w:val="20"/>
              </w:rPr>
              <w:t>All adults receiving help from family / friends / neighbours, etc</w:t>
            </w:r>
          </w:p>
        </w:tc>
        <w:tc>
          <w:tcPr>
            <w:tcW w:w="1620" w:type="dxa"/>
          </w:tcPr>
          <w:p w14:paraId="283E7161" w14:textId="77777777" w:rsidR="00544D9F" w:rsidRPr="009A7C12" w:rsidRDefault="00544D9F" w:rsidP="009A7C12">
            <w:pPr>
              <w:pStyle w:val="TableHead"/>
              <w:rPr>
                <w:sz w:val="20"/>
                <w:szCs w:val="20"/>
              </w:rPr>
            </w:pPr>
            <w:r w:rsidRPr="009A7C12">
              <w:rPr>
                <w:sz w:val="20"/>
                <w:szCs w:val="20"/>
              </w:rPr>
              <w:t xml:space="preserve">Number of family / friends / neighbours, etc helpers receiving payment </w:t>
            </w:r>
          </w:p>
        </w:tc>
        <w:tc>
          <w:tcPr>
            <w:tcW w:w="1800" w:type="dxa"/>
          </w:tcPr>
          <w:p w14:paraId="7E905C5E" w14:textId="77777777" w:rsidR="00544D9F" w:rsidRPr="009A7C12" w:rsidRDefault="00544D9F" w:rsidP="009A7C12">
            <w:pPr>
              <w:pStyle w:val="TableHead"/>
              <w:rPr>
                <w:sz w:val="20"/>
                <w:szCs w:val="20"/>
              </w:rPr>
            </w:pPr>
            <w:r w:rsidRPr="009A7C12">
              <w:rPr>
                <w:sz w:val="20"/>
                <w:szCs w:val="20"/>
              </w:rPr>
              <w:t>% of family / friends/ neighbours etc helpers receiving payment from government agency</w:t>
            </w:r>
          </w:p>
        </w:tc>
        <w:tc>
          <w:tcPr>
            <w:tcW w:w="1754" w:type="dxa"/>
          </w:tcPr>
          <w:p w14:paraId="033482F4" w14:textId="77777777" w:rsidR="00544D9F" w:rsidRPr="009A7C12" w:rsidRDefault="00544D9F" w:rsidP="009A7C12">
            <w:pPr>
              <w:pStyle w:val="TableHead"/>
              <w:rPr>
                <w:sz w:val="20"/>
                <w:szCs w:val="20"/>
              </w:rPr>
            </w:pPr>
            <w:r w:rsidRPr="009A7C12">
              <w:rPr>
                <w:sz w:val="20"/>
                <w:szCs w:val="20"/>
              </w:rPr>
              <w:t>% of family / friends/ neighbours etc, helpers receiving payment from person with disability or family</w:t>
            </w:r>
          </w:p>
        </w:tc>
      </w:tr>
      <w:tr w:rsidR="00544D9F" w14:paraId="2EED299D" w14:textId="77777777">
        <w:tc>
          <w:tcPr>
            <w:tcW w:w="1728" w:type="dxa"/>
          </w:tcPr>
          <w:p w14:paraId="13A7868A" w14:textId="77777777" w:rsidR="00544D9F" w:rsidRPr="009A7C12" w:rsidRDefault="00544D9F" w:rsidP="009A7C12">
            <w:pPr>
              <w:pStyle w:val="TableRowHead"/>
              <w:rPr>
                <w:sz w:val="20"/>
                <w:szCs w:val="20"/>
              </w:rPr>
            </w:pPr>
            <w:r w:rsidRPr="009A7C12">
              <w:rPr>
                <w:sz w:val="20"/>
                <w:szCs w:val="20"/>
              </w:rPr>
              <w:t>Personal Care</w:t>
            </w:r>
          </w:p>
        </w:tc>
        <w:tc>
          <w:tcPr>
            <w:tcW w:w="1620" w:type="dxa"/>
          </w:tcPr>
          <w:p w14:paraId="1CE119E0" w14:textId="77777777" w:rsidR="00544D9F" w:rsidRPr="002C6BDF" w:rsidRDefault="00544D9F" w:rsidP="001E330B">
            <w:pPr>
              <w:spacing w:after="0"/>
              <w:jc w:val="right"/>
              <w:rPr>
                <w:sz w:val="20"/>
                <w:szCs w:val="20"/>
              </w:rPr>
            </w:pPr>
            <w:r w:rsidRPr="002C6BDF">
              <w:rPr>
                <w:sz w:val="20"/>
                <w:szCs w:val="20"/>
              </w:rPr>
              <w:t>20,500</w:t>
            </w:r>
          </w:p>
        </w:tc>
        <w:tc>
          <w:tcPr>
            <w:tcW w:w="1620" w:type="dxa"/>
          </w:tcPr>
          <w:p w14:paraId="02AA73A1" w14:textId="77777777" w:rsidR="00544D9F" w:rsidRPr="002C6BDF" w:rsidRDefault="00544D9F" w:rsidP="001E330B">
            <w:pPr>
              <w:spacing w:after="0"/>
              <w:jc w:val="right"/>
              <w:rPr>
                <w:sz w:val="20"/>
                <w:szCs w:val="20"/>
              </w:rPr>
            </w:pPr>
            <w:r w:rsidRPr="002C6BDF">
              <w:rPr>
                <w:sz w:val="20"/>
                <w:szCs w:val="20"/>
              </w:rPr>
              <w:t>2,800</w:t>
            </w:r>
          </w:p>
        </w:tc>
        <w:tc>
          <w:tcPr>
            <w:tcW w:w="1800" w:type="dxa"/>
          </w:tcPr>
          <w:p w14:paraId="6022A561" w14:textId="77777777" w:rsidR="00544D9F" w:rsidRPr="002C6BDF" w:rsidRDefault="00544D9F" w:rsidP="001E330B">
            <w:pPr>
              <w:spacing w:after="0"/>
              <w:jc w:val="right"/>
              <w:rPr>
                <w:sz w:val="20"/>
                <w:szCs w:val="20"/>
              </w:rPr>
            </w:pPr>
            <w:r w:rsidRPr="002C6BDF">
              <w:rPr>
                <w:sz w:val="20"/>
                <w:szCs w:val="20"/>
              </w:rPr>
              <w:t>89</w:t>
            </w:r>
          </w:p>
        </w:tc>
        <w:tc>
          <w:tcPr>
            <w:tcW w:w="1754" w:type="dxa"/>
          </w:tcPr>
          <w:p w14:paraId="2C2F556E" w14:textId="77777777" w:rsidR="00544D9F" w:rsidRPr="002C6BDF" w:rsidRDefault="00544D9F" w:rsidP="001E330B">
            <w:pPr>
              <w:spacing w:after="0"/>
              <w:jc w:val="right"/>
              <w:rPr>
                <w:sz w:val="20"/>
                <w:szCs w:val="20"/>
              </w:rPr>
            </w:pPr>
            <w:r w:rsidRPr="002C6BDF">
              <w:rPr>
                <w:sz w:val="20"/>
                <w:szCs w:val="20"/>
              </w:rPr>
              <w:t>-</w:t>
            </w:r>
          </w:p>
        </w:tc>
      </w:tr>
      <w:tr w:rsidR="00544D9F" w14:paraId="33C0D715" w14:textId="77777777">
        <w:tc>
          <w:tcPr>
            <w:tcW w:w="1728" w:type="dxa"/>
          </w:tcPr>
          <w:p w14:paraId="5B623EE8" w14:textId="77777777" w:rsidR="00544D9F" w:rsidRPr="009A7C12" w:rsidRDefault="00544D9F" w:rsidP="009A7C12">
            <w:pPr>
              <w:pStyle w:val="TableRowHead"/>
              <w:rPr>
                <w:sz w:val="20"/>
                <w:szCs w:val="20"/>
              </w:rPr>
            </w:pPr>
            <w:r w:rsidRPr="009A7C12">
              <w:rPr>
                <w:sz w:val="20"/>
                <w:szCs w:val="20"/>
              </w:rPr>
              <w:t>Meals</w:t>
            </w:r>
          </w:p>
        </w:tc>
        <w:tc>
          <w:tcPr>
            <w:tcW w:w="1620" w:type="dxa"/>
          </w:tcPr>
          <w:p w14:paraId="63142013" w14:textId="77777777" w:rsidR="00544D9F" w:rsidRPr="002C6BDF" w:rsidRDefault="00544D9F" w:rsidP="001E330B">
            <w:pPr>
              <w:spacing w:after="0"/>
              <w:jc w:val="right"/>
              <w:rPr>
                <w:sz w:val="20"/>
                <w:szCs w:val="20"/>
              </w:rPr>
            </w:pPr>
            <w:r w:rsidRPr="002C6BDF">
              <w:rPr>
                <w:sz w:val="20"/>
                <w:szCs w:val="20"/>
              </w:rPr>
              <w:t>53,400</w:t>
            </w:r>
          </w:p>
        </w:tc>
        <w:tc>
          <w:tcPr>
            <w:tcW w:w="1620" w:type="dxa"/>
          </w:tcPr>
          <w:p w14:paraId="161F51EC" w14:textId="77777777" w:rsidR="00544D9F" w:rsidRPr="002C6BDF" w:rsidRDefault="00544D9F" w:rsidP="001E330B">
            <w:pPr>
              <w:spacing w:after="0"/>
              <w:jc w:val="right"/>
              <w:rPr>
                <w:sz w:val="20"/>
                <w:szCs w:val="20"/>
              </w:rPr>
            </w:pPr>
            <w:r w:rsidRPr="002C6BDF">
              <w:rPr>
                <w:sz w:val="20"/>
                <w:szCs w:val="20"/>
              </w:rPr>
              <w:t>3,700</w:t>
            </w:r>
          </w:p>
        </w:tc>
        <w:tc>
          <w:tcPr>
            <w:tcW w:w="1800" w:type="dxa"/>
          </w:tcPr>
          <w:p w14:paraId="4A96761E" w14:textId="77777777" w:rsidR="00544D9F" w:rsidRPr="002C6BDF" w:rsidRDefault="00544D9F" w:rsidP="001E330B">
            <w:pPr>
              <w:spacing w:after="0"/>
              <w:jc w:val="right"/>
              <w:rPr>
                <w:sz w:val="20"/>
                <w:szCs w:val="20"/>
              </w:rPr>
            </w:pPr>
            <w:r w:rsidRPr="002C6BDF">
              <w:rPr>
                <w:sz w:val="20"/>
                <w:szCs w:val="20"/>
              </w:rPr>
              <w:t>-</w:t>
            </w:r>
          </w:p>
        </w:tc>
        <w:tc>
          <w:tcPr>
            <w:tcW w:w="1754" w:type="dxa"/>
          </w:tcPr>
          <w:p w14:paraId="093E3D43" w14:textId="77777777" w:rsidR="00544D9F" w:rsidRPr="002C6BDF" w:rsidRDefault="00544D9F" w:rsidP="001E330B">
            <w:pPr>
              <w:spacing w:after="0"/>
              <w:jc w:val="right"/>
              <w:rPr>
                <w:sz w:val="20"/>
                <w:szCs w:val="20"/>
              </w:rPr>
            </w:pPr>
            <w:r w:rsidRPr="002C6BDF">
              <w:rPr>
                <w:sz w:val="20"/>
                <w:szCs w:val="20"/>
              </w:rPr>
              <w:t>95</w:t>
            </w:r>
          </w:p>
        </w:tc>
      </w:tr>
      <w:tr w:rsidR="00544D9F" w14:paraId="74C2C238" w14:textId="77777777">
        <w:tc>
          <w:tcPr>
            <w:tcW w:w="1728" w:type="dxa"/>
          </w:tcPr>
          <w:p w14:paraId="08080CC3" w14:textId="77777777" w:rsidR="00544D9F" w:rsidRPr="009A7C12" w:rsidRDefault="00544D9F" w:rsidP="009A7C12">
            <w:pPr>
              <w:pStyle w:val="TableRowHead"/>
              <w:rPr>
                <w:sz w:val="20"/>
                <w:szCs w:val="20"/>
              </w:rPr>
            </w:pPr>
            <w:r w:rsidRPr="009A7C12">
              <w:rPr>
                <w:sz w:val="20"/>
                <w:szCs w:val="20"/>
              </w:rPr>
              <w:t>Shopping</w:t>
            </w:r>
          </w:p>
        </w:tc>
        <w:tc>
          <w:tcPr>
            <w:tcW w:w="1620" w:type="dxa"/>
          </w:tcPr>
          <w:p w14:paraId="37DE36EF" w14:textId="77777777" w:rsidR="00544D9F" w:rsidRPr="002C6BDF" w:rsidRDefault="00544D9F" w:rsidP="001E330B">
            <w:pPr>
              <w:spacing w:after="0"/>
              <w:jc w:val="right"/>
              <w:rPr>
                <w:sz w:val="20"/>
                <w:szCs w:val="20"/>
              </w:rPr>
            </w:pPr>
            <w:r w:rsidRPr="002C6BDF">
              <w:rPr>
                <w:sz w:val="20"/>
                <w:szCs w:val="20"/>
              </w:rPr>
              <w:t>85,800</w:t>
            </w:r>
          </w:p>
        </w:tc>
        <w:tc>
          <w:tcPr>
            <w:tcW w:w="1620" w:type="dxa"/>
          </w:tcPr>
          <w:p w14:paraId="62EE3B19" w14:textId="77777777" w:rsidR="00544D9F" w:rsidRPr="002C6BDF" w:rsidRDefault="00544D9F" w:rsidP="001E330B">
            <w:pPr>
              <w:spacing w:after="0"/>
              <w:jc w:val="right"/>
              <w:rPr>
                <w:sz w:val="20"/>
                <w:szCs w:val="20"/>
              </w:rPr>
            </w:pPr>
            <w:r w:rsidRPr="002C6BDF">
              <w:rPr>
                <w:sz w:val="20"/>
                <w:szCs w:val="20"/>
              </w:rPr>
              <w:t>4,300</w:t>
            </w:r>
          </w:p>
        </w:tc>
        <w:tc>
          <w:tcPr>
            <w:tcW w:w="1800" w:type="dxa"/>
          </w:tcPr>
          <w:p w14:paraId="685E2AD6" w14:textId="77777777" w:rsidR="00544D9F" w:rsidRPr="002C6BDF" w:rsidRDefault="00544D9F" w:rsidP="001E330B">
            <w:pPr>
              <w:spacing w:after="0"/>
              <w:jc w:val="right"/>
              <w:rPr>
                <w:sz w:val="20"/>
                <w:szCs w:val="20"/>
              </w:rPr>
            </w:pPr>
            <w:r w:rsidRPr="002C6BDF">
              <w:rPr>
                <w:sz w:val="20"/>
                <w:szCs w:val="20"/>
              </w:rPr>
              <w:t>55</w:t>
            </w:r>
          </w:p>
        </w:tc>
        <w:tc>
          <w:tcPr>
            <w:tcW w:w="1754" w:type="dxa"/>
          </w:tcPr>
          <w:p w14:paraId="7F9E3E23" w14:textId="77777777" w:rsidR="00544D9F" w:rsidRPr="002C6BDF" w:rsidRDefault="00544D9F" w:rsidP="001E330B">
            <w:pPr>
              <w:spacing w:after="0"/>
              <w:jc w:val="right"/>
              <w:rPr>
                <w:sz w:val="20"/>
                <w:szCs w:val="20"/>
              </w:rPr>
            </w:pPr>
            <w:r w:rsidRPr="002C6BDF">
              <w:rPr>
                <w:sz w:val="20"/>
                <w:szCs w:val="20"/>
              </w:rPr>
              <w:t>40</w:t>
            </w:r>
          </w:p>
        </w:tc>
      </w:tr>
      <w:tr w:rsidR="00544D9F" w14:paraId="6856982F" w14:textId="77777777">
        <w:tc>
          <w:tcPr>
            <w:tcW w:w="1728" w:type="dxa"/>
          </w:tcPr>
          <w:p w14:paraId="6EA1C1C5" w14:textId="77777777" w:rsidR="00544D9F" w:rsidRPr="009A7C12" w:rsidRDefault="00544D9F" w:rsidP="009A7C12">
            <w:pPr>
              <w:pStyle w:val="TableRowHead"/>
              <w:rPr>
                <w:sz w:val="20"/>
                <w:szCs w:val="20"/>
              </w:rPr>
            </w:pPr>
            <w:r w:rsidRPr="009A7C12">
              <w:rPr>
                <w:sz w:val="20"/>
                <w:szCs w:val="20"/>
              </w:rPr>
              <w:t>Everyday Housework</w:t>
            </w:r>
          </w:p>
        </w:tc>
        <w:tc>
          <w:tcPr>
            <w:tcW w:w="1620" w:type="dxa"/>
          </w:tcPr>
          <w:p w14:paraId="4E93A444" w14:textId="77777777" w:rsidR="00544D9F" w:rsidRPr="002C6BDF" w:rsidRDefault="00544D9F" w:rsidP="001E330B">
            <w:pPr>
              <w:spacing w:after="0"/>
              <w:jc w:val="right"/>
              <w:rPr>
                <w:sz w:val="20"/>
                <w:szCs w:val="20"/>
              </w:rPr>
            </w:pPr>
            <w:r w:rsidRPr="002C6BDF">
              <w:rPr>
                <w:sz w:val="20"/>
                <w:szCs w:val="20"/>
              </w:rPr>
              <w:t>67,500</w:t>
            </w:r>
          </w:p>
        </w:tc>
        <w:tc>
          <w:tcPr>
            <w:tcW w:w="1620" w:type="dxa"/>
          </w:tcPr>
          <w:p w14:paraId="1111AEBB" w14:textId="77777777" w:rsidR="00544D9F" w:rsidRPr="002C6BDF" w:rsidRDefault="00544D9F" w:rsidP="001E330B">
            <w:pPr>
              <w:spacing w:after="0"/>
              <w:jc w:val="right"/>
              <w:rPr>
                <w:sz w:val="20"/>
                <w:szCs w:val="20"/>
              </w:rPr>
            </w:pPr>
            <w:r w:rsidRPr="002C6BDF">
              <w:rPr>
                <w:sz w:val="20"/>
                <w:szCs w:val="20"/>
              </w:rPr>
              <w:t>8,700</w:t>
            </w:r>
          </w:p>
        </w:tc>
        <w:tc>
          <w:tcPr>
            <w:tcW w:w="1800" w:type="dxa"/>
          </w:tcPr>
          <w:p w14:paraId="6E68F03B" w14:textId="77777777" w:rsidR="00544D9F" w:rsidRPr="002C6BDF" w:rsidRDefault="00544D9F" w:rsidP="001E330B">
            <w:pPr>
              <w:spacing w:after="0"/>
              <w:jc w:val="right"/>
              <w:rPr>
                <w:sz w:val="20"/>
                <w:szCs w:val="20"/>
              </w:rPr>
            </w:pPr>
            <w:r w:rsidRPr="002C6BDF">
              <w:rPr>
                <w:sz w:val="20"/>
                <w:szCs w:val="20"/>
              </w:rPr>
              <w:t>50</w:t>
            </w:r>
          </w:p>
        </w:tc>
        <w:tc>
          <w:tcPr>
            <w:tcW w:w="1754" w:type="dxa"/>
          </w:tcPr>
          <w:p w14:paraId="4AD4FF65" w14:textId="77777777" w:rsidR="00544D9F" w:rsidRPr="002C6BDF" w:rsidRDefault="00544D9F" w:rsidP="001E330B">
            <w:pPr>
              <w:spacing w:after="0"/>
              <w:jc w:val="right"/>
              <w:rPr>
                <w:sz w:val="20"/>
                <w:szCs w:val="20"/>
              </w:rPr>
            </w:pPr>
            <w:r w:rsidRPr="002C6BDF">
              <w:rPr>
                <w:sz w:val="20"/>
                <w:szCs w:val="20"/>
              </w:rPr>
              <w:t>48</w:t>
            </w:r>
          </w:p>
        </w:tc>
      </w:tr>
      <w:tr w:rsidR="00544D9F" w14:paraId="619D8D63" w14:textId="77777777">
        <w:tc>
          <w:tcPr>
            <w:tcW w:w="1728" w:type="dxa"/>
          </w:tcPr>
          <w:p w14:paraId="5D1942C0" w14:textId="77777777" w:rsidR="00544D9F" w:rsidRPr="009A7C12" w:rsidRDefault="00544D9F" w:rsidP="009A7C12">
            <w:pPr>
              <w:pStyle w:val="TableRowHead"/>
              <w:rPr>
                <w:sz w:val="20"/>
                <w:szCs w:val="20"/>
              </w:rPr>
            </w:pPr>
            <w:r w:rsidRPr="009A7C12">
              <w:rPr>
                <w:sz w:val="20"/>
                <w:szCs w:val="20"/>
              </w:rPr>
              <w:t>Heavy Household Work</w:t>
            </w:r>
          </w:p>
        </w:tc>
        <w:tc>
          <w:tcPr>
            <w:tcW w:w="1620" w:type="dxa"/>
          </w:tcPr>
          <w:p w14:paraId="2D22AD5F" w14:textId="77777777" w:rsidR="00544D9F" w:rsidRPr="002C6BDF" w:rsidRDefault="00544D9F" w:rsidP="001E330B">
            <w:pPr>
              <w:spacing w:after="0"/>
              <w:jc w:val="right"/>
              <w:rPr>
                <w:sz w:val="20"/>
                <w:szCs w:val="20"/>
              </w:rPr>
            </w:pPr>
            <w:r w:rsidRPr="002C6BDF">
              <w:rPr>
                <w:sz w:val="20"/>
                <w:szCs w:val="20"/>
              </w:rPr>
              <w:t>103,900</w:t>
            </w:r>
          </w:p>
        </w:tc>
        <w:tc>
          <w:tcPr>
            <w:tcW w:w="1620" w:type="dxa"/>
          </w:tcPr>
          <w:p w14:paraId="2661E563" w14:textId="77777777" w:rsidR="00544D9F" w:rsidRPr="002C6BDF" w:rsidRDefault="00544D9F" w:rsidP="001E330B">
            <w:pPr>
              <w:spacing w:after="0"/>
              <w:jc w:val="right"/>
              <w:rPr>
                <w:sz w:val="20"/>
                <w:szCs w:val="20"/>
              </w:rPr>
            </w:pPr>
            <w:r w:rsidRPr="002C6BDF">
              <w:rPr>
                <w:sz w:val="20"/>
                <w:szCs w:val="20"/>
              </w:rPr>
              <w:t>15,600</w:t>
            </w:r>
          </w:p>
        </w:tc>
        <w:tc>
          <w:tcPr>
            <w:tcW w:w="1800" w:type="dxa"/>
          </w:tcPr>
          <w:p w14:paraId="14A9D292" w14:textId="77777777" w:rsidR="00544D9F" w:rsidRPr="002C6BDF" w:rsidRDefault="00544D9F" w:rsidP="001E330B">
            <w:pPr>
              <w:spacing w:after="0"/>
              <w:jc w:val="right"/>
              <w:rPr>
                <w:sz w:val="20"/>
                <w:szCs w:val="20"/>
              </w:rPr>
            </w:pPr>
            <w:r w:rsidRPr="002C6BDF">
              <w:rPr>
                <w:sz w:val="20"/>
                <w:szCs w:val="20"/>
              </w:rPr>
              <w:t>26</w:t>
            </w:r>
          </w:p>
        </w:tc>
        <w:tc>
          <w:tcPr>
            <w:tcW w:w="1754" w:type="dxa"/>
          </w:tcPr>
          <w:p w14:paraId="51FFE914" w14:textId="77777777" w:rsidR="00544D9F" w:rsidRPr="002C6BDF" w:rsidRDefault="00544D9F" w:rsidP="001E330B">
            <w:pPr>
              <w:spacing w:after="0"/>
              <w:jc w:val="right"/>
              <w:rPr>
                <w:sz w:val="20"/>
                <w:szCs w:val="20"/>
              </w:rPr>
            </w:pPr>
            <w:r w:rsidRPr="002C6BDF">
              <w:rPr>
                <w:sz w:val="20"/>
                <w:szCs w:val="20"/>
              </w:rPr>
              <w:t>64</w:t>
            </w:r>
          </w:p>
        </w:tc>
      </w:tr>
      <w:tr w:rsidR="00544D9F" w14:paraId="4A86B898" w14:textId="77777777">
        <w:tc>
          <w:tcPr>
            <w:tcW w:w="1728" w:type="dxa"/>
          </w:tcPr>
          <w:p w14:paraId="74460918" w14:textId="77777777" w:rsidR="00544D9F" w:rsidRPr="009A7C12" w:rsidRDefault="00544D9F" w:rsidP="009A7C12">
            <w:pPr>
              <w:pStyle w:val="TableRowHead"/>
              <w:rPr>
                <w:sz w:val="20"/>
                <w:szCs w:val="20"/>
              </w:rPr>
            </w:pPr>
            <w:r w:rsidRPr="009A7C12">
              <w:rPr>
                <w:sz w:val="20"/>
                <w:szCs w:val="20"/>
              </w:rPr>
              <w:t>Personal Finances</w:t>
            </w:r>
            <w:r w:rsidR="004328CC" w:rsidRPr="009A7C12">
              <w:rPr>
                <w:sz w:val="20"/>
                <w:szCs w:val="20"/>
              </w:rPr>
              <w:t>/Budgeting assistance</w:t>
            </w:r>
          </w:p>
        </w:tc>
        <w:tc>
          <w:tcPr>
            <w:tcW w:w="1620" w:type="dxa"/>
          </w:tcPr>
          <w:p w14:paraId="3DD7E0C5" w14:textId="77777777" w:rsidR="00544D9F" w:rsidRPr="002C6BDF" w:rsidRDefault="00544D9F" w:rsidP="001E330B">
            <w:pPr>
              <w:spacing w:after="0"/>
              <w:jc w:val="right"/>
              <w:rPr>
                <w:sz w:val="20"/>
                <w:szCs w:val="20"/>
              </w:rPr>
            </w:pPr>
            <w:r w:rsidRPr="002C6BDF">
              <w:rPr>
                <w:sz w:val="20"/>
                <w:szCs w:val="20"/>
              </w:rPr>
              <w:t>30,200</w:t>
            </w:r>
          </w:p>
        </w:tc>
        <w:tc>
          <w:tcPr>
            <w:tcW w:w="1620" w:type="dxa"/>
          </w:tcPr>
          <w:p w14:paraId="1DD6B392" w14:textId="77777777" w:rsidR="00544D9F" w:rsidRPr="002C6BDF" w:rsidRDefault="00544D9F" w:rsidP="001E330B">
            <w:pPr>
              <w:spacing w:after="0"/>
              <w:jc w:val="right"/>
              <w:rPr>
                <w:sz w:val="20"/>
                <w:szCs w:val="20"/>
              </w:rPr>
            </w:pPr>
            <w:r w:rsidRPr="002C6BDF">
              <w:rPr>
                <w:sz w:val="20"/>
                <w:szCs w:val="20"/>
              </w:rPr>
              <w:t xml:space="preserve">1800 </w:t>
            </w:r>
          </w:p>
        </w:tc>
        <w:tc>
          <w:tcPr>
            <w:tcW w:w="1800" w:type="dxa"/>
          </w:tcPr>
          <w:p w14:paraId="50B39EE3" w14:textId="77777777" w:rsidR="00544D9F" w:rsidRPr="002C6BDF" w:rsidRDefault="00544D9F" w:rsidP="001E330B">
            <w:pPr>
              <w:spacing w:after="0"/>
              <w:jc w:val="right"/>
              <w:rPr>
                <w:sz w:val="20"/>
                <w:szCs w:val="20"/>
              </w:rPr>
            </w:pPr>
            <w:r w:rsidRPr="002C6BDF">
              <w:rPr>
                <w:sz w:val="20"/>
                <w:szCs w:val="20"/>
              </w:rPr>
              <w:t>-</w:t>
            </w:r>
          </w:p>
        </w:tc>
        <w:tc>
          <w:tcPr>
            <w:tcW w:w="1754" w:type="dxa"/>
          </w:tcPr>
          <w:p w14:paraId="15E342CF" w14:textId="77777777" w:rsidR="00544D9F" w:rsidRPr="002C6BDF" w:rsidRDefault="00544D9F" w:rsidP="001E330B">
            <w:pPr>
              <w:spacing w:after="0"/>
              <w:jc w:val="right"/>
              <w:rPr>
                <w:sz w:val="20"/>
                <w:szCs w:val="20"/>
              </w:rPr>
            </w:pPr>
            <w:r w:rsidRPr="002C6BDF">
              <w:rPr>
                <w:sz w:val="20"/>
                <w:szCs w:val="20"/>
              </w:rPr>
              <w:t>-</w:t>
            </w:r>
          </w:p>
        </w:tc>
      </w:tr>
    </w:tbl>
    <w:p w14:paraId="2D647E4E" w14:textId="77777777" w:rsidR="00544D9F" w:rsidRDefault="00544D9F" w:rsidP="00544D9F">
      <w:pPr>
        <w:rPr>
          <w:rFonts w:cs="Arial"/>
        </w:rPr>
      </w:pPr>
    </w:p>
    <w:p w14:paraId="034E3D13" w14:textId="77777777" w:rsidR="00544D9F" w:rsidRDefault="00D3776B" w:rsidP="00C13592">
      <w:pPr>
        <w:pStyle w:val="Heading2"/>
        <w:spacing w:line="240" w:lineRule="auto"/>
        <w:rPr>
          <w:rFonts w:ascii="Arial" w:hAnsi="Arial"/>
          <w:i/>
        </w:rPr>
      </w:pPr>
      <w:bookmarkStart w:id="71" w:name="_Toc250627446"/>
      <w:bookmarkStart w:id="72" w:name="_Toc250627757"/>
      <w:bookmarkStart w:id="73" w:name="_Toc250627935"/>
      <w:bookmarkStart w:id="74" w:name="_Toc252539372"/>
      <w:bookmarkStart w:id="75" w:name="_Toc290886624"/>
      <w:r>
        <w:t>4</w:t>
      </w:r>
      <w:r w:rsidR="00544D9F">
        <w:t>.7 C</w:t>
      </w:r>
      <w:r w:rsidR="00544D9F" w:rsidRPr="002F0404">
        <w:t>are supports in education</w:t>
      </w:r>
      <w:r w:rsidR="00544D9F">
        <w:t xml:space="preserve"> for children with disabilities</w:t>
      </w:r>
      <w:bookmarkEnd w:id="71"/>
      <w:bookmarkEnd w:id="72"/>
      <w:bookmarkEnd w:id="73"/>
      <w:bookmarkEnd w:id="74"/>
      <w:bookmarkEnd w:id="75"/>
      <w:r w:rsidR="00544D9F">
        <w:t xml:space="preserve"> </w:t>
      </w:r>
    </w:p>
    <w:p w14:paraId="6B89A0FF" w14:textId="77777777" w:rsidR="00544D9F" w:rsidRDefault="00544D9F" w:rsidP="00544D9F">
      <w:pPr>
        <w:rPr>
          <w:rFonts w:cs="Arial"/>
        </w:rPr>
      </w:pPr>
      <w:r w:rsidRPr="0080699D">
        <w:rPr>
          <w:rFonts w:cs="Arial"/>
        </w:rPr>
        <w:t xml:space="preserve">Ministry of Education: </w:t>
      </w:r>
      <w:r>
        <w:rPr>
          <w:rFonts w:cs="Arial"/>
        </w:rPr>
        <w:t xml:space="preserve">Group </w:t>
      </w:r>
      <w:r w:rsidRPr="0080699D">
        <w:rPr>
          <w:rFonts w:cs="Arial"/>
        </w:rPr>
        <w:t>Special Education (</w:t>
      </w:r>
      <w:r>
        <w:rPr>
          <w:rFonts w:cs="Arial"/>
        </w:rPr>
        <w:t>G</w:t>
      </w:r>
      <w:r w:rsidRPr="0080699D">
        <w:rPr>
          <w:rFonts w:cs="Arial"/>
        </w:rPr>
        <w:t xml:space="preserve">SE) provide a number of schemes for school aged children with disabilities. Approximately 7000 students with the highest support needs are supported with </w:t>
      </w:r>
      <w:r w:rsidR="00046914">
        <w:rPr>
          <w:rFonts w:cs="Arial"/>
        </w:rPr>
        <w:t>G</w:t>
      </w:r>
      <w:r w:rsidRPr="0080699D">
        <w:rPr>
          <w:rFonts w:cs="Arial"/>
        </w:rPr>
        <w:t>SE funding under the Ongoing and Reviewable Resourcing Scheme (ORRS)</w:t>
      </w:r>
      <w:r w:rsidRPr="0080699D">
        <w:rPr>
          <w:rStyle w:val="FootnoteReference"/>
          <w:rFonts w:cs="Arial"/>
          <w:b/>
          <w:color w:val="000000"/>
        </w:rPr>
        <w:footnoteReference w:id="47"/>
      </w:r>
      <w:r w:rsidRPr="0080699D">
        <w:rPr>
          <w:rFonts w:cs="Arial"/>
        </w:rPr>
        <w:t>. Students assessed with more moderate physical disabilities</w:t>
      </w:r>
      <w:r w:rsidR="00F458E1">
        <w:rPr>
          <w:rFonts w:cs="Arial"/>
        </w:rPr>
        <w:t>,</w:t>
      </w:r>
      <w:r w:rsidRPr="0080699D">
        <w:rPr>
          <w:rFonts w:cs="Arial"/>
        </w:rPr>
        <w:t xml:space="preserve"> but who have difficulty accessing their school environment or where their disability is a barrier to educational participation and </w:t>
      </w:r>
      <w:r w:rsidR="00D1262B">
        <w:rPr>
          <w:rFonts w:cs="Arial"/>
        </w:rPr>
        <w:t xml:space="preserve">learning receive services </w:t>
      </w:r>
      <w:r w:rsidRPr="0080699D">
        <w:rPr>
          <w:rFonts w:cs="Arial"/>
        </w:rPr>
        <w:t>under the Moderate</w:t>
      </w:r>
      <w:r w:rsidR="00D1262B">
        <w:rPr>
          <w:rFonts w:cs="Arial"/>
        </w:rPr>
        <w:t xml:space="preserve"> Physical Disabilities Contract. These services are </w:t>
      </w:r>
      <w:r w:rsidRPr="0080699D">
        <w:rPr>
          <w:rFonts w:cs="Arial"/>
        </w:rPr>
        <w:t xml:space="preserve">delivered by physiotherapists and occupational therapists from both </w:t>
      </w:r>
      <w:r>
        <w:rPr>
          <w:rFonts w:cs="Arial"/>
        </w:rPr>
        <w:t>G</w:t>
      </w:r>
      <w:r w:rsidRPr="0080699D">
        <w:rPr>
          <w:rFonts w:cs="Arial"/>
        </w:rPr>
        <w:t xml:space="preserve">SE and from school specialist service providers funded by </w:t>
      </w:r>
      <w:r>
        <w:rPr>
          <w:rFonts w:cs="Arial"/>
        </w:rPr>
        <w:t>G</w:t>
      </w:r>
      <w:r w:rsidRPr="0080699D">
        <w:rPr>
          <w:rFonts w:cs="Arial"/>
        </w:rPr>
        <w:t xml:space="preserve">SE. </w:t>
      </w:r>
      <w:r>
        <w:rPr>
          <w:rFonts w:cs="Arial"/>
        </w:rPr>
        <w:t>G</w:t>
      </w:r>
      <w:r w:rsidRPr="0080699D">
        <w:rPr>
          <w:rFonts w:cs="Arial"/>
        </w:rPr>
        <w:t xml:space="preserve">SE also funds a Severe Behaviour Service and Speech-Language Service. </w:t>
      </w:r>
    </w:p>
    <w:p w14:paraId="19F23F17" w14:textId="77777777" w:rsidR="00544D9F" w:rsidRDefault="00544D9F" w:rsidP="00544D9F">
      <w:pPr>
        <w:rPr>
          <w:rFonts w:cs="Arial"/>
        </w:rPr>
      </w:pPr>
      <w:r w:rsidRPr="00345FAB">
        <w:rPr>
          <w:rFonts w:cs="Arial"/>
        </w:rPr>
        <w:t xml:space="preserve">The key informants agreed that though students with assessed needs requiring supports under the various </w:t>
      </w:r>
      <w:r>
        <w:rPr>
          <w:rFonts w:cs="Arial"/>
        </w:rPr>
        <w:t>GSE</w:t>
      </w:r>
      <w:r w:rsidRPr="00345FAB">
        <w:rPr>
          <w:rFonts w:cs="Arial"/>
        </w:rPr>
        <w:t xml:space="preserve"> contracts received a good quality </w:t>
      </w:r>
      <w:r>
        <w:rPr>
          <w:rFonts w:cs="Arial"/>
        </w:rPr>
        <w:t xml:space="preserve">of </w:t>
      </w:r>
      <w:r w:rsidRPr="00345FAB">
        <w:rPr>
          <w:rFonts w:cs="Arial"/>
        </w:rPr>
        <w:t>service</w:t>
      </w:r>
      <w:r w:rsidR="00D1262B">
        <w:rPr>
          <w:rFonts w:cs="Arial"/>
        </w:rPr>
        <w:t>,</w:t>
      </w:r>
      <w:r w:rsidRPr="00345FAB">
        <w:rPr>
          <w:rFonts w:cs="Arial"/>
        </w:rPr>
        <w:t xml:space="preserve"> some children with more mild disabilities may not qualify under any of </w:t>
      </w:r>
      <w:r w:rsidRPr="00345FAB">
        <w:rPr>
          <w:rFonts w:cs="Arial"/>
        </w:rPr>
        <w:lastRenderedPageBreak/>
        <w:t xml:space="preserve">the </w:t>
      </w:r>
      <w:r>
        <w:rPr>
          <w:rFonts w:cs="Arial"/>
        </w:rPr>
        <w:t xml:space="preserve">GSE </w:t>
      </w:r>
      <w:r w:rsidRPr="00345FAB">
        <w:rPr>
          <w:rFonts w:cs="Arial"/>
        </w:rPr>
        <w:t>contracts and may receive their support via their primary care network</w:t>
      </w:r>
      <w:r w:rsidRPr="00345FAB">
        <w:rPr>
          <w:rStyle w:val="FootnoteReference"/>
          <w:rFonts w:cs="Arial"/>
          <w:b/>
          <w:color w:val="000000"/>
        </w:rPr>
        <w:footnoteReference w:id="48"/>
      </w:r>
      <w:r w:rsidRPr="00345FAB">
        <w:rPr>
          <w:rFonts w:cs="Arial"/>
        </w:rPr>
        <w:t>.</w:t>
      </w:r>
    </w:p>
    <w:p w14:paraId="7D6B27D9" w14:textId="77777777" w:rsidR="009C7242" w:rsidRDefault="009C7242" w:rsidP="00134F9E">
      <w:pPr>
        <w:spacing w:after="120"/>
        <w:rPr>
          <w:rFonts w:cs="Arial"/>
        </w:rPr>
      </w:pPr>
      <w:smartTag w:uri="urn:schemas-microsoft-com:office:smarttags" w:element="country-region">
        <w:smartTag w:uri="urn:schemas-microsoft-com:office:smarttags" w:element="place">
          <w:r>
            <w:rPr>
              <w:rFonts w:cs="Arial"/>
            </w:rPr>
            <w:t>New Zealand</w:t>
          </w:r>
        </w:smartTag>
      </w:smartTag>
      <w:r>
        <w:rPr>
          <w:rFonts w:cs="Arial"/>
        </w:rPr>
        <w:t xml:space="preserve"> </w:t>
      </w:r>
      <w:r w:rsidR="00E21B13">
        <w:rPr>
          <w:rFonts w:cs="Arial"/>
        </w:rPr>
        <w:t>has 28</w:t>
      </w:r>
      <w:r>
        <w:rPr>
          <w:rFonts w:cs="Arial"/>
        </w:rPr>
        <w:t xml:space="preserve"> special schools, including: </w:t>
      </w:r>
    </w:p>
    <w:p w14:paraId="12E4AF83" w14:textId="77777777" w:rsidR="009C7242" w:rsidRDefault="009C7242" w:rsidP="008738AB">
      <w:pPr>
        <w:pStyle w:val="ListBullet"/>
      </w:pPr>
      <w:r>
        <w:t xml:space="preserve">8 special residential schools which cater </w:t>
      </w:r>
      <w:r w:rsidR="00991DCC">
        <w:t xml:space="preserve">for </w:t>
      </w:r>
      <w:r w:rsidRPr="009C7242">
        <w:t xml:space="preserve">deaf or hearing impaired, blind or vision impaired, or </w:t>
      </w:r>
      <w:r w:rsidR="00991DCC">
        <w:t xml:space="preserve">those </w:t>
      </w:r>
      <w:r w:rsidRPr="009C7242">
        <w:t xml:space="preserve">who have severe behaviour needs, or educational, social and emotional needs together with an underlying intellectual impairment </w:t>
      </w:r>
    </w:p>
    <w:p w14:paraId="6A2DFBD8" w14:textId="77777777" w:rsidR="009C7242" w:rsidRPr="009C7242" w:rsidRDefault="009C7242" w:rsidP="008738AB">
      <w:pPr>
        <w:pStyle w:val="ListBullet"/>
      </w:pPr>
      <w:r>
        <w:t xml:space="preserve">3 regional health </w:t>
      </w:r>
      <w:r w:rsidR="008738AB">
        <w:t xml:space="preserve">schools catering for students who are </w:t>
      </w:r>
      <w:r w:rsidRPr="009C7242">
        <w:t>chronically ill and cannot attend their regular school for long periods, or have a psychiatric illness and live in a health-funded institution, or need support as they return to their regular school after a lengthy absence due to medical intervention</w:t>
      </w:r>
    </w:p>
    <w:p w14:paraId="012383B6" w14:textId="77777777" w:rsidR="00544D9F" w:rsidRDefault="00D3776B" w:rsidP="00C13592">
      <w:pPr>
        <w:pStyle w:val="Heading2"/>
        <w:spacing w:line="240" w:lineRule="auto"/>
        <w:rPr>
          <w:rFonts w:ascii="Arial" w:hAnsi="Arial"/>
          <w:color w:val="000000"/>
        </w:rPr>
      </w:pPr>
      <w:bookmarkStart w:id="76" w:name="_Toc250627447"/>
      <w:bookmarkStart w:id="77" w:name="_Toc250627758"/>
      <w:bookmarkStart w:id="78" w:name="_Toc250627936"/>
      <w:bookmarkStart w:id="79" w:name="_Toc252539373"/>
      <w:bookmarkStart w:id="80" w:name="_Toc290886625"/>
      <w:r>
        <w:t>4</w:t>
      </w:r>
      <w:r w:rsidR="00544D9F">
        <w:t xml:space="preserve">.8 </w:t>
      </w:r>
      <w:r w:rsidR="00544D9F" w:rsidRPr="00AF0DEB">
        <w:t>Pre-school</w:t>
      </w:r>
      <w:r w:rsidR="00544D9F">
        <w:t xml:space="preserve"> for children with disabilities</w:t>
      </w:r>
      <w:bookmarkEnd w:id="76"/>
      <w:bookmarkEnd w:id="77"/>
      <w:bookmarkEnd w:id="78"/>
      <w:bookmarkEnd w:id="79"/>
      <w:bookmarkEnd w:id="80"/>
    </w:p>
    <w:p w14:paraId="4A80825B" w14:textId="77777777" w:rsidR="009455A5" w:rsidRDefault="00544D9F" w:rsidP="00134F9E">
      <w:pPr>
        <w:spacing w:after="120"/>
      </w:pPr>
      <w:r w:rsidRPr="004E6D5B">
        <w:t>Early intervention services are mainly provided by Ministry of Education: Special Education (GSE) but in some areas there are also other service providers (who are GSE-accredited</w:t>
      </w:r>
      <w:r w:rsidR="009455A5">
        <w:t xml:space="preserve"> and funded</w:t>
      </w:r>
      <w:r w:rsidRPr="004E6D5B">
        <w:t xml:space="preserve">) that provide a complementary range of early intervention services. </w:t>
      </w:r>
      <w:r w:rsidR="00962D62">
        <w:t>Early intervention services are available to eligible children from birth until they attend school. Early</w:t>
      </w:r>
      <w:r w:rsidR="009455A5">
        <w:t xml:space="preserve"> intervention services consist of:</w:t>
      </w:r>
    </w:p>
    <w:p w14:paraId="3F15C177" w14:textId="77777777" w:rsidR="009455A5" w:rsidRDefault="009455A5" w:rsidP="009455A5">
      <w:pPr>
        <w:pStyle w:val="ListBullet"/>
      </w:pPr>
      <w:r>
        <w:t xml:space="preserve">an </w:t>
      </w:r>
      <w:r w:rsidRPr="009455A5">
        <w:rPr>
          <w:b/>
        </w:rPr>
        <w:t>assessment</w:t>
      </w:r>
      <w:r>
        <w:t xml:space="preserve"> of a child's skills and education needs</w:t>
      </w:r>
    </w:p>
    <w:p w14:paraId="40ABC075" w14:textId="77777777" w:rsidR="009455A5" w:rsidRDefault="009455A5" w:rsidP="009455A5">
      <w:pPr>
        <w:pStyle w:val="ListBullet"/>
      </w:pPr>
      <w:r w:rsidRPr="009455A5">
        <w:rPr>
          <w:b/>
        </w:rPr>
        <w:t>planning</w:t>
      </w:r>
      <w:r>
        <w:t>, putting in place an individual plan for a child, outlining relevant teaching practices, any specialised equipment required, short-term and long-term social and learning goals, timeframes, and at-home follow-up activities</w:t>
      </w:r>
    </w:p>
    <w:p w14:paraId="18031442" w14:textId="77777777" w:rsidR="009455A5" w:rsidRDefault="009455A5" w:rsidP="009455A5">
      <w:pPr>
        <w:pStyle w:val="ListBullet"/>
      </w:pPr>
      <w:r>
        <w:t xml:space="preserve">general </w:t>
      </w:r>
      <w:r w:rsidRPr="009455A5">
        <w:rPr>
          <w:b/>
        </w:rPr>
        <w:t xml:space="preserve">information and support </w:t>
      </w:r>
      <w:r>
        <w:t>to families, educators and other professionals</w:t>
      </w:r>
    </w:p>
    <w:p w14:paraId="492CF3F4" w14:textId="77777777" w:rsidR="009455A5" w:rsidRDefault="009455A5" w:rsidP="009455A5">
      <w:pPr>
        <w:pStyle w:val="ListBullet"/>
      </w:pPr>
      <w:r w:rsidRPr="009455A5">
        <w:rPr>
          <w:b/>
        </w:rPr>
        <w:t>expertise and knowledge-sharing</w:t>
      </w:r>
      <w:r>
        <w:t>, such as designing ways to improve socialisation, learning, communication and behaviour management</w:t>
      </w:r>
    </w:p>
    <w:p w14:paraId="5C97B886" w14:textId="77777777" w:rsidR="009455A5" w:rsidRDefault="009455A5" w:rsidP="009455A5">
      <w:pPr>
        <w:pStyle w:val="ListBullet"/>
      </w:pPr>
      <w:r w:rsidRPr="009455A5">
        <w:rPr>
          <w:b/>
        </w:rPr>
        <w:t>specialist services</w:t>
      </w:r>
      <w:r>
        <w:t>, such as speech-language therapy and specialist teaching</w:t>
      </w:r>
    </w:p>
    <w:p w14:paraId="438EC133" w14:textId="77777777" w:rsidR="009455A5" w:rsidRDefault="009455A5" w:rsidP="009455A5">
      <w:pPr>
        <w:pStyle w:val="ListBullet"/>
      </w:pPr>
      <w:r w:rsidRPr="009455A5">
        <w:rPr>
          <w:b/>
        </w:rPr>
        <w:t>education support workers</w:t>
      </w:r>
      <w:r>
        <w:t>, who support specialists and early childhood e</w:t>
      </w:r>
      <w:r w:rsidR="00204E28">
        <w:t>ducators and work with children</w:t>
      </w:r>
    </w:p>
    <w:p w14:paraId="5696972B" w14:textId="77777777" w:rsidR="00544D9F" w:rsidRDefault="00A6263C" w:rsidP="004E6D5B">
      <w:pPr>
        <w:rPr>
          <w:rFonts w:cs="Arial"/>
          <w:b/>
          <w:bCs/>
          <w:color w:val="000000"/>
        </w:rPr>
      </w:pPr>
      <w:r>
        <w:t>E</w:t>
      </w:r>
      <w:r w:rsidR="00561FB0">
        <w:t>arly intervention services</w:t>
      </w:r>
      <w:r w:rsidR="00544D9F" w:rsidRPr="004E6D5B">
        <w:t xml:space="preserve"> </w:t>
      </w:r>
      <w:r w:rsidR="00561FB0">
        <w:t>tend</w:t>
      </w:r>
      <w:r w:rsidR="009455A5">
        <w:t xml:space="preserve"> to</w:t>
      </w:r>
      <w:r w:rsidR="00544D9F" w:rsidRPr="004E6D5B">
        <w:t xml:space="preserve"> be provided at home or at a child's early childhood education setting</w:t>
      </w:r>
      <w:r w:rsidR="00561FB0">
        <w:t xml:space="preserve"> rather than in specialist centres</w:t>
      </w:r>
      <w:r w:rsidR="00544D9F">
        <w:rPr>
          <w:rStyle w:val="FootnoteReference"/>
          <w:rFonts w:cs="Arial"/>
          <w:bCs/>
          <w:color w:val="000000"/>
        </w:rPr>
        <w:footnoteReference w:id="49"/>
      </w:r>
      <w:r w:rsidR="00544D9F" w:rsidRPr="00845CE2">
        <w:rPr>
          <w:rFonts w:cs="Arial"/>
          <w:bCs/>
          <w:color w:val="000000"/>
        </w:rPr>
        <w:t>.</w:t>
      </w:r>
      <w:r w:rsidR="00544D9F">
        <w:rPr>
          <w:rFonts w:cs="Arial"/>
          <w:bCs/>
          <w:color w:val="000000"/>
        </w:rPr>
        <w:t xml:space="preserve"> </w:t>
      </w:r>
    </w:p>
    <w:p w14:paraId="6A323E0F" w14:textId="77777777" w:rsidR="00544D9F" w:rsidRDefault="00D3776B" w:rsidP="00C13592">
      <w:pPr>
        <w:pStyle w:val="Heading2"/>
        <w:spacing w:line="240" w:lineRule="auto"/>
      </w:pPr>
      <w:bookmarkStart w:id="81" w:name="_Toc250627448"/>
      <w:bookmarkStart w:id="82" w:name="_Toc250627759"/>
      <w:bookmarkStart w:id="83" w:name="_Toc250627937"/>
      <w:bookmarkStart w:id="84" w:name="_Toc252539374"/>
      <w:bookmarkStart w:id="85" w:name="_Toc290886626"/>
      <w:r>
        <w:lastRenderedPageBreak/>
        <w:t>4</w:t>
      </w:r>
      <w:r w:rsidR="00544D9F">
        <w:t xml:space="preserve">.9 </w:t>
      </w:r>
      <w:r w:rsidR="00544D9F" w:rsidRPr="00AF0DEB">
        <w:t>Elder care</w:t>
      </w:r>
      <w:r w:rsidR="00544D9F">
        <w:t xml:space="preserve"> supports for people with disabilities</w:t>
      </w:r>
      <w:bookmarkEnd w:id="81"/>
      <w:bookmarkEnd w:id="82"/>
      <w:bookmarkEnd w:id="83"/>
      <w:bookmarkEnd w:id="84"/>
      <w:bookmarkEnd w:id="85"/>
    </w:p>
    <w:p w14:paraId="2483C5CE" w14:textId="77777777" w:rsidR="00544D9F" w:rsidRDefault="00544D9F" w:rsidP="004E6D5B">
      <w:r w:rsidRPr="00E65AD1">
        <w:t>As mentioned above, funding for disability services for those over 65 has been devolved to DHBs. This decision was taken on the basis that as DHBs fund health services which the majority of older people use</w:t>
      </w:r>
      <w:r w:rsidR="00D1262B">
        <w:t>,</w:t>
      </w:r>
      <w:r w:rsidRPr="00E65AD1">
        <w:t xml:space="preserve"> that integration of elder services and disability services for those over 65 would allow for a better "continuum of care". This integration would allow for DHBs to "</w:t>
      </w:r>
      <w:r w:rsidRPr="00E65AD1">
        <w:rPr>
          <w:color w:val="000000"/>
          <w:lang w:val="en-NZ"/>
        </w:rPr>
        <w:t>plan and fund across a spectrum of care, ensure good coordination and offer flexible services and living options</w:t>
      </w:r>
      <w:r w:rsidRPr="00E65AD1">
        <w:t>"</w:t>
      </w:r>
      <w:r w:rsidRPr="00E65AD1">
        <w:rPr>
          <w:rStyle w:val="FootnoteReference"/>
          <w:rFonts w:cs="Arial"/>
          <w:bCs/>
        </w:rPr>
        <w:footnoteReference w:id="50"/>
      </w:r>
      <w:r w:rsidRPr="00E65AD1">
        <w:t>. People with a disability "close in interest (50-64 y</w:t>
      </w:r>
      <w:r w:rsidR="00962D62">
        <w:t xml:space="preserve">ears)" with a condition associated with ageing in the general population </w:t>
      </w:r>
      <w:r w:rsidRPr="00E65AD1">
        <w:t xml:space="preserve">can be assessed </w:t>
      </w:r>
      <w:r w:rsidR="00962D62">
        <w:t xml:space="preserve">for </w:t>
      </w:r>
      <w:r w:rsidRPr="00E65AD1">
        <w:t>and access relevant eldercare service</w:t>
      </w:r>
      <w:r w:rsidR="00962D62">
        <w:t>s</w:t>
      </w:r>
      <w:r w:rsidRPr="00E65AD1">
        <w:t xml:space="preserve">. </w:t>
      </w:r>
    </w:p>
    <w:p w14:paraId="6E482914" w14:textId="77777777" w:rsidR="00544D9F" w:rsidRDefault="00D3776B" w:rsidP="00C13592">
      <w:pPr>
        <w:pStyle w:val="Heading2"/>
        <w:spacing w:line="240" w:lineRule="auto"/>
        <w:rPr>
          <w:rFonts w:ascii="Arial" w:hAnsi="Arial"/>
          <w:i/>
        </w:rPr>
      </w:pPr>
      <w:bookmarkStart w:id="86" w:name="_Toc250627449"/>
      <w:bookmarkStart w:id="87" w:name="_Toc250627760"/>
      <w:bookmarkStart w:id="88" w:name="_Toc250627938"/>
      <w:bookmarkStart w:id="89" w:name="_Toc252539375"/>
      <w:bookmarkStart w:id="90" w:name="_Toc290886627"/>
      <w:r>
        <w:t>4</w:t>
      </w:r>
      <w:r w:rsidR="00544D9F">
        <w:t xml:space="preserve">.10 </w:t>
      </w:r>
      <w:r w:rsidR="00544D9F" w:rsidRPr="00D770FB">
        <w:t>Transport to Disability Services</w:t>
      </w:r>
      <w:bookmarkEnd w:id="86"/>
      <w:bookmarkEnd w:id="87"/>
      <w:bookmarkEnd w:id="88"/>
      <w:bookmarkEnd w:id="89"/>
      <w:bookmarkEnd w:id="90"/>
      <w:r w:rsidR="00544D9F" w:rsidRPr="00D770FB">
        <w:t xml:space="preserve"> </w:t>
      </w:r>
    </w:p>
    <w:p w14:paraId="615CDBC6" w14:textId="77777777" w:rsidR="00544D9F" w:rsidRDefault="00544D9F" w:rsidP="004E6D5B">
      <w:pPr>
        <w:rPr>
          <w:rFonts w:cs="Arial"/>
        </w:rPr>
      </w:pPr>
      <w:r w:rsidRPr="004E6D5B">
        <w:t>The Ministry of Health operates a transport reimbursement scheme for people who need to access specialist health and disability services not available in their locality</w:t>
      </w:r>
      <w:r w:rsidR="00D1262B" w:rsidRPr="004E6D5B">
        <w:t>.</w:t>
      </w:r>
      <w:r w:rsidRPr="004E6D5B">
        <w:t xml:space="preserve"> This involves reimbursement of the cheapest available public transport or 20 cent per km. Exceptions to these rates are made for people who need to access a specialised (and more expensive mode of transport) because of their accessibility needs. Overnight accommodation costs are covered in certain circumstances when specialised services are more than 100 km away</w:t>
      </w:r>
      <w:r w:rsidRPr="004E6D5B">
        <w:footnoteReference w:id="51"/>
      </w:r>
      <w:r w:rsidRPr="004E6D5B">
        <w:t>. In addition, the Ministry of Transport has had an accessibility focus to its work which is reflected in its Strategic Plans in 2002 and 2008</w:t>
      </w:r>
      <w:r>
        <w:rPr>
          <w:rStyle w:val="FootnoteReference"/>
          <w:rFonts w:cs="Arial"/>
        </w:rPr>
        <w:footnoteReference w:id="52"/>
      </w:r>
      <w:r w:rsidRPr="00D770FB">
        <w:rPr>
          <w:rFonts w:cs="Arial"/>
        </w:rPr>
        <w:t xml:space="preserve">. Since the 1980s a scheme of subsidised taxi travel (Total Mobility) for older people and people with disabilities has been funded by Land Transport New </w:t>
      </w:r>
      <w:smartTag w:uri="urn:schemas-microsoft-com:office:smarttags" w:element="place">
        <w:r w:rsidRPr="00D770FB">
          <w:rPr>
            <w:rFonts w:cs="Arial"/>
          </w:rPr>
          <w:t>Zealand</w:t>
        </w:r>
      </w:smartTag>
      <w:r w:rsidRPr="00D770FB">
        <w:rPr>
          <w:rFonts w:cs="Arial"/>
        </w:rPr>
        <w:t xml:space="preserve"> local authorities. The scheme was reviewed and standardised across the count</w:t>
      </w:r>
      <w:r>
        <w:rPr>
          <w:rFonts w:cs="Arial"/>
        </w:rPr>
        <w:t>r</w:t>
      </w:r>
      <w:r w:rsidRPr="00D770FB">
        <w:rPr>
          <w:rFonts w:cs="Arial"/>
        </w:rPr>
        <w:t>y in 2005. Total mobility served 43,000 people in 2005</w:t>
      </w:r>
      <w:r>
        <w:rPr>
          <w:rStyle w:val="FootnoteReference"/>
          <w:rFonts w:cs="Arial"/>
        </w:rPr>
        <w:footnoteReference w:id="53"/>
      </w:r>
      <w:r w:rsidRPr="00D770FB">
        <w:rPr>
          <w:rFonts w:cs="Arial"/>
        </w:rPr>
        <w:t>.</w:t>
      </w:r>
    </w:p>
    <w:p w14:paraId="42683058" w14:textId="77777777" w:rsidR="00544D9F" w:rsidRDefault="00D3776B" w:rsidP="00C13592">
      <w:pPr>
        <w:pStyle w:val="Heading2"/>
        <w:spacing w:line="240" w:lineRule="auto"/>
        <w:rPr>
          <w:rFonts w:ascii="Helv" w:hAnsi="Helv" w:cs="Helv"/>
          <w:color w:val="000000"/>
        </w:rPr>
      </w:pPr>
      <w:bookmarkStart w:id="91" w:name="_Toc250627450"/>
      <w:bookmarkStart w:id="92" w:name="_Toc250627761"/>
      <w:bookmarkStart w:id="93" w:name="_Toc250627939"/>
      <w:bookmarkStart w:id="94" w:name="_Toc252539376"/>
      <w:bookmarkStart w:id="95" w:name="_Toc290886628"/>
      <w:r>
        <w:t>4</w:t>
      </w:r>
      <w:r w:rsidR="00544D9F">
        <w:t xml:space="preserve">.11 </w:t>
      </w:r>
      <w:r w:rsidR="00544D9F" w:rsidRPr="00761DC0">
        <w:t xml:space="preserve">Day </w:t>
      </w:r>
      <w:r w:rsidR="00544D9F">
        <w:t xml:space="preserve">&amp; Employment </w:t>
      </w:r>
      <w:r w:rsidR="00544D9F" w:rsidRPr="00761DC0">
        <w:t>services</w:t>
      </w:r>
      <w:bookmarkEnd w:id="91"/>
      <w:bookmarkEnd w:id="92"/>
      <w:bookmarkEnd w:id="93"/>
      <w:bookmarkEnd w:id="94"/>
      <w:bookmarkEnd w:id="95"/>
    </w:p>
    <w:p w14:paraId="32136BA6" w14:textId="77777777" w:rsidR="00544D9F" w:rsidRDefault="00544D9F" w:rsidP="00544D9F">
      <w:r w:rsidRPr="009660DB">
        <w:t xml:space="preserve">The Ministry of Social Development funds and administers day and vocational programmes for people with disabilities. Significant changes have taken place in recent years in the area of day supports and employment supports for people with disabilities. In 2001 </w:t>
      </w:r>
      <w:r w:rsidRPr="009A7C12">
        <w:t>Pathways to Inclusion</w:t>
      </w:r>
      <w:r w:rsidRPr="009660DB">
        <w:rPr>
          <w:i/>
        </w:rPr>
        <w:t xml:space="preserve"> </w:t>
      </w:r>
      <w:r w:rsidRPr="009660DB">
        <w:t>was published which set out</w:t>
      </w:r>
      <w:r w:rsidRPr="009660DB">
        <w:rPr>
          <w:i/>
        </w:rPr>
        <w:t xml:space="preserve"> </w:t>
      </w:r>
      <w:r w:rsidRPr="00D1262B">
        <w:t xml:space="preserve">a </w:t>
      </w:r>
      <w:r w:rsidRPr="009660DB">
        <w:t>vision of a more employment foc</w:t>
      </w:r>
      <w:r w:rsidR="00561FB0">
        <w:t>used vocational support service</w:t>
      </w:r>
      <w:r w:rsidRPr="009660DB">
        <w:t xml:space="preserve"> for </w:t>
      </w:r>
      <w:r w:rsidRPr="009660DB">
        <w:lastRenderedPageBreak/>
        <w:t xml:space="preserve">people with disabilities and established a framework for repealing legislation relating to sheltered workshops. </w:t>
      </w:r>
    </w:p>
    <w:p w14:paraId="2E158451" w14:textId="77777777" w:rsidR="00544D9F" w:rsidRDefault="00544D9F" w:rsidP="00544D9F">
      <w:r w:rsidRPr="009660DB">
        <w:t>In 2006/07, 9,0</w:t>
      </w:r>
      <w:r w:rsidR="00037DE4">
        <w:t>00</w:t>
      </w:r>
      <w:r w:rsidRPr="009660DB">
        <w:t xml:space="preserve"> of the 21,3</w:t>
      </w:r>
      <w:r w:rsidR="00037DE4">
        <w:t>00</w:t>
      </w:r>
      <w:r w:rsidRPr="009660DB">
        <w:t xml:space="preserve"> people with a disability </w:t>
      </w:r>
      <w:r w:rsidR="00962D62">
        <w:t>who had</w:t>
      </w:r>
      <w:r w:rsidRPr="009660DB">
        <w:t xml:space="preserve"> received a vocational service were placed into employment or assisted to remain in open employment. The corresponding figure in 2001 was 3000</w:t>
      </w:r>
      <w:r w:rsidRPr="009660DB">
        <w:rPr>
          <w:rStyle w:val="FootnoteReference"/>
          <w:rFonts w:cs="Arial"/>
          <w:bCs/>
          <w:color w:val="000000"/>
        </w:rPr>
        <w:footnoteReference w:id="54"/>
      </w:r>
      <w:r w:rsidRPr="009660DB">
        <w:t>. The Ministry</w:t>
      </w:r>
      <w:r w:rsidR="00687071">
        <w:t xml:space="preserve"> of Social Development spent just over 83m.</w:t>
      </w:r>
      <w:r w:rsidRPr="009660DB">
        <w:t xml:space="preserve"> NZD</w:t>
      </w:r>
      <w:r w:rsidR="00962D62">
        <w:rPr>
          <w:rStyle w:val="FootnoteReference"/>
        </w:rPr>
        <w:footnoteReference w:id="55"/>
      </w:r>
      <w:r w:rsidRPr="009660DB">
        <w:t xml:space="preserve"> on vocational supports for people with disabilities in 2006/07</w:t>
      </w:r>
      <w:r w:rsidRPr="009660DB">
        <w:rPr>
          <w:rStyle w:val="FootnoteReference"/>
          <w:rFonts w:cs="Arial"/>
          <w:bCs/>
          <w:color w:val="000000"/>
        </w:rPr>
        <w:footnoteReference w:id="56"/>
      </w:r>
      <w:r w:rsidRPr="009660DB">
        <w:t>.  The Ministry of Health had separately funded non-vocational day activities for adults with intellectual disabilities though it was recently announced that these are being transferred to the Ministry of Social Development</w:t>
      </w:r>
      <w:r w:rsidRPr="009660DB">
        <w:rPr>
          <w:rStyle w:val="FootnoteReference"/>
          <w:rFonts w:cs="Arial"/>
          <w:bCs/>
          <w:color w:val="000000"/>
        </w:rPr>
        <w:footnoteReference w:id="57"/>
      </w:r>
      <w:r w:rsidRPr="009660DB">
        <w:t>.</w:t>
      </w:r>
    </w:p>
    <w:p w14:paraId="0A81D612" w14:textId="77777777" w:rsidR="00544D9F" w:rsidRDefault="00544D9F" w:rsidP="00544D9F">
      <w:r w:rsidRPr="009660DB">
        <w:t>In 20</w:t>
      </w:r>
      <w:r w:rsidR="00D1262B">
        <w:t>01 an estimated 5400 people, 2%</w:t>
      </w:r>
      <w:r w:rsidRPr="009660DB">
        <w:t xml:space="preserve"> of employed adults with disability, worked in sheltered workshops or in jobs specifically set up to provide work for people with a disability</w:t>
      </w:r>
      <w:r w:rsidRPr="009660DB">
        <w:rPr>
          <w:rStyle w:val="FootnoteReference"/>
          <w:rFonts w:cs="Arial"/>
          <w:bCs/>
          <w:color w:val="000000"/>
        </w:rPr>
        <w:footnoteReference w:id="58"/>
      </w:r>
      <w:r w:rsidRPr="009660DB">
        <w:t xml:space="preserve">. Within the five year timeframe set out in </w:t>
      </w:r>
      <w:r w:rsidRPr="009A7C12">
        <w:t>Pathways to Inclusion</w:t>
      </w:r>
      <w:r w:rsidRPr="009660DB">
        <w:rPr>
          <w:i/>
        </w:rPr>
        <w:t xml:space="preserve"> </w:t>
      </w:r>
      <w:r w:rsidRPr="009660DB">
        <w:t xml:space="preserve">sheltered workshops were either supposed to focus on delivering community participation programmes or employment based programmes. An evaluation of the </w:t>
      </w:r>
      <w:r w:rsidRPr="009A7C12">
        <w:t>Pathways to Inclusion</w:t>
      </w:r>
      <w:r w:rsidRPr="009660DB">
        <w:rPr>
          <w:i/>
        </w:rPr>
        <w:t xml:space="preserve"> </w:t>
      </w:r>
      <w:r w:rsidRPr="009660DB">
        <w:t>show</w:t>
      </w:r>
      <w:r w:rsidR="00561FB0">
        <w:t>s</w:t>
      </w:r>
      <w:r w:rsidRPr="009660DB">
        <w:t xml:space="preserve"> a significant re-orientation of vocational services away from segregated work environments towards employment services</w:t>
      </w:r>
      <w:r w:rsidRPr="009660DB">
        <w:rPr>
          <w:rStyle w:val="FootnoteReference"/>
          <w:rFonts w:cs="Arial"/>
          <w:bCs/>
          <w:color w:val="000000"/>
        </w:rPr>
        <w:footnoteReference w:id="59"/>
      </w:r>
      <w:r w:rsidRPr="009660DB">
        <w:t xml:space="preserve">. </w:t>
      </w:r>
      <w:r w:rsidR="00FD1DF9">
        <w:t>However, k</w:t>
      </w:r>
      <w:r w:rsidRPr="009660DB">
        <w:t>ey informants indicated that links between vocational services and Ministry of Health provided services was poor a</w:t>
      </w:r>
      <w:r w:rsidR="00FD1DF9">
        <w:t>nd that</w:t>
      </w:r>
      <w:r w:rsidRPr="009660DB">
        <w:t xml:space="preserve"> while the </w:t>
      </w:r>
      <w:r w:rsidRPr="009A7C12">
        <w:t>Pathways to Inclusion</w:t>
      </w:r>
      <w:r w:rsidRPr="009660DB">
        <w:rPr>
          <w:i/>
        </w:rPr>
        <w:t xml:space="preserve"> </w:t>
      </w:r>
      <w:r w:rsidRPr="009660DB">
        <w:t>process had been</w:t>
      </w:r>
      <w:r w:rsidRPr="009660DB">
        <w:rPr>
          <w:i/>
        </w:rPr>
        <w:t xml:space="preserve"> </w:t>
      </w:r>
      <w:r w:rsidRPr="009660DB">
        <w:t>a success in terms of closing sheltered workshops and reorientating vocational supports towards supporting the employment of people with disabilities</w:t>
      </w:r>
      <w:r w:rsidR="00FD1DF9">
        <w:t>,</w:t>
      </w:r>
      <w:r w:rsidRPr="009660DB">
        <w:t xml:space="preserve"> some people with higher support needs had less day activity as a result of the process.</w:t>
      </w:r>
    </w:p>
    <w:p w14:paraId="31FE1E52" w14:textId="77777777" w:rsidR="00544D9F" w:rsidRDefault="00544D9F" w:rsidP="00544D9F">
      <w:r w:rsidRPr="009660DB">
        <w:t xml:space="preserve">When the Disabled Persons Employment Promotion Repeal Act took effect in December 2007 the remaining “Sheltered Workshops” were to become known as “Business Enterprises”. Business Enterprises are required to give all employees the </w:t>
      </w:r>
      <w:r w:rsidRPr="009660DB">
        <w:rPr>
          <w:lang w:val="en-NZ"/>
        </w:rPr>
        <w:t xml:space="preserve">same employment rights or protections as other New </w:t>
      </w:r>
      <w:r w:rsidRPr="009660DB">
        <w:rPr>
          <w:lang w:val="en-NZ"/>
        </w:rPr>
        <w:lastRenderedPageBreak/>
        <w:t>Zealanders, including minimum wage. However, where an employ</w:t>
      </w:r>
      <w:r w:rsidR="00D1262B">
        <w:rPr>
          <w:lang w:val="en-NZ"/>
        </w:rPr>
        <w:t xml:space="preserve">er and employees agree, and an </w:t>
      </w:r>
      <w:r w:rsidRPr="009660DB">
        <w:rPr>
          <w:lang w:val="en-NZ"/>
        </w:rPr>
        <w:t>individual employee has been assessed to be "</w:t>
      </w:r>
      <w:r w:rsidRPr="009660DB">
        <w:t>demonstrably limited in their work because of a disability, [the employee] can be issued with a minimum wage exemption permit"</w:t>
      </w:r>
      <w:r w:rsidRPr="009660DB">
        <w:rPr>
          <w:rStyle w:val="FootnoteReference"/>
          <w:rFonts w:cs="Arial"/>
          <w:bCs/>
          <w:color w:val="000000"/>
        </w:rPr>
        <w:footnoteReference w:id="60"/>
      </w:r>
      <w:r w:rsidRPr="009660DB">
        <w:t xml:space="preserve">. </w:t>
      </w:r>
    </w:p>
    <w:p w14:paraId="7CDE08F3" w14:textId="77777777" w:rsidR="00544D9F" w:rsidRDefault="00544D9F" w:rsidP="00544D9F">
      <w:smartTag w:uri="urn:schemas-microsoft-com:office:smarttags" w:element="country-region">
        <w:smartTag w:uri="urn:schemas-microsoft-com:office:smarttags" w:element="place">
          <w:r w:rsidRPr="00162B6F">
            <w:t>New Zealand</w:t>
          </w:r>
        </w:smartTag>
      </w:smartTag>
      <w:r w:rsidRPr="00162B6F">
        <w:t xml:space="preserve"> has several agencies who deliver supported employment programmes to people with disabilities</w:t>
      </w:r>
      <w:r w:rsidRPr="00162B6F">
        <w:rPr>
          <w:rStyle w:val="FootnoteReference"/>
          <w:rFonts w:cs="Arial"/>
          <w:bCs/>
          <w:color w:val="000000"/>
        </w:rPr>
        <w:footnoteReference w:id="61"/>
      </w:r>
      <w:r w:rsidRPr="00162B6F">
        <w:t>. While these agencies were seen by key informants as playing a very useful role</w:t>
      </w:r>
      <w:r w:rsidR="00D1262B">
        <w:t>,</w:t>
      </w:r>
      <w:r w:rsidRPr="00162B6F">
        <w:t xml:space="preserve"> their funding levels</w:t>
      </w:r>
      <w:r w:rsidRPr="00162B6F">
        <w:rPr>
          <w:rStyle w:val="FootnoteReference"/>
          <w:rFonts w:cs="Arial"/>
          <w:bCs/>
          <w:color w:val="000000"/>
        </w:rPr>
        <w:footnoteReference w:id="62"/>
      </w:r>
      <w:r w:rsidRPr="00162B6F">
        <w:t xml:space="preserve"> are such that in practice they support those who are comparatively job ready and simply can't afford to support those with more high supports needs. </w:t>
      </w:r>
    </w:p>
    <w:p w14:paraId="6D0A5852" w14:textId="77777777" w:rsidR="00544D9F" w:rsidRPr="000C64D4" w:rsidRDefault="00D3776B" w:rsidP="00C13592">
      <w:pPr>
        <w:pStyle w:val="Heading2"/>
        <w:spacing w:line="240" w:lineRule="auto"/>
        <w:rPr>
          <w:rFonts w:ascii="Arial" w:hAnsi="Arial"/>
          <w:color w:val="000000"/>
          <w:highlight w:val="green"/>
        </w:rPr>
      </w:pPr>
      <w:bookmarkStart w:id="96" w:name="_Toc250627451"/>
      <w:bookmarkStart w:id="97" w:name="_Toc250627762"/>
      <w:bookmarkStart w:id="98" w:name="_Toc250627940"/>
      <w:bookmarkStart w:id="99" w:name="_Toc252539377"/>
      <w:bookmarkStart w:id="100" w:name="_Toc290886629"/>
      <w:r>
        <w:t>4</w:t>
      </w:r>
      <w:r w:rsidR="00544D9F">
        <w:t xml:space="preserve">.12 </w:t>
      </w:r>
      <w:r w:rsidR="00544D9F" w:rsidRPr="000C64D4">
        <w:t>Direct payments</w:t>
      </w:r>
      <w:bookmarkEnd w:id="96"/>
      <w:bookmarkEnd w:id="97"/>
      <w:bookmarkEnd w:id="98"/>
      <w:bookmarkEnd w:id="99"/>
      <w:bookmarkEnd w:id="100"/>
    </w:p>
    <w:p w14:paraId="40EB4058" w14:textId="77777777" w:rsidR="00146F60" w:rsidRDefault="00544D9F" w:rsidP="00544D9F">
      <w:r w:rsidRPr="00ED1B7F">
        <w:t xml:space="preserve">Direct Payments </w:t>
      </w:r>
      <w:r>
        <w:t>(</w:t>
      </w:r>
      <w:r w:rsidRPr="00ED1B7F">
        <w:t xml:space="preserve">called Individualised Funding </w:t>
      </w:r>
      <w:r>
        <w:t xml:space="preserve">(IF) </w:t>
      </w:r>
      <w:r w:rsidRPr="00ED1B7F">
        <w:t xml:space="preserve">in </w:t>
      </w:r>
      <w:smartTag w:uri="urn:schemas-microsoft-com:office:smarttags" w:element="country-region">
        <w:r w:rsidRPr="00ED1B7F">
          <w:t>New Zealand</w:t>
        </w:r>
      </w:smartTag>
      <w:r>
        <w:t xml:space="preserve">) </w:t>
      </w:r>
      <w:r w:rsidRPr="00ED1B7F">
        <w:t xml:space="preserve">are available in </w:t>
      </w:r>
      <w:smartTag w:uri="urn:schemas-microsoft-com:office:smarttags" w:element="place">
        <w:smartTag w:uri="urn:schemas-microsoft-com:office:smarttags" w:element="country-region">
          <w:r w:rsidRPr="00ED1B7F">
            <w:t xml:space="preserve">New </w:t>
          </w:r>
          <w:r w:rsidR="005D5DFA" w:rsidRPr="00ED1B7F">
            <w:t>Zealand</w:t>
          </w:r>
        </w:smartTag>
      </w:smartTag>
      <w:r w:rsidR="005D5DFA">
        <w:t xml:space="preserve">. </w:t>
      </w:r>
      <w:r w:rsidR="00991DCC">
        <w:t xml:space="preserve">Until 2010 one </w:t>
      </w:r>
      <w:r w:rsidRPr="00ED1B7F">
        <w:t>agency,</w:t>
      </w:r>
      <w:r w:rsidR="00813C98" w:rsidRPr="00813C98">
        <w:t xml:space="preserve"> </w:t>
      </w:r>
      <w:proofErr w:type="spellStart"/>
      <w:r w:rsidR="00813C98" w:rsidRPr="00146F60">
        <w:t>Manawanui</w:t>
      </w:r>
      <w:proofErr w:type="spellEnd"/>
      <w:r w:rsidR="00813C98" w:rsidRPr="00146F60">
        <w:t xml:space="preserve"> </w:t>
      </w:r>
      <w:proofErr w:type="spellStart"/>
      <w:r w:rsidR="00813C98" w:rsidRPr="00146F60">
        <w:t>InCharge</w:t>
      </w:r>
      <w:proofErr w:type="spellEnd"/>
      <w:r w:rsidR="00813C98">
        <w:t xml:space="preserve">, </w:t>
      </w:r>
      <w:r w:rsidR="00991DCC">
        <w:t xml:space="preserve">had been </w:t>
      </w:r>
      <w:r w:rsidRPr="00ED1B7F">
        <w:t xml:space="preserve">contracted by the Ministry of Health </w:t>
      </w:r>
      <w:r w:rsidR="00991DCC">
        <w:t>since</w:t>
      </w:r>
      <w:r w:rsidRPr="00ED1B7F">
        <w:t xml:space="preserve"> 2005 to provide free support for those who choose </w:t>
      </w:r>
      <w:r w:rsidR="00991DCC">
        <w:t xml:space="preserve">to opt for </w:t>
      </w:r>
      <w:r w:rsidR="00146F60">
        <w:t>IF</w:t>
      </w:r>
      <w:r w:rsidRPr="00ED1B7F">
        <w:rPr>
          <w:rStyle w:val="FootnoteReference"/>
          <w:rFonts w:cs="Arial"/>
          <w:bCs/>
          <w:color w:val="000000"/>
        </w:rPr>
        <w:footnoteReference w:id="63"/>
      </w:r>
      <w:r w:rsidRPr="00ED1B7F">
        <w:t xml:space="preserve">. </w:t>
      </w:r>
      <w:r w:rsidR="00146F60">
        <w:t>To become an IF budget</w:t>
      </w:r>
      <w:r w:rsidR="00813C98">
        <w:t xml:space="preserve">-holder </w:t>
      </w:r>
      <w:r w:rsidR="00991DCC">
        <w:t>a person had</w:t>
      </w:r>
      <w:r w:rsidR="00146F60" w:rsidRPr="00146F60">
        <w:t xml:space="preserve"> </w:t>
      </w:r>
      <w:r w:rsidR="00146F60">
        <w:t xml:space="preserve">to have completed a </w:t>
      </w:r>
      <w:r w:rsidR="00146F60" w:rsidRPr="00146F60">
        <w:t>NASC a</w:t>
      </w:r>
      <w:r w:rsidR="00146F60">
        <w:t xml:space="preserve">ssessment, </w:t>
      </w:r>
      <w:r w:rsidR="00991DCC">
        <w:t xml:space="preserve">had to </w:t>
      </w:r>
      <w:r w:rsidR="00146F60">
        <w:t>be</w:t>
      </w:r>
      <w:r w:rsidR="00146F60" w:rsidRPr="00146F60">
        <w:t xml:space="preserve"> willing to take on the responsibilities of being an IF budget-holder </w:t>
      </w:r>
      <w:r w:rsidR="00146F60">
        <w:t xml:space="preserve">and </w:t>
      </w:r>
      <w:r w:rsidR="00991DCC">
        <w:t xml:space="preserve">had to </w:t>
      </w:r>
      <w:r w:rsidR="00146F60" w:rsidRPr="00146F60">
        <w:t>have</w:t>
      </w:r>
      <w:r w:rsidR="00991DCC">
        <w:t xml:space="preserve"> had</w:t>
      </w:r>
      <w:r w:rsidR="00146F60" w:rsidRPr="00146F60">
        <w:t xml:space="preserve"> high support ne</w:t>
      </w:r>
      <w:r w:rsidR="00991DCC">
        <w:t>eds which had</w:t>
      </w:r>
      <w:r w:rsidR="00146F60" w:rsidRPr="00146F60">
        <w:t xml:space="preserve"> remained stable for at least the past year. People considered eligi</w:t>
      </w:r>
      <w:r w:rsidR="00991DCC">
        <w:t xml:space="preserve">ble to manage their own budgets, and who wished to do so, were </w:t>
      </w:r>
      <w:r w:rsidR="00146F60" w:rsidRPr="00146F60">
        <w:t xml:space="preserve">to </w:t>
      </w:r>
      <w:proofErr w:type="spellStart"/>
      <w:r w:rsidR="00146F60" w:rsidRPr="00146F60">
        <w:t>Manawanui</w:t>
      </w:r>
      <w:proofErr w:type="spellEnd"/>
      <w:r w:rsidR="00146F60" w:rsidRPr="00146F60">
        <w:t xml:space="preserve"> </w:t>
      </w:r>
      <w:proofErr w:type="spellStart"/>
      <w:r w:rsidR="00146F60" w:rsidRPr="00146F60">
        <w:t>InCharge</w:t>
      </w:r>
      <w:proofErr w:type="spellEnd"/>
      <w:r w:rsidR="00146F60" w:rsidRPr="00146F60">
        <w:t xml:space="preserve"> by NASC</w:t>
      </w:r>
      <w:r w:rsidR="00146F60">
        <w:t>.</w:t>
      </w:r>
    </w:p>
    <w:p w14:paraId="1C1041DE" w14:textId="77777777" w:rsidR="00544D9F" w:rsidRDefault="00544D9F" w:rsidP="00544D9F">
      <w:r w:rsidRPr="00ED1B7F">
        <w:t xml:space="preserve">As of January 2009, there were 238 people across </w:t>
      </w:r>
      <w:smartTag w:uri="urn:schemas-microsoft-com:office:smarttags" w:element="country-region">
        <w:smartTag w:uri="urn:schemas-microsoft-com:office:smarttags" w:element="place">
          <w:r w:rsidRPr="00ED1B7F">
            <w:t>New Zealand</w:t>
          </w:r>
        </w:smartTag>
      </w:smartTag>
      <w:r w:rsidRPr="00ED1B7F">
        <w:t xml:space="preserve"> who were accessing direct payments</w:t>
      </w:r>
      <w:r w:rsidRPr="00512BD1">
        <w:rPr>
          <w:rStyle w:val="FootnoteReference"/>
          <w:rFonts w:cs="Arial"/>
          <w:bCs/>
          <w:color w:val="000000"/>
        </w:rPr>
        <w:footnoteReference w:id="64"/>
      </w:r>
      <w:r w:rsidRPr="00512BD1">
        <w:t>.</w:t>
      </w:r>
      <w:r>
        <w:rPr>
          <w:b/>
        </w:rPr>
        <w:t xml:space="preserve">  </w:t>
      </w:r>
      <w:r w:rsidRPr="0095529F">
        <w:t xml:space="preserve">A key informant suggested that low take up for direct payments related to the fact that those choosing IF </w:t>
      </w:r>
      <w:r>
        <w:t xml:space="preserve">are required to take on arranging and paying for all their services and the level of support currently provided for people to take on this task is limited and for most people not sufficient. </w:t>
      </w:r>
    </w:p>
    <w:p w14:paraId="36BBA995" w14:textId="77777777" w:rsidR="00813C98" w:rsidRDefault="00215100" w:rsidP="00544D9F">
      <w:r>
        <w:t xml:space="preserve">The </w:t>
      </w:r>
      <w:r w:rsidRPr="00215100">
        <w:t xml:space="preserve">Ministry of Health’s Statement of Intent 2009–2012 </w:t>
      </w:r>
      <w:r>
        <w:t>indicated that it w</w:t>
      </w:r>
      <w:r w:rsidR="00991DCC">
        <w:t>ould</w:t>
      </w:r>
      <w:r>
        <w:t xml:space="preserve"> expand</w:t>
      </w:r>
      <w:r w:rsidRPr="00215100">
        <w:t xml:space="preserve"> the availability of individualised funding arrangements for people with </w:t>
      </w:r>
      <w:r>
        <w:t>disabilities</w:t>
      </w:r>
      <w:r>
        <w:rPr>
          <w:rStyle w:val="FootnoteReference"/>
        </w:rPr>
        <w:footnoteReference w:id="65"/>
      </w:r>
      <w:r>
        <w:t xml:space="preserve">. It </w:t>
      </w:r>
      <w:r w:rsidR="00991DCC">
        <w:t xml:space="preserve">indicated that this would be achieved </w:t>
      </w:r>
      <w:r>
        <w:t>in two ways:</w:t>
      </w:r>
      <w:r w:rsidRPr="00215100">
        <w:t xml:space="preserve"> by widening the eligibility criteria beyond people with high and very high needs, and by </w:t>
      </w:r>
      <w:r w:rsidRPr="00215100">
        <w:lastRenderedPageBreak/>
        <w:t xml:space="preserve">working towards having more than one provider </w:t>
      </w:r>
      <w:r w:rsidR="00FD1DF9">
        <w:t xml:space="preserve">(currently </w:t>
      </w:r>
      <w:r w:rsidR="00FD1DF9" w:rsidRPr="00A8074E">
        <w:rPr>
          <w:lang w:val="mi-NZ"/>
        </w:rPr>
        <w:t>Manawanui</w:t>
      </w:r>
      <w:r w:rsidR="00FD1DF9" w:rsidRPr="00146F60">
        <w:t xml:space="preserve"> </w:t>
      </w:r>
      <w:proofErr w:type="spellStart"/>
      <w:r w:rsidR="00FD1DF9" w:rsidRPr="00146F60">
        <w:t>InCharge</w:t>
      </w:r>
      <w:proofErr w:type="spellEnd"/>
      <w:r w:rsidR="00FD1DF9">
        <w:t xml:space="preserve">) </w:t>
      </w:r>
      <w:r w:rsidR="003A05C0">
        <w:t>through which the funding could</w:t>
      </w:r>
      <w:r w:rsidRPr="00215100">
        <w:t xml:space="preserve"> be managed.</w:t>
      </w:r>
      <w:r w:rsidR="00813C98">
        <w:t xml:space="preserve"> </w:t>
      </w:r>
    </w:p>
    <w:p w14:paraId="58657AFD" w14:textId="77777777" w:rsidR="00AE19B1" w:rsidRDefault="00813C98" w:rsidP="00991DCC">
      <w:pPr>
        <w:spacing w:after="120"/>
      </w:pPr>
      <w:r>
        <w:t>A service specification for IF was produced by the Ministry of Health in June 2010 which should increase eligibility since it removes the criteria for a person availing of IF to have "</w:t>
      </w:r>
      <w:r w:rsidRPr="00215100">
        <w:t>high and very high needs</w:t>
      </w:r>
      <w:r>
        <w:t xml:space="preserve">". </w:t>
      </w:r>
      <w:r w:rsidR="007435CE">
        <w:t xml:space="preserve">The Service </w:t>
      </w:r>
      <w:r w:rsidR="00A8074E">
        <w:t>Specification limits</w:t>
      </w:r>
      <w:r>
        <w:t xml:space="preserve"> </w:t>
      </w:r>
      <w:r w:rsidR="00991DCC">
        <w:t xml:space="preserve">IF use </w:t>
      </w:r>
      <w:r>
        <w:t xml:space="preserve">to </w:t>
      </w:r>
      <w:r w:rsidR="007435CE">
        <w:t xml:space="preserve">Home and Community Support Services (i.e. in home supports). The Service Specification sets out the ways in which an IF user has the ability to manage the delivery of their own support by allowing them to: </w:t>
      </w:r>
    </w:p>
    <w:p w14:paraId="482C2F26" w14:textId="77777777" w:rsidR="007435CE" w:rsidRDefault="00813C98" w:rsidP="00AE19B1">
      <w:pPr>
        <w:pStyle w:val="ListBullet"/>
      </w:pPr>
      <w:r>
        <w:t>choose their Indiv</w:t>
      </w:r>
      <w:r w:rsidR="00A8074E">
        <w:t>idualised Funding Host Provider</w:t>
      </w:r>
    </w:p>
    <w:p w14:paraId="6219AC94" w14:textId="77777777" w:rsidR="00813C98" w:rsidRDefault="00813C98" w:rsidP="00AE19B1">
      <w:pPr>
        <w:pStyle w:val="ListBullet"/>
      </w:pPr>
      <w:r>
        <w:t>choose their caregi</w:t>
      </w:r>
      <w:r w:rsidR="00A8074E">
        <w:t>vers and service delivery plans</w:t>
      </w:r>
    </w:p>
    <w:p w14:paraId="0DFE9990" w14:textId="77777777" w:rsidR="00813C98" w:rsidRDefault="00813C98" w:rsidP="00AE19B1">
      <w:pPr>
        <w:pStyle w:val="ListBullet"/>
      </w:pPr>
      <w:r>
        <w:t>e</w:t>
      </w:r>
      <w:r w:rsidR="00A8074E">
        <w:t>mploy their own support workers</w:t>
      </w:r>
    </w:p>
    <w:p w14:paraId="7B55DD16" w14:textId="77777777" w:rsidR="00813C98" w:rsidRDefault="00813C98" w:rsidP="00AE19B1">
      <w:pPr>
        <w:pStyle w:val="ListBullet"/>
      </w:pPr>
      <w:r>
        <w:t>manage the payment for services of these staff; and</w:t>
      </w:r>
    </w:p>
    <w:p w14:paraId="280F828A" w14:textId="77777777" w:rsidR="007435CE" w:rsidRDefault="00813C98" w:rsidP="00991DCC">
      <w:pPr>
        <w:pStyle w:val="ListBullet"/>
        <w:spacing w:after="240"/>
        <w:ind w:left="357" w:hanging="357"/>
      </w:pPr>
      <w:r>
        <w:t>manage all aspects of service delivery</w:t>
      </w:r>
      <w:r w:rsidR="00AE19B1">
        <w:rPr>
          <w:rStyle w:val="FootnoteReference"/>
        </w:rPr>
        <w:footnoteReference w:id="66"/>
      </w:r>
    </w:p>
    <w:p w14:paraId="760FB12F" w14:textId="77777777" w:rsidR="00544D9F" w:rsidRDefault="00D3776B" w:rsidP="00C13592">
      <w:pPr>
        <w:pStyle w:val="Heading2"/>
        <w:spacing w:line="240" w:lineRule="auto"/>
        <w:rPr>
          <w:rFonts w:ascii="Arial" w:hAnsi="Arial"/>
          <w:color w:val="000000"/>
        </w:rPr>
      </w:pPr>
      <w:bookmarkStart w:id="101" w:name="_Toc250627452"/>
      <w:bookmarkStart w:id="102" w:name="_Toc250627763"/>
      <w:bookmarkStart w:id="103" w:name="_Toc250627941"/>
      <w:bookmarkStart w:id="104" w:name="_Toc252539378"/>
      <w:bookmarkStart w:id="105" w:name="_Toc290886630"/>
      <w:r>
        <w:t>4</w:t>
      </w:r>
      <w:r w:rsidR="00544D9F">
        <w:t xml:space="preserve">.13 </w:t>
      </w:r>
      <w:r w:rsidR="00544D9F" w:rsidRPr="000C64D4">
        <w:t>Supports to independent living</w:t>
      </w:r>
      <w:bookmarkEnd w:id="101"/>
      <w:bookmarkEnd w:id="102"/>
      <w:bookmarkEnd w:id="103"/>
      <w:bookmarkEnd w:id="104"/>
      <w:bookmarkEnd w:id="105"/>
    </w:p>
    <w:p w14:paraId="530D5C19" w14:textId="77777777" w:rsidR="00544D9F" w:rsidRDefault="007435CE" w:rsidP="00544D9F">
      <w:r>
        <w:t xml:space="preserve">As stated </w:t>
      </w:r>
      <w:r w:rsidR="00544D9F" w:rsidRPr="00ED1B7F">
        <w:t>above the majority of New Zealanders who receive disability supports receive them in their own home</w:t>
      </w:r>
      <w:r w:rsidR="00544D9F">
        <w:t xml:space="preserve"> via </w:t>
      </w:r>
      <w:r w:rsidR="00153414">
        <w:t>Home Community Support Services (HC</w:t>
      </w:r>
      <w:r w:rsidR="00544D9F" w:rsidRPr="00ED1B7F">
        <w:t>SS)</w:t>
      </w:r>
      <w:r w:rsidR="00544D9F">
        <w:t xml:space="preserve">. For people who have higher support needs but who do not want a traditional residential support based package there is the option to avail of </w:t>
      </w:r>
      <w:r w:rsidR="00544D9F" w:rsidRPr="00ED1B7F">
        <w:t>Supported Independent Living (SIL)</w:t>
      </w:r>
      <w:r w:rsidR="00544D9F">
        <w:t>. SIL</w:t>
      </w:r>
      <w:r w:rsidR="00544D9F" w:rsidRPr="00ED1B7F">
        <w:t xml:space="preserve"> services provide a means of supporting a person who wishes to live in their own home or in a flat by themselves or with others. The person usually needs a level of support or supervision that is beyond what is provided by personal support and household management services. SIL is not intended to be a 24-hour support service</w:t>
      </w:r>
      <w:r w:rsidR="00544D9F">
        <w:rPr>
          <w:rStyle w:val="FootnoteReference"/>
          <w:rFonts w:cs="Arial"/>
          <w:bCs/>
          <w:color w:val="000000"/>
        </w:rPr>
        <w:footnoteReference w:id="67"/>
      </w:r>
      <w:r w:rsidR="00544D9F" w:rsidRPr="00ED1B7F">
        <w:t>.</w:t>
      </w:r>
      <w:r w:rsidR="00544D9F">
        <w:t xml:space="preserve"> </w:t>
      </w:r>
      <w:r w:rsidR="00544D9F" w:rsidRPr="00ED1B7F">
        <w:t>1</w:t>
      </w:r>
      <w:r w:rsidR="00991DCC">
        <w:t>,</w:t>
      </w:r>
      <w:r w:rsidR="00544D9F" w:rsidRPr="00ED1B7F">
        <w:t xml:space="preserve">050 </w:t>
      </w:r>
      <w:r w:rsidR="00FD1DF9">
        <w:t xml:space="preserve">people </w:t>
      </w:r>
      <w:r w:rsidR="00544D9F" w:rsidRPr="00ED1B7F">
        <w:t>are funded through supported independent living contracts called SIL</w:t>
      </w:r>
      <w:r w:rsidR="00544D9F" w:rsidRPr="003B5963">
        <w:t>s</w:t>
      </w:r>
      <w:r w:rsidR="00544D9F" w:rsidRPr="003B5963">
        <w:rPr>
          <w:rStyle w:val="FootnoteReference"/>
          <w:rFonts w:cs="Arial"/>
        </w:rPr>
        <w:footnoteReference w:id="68"/>
      </w:r>
      <w:r w:rsidR="00544D9F" w:rsidRPr="003B5963">
        <w:t xml:space="preserve">. </w:t>
      </w:r>
    </w:p>
    <w:p w14:paraId="42930705" w14:textId="77777777" w:rsidR="00FD1DF9" w:rsidRDefault="00544D9F" w:rsidP="00544D9F">
      <w:r>
        <w:t xml:space="preserve">A key informant explained the low take up of this programme relates to a problem with its design. Anyone requiring more than 15 hours a week of support is not eligible for consideration for SIL and is directed towards other residential supports models. </w:t>
      </w:r>
    </w:p>
    <w:p w14:paraId="1D811FCA" w14:textId="77777777" w:rsidR="009F033B" w:rsidRDefault="009F033B" w:rsidP="003A05C0">
      <w:pPr>
        <w:spacing w:after="120"/>
        <w:rPr>
          <w:bCs/>
          <w:color w:val="000000"/>
        </w:rPr>
      </w:pPr>
      <w:r>
        <w:t xml:space="preserve">As part of its response to the </w:t>
      </w:r>
      <w:r w:rsidRPr="00AF5975">
        <w:t>Social Services Committee</w:t>
      </w:r>
      <w:r>
        <w:t xml:space="preserve"> i</w:t>
      </w:r>
      <w:r w:rsidRPr="00AF5975">
        <w:rPr>
          <w:bCs/>
          <w:color w:val="000000"/>
        </w:rPr>
        <w:t>nquiry</w:t>
      </w:r>
      <w:r>
        <w:rPr>
          <w:bCs/>
          <w:color w:val="000000"/>
        </w:rPr>
        <w:t xml:space="preserve"> report the </w:t>
      </w:r>
      <w:smartTag w:uri="urn:schemas-microsoft-com:office:smarttags" w:element="country-region">
        <w:smartTag w:uri="urn:schemas-microsoft-com:office:smarttags" w:element="place">
          <w:r>
            <w:rPr>
              <w:bCs/>
              <w:color w:val="000000"/>
            </w:rPr>
            <w:t>New Zealand</w:t>
          </w:r>
        </w:smartTag>
      </w:smartTag>
      <w:r>
        <w:rPr>
          <w:bCs/>
          <w:color w:val="000000"/>
        </w:rPr>
        <w:t xml:space="preserve"> government has indicated there is a need to</w:t>
      </w:r>
      <w:r w:rsidR="00AC3DC8">
        <w:rPr>
          <w:bCs/>
          <w:color w:val="000000"/>
        </w:rPr>
        <w:t xml:space="preserve"> move to a new model of services for </w:t>
      </w:r>
      <w:r w:rsidRPr="009F033B">
        <w:rPr>
          <w:bCs/>
          <w:color w:val="000000"/>
        </w:rPr>
        <w:t xml:space="preserve">disabled people </w:t>
      </w:r>
      <w:r w:rsidR="00536E2A">
        <w:rPr>
          <w:bCs/>
          <w:color w:val="000000"/>
        </w:rPr>
        <w:t xml:space="preserve">which includes </w:t>
      </w:r>
      <w:r w:rsidR="00AC3DC8">
        <w:rPr>
          <w:bCs/>
          <w:color w:val="000000"/>
        </w:rPr>
        <w:t xml:space="preserve">a </w:t>
      </w:r>
      <w:r w:rsidR="00536E2A">
        <w:rPr>
          <w:bCs/>
          <w:color w:val="000000"/>
        </w:rPr>
        <w:t>greater emphasis on supporting living.</w:t>
      </w:r>
      <w:r w:rsidRPr="009F033B">
        <w:rPr>
          <w:bCs/>
          <w:color w:val="000000"/>
        </w:rPr>
        <w:t xml:space="preserve"> </w:t>
      </w:r>
      <w:r w:rsidR="00AC3DC8">
        <w:rPr>
          <w:bCs/>
          <w:color w:val="000000"/>
        </w:rPr>
        <w:t>The Government has proposed that this new model;</w:t>
      </w:r>
    </w:p>
    <w:p w14:paraId="7DAD3B1B" w14:textId="77777777" w:rsidR="009F033B" w:rsidRPr="009F033B" w:rsidRDefault="00536E2A" w:rsidP="003A05C0">
      <w:pPr>
        <w:pStyle w:val="BlockQuote"/>
        <w:spacing w:after="240"/>
        <w:rPr>
          <w:bCs/>
          <w:color w:val="000000"/>
          <w:szCs w:val="20"/>
        </w:rPr>
      </w:pPr>
      <w:r w:rsidRPr="00AC3DC8">
        <w:lastRenderedPageBreak/>
        <w:t>incorporates the key elements of Local Area Coordination, but also includes other features such as an emphasis on supported living and individualised funding</w:t>
      </w:r>
      <w:r w:rsidR="009F033B">
        <w:rPr>
          <w:rStyle w:val="FootnoteReference"/>
        </w:rPr>
        <w:footnoteReference w:id="69"/>
      </w:r>
      <w:r>
        <w:t>.</w:t>
      </w:r>
    </w:p>
    <w:p w14:paraId="79C179E2" w14:textId="77777777" w:rsidR="00544D9F" w:rsidRPr="00951EB7" w:rsidRDefault="00A8074E" w:rsidP="00C13592">
      <w:pPr>
        <w:pStyle w:val="Heading1"/>
        <w:spacing w:line="240" w:lineRule="auto"/>
        <w:rPr>
          <w:color w:val="000000"/>
        </w:rPr>
      </w:pPr>
      <w:bookmarkStart w:id="106" w:name="_Toc250627453"/>
      <w:bookmarkStart w:id="107" w:name="_Toc250627764"/>
      <w:bookmarkStart w:id="108" w:name="_Toc250627942"/>
      <w:bookmarkStart w:id="109" w:name="_Toc252539379"/>
      <w:r>
        <w:br w:type="page"/>
      </w:r>
      <w:bookmarkStart w:id="110" w:name="_Toc290886631"/>
      <w:r w:rsidR="00D3776B">
        <w:lastRenderedPageBreak/>
        <w:t>5</w:t>
      </w:r>
      <w:r w:rsidR="00544D9F" w:rsidRPr="00951EB7">
        <w:t>. Entitlement and Unmet Demand</w:t>
      </w:r>
      <w:bookmarkEnd w:id="106"/>
      <w:bookmarkEnd w:id="107"/>
      <w:bookmarkEnd w:id="108"/>
      <w:bookmarkEnd w:id="109"/>
      <w:bookmarkEnd w:id="110"/>
    </w:p>
    <w:p w14:paraId="0E6DD5B4" w14:textId="77777777" w:rsidR="00544D9F" w:rsidRDefault="00D3776B" w:rsidP="00C13592">
      <w:pPr>
        <w:pStyle w:val="Heading2"/>
        <w:spacing w:line="240" w:lineRule="auto"/>
        <w:rPr>
          <w:rFonts w:ascii="Arial" w:hAnsi="Arial"/>
        </w:rPr>
      </w:pPr>
      <w:bookmarkStart w:id="111" w:name="_Toc250627454"/>
      <w:bookmarkStart w:id="112" w:name="_Toc250627765"/>
      <w:bookmarkStart w:id="113" w:name="_Toc250627943"/>
      <w:bookmarkStart w:id="114" w:name="_Toc252539380"/>
      <w:bookmarkStart w:id="115" w:name="_Toc290886632"/>
      <w:r>
        <w:t>5</w:t>
      </w:r>
      <w:r w:rsidR="00544D9F">
        <w:t xml:space="preserve">.1 </w:t>
      </w:r>
      <w:r w:rsidR="00544D9F" w:rsidRPr="0012641D">
        <w:t>Entitlement</w:t>
      </w:r>
      <w:bookmarkEnd w:id="111"/>
      <w:bookmarkEnd w:id="112"/>
      <w:bookmarkEnd w:id="113"/>
      <w:bookmarkEnd w:id="114"/>
      <w:bookmarkEnd w:id="115"/>
      <w:r w:rsidR="00544D9F" w:rsidRPr="0012641D">
        <w:t xml:space="preserve"> </w:t>
      </w:r>
    </w:p>
    <w:p w14:paraId="26AC24F2" w14:textId="77777777" w:rsidR="00544D9F" w:rsidRPr="007435CE" w:rsidRDefault="00544D9F" w:rsidP="00544D9F">
      <w:r w:rsidRPr="007435CE">
        <w:t xml:space="preserve">In </w:t>
      </w:r>
      <w:smartTag w:uri="urn:schemas-microsoft-com:office:smarttags" w:element="country-region">
        <w:smartTag w:uri="urn:schemas-microsoft-com:office:smarttags" w:element="place">
          <w:r w:rsidRPr="007435CE">
            <w:t>New Zealand</w:t>
          </w:r>
        </w:smartTag>
      </w:smartTag>
      <w:r w:rsidR="00D1262B" w:rsidRPr="007435CE">
        <w:t>'s</w:t>
      </w:r>
      <w:r w:rsidRPr="007435CE">
        <w:t xml:space="preserve"> health and disability system, eligibility means the right to be considered for publicly funded services. It is not an entitlement to receive those services.  Publicly funded services may be fully funded or partly subsidised. In the Ministry of Health disability support system, not everyone will receive services.  For instance, people may not meet eligibility criteria or their level of disability-related need does not warrant getting a service (ineligible), or services maybe oversubscribed (waiting lists/unmet demand), or services </w:t>
      </w:r>
      <w:r w:rsidR="007435CE">
        <w:t>may</w:t>
      </w:r>
      <w:r w:rsidRPr="007435CE">
        <w:t xml:space="preserve"> not </w:t>
      </w:r>
      <w:r w:rsidR="007435CE">
        <w:t xml:space="preserve">be </w:t>
      </w:r>
      <w:r w:rsidRPr="007435CE">
        <w:t xml:space="preserve">available for a number of reasons (service gap).   </w:t>
      </w:r>
    </w:p>
    <w:p w14:paraId="3512277D" w14:textId="77777777" w:rsidR="00AC3DC8" w:rsidRDefault="00AC3DC8" w:rsidP="00544D9F">
      <w:r>
        <w:t xml:space="preserve">As discussed in </w:t>
      </w:r>
      <w:r w:rsidR="001C26FE">
        <w:t xml:space="preserve">earlier </w:t>
      </w:r>
      <w:r>
        <w:t>this paper</w:t>
      </w:r>
      <w:r w:rsidR="001C26FE">
        <w:t>,</w:t>
      </w:r>
      <w:r>
        <w:t xml:space="preserve"> both the overall disability budget in Vote: Health is capped </w:t>
      </w:r>
      <w:r w:rsidR="004E1BA8">
        <w:t xml:space="preserve">and NASCs are tasked with managing within their indicative budget </w:t>
      </w:r>
      <w:r w:rsidR="001C26FE">
        <w:t xml:space="preserve">and with prioritising those with most need. Therefore, eligibility does not necessarily mean that one will receive all one's support needs. </w:t>
      </w:r>
    </w:p>
    <w:p w14:paraId="1481BC81" w14:textId="77777777" w:rsidR="00544D9F" w:rsidRDefault="00544D9F" w:rsidP="00544D9F">
      <w:r w:rsidRPr="00E8773A">
        <w:t xml:space="preserve">Health or disability service providers who administer government subsidised care are responsible for checking the eligibility required to advise patients/clients which services they are providing, and whether there may be a part charge for those services. </w:t>
      </w:r>
    </w:p>
    <w:p w14:paraId="50296F63" w14:textId="77777777" w:rsidR="00544D9F" w:rsidRDefault="00544D9F" w:rsidP="00544D9F">
      <w:r w:rsidRPr="0004343E">
        <w:t xml:space="preserve">Checking the eligibility of patients/clients is the responsibility of all health providers who administer government subsidised care. The 2003 Eligibility Direction of the Minister of Health sets out the eligibility criteria for publicly funded health and disability services in </w:t>
      </w:r>
      <w:smartTag w:uri="urn:schemas-microsoft-com:office:smarttags" w:element="country-region">
        <w:smartTag w:uri="urn:schemas-microsoft-com:office:smarttags" w:element="place">
          <w:r w:rsidRPr="0004343E">
            <w:t>New Zealand</w:t>
          </w:r>
        </w:smartTag>
      </w:smartTag>
      <w:r w:rsidRPr="0004343E">
        <w:t>. Only people who meet the eligibility criteria defined in the Eligibility Direction can receive publicly funded (i</w:t>
      </w:r>
      <w:r>
        <w:t>.</w:t>
      </w:r>
      <w:r w:rsidRPr="0004343E">
        <w:t>e</w:t>
      </w:r>
      <w:r>
        <w:t>.</w:t>
      </w:r>
      <w:r w:rsidRPr="0004343E">
        <w:t xml:space="preserve"> free or subsidised) health and disability services. A person may be asked to show proof that they meet the eligibility criteria</w:t>
      </w:r>
      <w:r w:rsidRPr="0004343E">
        <w:rPr>
          <w:rStyle w:val="FootnoteReference"/>
          <w:rFonts w:cs="Arial"/>
          <w:color w:val="000000"/>
        </w:rPr>
        <w:footnoteReference w:id="70"/>
      </w:r>
      <w:r w:rsidRPr="0004343E">
        <w:t>.</w:t>
      </w:r>
      <w:r w:rsidRPr="00E8773A">
        <w:t xml:space="preserve"> </w:t>
      </w:r>
    </w:p>
    <w:p w14:paraId="60A31097" w14:textId="77777777" w:rsidR="00544D9F" w:rsidRDefault="00544D9F" w:rsidP="00544D9F">
      <w:r w:rsidRPr="00D36A02">
        <w:t xml:space="preserve">DSS services are free for under 16s and free or subsidised for adults who have been assessed as having a disability (depending on </w:t>
      </w:r>
      <w:r>
        <w:t xml:space="preserve">the </w:t>
      </w:r>
      <w:r w:rsidRPr="00D36A02">
        <w:t>service). For services, such as Household Management (home help) which are not free for adults, those who are on low incomes and have Community Services Cards can access the support free of charge.</w:t>
      </w:r>
      <w:r>
        <w:t xml:space="preserve"> In </w:t>
      </w:r>
      <w:r w:rsidRPr="00C62B4B">
        <w:t>2001 Disability Survey 54 percent of adults with disability and 63 percent of children with disability had a Community Services Card in the previous 12 months</w:t>
      </w:r>
      <w:r>
        <w:rPr>
          <w:rStyle w:val="FootnoteReference"/>
          <w:rFonts w:cs="Arial"/>
          <w:color w:val="000000"/>
        </w:rPr>
        <w:footnoteReference w:id="71"/>
      </w:r>
      <w:r w:rsidRPr="00C62B4B">
        <w:t>.</w:t>
      </w:r>
      <w:r w:rsidR="00DA3757">
        <w:t xml:space="preserve"> Table 10</w:t>
      </w:r>
      <w:r>
        <w:t xml:space="preserve"> (</w:t>
      </w:r>
      <w:r w:rsidRPr="00037DE4">
        <w:rPr>
          <w:bCs/>
        </w:rPr>
        <w:t>located in appendix 2</w:t>
      </w:r>
      <w:r>
        <w:t xml:space="preserve">) sets out the eligibility details of Ministry of Health and other disability services and charges where applicable for service users. </w:t>
      </w:r>
    </w:p>
    <w:p w14:paraId="6AC052B6" w14:textId="77777777" w:rsidR="00544D9F" w:rsidRDefault="00D3776B" w:rsidP="00C13592">
      <w:pPr>
        <w:pStyle w:val="Heading2"/>
        <w:spacing w:line="240" w:lineRule="auto"/>
        <w:rPr>
          <w:rFonts w:ascii="Arial" w:hAnsi="Arial"/>
          <w:i/>
          <w:color w:val="000000"/>
        </w:rPr>
      </w:pPr>
      <w:bookmarkStart w:id="116" w:name="_Toc250627455"/>
      <w:bookmarkStart w:id="117" w:name="_Toc250627766"/>
      <w:bookmarkStart w:id="118" w:name="_Toc250627944"/>
      <w:bookmarkStart w:id="119" w:name="_Toc252539381"/>
      <w:bookmarkStart w:id="120" w:name="_Toc290886633"/>
      <w:r>
        <w:lastRenderedPageBreak/>
        <w:t>5</w:t>
      </w:r>
      <w:r w:rsidR="00544D9F">
        <w:t xml:space="preserve">.2 </w:t>
      </w:r>
      <w:r w:rsidR="00544D9F" w:rsidRPr="00F07D11">
        <w:t>Unmet Demand</w:t>
      </w:r>
      <w:bookmarkEnd w:id="116"/>
      <w:bookmarkEnd w:id="117"/>
      <w:bookmarkEnd w:id="118"/>
      <w:bookmarkEnd w:id="119"/>
      <w:bookmarkEnd w:id="120"/>
      <w:r w:rsidR="00544D9F" w:rsidRPr="00F07D11">
        <w:t xml:space="preserve"> </w:t>
      </w:r>
    </w:p>
    <w:p w14:paraId="6F31F27F" w14:textId="77777777" w:rsidR="00544D9F" w:rsidRDefault="00544D9F" w:rsidP="00544D9F">
      <w:r w:rsidRPr="00F07D11">
        <w:t>The Ne</w:t>
      </w:r>
      <w:r>
        <w:t>w Zealand Disability Survey 2006</w:t>
      </w:r>
      <w:r w:rsidRPr="00F07D11">
        <w:t xml:space="preserve"> provides a picture of unmet demand for people with disabilities. For example</w:t>
      </w:r>
      <w:r>
        <w:t>,</w:t>
      </w:r>
      <w:r w:rsidRPr="00F07D11">
        <w:t xml:space="preserve"> </w:t>
      </w:r>
      <w:r>
        <w:t xml:space="preserve">11% </w:t>
      </w:r>
      <w:r w:rsidRPr="00F07D11">
        <w:t xml:space="preserve">of adults </w:t>
      </w:r>
      <w:r>
        <w:t xml:space="preserve">and </w:t>
      </w:r>
      <w:r w:rsidR="00037DE4">
        <w:t>6</w:t>
      </w:r>
      <w:r>
        <w:t>% of children with disabilities</w:t>
      </w:r>
      <w:r w:rsidRPr="00F07D11">
        <w:t xml:space="preserve"> reported an unmet need for at least one type of equipment or technology.</w:t>
      </w:r>
      <w:r w:rsidR="00037DE4">
        <w:t xml:space="preserve"> 14</w:t>
      </w:r>
      <w:r w:rsidR="00D1262B">
        <w:t xml:space="preserve">% of adults and </w:t>
      </w:r>
      <w:r w:rsidR="00037DE4">
        <w:t>16</w:t>
      </w:r>
      <w:r>
        <w:t>% of children with disabilities reported that they had n</w:t>
      </w:r>
      <w:r w:rsidRPr="00DF464A">
        <w:t xml:space="preserve">eeded to see </w:t>
      </w:r>
      <w:r>
        <w:t xml:space="preserve">a health professional (including allied health) </w:t>
      </w:r>
      <w:r w:rsidRPr="00DF464A">
        <w:t xml:space="preserve">but were not </w:t>
      </w:r>
      <w:r>
        <w:t>able to in the last 12 months.</w:t>
      </w:r>
    </w:p>
    <w:p w14:paraId="6A30DEEE" w14:textId="77777777" w:rsidR="00544D9F" w:rsidRDefault="00544D9F" w:rsidP="003A05C0">
      <w:pPr>
        <w:spacing w:after="120"/>
      </w:pPr>
      <w:r>
        <w:t xml:space="preserve">Demand for many disability services exceeds available service provision. The introduction of a needs assessment process is seen by the Ministry of Health as having increased expectations of disability service provision: </w:t>
      </w:r>
    </w:p>
    <w:p w14:paraId="6FE546C5" w14:textId="77777777" w:rsidR="006C1F42" w:rsidRDefault="00544D9F" w:rsidP="00134F9E">
      <w:pPr>
        <w:pStyle w:val="BlockQuote"/>
        <w:spacing w:after="240"/>
      </w:pPr>
      <w:r w:rsidRPr="00F40089">
        <w:t>The requirement that all people accessing DSS services have a comprehensive needs assessment raised expectations that needs would be met, and identified a much higher degree of unmet need than expected.  Demand for most services has exceeded available funding, and this has constrained the ability to develop innovative services and address service gaps</w:t>
      </w:r>
      <w:r w:rsidRPr="00F40089">
        <w:rPr>
          <w:rStyle w:val="FootnoteReference"/>
          <w:rFonts w:cs="Arial"/>
          <w:sz w:val="20"/>
          <w:szCs w:val="20"/>
        </w:rPr>
        <w:footnoteReference w:id="72"/>
      </w:r>
      <w:r w:rsidRPr="00F40089">
        <w:t>.</w:t>
      </w:r>
    </w:p>
    <w:p w14:paraId="49D8EC80" w14:textId="77777777" w:rsidR="00544D9F" w:rsidRDefault="00544D9F" w:rsidP="00544D9F">
      <w:pPr>
        <w:autoSpaceDE w:val="0"/>
        <w:autoSpaceDN w:val="0"/>
        <w:adjustRightInd w:val="0"/>
        <w:spacing w:line="240" w:lineRule="atLeast"/>
        <w:rPr>
          <w:rFonts w:cs="Arial"/>
          <w:bCs/>
        </w:rPr>
      </w:pPr>
      <w:r w:rsidRPr="00544D9F">
        <w:t xml:space="preserve">Table </w:t>
      </w:r>
      <w:r w:rsidR="00DA3757">
        <w:t>9</w:t>
      </w:r>
      <w:r w:rsidRPr="00544D9F">
        <w:t xml:space="preserve"> provides some details on the </w:t>
      </w:r>
      <w:r w:rsidR="007435CE">
        <w:t xml:space="preserve">levels of </w:t>
      </w:r>
      <w:r w:rsidR="007435CE" w:rsidRPr="00544D9F">
        <w:t>unmet demand</w:t>
      </w:r>
      <w:r w:rsidR="007435CE">
        <w:t xml:space="preserve"> for health and personal social</w:t>
      </w:r>
      <w:r w:rsidRPr="00544D9F">
        <w:t xml:space="preserve"> servic</w:t>
      </w:r>
      <w:r w:rsidR="007435CE">
        <w:t>es for people with disabilities.</w:t>
      </w:r>
    </w:p>
    <w:p w14:paraId="21F5CAEF" w14:textId="77777777" w:rsidR="00544D9F" w:rsidRPr="0004343E" w:rsidRDefault="00BA1D63" w:rsidP="00C13592">
      <w:pPr>
        <w:pStyle w:val="TableTitle"/>
        <w:spacing w:line="240" w:lineRule="auto"/>
      </w:pPr>
      <w:r>
        <w:t>Table 9</w:t>
      </w:r>
      <w:r w:rsidR="00544D9F" w:rsidRPr="0004343E">
        <w:t>: Unmet Demand for Disability Support Services</w:t>
      </w:r>
      <w:r w:rsidR="00544D9F" w:rsidRPr="0004343E">
        <w:rPr>
          <w:rStyle w:val="FootnoteReference"/>
          <w:rFonts w:cs="Arial"/>
          <w:b w:val="0"/>
          <w:bCs/>
          <w:color w:val="000000"/>
          <w:sz w:val="20"/>
          <w:szCs w:val="20"/>
        </w:rPr>
        <w:footnoteReference w:id="73"/>
      </w:r>
    </w:p>
    <w:tbl>
      <w:tblPr>
        <w:tblW w:w="0" w:type="auto"/>
        <w:tblLook w:val="01E0" w:firstRow="1" w:lastRow="1" w:firstColumn="1" w:lastColumn="1" w:noHBand="0" w:noVBand="0"/>
      </w:tblPr>
      <w:tblGrid>
        <w:gridCol w:w="3254"/>
        <w:gridCol w:w="2284"/>
        <w:gridCol w:w="2768"/>
      </w:tblGrid>
      <w:tr w:rsidR="00CA14DC" w14:paraId="0B4E9B39" w14:textId="77777777" w:rsidTr="008F68A7">
        <w:trPr>
          <w:cantSplit/>
        </w:trPr>
        <w:tc>
          <w:tcPr>
            <w:tcW w:w="3348" w:type="dxa"/>
          </w:tcPr>
          <w:p w14:paraId="6D7703E5" w14:textId="77777777" w:rsidR="00CA14DC" w:rsidRPr="008F68A7" w:rsidRDefault="00CA14DC" w:rsidP="008F68A7">
            <w:pPr>
              <w:pStyle w:val="TableHead"/>
              <w:rPr>
                <w:sz w:val="20"/>
                <w:szCs w:val="20"/>
              </w:rPr>
            </w:pPr>
          </w:p>
        </w:tc>
        <w:tc>
          <w:tcPr>
            <w:tcW w:w="5174" w:type="dxa"/>
            <w:gridSpan w:val="2"/>
          </w:tcPr>
          <w:p w14:paraId="09DD5690" w14:textId="77777777" w:rsidR="00CA14DC" w:rsidRPr="008F68A7" w:rsidRDefault="00CA14DC" w:rsidP="008F68A7">
            <w:pPr>
              <w:pStyle w:val="TableHead"/>
              <w:rPr>
                <w:sz w:val="20"/>
                <w:szCs w:val="20"/>
              </w:rPr>
            </w:pPr>
            <w:r w:rsidRPr="008F68A7">
              <w:rPr>
                <w:sz w:val="20"/>
                <w:szCs w:val="20"/>
              </w:rPr>
              <w:t>Indicating unmet demand</w:t>
            </w:r>
          </w:p>
        </w:tc>
      </w:tr>
      <w:tr w:rsidR="00544D9F" w14:paraId="69346A24" w14:textId="77777777" w:rsidTr="008F68A7">
        <w:trPr>
          <w:cantSplit/>
        </w:trPr>
        <w:tc>
          <w:tcPr>
            <w:tcW w:w="3348" w:type="dxa"/>
          </w:tcPr>
          <w:p w14:paraId="61A58311" w14:textId="77777777" w:rsidR="00544D9F" w:rsidRPr="008F68A7" w:rsidRDefault="00544D9F" w:rsidP="008F68A7">
            <w:pPr>
              <w:pStyle w:val="TableHead"/>
              <w:rPr>
                <w:sz w:val="20"/>
                <w:szCs w:val="20"/>
              </w:rPr>
            </w:pPr>
            <w:r w:rsidRPr="008F68A7">
              <w:rPr>
                <w:sz w:val="20"/>
                <w:szCs w:val="20"/>
              </w:rPr>
              <w:t>Service</w:t>
            </w:r>
          </w:p>
        </w:tc>
        <w:tc>
          <w:tcPr>
            <w:tcW w:w="2333" w:type="dxa"/>
          </w:tcPr>
          <w:p w14:paraId="25A20735" w14:textId="77777777" w:rsidR="00544D9F" w:rsidRPr="008F68A7" w:rsidRDefault="00D64E01" w:rsidP="008F68A7">
            <w:pPr>
              <w:pStyle w:val="TableHead"/>
              <w:rPr>
                <w:sz w:val="20"/>
                <w:szCs w:val="20"/>
              </w:rPr>
            </w:pPr>
            <w:r w:rsidRPr="008F68A7">
              <w:rPr>
                <w:sz w:val="20"/>
                <w:szCs w:val="20"/>
              </w:rPr>
              <w:t xml:space="preserve">% </w:t>
            </w:r>
            <w:r w:rsidR="00544D9F" w:rsidRPr="008F68A7">
              <w:rPr>
                <w:sz w:val="20"/>
                <w:szCs w:val="20"/>
              </w:rPr>
              <w:t>Parents of children with disabilities</w:t>
            </w:r>
          </w:p>
        </w:tc>
        <w:tc>
          <w:tcPr>
            <w:tcW w:w="2841" w:type="dxa"/>
          </w:tcPr>
          <w:p w14:paraId="53FB4289" w14:textId="77777777" w:rsidR="00544D9F" w:rsidRPr="008F68A7" w:rsidRDefault="00D64E01" w:rsidP="008F68A7">
            <w:pPr>
              <w:pStyle w:val="TableHead"/>
              <w:rPr>
                <w:sz w:val="20"/>
                <w:szCs w:val="20"/>
              </w:rPr>
            </w:pPr>
            <w:r w:rsidRPr="008F68A7">
              <w:rPr>
                <w:sz w:val="20"/>
                <w:szCs w:val="20"/>
              </w:rPr>
              <w:t xml:space="preserve">% </w:t>
            </w:r>
            <w:r w:rsidR="00544D9F" w:rsidRPr="008F68A7">
              <w:rPr>
                <w:sz w:val="20"/>
                <w:szCs w:val="20"/>
              </w:rPr>
              <w:t>Adults with disabilities</w:t>
            </w:r>
          </w:p>
        </w:tc>
      </w:tr>
      <w:tr w:rsidR="00544D9F" w14:paraId="7C5212A4" w14:textId="77777777" w:rsidTr="008F68A7">
        <w:trPr>
          <w:cantSplit/>
        </w:trPr>
        <w:tc>
          <w:tcPr>
            <w:tcW w:w="3348" w:type="dxa"/>
            <w:vAlign w:val="bottom"/>
          </w:tcPr>
          <w:p w14:paraId="1AD8E842" w14:textId="77777777" w:rsidR="00544D9F" w:rsidRPr="008F68A7" w:rsidRDefault="00544D9F" w:rsidP="008F68A7">
            <w:pPr>
              <w:pStyle w:val="TableRowHead"/>
              <w:rPr>
                <w:sz w:val="20"/>
                <w:szCs w:val="20"/>
              </w:rPr>
            </w:pPr>
            <w:r w:rsidRPr="008F68A7">
              <w:rPr>
                <w:sz w:val="20"/>
                <w:szCs w:val="20"/>
              </w:rPr>
              <w:t>Personal care</w:t>
            </w:r>
          </w:p>
        </w:tc>
        <w:tc>
          <w:tcPr>
            <w:tcW w:w="2333" w:type="dxa"/>
            <w:vAlign w:val="bottom"/>
          </w:tcPr>
          <w:p w14:paraId="0E52E526" w14:textId="77777777" w:rsidR="00544D9F" w:rsidRDefault="00037DE4" w:rsidP="00037DE4">
            <w:pPr>
              <w:spacing w:after="0"/>
              <w:jc w:val="right"/>
              <w:rPr>
                <w:rFonts w:cs="Arial"/>
                <w:sz w:val="20"/>
                <w:szCs w:val="20"/>
              </w:rPr>
            </w:pPr>
            <w:r>
              <w:rPr>
                <w:rFonts w:cs="Arial"/>
                <w:sz w:val="20"/>
                <w:szCs w:val="20"/>
              </w:rPr>
              <w:t>4</w:t>
            </w:r>
          </w:p>
        </w:tc>
        <w:tc>
          <w:tcPr>
            <w:tcW w:w="2841" w:type="dxa"/>
            <w:vAlign w:val="bottom"/>
          </w:tcPr>
          <w:p w14:paraId="1D2DACFC" w14:textId="77777777" w:rsidR="00544D9F" w:rsidRDefault="00574617" w:rsidP="00037DE4">
            <w:pPr>
              <w:spacing w:after="0"/>
              <w:jc w:val="right"/>
              <w:rPr>
                <w:rFonts w:cs="Arial"/>
                <w:sz w:val="20"/>
                <w:szCs w:val="20"/>
              </w:rPr>
            </w:pPr>
            <w:r>
              <w:rPr>
                <w:rFonts w:cs="Arial"/>
                <w:sz w:val="20"/>
                <w:szCs w:val="20"/>
              </w:rPr>
              <w:t>1</w:t>
            </w:r>
          </w:p>
        </w:tc>
      </w:tr>
      <w:tr w:rsidR="00544D9F" w14:paraId="78E9062E" w14:textId="77777777" w:rsidTr="008F68A7">
        <w:trPr>
          <w:cantSplit/>
        </w:trPr>
        <w:tc>
          <w:tcPr>
            <w:tcW w:w="3348" w:type="dxa"/>
            <w:vAlign w:val="bottom"/>
          </w:tcPr>
          <w:p w14:paraId="73A20846" w14:textId="77777777" w:rsidR="00544D9F" w:rsidRPr="008F68A7" w:rsidRDefault="00544D9F" w:rsidP="008F68A7">
            <w:pPr>
              <w:pStyle w:val="TableRowHead"/>
              <w:rPr>
                <w:sz w:val="20"/>
                <w:szCs w:val="20"/>
              </w:rPr>
            </w:pPr>
            <w:r w:rsidRPr="008F68A7">
              <w:rPr>
                <w:sz w:val="20"/>
                <w:szCs w:val="20"/>
              </w:rPr>
              <w:t>Household tasks</w:t>
            </w:r>
          </w:p>
        </w:tc>
        <w:tc>
          <w:tcPr>
            <w:tcW w:w="2333" w:type="dxa"/>
            <w:vAlign w:val="bottom"/>
          </w:tcPr>
          <w:p w14:paraId="2A245872" w14:textId="77777777" w:rsidR="00544D9F" w:rsidRDefault="00037DE4" w:rsidP="00037DE4">
            <w:pPr>
              <w:spacing w:after="0"/>
              <w:jc w:val="right"/>
              <w:rPr>
                <w:rFonts w:cs="Arial"/>
                <w:sz w:val="20"/>
                <w:szCs w:val="20"/>
              </w:rPr>
            </w:pPr>
            <w:r>
              <w:rPr>
                <w:rFonts w:cs="Arial"/>
                <w:sz w:val="20"/>
                <w:szCs w:val="20"/>
              </w:rPr>
              <w:t>4</w:t>
            </w:r>
          </w:p>
        </w:tc>
        <w:tc>
          <w:tcPr>
            <w:tcW w:w="2841" w:type="dxa"/>
            <w:vAlign w:val="bottom"/>
          </w:tcPr>
          <w:p w14:paraId="4F61E05C" w14:textId="77777777" w:rsidR="00544D9F" w:rsidRDefault="00574617" w:rsidP="00037DE4">
            <w:pPr>
              <w:spacing w:after="0"/>
              <w:jc w:val="right"/>
              <w:rPr>
                <w:rFonts w:cs="Arial"/>
                <w:sz w:val="20"/>
                <w:szCs w:val="20"/>
              </w:rPr>
            </w:pPr>
            <w:r>
              <w:rPr>
                <w:rFonts w:cs="Arial"/>
                <w:sz w:val="20"/>
                <w:szCs w:val="20"/>
              </w:rPr>
              <w:t>3</w:t>
            </w:r>
          </w:p>
        </w:tc>
      </w:tr>
      <w:tr w:rsidR="00544D9F" w14:paraId="598726AD" w14:textId="77777777" w:rsidTr="008F68A7">
        <w:trPr>
          <w:cantSplit/>
        </w:trPr>
        <w:tc>
          <w:tcPr>
            <w:tcW w:w="3348" w:type="dxa"/>
            <w:vAlign w:val="bottom"/>
          </w:tcPr>
          <w:p w14:paraId="1E9F0DF8" w14:textId="77777777" w:rsidR="00544D9F" w:rsidRPr="008F68A7" w:rsidRDefault="00544D9F" w:rsidP="008F68A7">
            <w:pPr>
              <w:pStyle w:val="TableRowHead"/>
              <w:rPr>
                <w:sz w:val="20"/>
                <w:szCs w:val="20"/>
              </w:rPr>
            </w:pPr>
            <w:r w:rsidRPr="008F68A7">
              <w:rPr>
                <w:sz w:val="20"/>
                <w:szCs w:val="20"/>
              </w:rPr>
              <w:t>Home repairs</w:t>
            </w:r>
          </w:p>
        </w:tc>
        <w:tc>
          <w:tcPr>
            <w:tcW w:w="2333" w:type="dxa"/>
            <w:vAlign w:val="bottom"/>
          </w:tcPr>
          <w:p w14:paraId="56E7B54A" w14:textId="77777777" w:rsidR="00544D9F" w:rsidRDefault="00037DE4" w:rsidP="00037DE4">
            <w:pPr>
              <w:spacing w:after="0"/>
              <w:jc w:val="right"/>
              <w:rPr>
                <w:rFonts w:cs="Arial"/>
                <w:sz w:val="20"/>
                <w:szCs w:val="20"/>
              </w:rPr>
            </w:pPr>
            <w:r>
              <w:rPr>
                <w:rFonts w:cs="Arial"/>
                <w:sz w:val="20"/>
                <w:szCs w:val="20"/>
              </w:rPr>
              <w:t>4</w:t>
            </w:r>
          </w:p>
        </w:tc>
        <w:tc>
          <w:tcPr>
            <w:tcW w:w="2841" w:type="dxa"/>
            <w:vAlign w:val="bottom"/>
          </w:tcPr>
          <w:p w14:paraId="1222BBB1" w14:textId="77777777" w:rsidR="00544D9F" w:rsidRDefault="00544D9F" w:rsidP="00037DE4">
            <w:pPr>
              <w:spacing w:after="0"/>
              <w:jc w:val="right"/>
              <w:rPr>
                <w:rFonts w:cs="Arial"/>
                <w:sz w:val="20"/>
                <w:szCs w:val="20"/>
              </w:rPr>
            </w:pPr>
            <w:r>
              <w:rPr>
                <w:rFonts w:cs="Arial"/>
                <w:sz w:val="20"/>
                <w:szCs w:val="20"/>
              </w:rPr>
              <w:t>3</w:t>
            </w:r>
          </w:p>
        </w:tc>
      </w:tr>
      <w:tr w:rsidR="00544D9F" w14:paraId="03DD1BD6" w14:textId="77777777" w:rsidTr="008F68A7">
        <w:trPr>
          <w:cantSplit/>
        </w:trPr>
        <w:tc>
          <w:tcPr>
            <w:tcW w:w="3348" w:type="dxa"/>
            <w:vAlign w:val="bottom"/>
          </w:tcPr>
          <w:p w14:paraId="30E3AF96" w14:textId="77777777" w:rsidR="00544D9F" w:rsidRPr="008F68A7" w:rsidRDefault="00544D9F" w:rsidP="008F68A7">
            <w:pPr>
              <w:pStyle w:val="TableRowHead"/>
              <w:rPr>
                <w:sz w:val="20"/>
                <w:szCs w:val="20"/>
              </w:rPr>
            </w:pPr>
            <w:r w:rsidRPr="008F68A7">
              <w:rPr>
                <w:sz w:val="20"/>
                <w:szCs w:val="20"/>
              </w:rPr>
              <w:t>Assistive equipment or technology</w:t>
            </w:r>
          </w:p>
        </w:tc>
        <w:tc>
          <w:tcPr>
            <w:tcW w:w="2333" w:type="dxa"/>
            <w:vAlign w:val="bottom"/>
          </w:tcPr>
          <w:p w14:paraId="29D3E72F" w14:textId="77777777" w:rsidR="00544D9F" w:rsidRDefault="00037DE4" w:rsidP="00037DE4">
            <w:pPr>
              <w:spacing w:after="0"/>
              <w:jc w:val="right"/>
              <w:rPr>
                <w:rFonts w:cs="Arial"/>
                <w:sz w:val="20"/>
                <w:szCs w:val="20"/>
              </w:rPr>
            </w:pPr>
            <w:r>
              <w:rPr>
                <w:rFonts w:cs="Arial"/>
                <w:sz w:val="20"/>
                <w:szCs w:val="20"/>
              </w:rPr>
              <w:t>6</w:t>
            </w:r>
          </w:p>
        </w:tc>
        <w:tc>
          <w:tcPr>
            <w:tcW w:w="2841" w:type="dxa"/>
            <w:vAlign w:val="bottom"/>
          </w:tcPr>
          <w:p w14:paraId="4158B9CF" w14:textId="77777777" w:rsidR="00544D9F" w:rsidRDefault="00544D9F" w:rsidP="00037DE4">
            <w:pPr>
              <w:spacing w:after="0"/>
              <w:jc w:val="right"/>
              <w:rPr>
                <w:rFonts w:cs="Arial"/>
                <w:sz w:val="20"/>
                <w:szCs w:val="20"/>
              </w:rPr>
            </w:pPr>
            <w:r>
              <w:rPr>
                <w:rFonts w:cs="Arial"/>
                <w:sz w:val="20"/>
                <w:szCs w:val="20"/>
              </w:rPr>
              <w:t>11</w:t>
            </w:r>
          </w:p>
        </w:tc>
      </w:tr>
      <w:tr w:rsidR="00544D9F" w14:paraId="62792F3C" w14:textId="77777777" w:rsidTr="008F68A7">
        <w:trPr>
          <w:cantSplit/>
        </w:trPr>
        <w:tc>
          <w:tcPr>
            <w:tcW w:w="3348" w:type="dxa"/>
            <w:vAlign w:val="bottom"/>
          </w:tcPr>
          <w:p w14:paraId="548187DB" w14:textId="77777777" w:rsidR="00544D9F" w:rsidRPr="008F68A7" w:rsidRDefault="00544D9F" w:rsidP="008F68A7">
            <w:pPr>
              <w:pStyle w:val="TableRowHead"/>
              <w:rPr>
                <w:sz w:val="20"/>
                <w:szCs w:val="20"/>
              </w:rPr>
            </w:pPr>
            <w:r w:rsidRPr="008F68A7">
              <w:rPr>
                <w:sz w:val="20"/>
                <w:szCs w:val="20"/>
              </w:rPr>
              <w:t xml:space="preserve">Health Services </w:t>
            </w:r>
          </w:p>
        </w:tc>
        <w:tc>
          <w:tcPr>
            <w:tcW w:w="2333" w:type="dxa"/>
            <w:vAlign w:val="bottom"/>
          </w:tcPr>
          <w:p w14:paraId="0845AF5C" w14:textId="77777777" w:rsidR="00544D9F" w:rsidRDefault="00037DE4" w:rsidP="00037DE4">
            <w:pPr>
              <w:spacing w:after="0"/>
              <w:jc w:val="right"/>
              <w:rPr>
                <w:rFonts w:cs="Arial"/>
                <w:sz w:val="20"/>
                <w:szCs w:val="20"/>
              </w:rPr>
            </w:pPr>
            <w:r>
              <w:rPr>
                <w:rFonts w:cs="Arial"/>
                <w:sz w:val="20"/>
                <w:szCs w:val="20"/>
              </w:rPr>
              <w:t>16</w:t>
            </w:r>
          </w:p>
        </w:tc>
        <w:tc>
          <w:tcPr>
            <w:tcW w:w="2841" w:type="dxa"/>
            <w:vAlign w:val="bottom"/>
          </w:tcPr>
          <w:p w14:paraId="746504E1" w14:textId="77777777" w:rsidR="00544D9F" w:rsidRDefault="00037DE4" w:rsidP="00037DE4">
            <w:pPr>
              <w:spacing w:after="0"/>
              <w:jc w:val="right"/>
              <w:rPr>
                <w:rFonts w:cs="Arial"/>
                <w:sz w:val="20"/>
                <w:szCs w:val="20"/>
              </w:rPr>
            </w:pPr>
            <w:r>
              <w:rPr>
                <w:rFonts w:cs="Arial"/>
                <w:sz w:val="20"/>
                <w:szCs w:val="20"/>
              </w:rPr>
              <w:t>14</w:t>
            </w:r>
          </w:p>
        </w:tc>
      </w:tr>
      <w:tr w:rsidR="00544D9F" w14:paraId="7B8079E3" w14:textId="77777777" w:rsidTr="008F68A7">
        <w:trPr>
          <w:cantSplit/>
        </w:trPr>
        <w:tc>
          <w:tcPr>
            <w:tcW w:w="3348" w:type="dxa"/>
            <w:vAlign w:val="bottom"/>
          </w:tcPr>
          <w:p w14:paraId="5E16089B" w14:textId="77777777" w:rsidR="00544D9F" w:rsidRPr="008F68A7" w:rsidRDefault="00544D9F" w:rsidP="008F68A7">
            <w:pPr>
              <w:pStyle w:val="TableRowHead"/>
              <w:rPr>
                <w:sz w:val="20"/>
                <w:szCs w:val="20"/>
              </w:rPr>
            </w:pPr>
            <w:r w:rsidRPr="008F68A7">
              <w:rPr>
                <w:sz w:val="20"/>
                <w:szCs w:val="20"/>
              </w:rPr>
              <w:t>Respite care</w:t>
            </w:r>
          </w:p>
        </w:tc>
        <w:tc>
          <w:tcPr>
            <w:tcW w:w="2333" w:type="dxa"/>
            <w:vAlign w:val="bottom"/>
          </w:tcPr>
          <w:p w14:paraId="0E550D29" w14:textId="77777777" w:rsidR="00544D9F" w:rsidRDefault="00037DE4" w:rsidP="00037DE4">
            <w:pPr>
              <w:spacing w:after="0"/>
              <w:jc w:val="right"/>
              <w:rPr>
                <w:rFonts w:cs="Arial"/>
                <w:sz w:val="20"/>
                <w:szCs w:val="20"/>
              </w:rPr>
            </w:pPr>
            <w:r>
              <w:rPr>
                <w:rFonts w:cs="Arial"/>
                <w:sz w:val="20"/>
                <w:szCs w:val="20"/>
              </w:rPr>
              <w:t>7</w:t>
            </w:r>
          </w:p>
        </w:tc>
        <w:tc>
          <w:tcPr>
            <w:tcW w:w="2841" w:type="dxa"/>
            <w:vAlign w:val="bottom"/>
          </w:tcPr>
          <w:p w14:paraId="6FE6921E" w14:textId="77777777" w:rsidR="00544D9F" w:rsidRDefault="00037DE4" w:rsidP="00037DE4">
            <w:pPr>
              <w:spacing w:after="0"/>
              <w:jc w:val="right"/>
              <w:rPr>
                <w:rFonts w:cs="Arial"/>
                <w:sz w:val="20"/>
                <w:szCs w:val="20"/>
              </w:rPr>
            </w:pPr>
            <w:r>
              <w:rPr>
                <w:rFonts w:cs="Arial"/>
                <w:sz w:val="20"/>
                <w:szCs w:val="20"/>
              </w:rPr>
              <w:t>1</w:t>
            </w:r>
          </w:p>
        </w:tc>
      </w:tr>
      <w:tr w:rsidR="00544D9F" w14:paraId="786954E8" w14:textId="77777777" w:rsidTr="008F68A7">
        <w:trPr>
          <w:cantSplit/>
        </w:trPr>
        <w:tc>
          <w:tcPr>
            <w:tcW w:w="3348" w:type="dxa"/>
            <w:vAlign w:val="bottom"/>
          </w:tcPr>
          <w:p w14:paraId="0AD0F660" w14:textId="77777777" w:rsidR="00544D9F" w:rsidRPr="008F68A7" w:rsidRDefault="00544D9F" w:rsidP="008F68A7">
            <w:pPr>
              <w:pStyle w:val="TableRowHead"/>
              <w:rPr>
                <w:sz w:val="20"/>
                <w:szCs w:val="20"/>
              </w:rPr>
            </w:pPr>
            <w:r w:rsidRPr="008F68A7">
              <w:rPr>
                <w:sz w:val="20"/>
                <w:szCs w:val="20"/>
              </w:rPr>
              <w:t>n</w:t>
            </w:r>
          </w:p>
        </w:tc>
        <w:tc>
          <w:tcPr>
            <w:tcW w:w="2333" w:type="dxa"/>
            <w:vAlign w:val="bottom"/>
          </w:tcPr>
          <w:p w14:paraId="0D886C90" w14:textId="77777777" w:rsidR="00544D9F" w:rsidRDefault="00544D9F" w:rsidP="00037DE4">
            <w:pPr>
              <w:spacing w:after="0"/>
              <w:jc w:val="right"/>
              <w:rPr>
                <w:rFonts w:cs="Arial"/>
                <w:sz w:val="20"/>
                <w:szCs w:val="20"/>
              </w:rPr>
            </w:pPr>
            <w:r>
              <w:rPr>
                <w:rFonts w:cs="Arial"/>
                <w:sz w:val="20"/>
                <w:szCs w:val="20"/>
              </w:rPr>
              <w:t>90,000</w:t>
            </w:r>
          </w:p>
        </w:tc>
        <w:tc>
          <w:tcPr>
            <w:tcW w:w="2841" w:type="dxa"/>
            <w:vAlign w:val="bottom"/>
          </w:tcPr>
          <w:p w14:paraId="45B97FD1" w14:textId="77777777" w:rsidR="00544D9F" w:rsidRDefault="00544D9F" w:rsidP="00037DE4">
            <w:pPr>
              <w:spacing w:after="0"/>
              <w:jc w:val="right"/>
              <w:rPr>
                <w:rFonts w:cs="Arial"/>
                <w:sz w:val="20"/>
                <w:szCs w:val="20"/>
              </w:rPr>
            </w:pPr>
            <w:r>
              <w:rPr>
                <w:rFonts w:cs="Arial"/>
                <w:sz w:val="20"/>
                <w:szCs w:val="20"/>
              </w:rPr>
              <w:t>576,300</w:t>
            </w:r>
          </w:p>
        </w:tc>
      </w:tr>
    </w:tbl>
    <w:p w14:paraId="7BEB3C44" w14:textId="77777777" w:rsidR="00544D9F" w:rsidRDefault="00544D9F" w:rsidP="00037DE4">
      <w:pPr>
        <w:autoSpaceDE w:val="0"/>
        <w:autoSpaceDN w:val="0"/>
        <w:adjustRightInd w:val="0"/>
        <w:spacing w:after="0" w:line="240" w:lineRule="atLeast"/>
        <w:rPr>
          <w:rFonts w:cs="Arial"/>
          <w:b/>
          <w:bCs/>
          <w:i/>
          <w:color w:val="000000"/>
        </w:rPr>
      </w:pPr>
    </w:p>
    <w:p w14:paraId="0A7403CD" w14:textId="77777777" w:rsidR="00544D9F" w:rsidRPr="0012641D" w:rsidRDefault="00544D9F" w:rsidP="00544D9F">
      <w:pPr>
        <w:rPr>
          <w:b/>
          <w:i/>
        </w:rPr>
      </w:pPr>
      <w:smartTag w:uri="urn:schemas-microsoft-com:office:smarttags" w:element="country-region">
        <w:smartTag w:uri="urn:schemas-microsoft-com:office:smarttags" w:element="place">
          <w:r w:rsidRPr="000D7BFC">
            <w:t>New Zealand</w:t>
          </w:r>
        </w:smartTag>
      </w:smartTag>
      <w:r w:rsidRPr="000D7BFC">
        <w:t xml:space="preserve"> does not </w:t>
      </w:r>
      <w:r w:rsidR="007435CE">
        <w:t>report on</w:t>
      </w:r>
      <w:r>
        <w:t xml:space="preserve"> </w:t>
      </w:r>
      <w:r w:rsidRPr="000D7BFC">
        <w:t xml:space="preserve">unmet </w:t>
      </w:r>
      <w:r w:rsidR="007435CE">
        <w:t xml:space="preserve">demand </w:t>
      </w:r>
      <w:r w:rsidRPr="000D7BFC">
        <w:t xml:space="preserve">for residential places for people with </w:t>
      </w:r>
      <w:r>
        <w:t xml:space="preserve">disabilities </w:t>
      </w:r>
      <w:r w:rsidRPr="000D7BFC">
        <w:t>in the sense of having documented waiting lists for residential services.</w:t>
      </w:r>
      <w:r>
        <w:t xml:space="preserve"> </w:t>
      </w:r>
      <w:proofErr w:type="spellStart"/>
      <w:r>
        <w:t>Bonardi's</w:t>
      </w:r>
      <w:proofErr w:type="spellEnd"/>
      <w:r>
        <w:t xml:space="preserve"> research suggest</w:t>
      </w:r>
      <w:r w:rsidR="00CA14DC">
        <w:t>s</w:t>
      </w:r>
      <w:r>
        <w:t xml:space="preserve"> there is not in fact unmet demand for group home type residential support</w:t>
      </w:r>
      <w:r>
        <w:rPr>
          <w:rStyle w:val="FootnoteReference"/>
          <w:rFonts w:cs="Arial"/>
          <w:bCs/>
          <w:color w:val="000000"/>
        </w:rPr>
        <w:footnoteReference w:id="74"/>
      </w:r>
      <w:r>
        <w:t xml:space="preserve">. </w:t>
      </w:r>
      <w:r w:rsidRPr="000D7BFC">
        <w:t xml:space="preserve">However, there are people who are placed in what are seen as </w:t>
      </w:r>
      <w:r>
        <w:t xml:space="preserve">clearly </w:t>
      </w:r>
      <w:r w:rsidRPr="000D7BFC">
        <w:t xml:space="preserve">inappropriate residential settings. </w:t>
      </w:r>
      <w:r w:rsidRPr="000D7BFC">
        <w:lastRenderedPageBreak/>
        <w:t xml:space="preserve">For example in 2004 there were </w:t>
      </w:r>
      <w:r w:rsidR="00574617">
        <w:t>just over 500</w:t>
      </w:r>
      <w:r w:rsidRPr="000D7BFC">
        <w:t xml:space="preserve"> </w:t>
      </w:r>
      <w:r>
        <w:t xml:space="preserve">people </w:t>
      </w:r>
      <w:r w:rsidRPr="000D7BFC">
        <w:t xml:space="preserve">who are 64 or less years of age living in rest homes for older people and </w:t>
      </w:r>
      <w:r w:rsidR="00574617">
        <w:t>almost 870</w:t>
      </w:r>
      <w:r w:rsidRPr="000D7BFC">
        <w:t xml:space="preserve"> people </w:t>
      </w:r>
      <w:r>
        <w:t xml:space="preserve">who were </w:t>
      </w:r>
      <w:r w:rsidRPr="000D7BFC">
        <w:t>64 years of age or less living in hospitals</w:t>
      </w:r>
      <w:r>
        <w:rPr>
          <w:rStyle w:val="FootnoteReference"/>
          <w:rFonts w:cs="Arial"/>
        </w:rPr>
        <w:footnoteReference w:id="75"/>
      </w:r>
      <w:r w:rsidRPr="000D7BFC">
        <w:t>.</w:t>
      </w:r>
      <w:r>
        <w:t xml:space="preserve"> Key informants suggested that these people were primarily people with physical and sensory </w:t>
      </w:r>
      <w:r w:rsidR="007D6F5F">
        <w:t xml:space="preserve">disabilities </w:t>
      </w:r>
      <w:r>
        <w:t>with high supports needs, for whom no appropriate residential accommodation existed. Similarly key informants suggested that there are some people living in certain types of accommodation, for example a community group home, which may not have been their own or their famil</w:t>
      </w:r>
      <w:r w:rsidR="007D6F5F">
        <w:t>y's</w:t>
      </w:r>
      <w:r>
        <w:t xml:space="preserve"> first preference but may have been all that was available in their locality. </w:t>
      </w:r>
    </w:p>
    <w:p w14:paraId="1FC29622" w14:textId="77777777" w:rsidR="00544D9F" w:rsidRPr="00951EB7" w:rsidRDefault="00A8074E" w:rsidP="00C13592">
      <w:pPr>
        <w:pStyle w:val="Heading1"/>
        <w:spacing w:line="240" w:lineRule="auto"/>
        <w:rPr>
          <w:color w:val="000000"/>
        </w:rPr>
      </w:pPr>
      <w:bookmarkStart w:id="121" w:name="_Toc250627456"/>
      <w:bookmarkStart w:id="122" w:name="_Toc250627767"/>
      <w:bookmarkStart w:id="123" w:name="_Toc250627945"/>
      <w:bookmarkStart w:id="124" w:name="_Toc252539382"/>
      <w:r>
        <w:br w:type="page"/>
      </w:r>
      <w:bookmarkStart w:id="125" w:name="_Toc290886634"/>
      <w:r w:rsidR="00D3776B">
        <w:lastRenderedPageBreak/>
        <w:t>6</w:t>
      </w:r>
      <w:r w:rsidR="00544D9F" w:rsidRPr="00951EB7">
        <w:t>. Public / private / NGO mix</w:t>
      </w:r>
      <w:bookmarkEnd w:id="121"/>
      <w:bookmarkEnd w:id="122"/>
      <w:bookmarkEnd w:id="123"/>
      <w:bookmarkEnd w:id="124"/>
      <w:bookmarkEnd w:id="125"/>
    </w:p>
    <w:p w14:paraId="070654D8" w14:textId="77777777" w:rsidR="00544D9F" w:rsidRDefault="00544D9F" w:rsidP="00332CE9">
      <w:pPr>
        <w:rPr>
          <w:rFonts w:cs="Arial"/>
          <w:bCs/>
          <w:color w:val="000000"/>
        </w:rPr>
      </w:pPr>
      <w:r w:rsidRPr="00544D9F">
        <w:t>In some regions the state, through District Health Boards (DHBs), is involved in service delivery. However in all regions this would be a small proportion of total disability service provision and in some regions DHBs do not deliver any disability services. Key informants estimated that not-for-profit organisations delivered at least</w:t>
      </w:r>
      <w:r w:rsidR="00D64E01">
        <w:t xml:space="preserve"> </w:t>
      </w:r>
      <w:r w:rsidRPr="00544D9F">
        <w:t>75% of disability services and DHBs and private enterprises delivered the remainder</w:t>
      </w:r>
      <w:r>
        <w:rPr>
          <w:rFonts w:cs="Arial"/>
          <w:bCs/>
          <w:color w:val="000000"/>
        </w:rPr>
        <w:t xml:space="preserve">. </w:t>
      </w:r>
    </w:p>
    <w:p w14:paraId="18F1A8AE" w14:textId="77777777" w:rsidR="00544D9F" w:rsidRPr="00951EB7" w:rsidRDefault="00A8074E" w:rsidP="00544D9F">
      <w:pPr>
        <w:pStyle w:val="Heading1"/>
        <w:rPr>
          <w:color w:val="000000"/>
        </w:rPr>
      </w:pPr>
      <w:bookmarkStart w:id="126" w:name="_Toc250627457"/>
      <w:bookmarkStart w:id="127" w:name="_Toc250627768"/>
      <w:bookmarkStart w:id="128" w:name="_Toc250627946"/>
      <w:bookmarkStart w:id="129" w:name="_Toc252539383"/>
      <w:r>
        <w:br w:type="page"/>
      </w:r>
      <w:bookmarkStart w:id="130" w:name="_Toc290886635"/>
      <w:r w:rsidR="00D3776B">
        <w:lastRenderedPageBreak/>
        <w:t>7</w:t>
      </w:r>
      <w:r w:rsidR="00544D9F" w:rsidRPr="00951EB7">
        <w:t>. Single service or menu and choice</w:t>
      </w:r>
      <w:bookmarkEnd w:id="126"/>
      <w:bookmarkEnd w:id="127"/>
      <w:bookmarkEnd w:id="128"/>
      <w:bookmarkEnd w:id="129"/>
      <w:bookmarkEnd w:id="130"/>
      <w:r w:rsidR="00544D9F" w:rsidRPr="00951EB7">
        <w:t xml:space="preserve"> </w:t>
      </w:r>
    </w:p>
    <w:p w14:paraId="09E0D642" w14:textId="77777777" w:rsidR="00544D9F" w:rsidRDefault="00544D9F" w:rsidP="003A05C0">
      <w:pPr>
        <w:spacing w:after="120"/>
        <w:rPr>
          <w:bCs/>
          <w:color w:val="000000"/>
        </w:rPr>
      </w:pPr>
      <w:r w:rsidRPr="00544D9F">
        <w:t>Coordinating a package of services from various providers for a person with a disability is one of</w:t>
      </w:r>
      <w:r w:rsidR="00D1262B">
        <w:t xml:space="preserve"> the</w:t>
      </w:r>
      <w:r w:rsidRPr="00544D9F">
        <w:t xml:space="preserve"> functions of NASCs (Needs Assessment Service Coordination). The service specification for NASCs makes it clear that their function is not only </w:t>
      </w:r>
      <w:r w:rsidR="00D1262B">
        <w:t>to coordinate</w:t>
      </w:r>
      <w:r w:rsidRPr="00544D9F">
        <w:t xml:space="preserve"> the services assigned to a person with disability under the needs assessment process but other services which they may be entitled to or may wish to pay for themselves</w:t>
      </w:r>
      <w:r>
        <w:t xml:space="preserve">. </w:t>
      </w:r>
    </w:p>
    <w:p w14:paraId="11885A8D" w14:textId="77777777" w:rsidR="00544D9F" w:rsidRDefault="00544D9F" w:rsidP="00544D9F">
      <w:pPr>
        <w:pStyle w:val="BlockQuote"/>
      </w:pPr>
      <w:r w:rsidRPr="00AF5975">
        <w:t>Service co-ordination is a process of identifying, planning and reviewing the package of services required to meet the prioritised assessed needs and goals of the person and, where appropriate, their family/</w:t>
      </w:r>
      <w:proofErr w:type="spellStart"/>
      <w:r w:rsidRPr="00AF5975">
        <w:t>whänau</w:t>
      </w:r>
      <w:proofErr w:type="spellEnd"/>
      <w:r w:rsidRPr="00AF5975">
        <w:t xml:space="preserve"> and carers. Service co-ordination also determines which of the assessed needs can be met by government funded services and which can be met by other services, and will explore all options and linkages for addressing prioritised needs and goals</w:t>
      </w:r>
      <w:r>
        <w:rPr>
          <w:rStyle w:val="FootnoteReference"/>
          <w:rFonts w:cs="Arial"/>
          <w:bCs/>
          <w:color w:val="000000"/>
          <w:sz w:val="20"/>
          <w:szCs w:val="20"/>
        </w:rPr>
        <w:footnoteReference w:id="76"/>
      </w:r>
      <w:r w:rsidRPr="00AF5975">
        <w:t>.</w:t>
      </w:r>
    </w:p>
    <w:p w14:paraId="37068C05" w14:textId="77777777" w:rsidR="00544D9F" w:rsidRDefault="00544D9F" w:rsidP="00332CE9">
      <w:r>
        <w:t xml:space="preserve">While the design of NASC is that people with disabilities have a choice in the providers that will deliver them services and that NASC will coordinate the full package of services that a person with disabilities needs to engage, the New Zealand Parliament's </w:t>
      </w:r>
      <w:r w:rsidRPr="00AF5975">
        <w:t>Social Services Committee</w:t>
      </w:r>
      <w:r>
        <w:t xml:space="preserve"> i</w:t>
      </w:r>
      <w:r w:rsidRPr="00AF5975">
        <w:rPr>
          <w:bCs/>
          <w:color w:val="000000"/>
        </w:rPr>
        <w:t xml:space="preserve">nquiry into the quality of care and service provision for people with disabilities </w:t>
      </w:r>
      <w:r>
        <w:rPr>
          <w:bCs/>
          <w:color w:val="000000"/>
        </w:rPr>
        <w:t xml:space="preserve">suggests that this may not be how NASCs function in practice. Firstly, the </w:t>
      </w:r>
      <w:r w:rsidRPr="00AF5975">
        <w:t>Social Services Committee</w:t>
      </w:r>
      <w:r>
        <w:t xml:space="preserve"> suggests that NASCs frequently only coordinate Ministry of Health funded services; secondly that choice between providers is limited to those who have Ministry of Health contracts in a region, which stifles choice for people with disabilities and reduces incentives for providers to innovate and thirdly that NASCs tend to try to fit people into service provider options rather than trying to fit service providers around the needs of the person with disabilities. </w:t>
      </w:r>
    </w:p>
    <w:p w14:paraId="11366985" w14:textId="77777777" w:rsidR="003B52B8" w:rsidRDefault="00D1262B" w:rsidP="00332CE9">
      <w:r>
        <w:t xml:space="preserve">The </w:t>
      </w:r>
      <w:r w:rsidR="00544D9F" w:rsidRPr="00AF5975">
        <w:t>Social Services Committee</w:t>
      </w:r>
      <w:r w:rsidR="00544D9F">
        <w:t xml:space="preserve"> did note that pilots were under way involving NASCs that were performing a more holistic service coordination role (</w:t>
      </w:r>
      <w:r w:rsidR="00544D9F" w:rsidRPr="00AF5975">
        <w:t>Social Services Committee</w:t>
      </w:r>
      <w:r w:rsidR="00544D9F">
        <w:t>'s report references in particular the</w:t>
      </w:r>
      <w:r>
        <w:t xml:space="preserve"> Western Australian model</w:t>
      </w:r>
      <w:r w:rsidR="00D64E01">
        <w:t xml:space="preserve"> of Local Area Coordination</w:t>
      </w:r>
      <w:r>
        <w:t>). In</w:t>
      </w:r>
      <w:r w:rsidR="00544D9F">
        <w:t xml:space="preserve"> the Government's response to the </w:t>
      </w:r>
      <w:r w:rsidR="00544D9F" w:rsidRPr="00AF5975">
        <w:t>Social Services Committee</w:t>
      </w:r>
      <w:r w:rsidR="00544D9F">
        <w:t xml:space="preserve"> report it committed to investigating the feasibility of implementing </w:t>
      </w:r>
      <w:r>
        <w:t>a</w:t>
      </w:r>
      <w:r w:rsidR="00544D9F" w:rsidRPr="009156E6">
        <w:t xml:space="preserve"> Local Area Coordination</w:t>
      </w:r>
      <w:r w:rsidR="00CA14DC">
        <w:t xml:space="preserve"> services which would coordinate</w:t>
      </w:r>
      <w:r w:rsidR="00544D9F">
        <w:t xml:space="preserve"> services across government agencies</w:t>
      </w:r>
      <w:r w:rsidR="007D6F5F">
        <w:t xml:space="preserve"> at a local level</w:t>
      </w:r>
      <w:r w:rsidR="00544D9F">
        <w:t xml:space="preserve">. </w:t>
      </w:r>
    </w:p>
    <w:p w14:paraId="6F7AD4A7" w14:textId="77777777" w:rsidR="00544D9F" w:rsidRDefault="00CA14DC" w:rsidP="00332CE9">
      <w:r>
        <w:t xml:space="preserve">The </w:t>
      </w:r>
      <w:r w:rsidR="00544D9F" w:rsidRPr="00AF5975">
        <w:t>Social Services Committee</w:t>
      </w:r>
      <w:r w:rsidR="00544D9F">
        <w:t xml:space="preserve"> acknowledged that the Government had agreed to allow for "</w:t>
      </w:r>
      <w:r w:rsidR="00544D9F" w:rsidRPr="00D30BE0">
        <w:t>more flexibility in choosing the providers</w:t>
      </w:r>
      <w:r w:rsidR="00544D9F">
        <w:t xml:space="preserve"> </w:t>
      </w:r>
      <w:r w:rsidR="00544D9F" w:rsidRPr="00D30BE0">
        <w:t xml:space="preserve">to be contracted for </w:t>
      </w:r>
      <w:r w:rsidR="00544D9F">
        <w:t>s</w:t>
      </w:r>
      <w:r w:rsidR="00544D9F" w:rsidRPr="00D30BE0">
        <w:t>ervices</w:t>
      </w:r>
      <w:r w:rsidR="00544D9F">
        <w:t xml:space="preserve">", which should facilitate new providers offering alternative services for people with disabilities.  </w:t>
      </w:r>
    </w:p>
    <w:p w14:paraId="563CF37E" w14:textId="77777777" w:rsidR="00544D9F" w:rsidRPr="006B0525" w:rsidRDefault="00544D9F" w:rsidP="00332CE9">
      <w:pPr>
        <w:rPr>
          <w:bCs/>
          <w:color w:val="000000"/>
        </w:rPr>
      </w:pPr>
      <w:r>
        <w:lastRenderedPageBreak/>
        <w:t>For people with disabilities living in residential settings, such as those with intellectual disability living in community group homes</w:t>
      </w:r>
      <w:r w:rsidR="007D6F5F">
        <w:t xml:space="preserve"> (approximately 6,000 people)</w:t>
      </w:r>
      <w:r>
        <w:t xml:space="preserve">, services tend to be provided by one provider in a "wrap-around, cradle-to-the-grave" style model of service delivery. In </w:t>
      </w:r>
      <w:smartTag w:uri="urn:schemas-microsoft-com:office:smarttags" w:element="country-region">
        <w:smartTag w:uri="urn:schemas-microsoft-com:office:smarttags" w:element="place">
          <w:r>
            <w:t>New Zealand</w:t>
          </w:r>
        </w:smartTag>
      </w:smartTag>
      <w:r>
        <w:t xml:space="preserve"> this model has been much criticised and labelled in an influential report as the </w:t>
      </w:r>
      <w:r w:rsidRPr="006B0525">
        <w:rPr>
          <w:bCs/>
          <w:color w:val="000000"/>
        </w:rPr>
        <w:t>‘custodial ownership model’ of service delivery</w:t>
      </w:r>
      <w:r>
        <w:rPr>
          <w:rStyle w:val="FootnoteReference"/>
          <w:rFonts w:cs="Arial"/>
          <w:bCs/>
          <w:color w:val="000000"/>
        </w:rPr>
        <w:footnoteReference w:id="77"/>
      </w:r>
      <w:r w:rsidRPr="006B0525">
        <w:rPr>
          <w:bCs/>
          <w:color w:val="000000"/>
        </w:rPr>
        <w:t xml:space="preserve">. </w:t>
      </w:r>
      <w:r>
        <w:rPr>
          <w:bCs/>
          <w:color w:val="000000"/>
        </w:rPr>
        <w:t xml:space="preserve">It should be remembered of course that the vast majority of people with disabilities in </w:t>
      </w:r>
      <w:smartTag w:uri="urn:schemas-microsoft-com:office:smarttags" w:element="country-region">
        <w:smartTag w:uri="urn:schemas-microsoft-com:office:smarttags" w:element="place">
          <w:r>
            <w:rPr>
              <w:bCs/>
              <w:color w:val="000000"/>
            </w:rPr>
            <w:t>New Zealand</w:t>
          </w:r>
        </w:smartTag>
      </w:smartTag>
      <w:r>
        <w:rPr>
          <w:bCs/>
          <w:color w:val="000000"/>
        </w:rPr>
        <w:t xml:space="preserve"> do not receive residential supports and are much more likely to receive supports from various service providers as required while living in their own home. </w:t>
      </w:r>
    </w:p>
    <w:p w14:paraId="7B56071B" w14:textId="77777777" w:rsidR="00544D9F" w:rsidRPr="00221117" w:rsidRDefault="00A8074E" w:rsidP="00C13592">
      <w:pPr>
        <w:pStyle w:val="Heading1"/>
        <w:spacing w:line="240" w:lineRule="auto"/>
      </w:pPr>
      <w:bookmarkStart w:id="131" w:name="_Toc250627458"/>
      <w:bookmarkStart w:id="132" w:name="_Toc250627769"/>
      <w:bookmarkStart w:id="133" w:name="_Toc250627947"/>
      <w:bookmarkStart w:id="134" w:name="_Toc252539384"/>
      <w:r>
        <w:br w:type="page"/>
      </w:r>
      <w:bookmarkStart w:id="135" w:name="_Toc290886636"/>
      <w:r w:rsidR="00D3776B">
        <w:lastRenderedPageBreak/>
        <w:t>8</w:t>
      </w:r>
      <w:r w:rsidR="00544D9F" w:rsidRPr="00221117">
        <w:t>. Involvement of people with disabilities</w:t>
      </w:r>
      <w:bookmarkEnd w:id="131"/>
      <w:bookmarkEnd w:id="132"/>
      <w:bookmarkEnd w:id="133"/>
      <w:bookmarkEnd w:id="134"/>
      <w:bookmarkEnd w:id="135"/>
    </w:p>
    <w:p w14:paraId="2E5B8AF3" w14:textId="77777777" w:rsidR="00544D9F" w:rsidRDefault="00544D9F" w:rsidP="00332CE9">
      <w:r w:rsidRPr="00CE3084">
        <w:t>Disability Support Services Group of the Health and Disability National Services Directorate operates a Disability Support Services Consumer Consortium</w:t>
      </w:r>
      <w:r w:rsidRPr="00CE3084">
        <w:rPr>
          <w:rStyle w:val="FootnoteReference"/>
          <w:rFonts w:cs="Arial"/>
          <w:bCs/>
          <w:color w:val="000000"/>
        </w:rPr>
        <w:footnoteReference w:id="78"/>
      </w:r>
      <w:r w:rsidRPr="00CE3084">
        <w:t>. The</w:t>
      </w:r>
      <w:r w:rsidRPr="000F4538">
        <w:t xml:space="preserve"> consortium provides input and advice to Disability Support Services on its planning, policy and service development. The consortium provides a link for support and communication between </w:t>
      </w:r>
      <w:r>
        <w:t>the Ministry of Health</w:t>
      </w:r>
      <w:r w:rsidRPr="000F4538">
        <w:t xml:space="preserve"> and the people who receive the services funded by Disability Support Services. The consortium members are service consumers and not disability representative l</w:t>
      </w:r>
      <w:r w:rsidR="00D1262B">
        <w:t>obbyists or service providers. T</w:t>
      </w:r>
      <w:r w:rsidRPr="000F4538">
        <w:t xml:space="preserve">he establishment of the Consumer Consortium emerged from Disability Consumer Forums which the </w:t>
      </w:r>
      <w:r>
        <w:t>Ministry of Health</w:t>
      </w:r>
      <w:r w:rsidRPr="000F4538">
        <w:t xml:space="preserve"> has run since 2004. These are a series of regional meetings (20 in 2009) run by </w:t>
      </w:r>
      <w:r>
        <w:t>the Ministry of Health</w:t>
      </w:r>
      <w:r w:rsidRPr="000F4538">
        <w:t xml:space="preserve"> to ascertain service consumer views on relevant issues. In 2009 forums covered four main themes:</w:t>
      </w:r>
      <w:r>
        <w:t xml:space="preserve"> </w:t>
      </w:r>
      <w:r w:rsidRPr="000F4538">
        <w:t>General update on services and projects; What is working – what isn’t working – ideas for improvement; Issues and concerns of consumers attending the meetings; and Strategic priorities for the Disability Support Services Group</w:t>
      </w:r>
      <w:r>
        <w:rPr>
          <w:rStyle w:val="FootnoteReference"/>
          <w:rFonts w:cs="Arial"/>
          <w:bCs/>
          <w:color w:val="000000"/>
        </w:rPr>
        <w:footnoteReference w:id="79"/>
      </w:r>
      <w:r>
        <w:t xml:space="preserve">. </w:t>
      </w:r>
    </w:p>
    <w:p w14:paraId="08EE54BD" w14:textId="77777777" w:rsidR="00544D9F" w:rsidRDefault="00544D9F" w:rsidP="00332CE9">
      <w:r>
        <w:t>District Health Boards must include a disability representative on their boards. Also, the Office of Disability Issues maintains a database of appropriately skilled people with disabilities for inclusion on various state boards and handles requests from those bodies for people with disabilities to go on to state boards.</w:t>
      </w:r>
    </w:p>
    <w:p w14:paraId="3A357C93" w14:textId="77777777" w:rsidR="00544D9F" w:rsidRPr="00E330EA" w:rsidRDefault="00A8074E" w:rsidP="00C13592">
      <w:pPr>
        <w:pStyle w:val="Heading1"/>
        <w:tabs>
          <w:tab w:val="left" w:pos="5400"/>
        </w:tabs>
        <w:spacing w:line="240" w:lineRule="auto"/>
      </w:pPr>
      <w:bookmarkStart w:id="136" w:name="_Toc250627948"/>
      <w:bookmarkStart w:id="137" w:name="_Toc252539385"/>
      <w:r>
        <w:br w:type="page"/>
      </w:r>
      <w:bookmarkStart w:id="138" w:name="_Toc290886637"/>
      <w:r w:rsidR="00D3776B">
        <w:lastRenderedPageBreak/>
        <w:t>9</w:t>
      </w:r>
      <w:r w:rsidR="00544D9F" w:rsidRPr="00E330EA">
        <w:t xml:space="preserve">. </w:t>
      </w:r>
      <w:bookmarkEnd w:id="136"/>
      <w:bookmarkEnd w:id="137"/>
      <w:r w:rsidR="007D6F5F">
        <w:t xml:space="preserve">Conclusion: Lessons for </w:t>
      </w:r>
      <w:smartTag w:uri="urn:schemas-microsoft-com:office:smarttags" w:element="country-region">
        <w:smartTag w:uri="urn:schemas-microsoft-com:office:smarttags" w:element="place">
          <w:r w:rsidR="007D6F5F">
            <w:t>Ireland</w:t>
          </w:r>
        </w:smartTag>
      </w:smartTag>
      <w:bookmarkEnd w:id="138"/>
    </w:p>
    <w:p w14:paraId="30F8E9CC" w14:textId="77777777" w:rsidR="00544D9F" w:rsidRDefault="00D3776B" w:rsidP="00C13592">
      <w:pPr>
        <w:pStyle w:val="Heading2"/>
        <w:spacing w:line="240" w:lineRule="auto"/>
      </w:pPr>
      <w:bookmarkStart w:id="139" w:name="_Toc250627949"/>
      <w:bookmarkStart w:id="140" w:name="_Toc252539386"/>
      <w:bookmarkStart w:id="141" w:name="_Toc290886638"/>
      <w:r>
        <w:t>9</w:t>
      </w:r>
      <w:r w:rsidR="00544D9F">
        <w:t>.1 Strengths</w:t>
      </w:r>
      <w:bookmarkEnd w:id="139"/>
      <w:bookmarkEnd w:id="140"/>
      <w:bookmarkEnd w:id="141"/>
      <w:r w:rsidR="00544D9F">
        <w:tab/>
      </w:r>
    </w:p>
    <w:p w14:paraId="582DFB25" w14:textId="77777777" w:rsidR="00544D9F" w:rsidRDefault="00544D9F" w:rsidP="00544D9F">
      <w:pPr>
        <w:rPr>
          <w:rFonts w:cs="Arial"/>
        </w:rPr>
      </w:pPr>
      <w:smartTag w:uri="urn:schemas-microsoft-com:office:smarttags" w:element="country-region">
        <w:smartTag w:uri="urn:schemas-microsoft-com:office:smarttags" w:element="place">
          <w:r>
            <w:rPr>
              <w:rFonts w:cs="Arial"/>
            </w:rPr>
            <w:t>New Zealand</w:t>
          </w:r>
        </w:smartTag>
      </w:smartTag>
      <w:r>
        <w:rPr>
          <w:rFonts w:cs="Arial"/>
        </w:rPr>
        <w:t xml:space="preserve"> is considered to be on</w:t>
      </w:r>
      <w:r w:rsidR="00D1262B">
        <w:rPr>
          <w:rFonts w:cs="Arial"/>
        </w:rPr>
        <w:t>e</w:t>
      </w:r>
      <w:r>
        <w:rPr>
          <w:rFonts w:cs="Arial"/>
        </w:rPr>
        <w:t xml:space="preserve"> of the first countries to have completed deinstitutionalisation. Deinstitutionalisation commenced in the early 1980</w:t>
      </w:r>
      <w:r w:rsidR="00D1262B">
        <w:rPr>
          <w:rFonts w:cs="Arial"/>
        </w:rPr>
        <w:t>s</w:t>
      </w:r>
      <w:r>
        <w:rPr>
          <w:rFonts w:cs="Arial"/>
        </w:rPr>
        <w:t xml:space="preserve"> and the last of the large institutions was closed in 2006. </w:t>
      </w:r>
    </w:p>
    <w:p w14:paraId="77089194" w14:textId="77777777" w:rsidR="00544D9F" w:rsidRDefault="00544D9F" w:rsidP="00544D9F">
      <w:pPr>
        <w:rPr>
          <w:rFonts w:cs="Arial"/>
        </w:rPr>
      </w:pPr>
      <w:r>
        <w:rPr>
          <w:rFonts w:cs="Arial"/>
        </w:rPr>
        <w:t>In recent years funding increases have been focused on services necessary to support people to live in the community, such as, in-home supports and respite and carer supports.</w:t>
      </w:r>
    </w:p>
    <w:p w14:paraId="1EC5E47C" w14:textId="77777777" w:rsidR="00544D9F" w:rsidRDefault="00544D9F" w:rsidP="00544D9F">
      <w:pPr>
        <w:rPr>
          <w:rFonts w:cs="Arial"/>
        </w:rPr>
      </w:pPr>
      <w:r>
        <w:rPr>
          <w:rFonts w:cs="Arial"/>
        </w:rPr>
        <w:t xml:space="preserve">There is </w:t>
      </w:r>
      <w:r w:rsidR="004E6D5B">
        <w:rPr>
          <w:rFonts w:cs="Arial"/>
        </w:rPr>
        <w:t>generally a</w:t>
      </w:r>
      <w:r>
        <w:rPr>
          <w:rFonts w:cs="Arial"/>
        </w:rPr>
        <w:t xml:space="preserve"> degree of choice available to those who are assessed as needing disability supports even if the availability of choice is not always used to maximum effect. </w:t>
      </w:r>
    </w:p>
    <w:p w14:paraId="28DB3D7E" w14:textId="77777777" w:rsidR="00544D9F" w:rsidRDefault="00544D9F" w:rsidP="00544D9F">
      <w:pPr>
        <w:rPr>
          <w:rFonts w:cs="Arial"/>
        </w:rPr>
      </w:pPr>
      <w:r>
        <w:rPr>
          <w:rFonts w:cs="Arial"/>
        </w:rPr>
        <w:t xml:space="preserve">There is a high degree of transparency about funding and services delivered. All services must conform to national service specifications and funding is based on the numbers being supported in a service. Resources follow the assessed person, so services need to compete for clients to attract funding. </w:t>
      </w:r>
    </w:p>
    <w:p w14:paraId="7DD2D972" w14:textId="77777777" w:rsidR="00544D9F" w:rsidRDefault="00544D9F" w:rsidP="00544D9F">
      <w:pPr>
        <w:rPr>
          <w:rFonts w:cs="Arial"/>
        </w:rPr>
      </w:pPr>
      <w:r>
        <w:rPr>
          <w:rFonts w:cs="Arial"/>
        </w:rPr>
        <w:t xml:space="preserve">NASCs perform their gatekeeping and resource allocation functions </w:t>
      </w:r>
      <w:r w:rsidR="008F68A7">
        <w:rPr>
          <w:rFonts w:cs="Arial"/>
        </w:rPr>
        <w:t xml:space="preserve">effectively </w:t>
      </w:r>
      <w:r w:rsidR="007B2D94">
        <w:rPr>
          <w:rFonts w:cs="Arial"/>
        </w:rPr>
        <w:t>and operate a f</w:t>
      </w:r>
      <w:r>
        <w:rPr>
          <w:rFonts w:cs="Arial"/>
        </w:rPr>
        <w:t xml:space="preserve">unctioning needs assessment </w:t>
      </w:r>
      <w:r w:rsidR="007B2D94">
        <w:rPr>
          <w:rFonts w:cs="Arial"/>
        </w:rPr>
        <w:t>system</w:t>
      </w:r>
      <w:r>
        <w:rPr>
          <w:rFonts w:cs="Arial"/>
        </w:rPr>
        <w:t xml:space="preserve"> but </w:t>
      </w:r>
      <w:r w:rsidR="007B2D94">
        <w:rPr>
          <w:rFonts w:cs="Arial"/>
        </w:rPr>
        <w:t xml:space="preserve">the </w:t>
      </w:r>
      <w:r>
        <w:rPr>
          <w:rFonts w:cs="Arial"/>
        </w:rPr>
        <w:t xml:space="preserve">service coordination </w:t>
      </w:r>
      <w:r w:rsidR="007B2D94">
        <w:rPr>
          <w:rFonts w:cs="Arial"/>
        </w:rPr>
        <w:t xml:space="preserve">element of their prescribed role </w:t>
      </w:r>
      <w:r>
        <w:rPr>
          <w:rFonts w:cs="Arial"/>
        </w:rPr>
        <w:t>is poor.</w:t>
      </w:r>
    </w:p>
    <w:p w14:paraId="1CECDFFB" w14:textId="77777777" w:rsidR="00544D9F" w:rsidRDefault="00544D9F" w:rsidP="00544D9F">
      <w:pPr>
        <w:rPr>
          <w:rFonts w:cs="Arial"/>
        </w:rPr>
      </w:pPr>
      <w:r>
        <w:rPr>
          <w:rFonts w:cs="Arial"/>
        </w:rPr>
        <w:t xml:space="preserve">Access to mainstream public services for people with disabilities, such as housing supports and healthcare in particular is </w:t>
      </w:r>
      <w:r w:rsidR="003A05C0">
        <w:rPr>
          <w:rFonts w:cs="Arial"/>
        </w:rPr>
        <w:t xml:space="preserve">regarded as </w:t>
      </w:r>
      <w:r>
        <w:rPr>
          <w:rFonts w:cs="Arial"/>
        </w:rPr>
        <w:t xml:space="preserve">quite good. </w:t>
      </w:r>
    </w:p>
    <w:p w14:paraId="46595382" w14:textId="77777777" w:rsidR="00544D9F" w:rsidRDefault="00544D9F" w:rsidP="00544D9F">
      <w:pPr>
        <w:rPr>
          <w:rFonts w:cs="Arial"/>
        </w:rPr>
      </w:pPr>
      <w:r>
        <w:rPr>
          <w:rFonts w:cs="Arial"/>
        </w:rPr>
        <w:t xml:space="preserve">The New Zealand </w:t>
      </w:r>
      <w:r w:rsidR="007B2D94">
        <w:rPr>
          <w:rFonts w:cs="Arial"/>
        </w:rPr>
        <w:t>Government has public</w:t>
      </w:r>
      <w:r>
        <w:rPr>
          <w:rFonts w:cs="Arial"/>
        </w:rPr>
        <w:t xml:space="preserve">ly acknowledged some of the key weaknesses of the system and commitment in principle </w:t>
      </w:r>
      <w:r w:rsidR="007B2D94">
        <w:rPr>
          <w:rFonts w:cs="Arial"/>
        </w:rPr>
        <w:t>working towards reform.</w:t>
      </w:r>
      <w:r w:rsidR="00526189">
        <w:rPr>
          <w:rFonts w:cs="Arial"/>
        </w:rPr>
        <w:t xml:space="preserve"> Specifically it has acknowledged the need to embrace a new model of service which embraces Local Area Coordination, supported living and individualised funding.</w:t>
      </w:r>
    </w:p>
    <w:p w14:paraId="6BE58C53" w14:textId="77777777" w:rsidR="00526189" w:rsidRDefault="00526189" w:rsidP="00544D9F">
      <w:pPr>
        <w:rPr>
          <w:rFonts w:cs="Arial"/>
        </w:rPr>
      </w:pPr>
      <w:r>
        <w:rPr>
          <w:rFonts w:cs="Arial"/>
        </w:rPr>
        <w:t xml:space="preserve">The Disability Support Services group of the </w:t>
      </w:r>
      <w:r w:rsidR="00E96B6A">
        <w:rPr>
          <w:rFonts w:cs="Arial"/>
        </w:rPr>
        <w:t>Ministry of Health operates a Disability Support Services Consumer Consortium whereby the Ministry regularly (20 in 2009) organises regional meetings to get direct feedback from disability services users.</w:t>
      </w:r>
    </w:p>
    <w:p w14:paraId="60452DC8" w14:textId="77777777" w:rsidR="00544D9F" w:rsidRDefault="00D3776B" w:rsidP="00C13592">
      <w:pPr>
        <w:pStyle w:val="Heading2"/>
        <w:spacing w:line="240" w:lineRule="auto"/>
      </w:pPr>
      <w:bookmarkStart w:id="142" w:name="_Toc250627950"/>
      <w:bookmarkStart w:id="143" w:name="_Toc252539387"/>
      <w:bookmarkStart w:id="144" w:name="_Toc290886639"/>
      <w:r>
        <w:t>9</w:t>
      </w:r>
      <w:r w:rsidR="00544D9F">
        <w:t>.2 Weaknesses</w:t>
      </w:r>
      <w:bookmarkEnd w:id="142"/>
      <w:bookmarkEnd w:id="143"/>
      <w:bookmarkEnd w:id="144"/>
      <w:r w:rsidR="00544D9F">
        <w:tab/>
      </w:r>
    </w:p>
    <w:p w14:paraId="58FA4592" w14:textId="77777777" w:rsidR="00544D9F" w:rsidRDefault="00544D9F" w:rsidP="00544D9F">
      <w:pPr>
        <w:rPr>
          <w:rFonts w:cs="Arial"/>
        </w:rPr>
      </w:pPr>
      <w:r>
        <w:rPr>
          <w:rFonts w:cs="Arial"/>
        </w:rPr>
        <w:t>Despite the claim to have fully deinstitutionalised there continues to be inappropriate placements of small number of younger people with disabilities</w:t>
      </w:r>
      <w:r w:rsidR="003A05C0">
        <w:rPr>
          <w:rFonts w:cs="Arial"/>
        </w:rPr>
        <w:t xml:space="preserve"> who require high supports </w:t>
      </w:r>
      <w:r>
        <w:rPr>
          <w:rFonts w:cs="Arial"/>
        </w:rPr>
        <w:t>in hospitals and older people's facilities.</w:t>
      </w:r>
    </w:p>
    <w:p w14:paraId="144BCBCE" w14:textId="77777777" w:rsidR="00544D9F" w:rsidRDefault="00544D9F" w:rsidP="00544D9F">
      <w:pPr>
        <w:rPr>
          <w:rFonts w:cs="Arial"/>
        </w:rPr>
      </w:pPr>
      <w:r>
        <w:rPr>
          <w:rFonts w:cs="Arial"/>
        </w:rPr>
        <w:lastRenderedPageBreak/>
        <w:t>Enabling adults with ID who live in community group homes to have a genuinely community based life and have real choices around how they live their l</w:t>
      </w:r>
      <w:r w:rsidR="003B52B8">
        <w:rPr>
          <w:rFonts w:cs="Arial"/>
        </w:rPr>
        <w:t>ives has remained problematic</w:t>
      </w:r>
      <w:r w:rsidR="003B52B8">
        <w:rPr>
          <w:rStyle w:val="FootnoteReference"/>
          <w:rFonts w:cs="Arial"/>
        </w:rPr>
        <w:footnoteReference w:id="80"/>
      </w:r>
      <w:r w:rsidR="003B52B8">
        <w:rPr>
          <w:rFonts w:cs="Arial"/>
        </w:rPr>
        <w:t xml:space="preserve">. </w:t>
      </w:r>
    </w:p>
    <w:p w14:paraId="3AD6688A" w14:textId="77777777" w:rsidR="00544D9F" w:rsidRDefault="003A05C0" w:rsidP="00544D9F">
      <w:pPr>
        <w:rPr>
          <w:rFonts w:cs="Arial"/>
        </w:rPr>
      </w:pPr>
      <w:r>
        <w:rPr>
          <w:rFonts w:cs="Arial"/>
        </w:rPr>
        <w:t>Key informants to this background paper indicated that t</w:t>
      </w:r>
      <w:r w:rsidR="00544D9F">
        <w:rPr>
          <w:rFonts w:cs="Arial"/>
        </w:rPr>
        <w:t xml:space="preserve">here is poor service coordination across Departmental lines. </w:t>
      </w:r>
    </w:p>
    <w:p w14:paraId="4E7553A5" w14:textId="77777777" w:rsidR="00332CE9" w:rsidRDefault="00544D9F" w:rsidP="00544D9F">
      <w:pPr>
        <w:rPr>
          <w:rFonts w:cs="Arial"/>
        </w:rPr>
      </w:pPr>
      <w:r>
        <w:rPr>
          <w:rFonts w:cs="Arial"/>
        </w:rPr>
        <w:t>There is a degree of inflexibility as a consequence of the use of national service specifications for all services. For example, the Supported Independent Living service specification is seen to have contributed to the poor take up rate of this programme but progress on having it changed is slow. So despite the New Zealand Government stating publicly</w:t>
      </w:r>
      <w:r w:rsidR="00A8074E">
        <w:rPr>
          <w:rFonts w:cs="Arial"/>
        </w:rPr>
        <w:t>,</w:t>
      </w:r>
      <w:r>
        <w:rPr>
          <w:rFonts w:cs="Arial"/>
        </w:rPr>
        <w:t xml:space="preserve"> that a move from group homes to model based on Supported Independent Living</w:t>
      </w:r>
      <w:r w:rsidR="00A8074E">
        <w:rPr>
          <w:rFonts w:cs="Arial"/>
        </w:rPr>
        <w:t>,</w:t>
      </w:r>
      <w:r>
        <w:rPr>
          <w:rFonts w:cs="Arial"/>
        </w:rPr>
        <w:t xml:space="preserve"> take up for SIL is still very low. </w:t>
      </w:r>
    </w:p>
    <w:p w14:paraId="0616AECC" w14:textId="77777777" w:rsidR="00332CE9" w:rsidRDefault="00332CE9" w:rsidP="00C13592">
      <w:pPr>
        <w:pStyle w:val="Heading1"/>
        <w:spacing w:line="240" w:lineRule="auto"/>
      </w:pPr>
      <w:r>
        <w:br w:type="page"/>
      </w:r>
      <w:bookmarkStart w:id="145" w:name="_Toc252539388"/>
      <w:bookmarkStart w:id="146" w:name="_Toc290886640"/>
      <w:r w:rsidR="00D3776B">
        <w:lastRenderedPageBreak/>
        <w:t>10</w:t>
      </w:r>
      <w:r w:rsidRPr="00AA669F">
        <w:t>. References</w:t>
      </w:r>
      <w:bookmarkEnd w:id="145"/>
      <w:bookmarkEnd w:id="146"/>
      <w:r w:rsidRPr="00AA669F">
        <w:t xml:space="preserve"> </w:t>
      </w:r>
    </w:p>
    <w:p w14:paraId="2F3C7106" w14:textId="77777777" w:rsidR="00F8156B" w:rsidRDefault="00332CE9" w:rsidP="00F8156B">
      <w:pPr>
        <w:spacing w:after="0"/>
      </w:pPr>
      <w:r w:rsidRPr="006321D4">
        <w:t>Accident Compensation Corporation, 2006, Strategic Plan 2007 - 2012</w:t>
      </w:r>
    </w:p>
    <w:p w14:paraId="3CC8AD66" w14:textId="77777777" w:rsidR="008F68A7" w:rsidRDefault="00000000" w:rsidP="00F8156B">
      <w:pPr>
        <w:spacing w:after="0"/>
      </w:pPr>
      <w:hyperlink r:id="rId11" w:history="1">
        <w:r w:rsidR="00A8074E" w:rsidRPr="008D42CE">
          <w:rPr>
            <w:rStyle w:val="Hyperlink"/>
          </w:rPr>
          <w:t>http://www.acc.co.nz/PRD_EXT_CSMP/groups/external_communications/documents/papers_plans/dis_ctrb093142.pdf</w:t>
        </w:r>
      </w:hyperlink>
      <w:r w:rsidR="00A8074E">
        <w:t xml:space="preserve"> </w:t>
      </w:r>
    </w:p>
    <w:p w14:paraId="79B10110" w14:textId="77777777" w:rsidR="008F68A7" w:rsidRDefault="008F68A7" w:rsidP="00F8156B">
      <w:pPr>
        <w:spacing w:after="0"/>
      </w:pPr>
    </w:p>
    <w:p w14:paraId="1682A8F1" w14:textId="77777777" w:rsidR="00F8156B" w:rsidRDefault="00332CE9" w:rsidP="00F8156B">
      <w:pPr>
        <w:spacing w:after="0"/>
        <w:rPr>
          <w:iCs/>
        </w:rPr>
      </w:pPr>
      <w:r w:rsidRPr="006321D4">
        <w:t xml:space="preserve">ASENZ (Association of Supported Employment New </w:t>
      </w:r>
      <w:smartTag w:uri="urn:schemas-microsoft-com:office:smarttags" w:element="place">
        <w:r w:rsidRPr="006321D4">
          <w:t>Zealand</w:t>
        </w:r>
      </w:smartTag>
      <w:r w:rsidRPr="006321D4">
        <w:t>), 2004</w:t>
      </w:r>
      <w:r w:rsidR="00F8156B">
        <w:t>, Member Survey</w:t>
      </w:r>
    </w:p>
    <w:p w14:paraId="2D97EF35" w14:textId="77777777" w:rsidR="00557839" w:rsidRDefault="00000000" w:rsidP="00F8156B">
      <w:pPr>
        <w:spacing w:after="0"/>
        <w:rPr>
          <w:iCs/>
        </w:rPr>
      </w:pPr>
      <w:hyperlink r:id="rId12" w:history="1">
        <w:r w:rsidR="00A8074E" w:rsidRPr="008D42CE">
          <w:rPr>
            <w:rStyle w:val="Hyperlink"/>
            <w:iCs/>
          </w:rPr>
          <w:t>http://www.asenz.org.nz/resources/MemberSurveyResult.doc</w:t>
        </w:r>
      </w:hyperlink>
      <w:r w:rsidR="00A8074E">
        <w:rPr>
          <w:iCs/>
        </w:rPr>
        <w:t xml:space="preserve"> </w:t>
      </w:r>
      <w:r w:rsidR="008F68A7">
        <w:rPr>
          <w:iCs/>
        </w:rPr>
        <w:br w:type="textWrapping" w:clear="all"/>
      </w:r>
    </w:p>
    <w:p w14:paraId="38C08CEF" w14:textId="77777777" w:rsidR="00F8156B" w:rsidRDefault="00332CE9" w:rsidP="00F8156B">
      <w:pPr>
        <w:spacing w:after="0"/>
      </w:pPr>
      <w:proofErr w:type="spellStart"/>
      <w:r w:rsidRPr="006321D4">
        <w:t>Bonardi</w:t>
      </w:r>
      <w:proofErr w:type="spellEnd"/>
      <w:r w:rsidRPr="006321D4">
        <w:t xml:space="preserve">, A, 2009, The Balance between Choice and Control: Risk Management in </w:t>
      </w:r>
      <w:smartTag w:uri="urn:schemas-microsoft-com:office:smarttags" w:element="country-region">
        <w:smartTag w:uri="urn:schemas-microsoft-com:office:smarttags" w:element="place">
          <w:r w:rsidRPr="006321D4">
            <w:t>New Zealand</w:t>
          </w:r>
        </w:smartTag>
      </w:smartTag>
      <w:r w:rsidRPr="006321D4">
        <w:t xml:space="preserve"> In</w:t>
      </w:r>
      <w:r w:rsidR="00F8156B">
        <w:t>tellectual Disability Services</w:t>
      </w:r>
    </w:p>
    <w:p w14:paraId="4DEB8E01" w14:textId="77777777" w:rsidR="008F68A7" w:rsidRDefault="00000000" w:rsidP="00F8156B">
      <w:pPr>
        <w:spacing w:after="0"/>
      </w:pPr>
      <w:hyperlink r:id="rId13" w:history="1">
        <w:r w:rsidR="00A8074E" w:rsidRPr="008D42CE">
          <w:rPr>
            <w:rStyle w:val="Hyperlink"/>
          </w:rPr>
          <w:t>http://www.fulbright.org.nz/voices/axford/docs/axford2009_bonardi.pdf</w:t>
        </w:r>
      </w:hyperlink>
      <w:r w:rsidR="00A8074E">
        <w:t xml:space="preserve"> </w:t>
      </w:r>
      <w:r w:rsidR="008F68A7">
        <w:br w:type="textWrapping" w:clear="all"/>
      </w:r>
    </w:p>
    <w:p w14:paraId="60B3ACC1" w14:textId="77777777" w:rsidR="00557839" w:rsidRDefault="00332CE9" w:rsidP="00F8156B">
      <w:pPr>
        <w:spacing w:after="0"/>
      </w:pPr>
      <w:r w:rsidRPr="006321D4">
        <w:t>Bray, A (</w:t>
      </w:r>
      <w:r w:rsidRPr="006321D4">
        <w:rPr>
          <w:color w:val="000000"/>
        </w:rPr>
        <w:t>New Zealand Guidelines Group</w:t>
      </w:r>
      <w:r w:rsidRPr="006321D4">
        <w:t>) 2002, Review of Policy Developments in Needs assessment and Service Coordination</w:t>
      </w:r>
      <w:r>
        <w:t xml:space="preserve"> </w:t>
      </w:r>
      <w:hyperlink r:id="rId14" w:history="1">
        <w:r w:rsidR="00A8074E" w:rsidRPr="008D42CE">
          <w:rPr>
            <w:rStyle w:val="Hyperlink"/>
          </w:rPr>
          <w:t>http://www.nzgg.org.nz/guidelines/0030/Brays_report.pdf</w:t>
        </w:r>
      </w:hyperlink>
      <w:r w:rsidR="00A8074E">
        <w:t xml:space="preserve"> </w:t>
      </w:r>
      <w:r w:rsidR="008F68A7">
        <w:br w:type="textWrapping" w:clear="all"/>
      </w:r>
    </w:p>
    <w:p w14:paraId="67F753A2" w14:textId="77777777" w:rsidR="00557839" w:rsidRDefault="00332CE9" w:rsidP="00F8156B">
      <w:pPr>
        <w:spacing w:after="0"/>
      </w:pPr>
      <w:r w:rsidRPr="006321D4">
        <w:t xml:space="preserve">Centre for Housing Research, Aotearoa New Zealand (CHRANZ), 2005, Housing Choices for Disabled New Zealanders; </w:t>
      </w:r>
      <w:hyperlink r:id="rId15" w:history="1">
        <w:r w:rsidR="00A8074E" w:rsidRPr="008D42CE">
          <w:rPr>
            <w:rStyle w:val="Hyperlink"/>
          </w:rPr>
          <w:t>http://www.chranz.co.nz/pdfs/housing-choices-for-disabled-new-zealanders.pdf</w:t>
        </w:r>
      </w:hyperlink>
      <w:r w:rsidR="00A8074E">
        <w:t xml:space="preserve"> </w:t>
      </w:r>
      <w:r w:rsidR="008F68A7">
        <w:br w:type="textWrapping" w:clear="all"/>
      </w:r>
    </w:p>
    <w:p w14:paraId="165060CB" w14:textId="77777777" w:rsidR="008F68A7" w:rsidRDefault="00332CE9" w:rsidP="00F8156B">
      <w:pPr>
        <w:spacing w:after="0"/>
      </w:pPr>
      <w:r w:rsidRPr="006321D4">
        <w:t xml:space="preserve">Government of New Zealand, 2009,  Government Response to Report of the Social Services Select Committee on its Inquiry into the Quality of Care and Services Provision for People with Disabilities; </w:t>
      </w:r>
      <w:hyperlink r:id="rId16" w:history="1">
        <w:r w:rsidR="00A8074E" w:rsidRPr="008D42CE">
          <w:rPr>
            <w:rStyle w:val="Hyperlink"/>
          </w:rPr>
          <w:t>http://www.parliament.nz/NR/rdonlyres/8A7D9F6E-E272-41E4-BB27-63A3C4557F07/99832/DBHOH_PAP_17698_6462.pdf</w:t>
        </w:r>
      </w:hyperlink>
      <w:r w:rsidR="00A8074E">
        <w:t xml:space="preserve"> </w:t>
      </w:r>
      <w:r w:rsidR="008F68A7">
        <w:br w:type="textWrapping" w:clear="all"/>
      </w:r>
    </w:p>
    <w:p w14:paraId="249E17A7" w14:textId="77777777" w:rsidR="00557839" w:rsidRDefault="00332CE9" w:rsidP="00F8156B">
      <w:pPr>
        <w:spacing w:after="0"/>
      </w:pPr>
      <w:r w:rsidRPr="006321D4">
        <w:t>Health and Disability Commissioner</w:t>
      </w:r>
      <w:r>
        <w:t xml:space="preserve">, 1996, </w:t>
      </w:r>
      <w:r w:rsidRPr="006321D4">
        <w:t>The HDC Code of Health and Disability Services Co</w:t>
      </w:r>
      <w:r w:rsidR="00F8156B">
        <w:t>nsumers' Rights Regulation 1996</w:t>
      </w:r>
      <w:r w:rsidRPr="006321D4">
        <w:t xml:space="preserve"> </w:t>
      </w:r>
      <w:hyperlink r:id="rId17" w:history="1">
        <w:r w:rsidR="00A8074E" w:rsidRPr="008D42CE">
          <w:rPr>
            <w:rStyle w:val="Hyperlink"/>
          </w:rPr>
          <w:t>http://www.hdc.org.nz/files/hdc/code-leaflet.pdf</w:t>
        </w:r>
      </w:hyperlink>
      <w:r w:rsidR="00A8074E">
        <w:t xml:space="preserve"> </w:t>
      </w:r>
      <w:r w:rsidR="008F68A7">
        <w:br w:type="textWrapping" w:clear="all"/>
      </w:r>
    </w:p>
    <w:p w14:paraId="5FFE1538" w14:textId="77777777" w:rsidR="00557839" w:rsidRDefault="00332CE9" w:rsidP="00F8156B">
      <w:pPr>
        <w:spacing w:after="0"/>
      </w:pPr>
      <w:r w:rsidRPr="006321D4">
        <w:t>Human R</w:t>
      </w:r>
      <w:r>
        <w:t>ights Commission</w:t>
      </w:r>
      <w:r w:rsidRPr="006321D4">
        <w:t>, 2005, The Accessible Journey: Report of the Inquiry into Ac</w:t>
      </w:r>
      <w:r w:rsidR="00F8156B">
        <w:t>cessible Public Land Transport</w:t>
      </w:r>
      <w:r w:rsidR="007541A2">
        <w:t xml:space="preserve"> </w:t>
      </w:r>
      <w:hyperlink r:id="rId18" w:history="1">
        <w:r w:rsidR="007541A2" w:rsidRPr="008D42CE">
          <w:rPr>
            <w:rStyle w:val="Hyperlink"/>
          </w:rPr>
          <w:t>http://www.hrc.co.nz/report2/index.html</w:t>
        </w:r>
      </w:hyperlink>
      <w:r w:rsidR="007541A2">
        <w:t xml:space="preserve"> </w:t>
      </w:r>
      <w:r w:rsidR="008F68A7">
        <w:br w:type="textWrapping" w:clear="all"/>
      </w:r>
    </w:p>
    <w:p w14:paraId="3180DDFC" w14:textId="77777777" w:rsidR="00557839" w:rsidRDefault="00332CE9" w:rsidP="00F8156B">
      <w:pPr>
        <w:spacing w:after="0"/>
      </w:pPr>
      <w:r w:rsidRPr="006321D4">
        <w:t xml:space="preserve">Ministry of Education, The Ongoing and Reviewable Resourcing Schemes; </w:t>
      </w:r>
      <w:hyperlink r:id="rId19" w:history="1">
        <w:r w:rsidR="007541A2" w:rsidRPr="008D42CE">
          <w:rPr>
            <w:rStyle w:val="Hyperlink"/>
          </w:rPr>
          <w:t>http://www.minedu.govt.nz/~/media/MinEdu/Files/RTF/EducationSectors/SpecialEducation/ORRS.rtf</w:t>
        </w:r>
      </w:hyperlink>
      <w:r w:rsidR="007541A2">
        <w:t xml:space="preserve"> </w:t>
      </w:r>
      <w:r w:rsidR="008F68A7">
        <w:br w:type="textWrapping" w:clear="all"/>
      </w:r>
    </w:p>
    <w:p w14:paraId="37D0E1D1" w14:textId="77777777" w:rsidR="00557839" w:rsidRDefault="00332CE9" w:rsidP="00F8156B">
      <w:pPr>
        <w:spacing w:after="0"/>
      </w:pPr>
      <w:r w:rsidRPr="006321D4">
        <w:t>Ministry of Education, Early Intervention Services and Support</w:t>
      </w:r>
      <w:r>
        <w:t xml:space="preserve">; </w:t>
      </w:r>
      <w:hyperlink r:id="rId20" w:history="1">
        <w:r w:rsidR="007541A2" w:rsidRPr="008D42CE">
          <w:rPr>
            <w:rStyle w:val="Hyperlink"/>
          </w:rPr>
          <w:t>http://www.minedu.govt.nz/NZEducation/EducationPolicies/SpecialEducation/ForParents/EarlyInterventionServicesAndSupport.aspx</w:t>
        </w:r>
      </w:hyperlink>
      <w:r w:rsidR="007541A2">
        <w:t xml:space="preserve"> </w:t>
      </w:r>
      <w:r w:rsidR="008F68A7">
        <w:br w:type="textWrapping" w:clear="all"/>
      </w:r>
    </w:p>
    <w:p w14:paraId="6373DD86" w14:textId="77777777" w:rsidR="00557839" w:rsidRDefault="00AE19B1" w:rsidP="00F8156B">
      <w:pPr>
        <w:spacing w:after="0"/>
      </w:pPr>
      <w:r>
        <w:t xml:space="preserve">Ministry of Health, 2010, Individualized Funding Service Specification </w:t>
      </w:r>
      <w:hyperlink r:id="rId21" w:history="1">
        <w:r w:rsidR="007541A2" w:rsidRPr="008D42CE">
          <w:rPr>
            <w:rStyle w:val="Hyperlink"/>
          </w:rPr>
          <w:t>http://www.moh.govt.nz/moh.nsf/Files/disability/$file/ifa-v1.5-service-specs-</w:t>
        </w:r>
        <w:r w:rsidR="007541A2" w:rsidRPr="008D42CE">
          <w:rPr>
            <w:rStyle w:val="Hyperlink"/>
          </w:rPr>
          <w:lastRenderedPageBreak/>
          <w:t>reporting-templates-jun10.pdf</w:t>
        </w:r>
      </w:hyperlink>
      <w:r w:rsidR="007541A2">
        <w:t xml:space="preserve"> </w:t>
      </w:r>
      <w:r w:rsidR="002B2EEE">
        <w:br w:type="textWrapping" w:clear="all"/>
      </w:r>
    </w:p>
    <w:p w14:paraId="6F064C45" w14:textId="77777777" w:rsidR="00557839" w:rsidRDefault="00215100" w:rsidP="00F8156B">
      <w:pPr>
        <w:spacing w:after="0"/>
      </w:pPr>
      <w:r>
        <w:t xml:space="preserve">Ministry of Health, 2009, </w:t>
      </w:r>
      <w:r w:rsidRPr="00215100">
        <w:t xml:space="preserve">Ministry of Health’s Statement of Intent 2009–2012 </w:t>
      </w:r>
      <w:hyperlink r:id="rId22" w:history="1">
        <w:r w:rsidR="007541A2" w:rsidRPr="008D42CE">
          <w:rPr>
            <w:rStyle w:val="Hyperlink"/>
          </w:rPr>
          <w:t>http://www.moh.govt.nz/moh.nsf/indexmh/soi0912</w:t>
        </w:r>
      </w:hyperlink>
      <w:r w:rsidR="007541A2">
        <w:t xml:space="preserve"> </w:t>
      </w:r>
      <w:r w:rsidR="002B2EEE">
        <w:br w:type="textWrapping" w:clear="all"/>
      </w:r>
    </w:p>
    <w:p w14:paraId="5FA8F72A" w14:textId="77777777" w:rsidR="00557839" w:rsidRDefault="00332CE9" w:rsidP="00F8156B">
      <w:pPr>
        <w:spacing w:after="0"/>
      </w:pPr>
      <w:r w:rsidRPr="006321D4">
        <w:t>Ministry for Healt</w:t>
      </w:r>
      <w:r w:rsidR="00F8156B">
        <w:t>h, 2009, Consumer Forums Report</w:t>
      </w:r>
      <w:r w:rsidRPr="006321D4">
        <w:t xml:space="preserve"> </w:t>
      </w:r>
      <w:hyperlink r:id="rId23" w:history="1">
        <w:r w:rsidR="007541A2" w:rsidRPr="008D42CE">
          <w:rPr>
            <w:rStyle w:val="Hyperlink"/>
          </w:rPr>
          <w:t>http://www.moh.govt.nz/moh.nsf/pagesmh/5244/$File/forums-summary-09+Final.pdf</w:t>
        </w:r>
      </w:hyperlink>
      <w:r w:rsidR="007541A2">
        <w:t xml:space="preserve"> </w:t>
      </w:r>
      <w:r w:rsidR="002B2EEE">
        <w:br w:type="textWrapping" w:clear="all"/>
      </w:r>
    </w:p>
    <w:p w14:paraId="701EE916" w14:textId="77777777" w:rsidR="00557839" w:rsidRDefault="00332CE9" w:rsidP="00F8156B">
      <w:pPr>
        <w:spacing w:after="0"/>
      </w:pPr>
      <w:r w:rsidRPr="006321D4">
        <w:t xml:space="preserve">Ministry of Health, 2009, Disability Support Factsheet: Carer Support; </w:t>
      </w:r>
      <w:hyperlink r:id="rId24" w:history="1">
        <w:r w:rsidR="007541A2" w:rsidRPr="008D42CE">
          <w:rPr>
            <w:rStyle w:val="Hyperlink"/>
          </w:rPr>
          <w:t>http://www.moh.govt.nz/moh.nsf/pagesmh/5241/$File/carer-support-factsheet-apr09.pdf</w:t>
        </w:r>
      </w:hyperlink>
      <w:r w:rsidR="007541A2">
        <w:t xml:space="preserve"> </w:t>
      </w:r>
      <w:r w:rsidR="002B2EEE">
        <w:br w:type="textWrapping" w:clear="all"/>
      </w:r>
    </w:p>
    <w:p w14:paraId="6CE0E13B" w14:textId="77777777" w:rsidR="00332CE9" w:rsidRPr="006321D4" w:rsidRDefault="00332CE9" w:rsidP="00F8156B">
      <w:pPr>
        <w:spacing w:after="0"/>
      </w:pPr>
      <w:r w:rsidRPr="006321D4">
        <w:t>Ministry of Health, 2009, Disability Support Factsheet: Respite Support</w:t>
      </w:r>
    </w:p>
    <w:p w14:paraId="0A2D9889" w14:textId="77777777" w:rsidR="00557839" w:rsidRDefault="00000000" w:rsidP="00F8156B">
      <w:pPr>
        <w:spacing w:after="0"/>
      </w:pPr>
      <w:hyperlink r:id="rId25" w:history="1">
        <w:r w:rsidR="007541A2" w:rsidRPr="008D42CE">
          <w:rPr>
            <w:rStyle w:val="Hyperlink"/>
          </w:rPr>
          <w:t>http://www.moh.govt.nz/moh.nsf/pagesmh/5241/$File/respite-factsheet-apr09.pdf</w:t>
        </w:r>
      </w:hyperlink>
      <w:r w:rsidR="007541A2">
        <w:t xml:space="preserve"> </w:t>
      </w:r>
      <w:r w:rsidR="002B2EEE">
        <w:br w:type="textWrapping" w:clear="all"/>
      </w:r>
    </w:p>
    <w:p w14:paraId="12417C3D" w14:textId="77777777" w:rsidR="00215100" w:rsidRDefault="00332CE9" w:rsidP="00046914">
      <w:r w:rsidRPr="006321D4">
        <w:t xml:space="preserve">Ministry of Health, 2008, Service Specification: Home-based Support Services; </w:t>
      </w:r>
      <w:hyperlink r:id="rId26" w:history="1">
        <w:r w:rsidR="007541A2" w:rsidRPr="008D42CE">
          <w:rPr>
            <w:rStyle w:val="Hyperlink"/>
            <w:rFonts w:cs="Arial"/>
          </w:rPr>
          <w:t>http://www.moh.govt.nz/moh.nsf/Files/disability-servicespecs/$file/HCSS.pdf</w:t>
        </w:r>
      </w:hyperlink>
      <w:r w:rsidR="007541A2">
        <w:rPr>
          <w:rFonts w:cs="Arial"/>
        </w:rPr>
        <w:t xml:space="preserve"> </w:t>
      </w:r>
    </w:p>
    <w:p w14:paraId="7547FA09" w14:textId="77777777" w:rsidR="00591029" w:rsidRDefault="00591029" w:rsidP="00591029">
      <w:pPr>
        <w:spacing w:after="0"/>
      </w:pPr>
      <w:r>
        <w:t>Ministry of Health, 2008</w:t>
      </w:r>
      <w:r w:rsidRPr="006321D4">
        <w:t>, The Heal</w:t>
      </w:r>
      <w:r>
        <w:t xml:space="preserve">th and Independence Report 2008; </w:t>
      </w:r>
      <w:r w:rsidRPr="006321D4">
        <w:t>Director-General of Health’s annual report on the state of public health</w:t>
      </w:r>
    </w:p>
    <w:p w14:paraId="65502F37" w14:textId="77777777" w:rsidR="00557839" w:rsidRDefault="00000000" w:rsidP="00591029">
      <w:pPr>
        <w:spacing w:after="0"/>
      </w:pPr>
      <w:hyperlink r:id="rId27" w:history="1">
        <w:r w:rsidR="007541A2" w:rsidRPr="008D42CE">
          <w:rPr>
            <w:rStyle w:val="Hyperlink"/>
          </w:rPr>
          <w:t>http://www.moh.govt.nz/moh.nsf/pagesmh/8573/$File/health-independence-2008.pdf</w:t>
        </w:r>
      </w:hyperlink>
      <w:r w:rsidR="007541A2">
        <w:t xml:space="preserve"> </w:t>
      </w:r>
      <w:r w:rsidR="002B2EEE">
        <w:br w:type="textWrapping" w:clear="all"/>
      </w:r>
    </w:p>
    <w:p w14:paraId="50304C3D" w14:textId="77777777" w:rsidR="00557839" w:rsidRDefault="00332CE9" w:rsidP="00F8156B">
      <w:pPr>
        <w:spacing w:after="0"/>
      </w:pPr>
      <w:r w:rsidRPr="006321D4">
        <w:t xml:space="preserve">Ministry of Health, 2007, Home and Community Support Services (HCSS) Service Specification </w:t>
      </w:r>
      <w:hyperlink r:id="rId28" w:history="1">
        <w:r w:rsidR="007541A2" w:rsidRPr="008D42CE">
          <w:rPr>
            <w:rStyle w:val="Hyperlink"/>
          </w:rPr>
          <w:t>http://www.moh.govt.nz/moh.nsf/pagesmh/5238/$File/disability-service-spec-hbss-sept07.pdf</w:t>
        </w:r>
      </w:hyperlink>
      <w:r w:rsidR="007541A2">
        <w:t xml:space="preserve"> </w:t>
      </w:r>
      <w:r w:rsidR="002B2EEE">
        <w:br w:type="textWrapping" w:clear="all"/>
      </w:r>
    </w:p>
    <w:p w14:paraId="67E99248" w14:textId="77777777" w:rsidR="00557839" w:rsidRDefault="00332CE9" w:rsidP="00F8156B">
      <w:pPr>
        <w:spacing w:after="0"/>
      </w:pPr>
      <w:r w:rsidRPr="006321D4">
        <w:t xml:space="preserve">Ministry of Health, 2006, The Annual Report 2005/06 including The Health and Independence Report: </w:t>
      </w:r>
      <w:hyperlink r:id="rId29" w:history="1">
        <w:r w:rsidR="007541A2" w:rsidRPr="008D42CE">
          <w:rPr>
            <w:rStyle w:val="Hyperlink"/>
          </w:rPr>
          <w:t>http://www.moh.govt.nz/moh.nsf/indexmh/annual-report-0506</w:t>
        </w:r>
      </w:hyperlink>
      <w:r w:rsidR="007541A2">
        <w:t xml:space="preserve"> </w:t>
      </w:r>
      <w:r w:rsidR="002B2EEE">
        <w:br w:type="textWrapping" w:clear="all"/>
      </w:r>
    </w:p>
    <w:p w14:paraId="069DB0FF" w14:textId="77777777" w:rsidR="00557839" w:rsidRDefault="00332CE9" w:rsidP="00F8156B">
      <w:pPr>
        <w:spacing w:after="0"/>
      </w:pPr>
      <w:r w:rsidRPr="006321D4">
        <w:t xml:space="preserve">Ministry of Health, 2006, Needs Assessment and Service Coordination: Service Specification </w:t>
      </w:r>
      <w:hyperlink r:id="rId30" w:history="1">
        <w:r w:rsidR="007541A2" w:rsidRPr="008D42CE">
          <w:rPr>
            <w:rStyle w:val="Hyperlink"/>
          </w:rPr>
          <w:t>http://www.moh.govt.nz/moh.nsf/pagesmh/5238/$File/disability-service-spec-nasc.doc</w:t>
        </w:r>
      </w:hyperlink>
      <w:r w:rsidR="007541A2">
        <w:t xml:space="preserve"> </w:t>
      </w:r>
      <w:r w:rsidR="002B2EEE">
        <w:br w:type="textWrapping" w:clear="all"/>
      </w:r>
    </w:p>
    <w:p w14:paraId="6A9BDC22" w14:textId="77777777" w:rsidR="00557839" w:rsidRDefault="00332CE9" w:rsidP="00F8156B">
      <w:pPr>
        <w:spacing w:after="0"/>
      </w:pPr>
      <w:r w:rsidRPr="006321D4">
        <w:t xml:space="preserve">Ministry of Health, 2006, Service Specification v1.1 DSS Needs Assessment and Service Co-ordination, </w:t>
      </w:r>
      <w:r w:rsidR="00591029">
        <w:t>including Discretionary Funding</w:t>
      </w:r>
      <w:r w:rsidRPr="006321D4">
        <w:t xml:space="preserve"> </w:t>
      </w:r>
      <w:hyperlink r:id="rId31" w:history="1">
        <w:r w:rsidR="007541A2" w:rsidRPr="008D42CE">
          <w:rPr>
            <w:rStyle w:val="Hyperlink"/>
          </w:rPr>
          <w:t>http://www.moh.govt.nz/moh.nsf/pagesmh/5238/$File/disability-service-spec-nasc.doc</w:t>
        </w:r>
      </w:hyperlink>
      <w:r w:rsidR="007541A2">
        <w:t xml:space="preserve"> </w:t>
      </w:r>
      <w:r w:rsidR="002B2EEE">
        <w:br w:type="textWrapping" w:clear="all"/>
      </w:r>
    </w:p>
    <w:p w14:paraId="7858F8B6" w14:textId="77777777" w:rsidR="00557839" w:rsidRDefault="00332CE9" w:rsidP="00F8156B">
      <w:pPr>
        <w:spacing w:after="0"/>
      </w:pPr>
      <w:r w:rsidRPr="006321D4">
        <w:t>Ministry of Health, 2005, Nat</w:t>
      </w:r>
      <w:r w:rsidR="00591029">
        <w:t xml:space="preserve">ional Travel Assistance Policy </w:t>
      </w:r>
      <w:hyperlink r:id="rId32" w:history="1">
        <w:r w:rsidR="007541A2" w:rsidRPr="008D42CE">
          <w:rPr>
            <w:rStyle w:val="Hyperlink"/>
          </w:rPr>
          <w:t>http://www.moh.govt.nz/moh.nsf/fefd9e667cc713e9cc257011000678d8/189d9</w:t>
        </w:r>
        <w:r w:rsidR="007541A2" w:rsidRPr="008D42CE">
          <w:rPr>
            <w:rStyle w:val="Hyperlink"/>
          </w:rPr>
          <w:lastRenderedPageBreak/>
          <w:t>dcee0fa227fcc25705a001a2d18?OpenDocument</w:t>
        </w:r>
      </w:hyperlink>
      <w:r w:rsidR="007541A2">
        <w:t xml:space="preserve"> </w:t>
      </w:r>
      <w:r w:rsidR="002B2EEE">
        <w:br w:type="textWrapping" w:clear="all"/>
      </w:r>
    </w:p>
    <w:p w14:paraId="084A61B2" w14:textId="77777777" w:rsidR="00557839" w:rsidRDefault="00332CE9" w:rsidP="00F8156B">
      <w:pPr>
        <w:spacing w:after="0"/>
      </w:pPr>
      <w:r w:rsidRPr="006321D4">
        <w:t xml:space="preserve">Ministry of Health, 2004, Living with Disability in </w:t>
      </w:r>
      <w:smartTag w:uri="urn:schemas-microsoft-com:office:smarttags" w:element="country-region">
        <w:smartTag w:uri="urn:schemas-microsoft-com:office:smarttags" w:element="place">
          <w:r w:rsidRPr="006321D4">
            <w:t>New Zealand</w:t>
          </w:r>
        </w:smartTag>
      </w:smartTag>
      <w:r w:rsidR="007541A2">
        <w:t xml:space="preserve">, </w:t>
      </w:r>
      <w:hyperlink r:id="rId33" w:anchor="everdayactivities" w:history="1">
        <w:r w:rsidR="007541A2" w:rsidRPr="008D42CE">
          <w:rPr>
            <w:rStyle w:val="Hyperlink"/>
          </w:rPr>
          <w:t>http://www.moh.govt.nz/moh.nsf/238fd5fb4fd051844c256669006aed57/61758c73aa8ade8fcc256f320005800d?OpenDocument#everdayactivities</w:t>
        </w:r>
      </w:hyperlink>
      <w:r w:rsidR="007541A2">
        <w:t xml:space="preserve"> </w:t>
      </w:r>
      <w:r w:rsidR="002B2EEE">
        <w:br w:type="textWrapping" w:clear="all"/>
      </w:r>
    </w:p>
    <w:p w14:paraId="28929BA5" w14:textId="77777777" w:rsidR="00332CE9" w:rsidRPr="006321D4" w:rsidRDefault="00332CE9" w:rsidP="00F8156B">
      <w:pPr>
        <w:spacing w:after="0"/>
      </w:pPr>
      <w:r w:rsidRPr="006321D4">
        <w:t xml:space="preserve">Ministry of Health, 2004, Living with Disability in </w:t>
      </w:r>
      <w:smartTag w:uri="urn:schemas-microsoft-com:office:smarttags" w:element="country-region">
        <w:smartTag w:uri="urn:schemas-microsoft-com:office:smarttags" w:element="place">
          <w:r w:rsidRPr="006321D4">
            <w:t>New Zealand</w:t>
          </w:r>
        </w:smartTag>
      </w:smartTag>
    </w:p>
    <w:p w14:paraId="1B69C257" w14:textId="77777777" w:rsidR="00557839" w:rsidRDefault="00000000" w:rsidP="00F8156B">
      <w:pPr>
        <w:spacing w:after="0"/>
      </w:pPr>
      <w:hyperlink r:id="rId34" w:anchor="respitecare" w:history="1">
        <w:r w:rsidR="007541A2" w:rsidRPr="008D42CE">
          <w:rPr>
            <w:rStyle w:val="Hyperlink"/>
          </w:rPr>
          <w:t>http://www.moh.govt.nz/moh.nsf/238fd5fb4fd051844c256669006aed57/61758c73aa8ade8fcc256f320005800d?OpenDocument#respitecare</w:t>
        </w:r>
      </w:hyperlink>
      <w:r w:rsidR="007541A2">
        <w:t xml:space="preserve"> </w:t>
      </w:r>
      <w:r w:rsidR="002B2EEE">
        <w:br w:type="textWrapping" w:clear="all"/>
      </w:r>
    </w:p>
    <w:p w14:paraId="43513C54" w14:textId="77777777" w:rsidR="00332CE9" w:rsidRPr="006321D4" w:rsidRDefault="00332CE9" w:rsidP="00F8156B">
      <w:pPr>
        <w:spacing w:after="0"/>
      </w:pPr>
      <w:r w:rsidRPr="006321D4">
        <w:t xml:space="preserve">Ministry of Health, 2004, Living with Disability in </w:t>
      </w:r>
      <w:smartTag w:uri="urn:schemas-microsoft-com:office:smarttags" w:element="country-region">
        <w:smartTag w:uri="urn:schemas-microsoft-com:office:smarttags" w:element="place">
          <w:r w:rsidRPr="006321D4">
            <w:t>New Zealand</w:t>
          </w:r>
        </w:smartTag>
      </w:smartTag>
    </w:p>
    <w:p w14:paraId="1E842940" w14:textId="77777777" w:rsidR="006C1F42" w:rsidRDefault="00000000" w:rsidP="00F8156B">
      <w:pPr>
        <w:spacing w:after="0"/>
      </w:pPr>
      <w:hyperlink r:id="rId35" w:anchor="respitecare" w:history="1">
        <w:r w:rsidR="007541A2" w:rsidRPr="008D42CE">
          <w:rPr>
            <w:rStyle w:val="Hyperlink"/>
          </w:rPr>
          <w:t>http://www.moh.govt.nz/moh.nsf/238fd5fb4fd051844c256669006aed57/61758c73aa8ade8fcc256f320005800d?OpenDocument#respitecare</w:t>
        </w:r>
      </w:hyperlink>
      <w:r w:rsidR="007541A2">
        <w:t xml:space="preserve"> </w:t>
      </w:r>
      <w:r w:rsidR="002B2EEE">
        <w:br w:type="textWrapping" w:clear="all"/>
      </w:r>
    </w:p>
    <w:p w14:paraId="4F2F41B5" w14:textId="77777777" w:rsidR="00215100" w:rsidRDefault="00332CE9" w:rsidP="00F8156B">
      <w:pPr>
        <w:spacing w:after="0"/>
      </w:pPr>
      <w:r w:rsidRPr="006321D4">
        <w:t xml:space="preserve">Ministry of Health, 2004, Living with a Disability in </w:t>
      </w:r>
      <w:smartTag w:uri="urn:schemas-microsoft-com:office:smarttags" w:element="country-region">
        <w:smartTag w:uri="urn:schemas-microsoft-com:office:smarttags" w:element="place">
          <w:r w:rsidRPr="006321D4">
            <w:t>New Zealand</w:t>
          </w:r>
        </w:smartTag>
      </w:smartTag>
      <w:r w:rsidRPr="006321D4">
        <w:t>: A descriptive analysis of results from the 2001 Household Disability Survey and the 2001 Disability Survey of</w:t>
      </w:r>
      <w:r>
        <w:t xml:space="preserve"> </w:t>
      </w:r>
      <w:r w:rsidRPr="006321D4">
        <w:t xml:space="preserve">Residential Facilities  </w:t>
      </w:r>
    </w:p>
    <w:p w14:paraId="62F8A534" w14:textId="77777777" w:rsidR="00557839" w:rsidRDefault="00000000" w:rsidP="00F8156B">
      <w:pPr>
        <w:spacing w:after="0"/>
      </w:pPr>
      <w:hyperlink r:id="rId36" w:history="1">
        <w:r w:rsidR="007541A2" w:rsidRPr="008D42CE">
          <w:rPr>
            <w:rStyle w:val="Hyperlink"/>
          </w:rPr>
          <w:t>http://www.moh.govt.nz/moh.nsf/0/8FD2A69286CD6715CC256F33007AADE4/$File/livingwithdisability.pdf</w:t>
        </w:r>
      </w:hyperlink>
      <w:r w:rsidR="007541A2">
        <w:t xml:space="preserve"> </w:t>
      </w:r>
      <w:r w:rsidR="002B2EEE">
        <w:br w:type="textWrapping" w:clear="all"/>
      </w:r>
    </w:p>
    <w:p w14:paraId="77E69DAB" w14:textId="77777777" w:rsidR="00332CE9" w:rsidRDefault="00332CE9" w:rsidP="00F8156B">
      <w:pPr>
        <w:spacing w:after="0"/>
      </w:pPr>
      <w:r w:rsidRPr="006321D4">
        <w:t>Ministry of Health, 2004, The Heal</w:t>
      </w:r>
      <w:r w:rsidR="00591029">
        <w:t xml:space="preserve">th and Independence Report 2004; </w:t>
      </w:r>
      <w:r w:rsidRPr="006321D4">
        <w:t>Director-General of Health’s annual report on the state of public health</w:t>
      </w:r>
    </w:p>
    <w:p w14:paraId="653BAAE5" w14:textId="77777777" w:rsidR="00557839" w:rsidRDefault="00000000" w:rsidP="00F8156B">
      <w:pPr>
        <w:spacing w:after="0"/>
      </w:pPr>
      <w:hyperlink r:id="rId37" w:history="1">
        <w:r w:rsidR="007541A2" w:rsidRPr="008D42CE">
          <w:rPr>
            <w:rStyle w:val="Hyperlink"/>
          </w:rPr>
          <w:t>http://www.moh.govt.nz/moh.nsf/0/65461551FA649C5CCC256F6B00782B1B/$File/healthandindependence2004.pdf</w:t>
        </w:r>
      </w:hyperlink>
      <w:r w:rsidR="007541A2">
        <w:t xml:space="preserve"> </w:t>
      </w:r>
      <w:r w:rsidR="002B2EEE">
        <w:br w:type="textWrapping" w:clear="all"/>
      </w:r>
    </w:p>
    <w:p w14:paraId="3D18041C" w14:textId="77777777" w:rsidR="00557839" w:rsidRDefault="00332CE9" w:rsidP="00F8156B">
      <w:pPr>
        <w:spacing w:after="0"/>
      </w:pPr>
      <w:r w:rsidRPr="006321D4">
        <w:t xml:space="preserve">Ministry of Health, 2002, Disability Support Services Increasing participation and independence </w:t>
      </w:r>
      <w:hyperlink r:id="rId38" w:history="1">
        <w:r w:rsidR="007541A2" w:rsidRPr="008D42CE">
          <w:rPr>
            <w:rStyle w:val="Hyperlink"/>
          </w:rPr>
          <w:t>http://www.moh.govt.nz/moh.nsf/82f4780aa066f8d7cc2570bb006b5d4d/75f5a04fb626a985cc256c240079150d/$FILE/DisabilitySupportServices.pdf</w:t>
        </w:r>
      </w:hyperlink>
      <w:r w:rsidR="007541A2">
        <w:t xml:space="preserve"> </w:t>
      </w:r>
      <w:r w:rsidR="002B2EEE">
        <w:br w:type="textWrapping" w:clear="all"/>
      </w:r>
    </w:p>
    <w:p w14:paraId="5D6275BF" w14:textId="77777777" w:rsidR="00332CE9" w:rsidRDefault="00332CE9" w:rsidP="00F8156B">
      <w:pPr>
        <w:spacing w:after="0"/>
      </w:pPr>
      <w:r w:rsidRPr="006321D4">
        <w:t>Ministry of Health, 2002. Support Needs Assessment and Service Coordination: Policy, Procedure and Information Reporting Guidelines</w:t>
      </w:r>
    </w:p>
    <w:p w14:paraId="254BF67B" w14:textId="77777777" w:rsidR="00557839" w:rsidRDefault="00332CE9" w:rsidP="00F8156B">
      <w:pPr>
        <w:spacing w:after="0"/>
      </w:pPr>
      <w:r w:rsidRPr="006321D4">
        <w:t xml:space="preserve">Ministry of Health, 2002, Disability Support Services Increasing participation and independence. </w:t>
      </w:r>
      <w:hyperlink r:id="rId39" w:history="1">
        <w:r w:rsidR="007541A2" w:rsidRPr="008D42CE">
          <w:rPr>
            <w:rStyle w:val="Hyperlink"/>
          </w:rPr>
          <w:t>http://www.moh.govt.nz/moh.nsf/f872666357c511eb4c25666d000c8888/75f5a04fb626a985cc256c240079150d/$FILE/Disability%20Support%20Services.doc</w:t>
        </w:r>
      </w:hyperlink>
      <w:r w:rsidR="007541A2">
        <w:t xml:space="preserve"> </w:t>
      </w:r>
      <w:r w:rsidR="002B2EEE">
        <w:br w:type="textWrapping" w:clear="all"/>
      </w:r>
    </w:p>
    <w:p w14:paraId="6E3B9B35" w14:textId="77777777" w:rsidR="00591029" w:rsidRDefault="00332CE9" w:rsidP="00F8156B">
      <w:pPr>
        <w:spacing w:after="0"/>
      </w:pPr>
      <w:r w:rsidRPr="006321D4">
        <w:t>Ministry of Health, 2002, Disability Support Services Increasing participation and independence</w:t>
      </w:r>
    </w:p>
    <w:p w14:paraId="7FBE27E0" w14:textId="77777777" w:rsidR="00557839" w:rsidRDefault="00000000" w:rsidP="00F8156B">
      <w:pPr>
        <w:spacing w:after="0"/>
      </w:pPr>
      <w:hyperlink r:id="rId40" w:history="1">
        <w:r w:rsidR="007541A2" w:rsidRPr="008D42CE">
          <w:rPr>
            <w:rStyle w:val="Hyperlink"/>
          </w:rPr>
          <w:t>http://www.moh.govt.nz/moh.nsf/82f4780aa066f8d7cc2570bb006b5d4d/75f5a04fb626a985cc256c240079150d/$FILE/DisabilitySupportServices.pdf</w:t>
        </w:r>
      </w:hyperlink>
      <w:r w:rsidR="007541A2">
        <w:t xml:space="preserve"> </w:t>
      </w:r>
      <w:r w:rsidR="002B2EEE">
        <w:br w:type="textWrapping" w:clear="all"/>
      </w:r>
    </w:p>
    <w:p w14:paraId="3D0CC4AC" w14:textId="77777777" w:rsidR="00332CE9" w:rsidRDefault="00332CE9" w:rsidP="00F8156B">
      <w:pPr>
        <w:spacing w:after="0"/>
      </w:pPr>
      <w:r w:rsidRPr="006321D4">
        <w:t>Ministry of Health, 1998, Disability Support Services Strategic Work Programme: Building on the New Deal</w:t>
      </w:r>
    </w:p>
    <w:p w14:paraId="2DE1BD8C" w14:textId="77777777" w:rsidR="00557839" w:rsidRDefault="00000000" w:rsidP="00F8156B">
      <w:pPr>
        <w:spacing w:after="0"/>
      </w:pPr>
      <w:hyperlink r:id="rId41" w:history="1">
        <w:r w:rsidR="007541A2" w:rsidRPr="008D42CE">
          <w:rPr>
            <w:rStyle w:val="Hyperlink"/>
          </w:rPr>
          <w:t>http://www.moh.govt.nz/moh.nsf/Files/Dss/$file/Dss.pdf</w:t>
        </w:r>
      </w:hyperlink>
      <w:r w:rsidR="007541A2">
        <w:t xml:space="preserve"> </w:t>
      </w:r>
    </w:p>
    <w:p w14:paraId="48316D24" w14:textId="77777777" w:rsidR="00557839" w:rsidRDefault="00332CE9" w:rsidP="00F8156B">
      <w:pPr>
        <w:spacing w:after="0"/>
      </w:pPr>
      <w:r w:rsidRPr="006321D4">
        <w:lastRenderedPageBreak/>
        <w:t xml:space="preserve">Ministry of Health, Out of Family Respite Service Specification </w:t>
      </w:r>
      <w:r>
        <w:t xml:space="preserve">(undated) </w:t>
      </w:r>
      <w:hyperlink r:id="rId42" w:history="1">
        <w:r w:rsidR="007541A2" w:rsidRPr="008D42CE">
          <w:rPr>
            <w:rStyle w:val="Hyperlink"/>
          </w:rPr>
          <w:t>http://www.moh.govt.nz/moh.nsf/pagesmh/5238/$File/disability-service-spec-out-of-family-respite-tier1.doc</w:t>
        </w:r>
      </w:hyperlink>
      <w:r w:rsidR="007541A2">
        <w:t xml:space="preserve"> </w:t>
      </w:r>
      <w:r w:rsidRPr="006321D4">
        <w:t xml:space="preserve"> </w:t>
      </w:r>
      <w:r w:rsidR="007541A2">
        <w:t xml:space="preserve"> </w:t>
      </w:r>
      <w:r w:rsidR="00FE6DA4">
        <w:br w:type="textWrapping" w:clear="all"/>
      </w:r>
    </w:p>
    <w:p w14:paraId="2B34CA48" w14:textId="77777777" w:rsidR="00557839" w:rsidRDefault="00332CE9" w:rsidP="00F8156B">
      <w:pPr>
        <w:spacing w:after="0"/>
      </w:pPr>
      <w:r w:rsidRPr="006321D4">
        <w:t>Ministry of Health,</w:t>
      </w:r>
      <w:r w:rsidR="00591029">
        <w:t xml:space="preserve"> (undated) </w:t>
      </w:r>
      <w:r w:rsidRPr="006321D4">
        <w:t xml:space="preserve">Eligibility for Publicly Funded Health and Disability </w:t>
      </w:r>
      <w:hyperlink r:id="rId43" w:history="1">
        <w:r w:rsidR="007541A2" w:rsidRPr="008D42CE">
          <w:rPr>
            <w:rStyle w:val="Hyperlink"/>
          </w:rPr>
          <w:t>http://www.moh.govt.nz/eligibility</w:t>
        </w:r>
      </w:hyperlink>
      <w:r w:rsidR="007541A2">
        <w:t xml:space="preserve"> </w:t>
      </w:r>
      <w:r w:rsidR="00FE6DA4">
        <w:br w:type="textWrapping" w:clear="all"/>
      </w:r>
    </w:p>
    <w:p w14:paraId="2340FB95" w14:textId="77777777" w:rsidR="00557839" w:rsidRDefault="00332CE9" w:rsidP="00F8156B">
      <w:pPr>
        <w:spacing w:after="0"/>
      </w:pPr>
      <w:r w:rsidRPr="006321D4">
        <w:t xml:space="preserve">Ministry of Health / </w:t>
      </w:r>
      <w:smartTag w:uri="urn:schemas-microsoft-com:office:smarttags" w:element="PlaceType">
        <w:r w:rsidRPr="006321D4">
          <w:t>University</w:t>
        </w:r>
      </w:smartTag>
      <w:r w:rsidRPr="006321D4">
        <w:t xml:space="preserve"> of </w:t>
      </w:r>
      <w:smartTag w:uri="urn:schemas-microsoft-com:office:smarttags" w:element="PlaceName">
        <w:r w:rsidRPr="006321D4">
          <w:t>Auckland</w:t>
        </w:r>
      </w:smartTag>
      <w:r w:rsidRPr="006321D4">
        <w:t xml:space="preserve">, 2004, Disability Support Service In </w:t>
      </w:r>
      <w:smartTag w:uri="urn:schemas-microsoft-com:office:smarttags" w:element="country-region">
        <w:smartTag w:uri="urn:schemas-microsoft-com:office:smarttags" w:element="place">
          <w:r w:rsidRPr="006321D4">
            <w:t>New Zealand</w:t>
          </w:r>
        </w:smartTag>
      </w:smartTag>
      <w:r w:rsidRPr="006321D4">
        <w:t xml:space="preserve">: The Service User Survey. </w:t>
      </w:r>
      <w:hyperlink r:id="rId44" w:history="1">
        <w:r w:rsidR="007541A2" w:rsidRPr="008D42CE">
          <w:rPr>
            <w:rStyle w:val="Hyperlink"/>
          </w:rPr>
          <w:t>http://www.moh.govt.nz/moh.nsf/0/69A15ED7BE0F32FCCC256F6C000836FC/$File/dss-serviceusersurvey-largefont.pdf</w:t>
        </w:r>
      </w:hyperlink>
      <w:r w:rsidR="007541A2">
        <w:t xml:space="preserve"> </w:t>
      </w:r>
      <w:r w:rsidRPr="006321D4">
        <w:t xml:space="preserve"> </w:t>
      </w:r>
      <w:r w:rsidR="007541A2">
        <w:t xml:space="preserve"> </w:t>
      </w:r>
      <w:r w:rsidR="00FE6DA4">
        <w:br w:type="textWrapping" w:clear="all"/>
      </w:r>
    </w:p>
    <w:p w14:paraId="0F004B4A" w14:textId="77777777" w:rsidR="00332CE9" w:rsidRPr="006321D4" w:rsidRDefault="00332CE9" w:rsidP="00F8156B">
      <w:pPr>
        <w:spacing w:after="0"/>
      </w:pPr>
      <w:r w:rsidRPr="006321D4">
        <w:t>Ministry of Social Development and Employment, 2007</w:t>
      </w:r>
      <w:r>
        <w:t>,</w:t>
      </w:r>
      <w:r w:rsidRPr="006321D4">
        <w:t xml:space="preserve"> 2006/07 Non-Departmental Output Expense Report on selected services purchased through Vote Social Development</w:t>
      </w:r>
    </w:p>
    <w:p w14:paraId="1955064A" w14:textId="77777777" w:rsidR="00557839" w:rsidRDefault="00000000" w:rsidP="00F8156B">
      <w:pPr>
        <w:spacing w:after="0"/>
      </w:pPr>
      <w:hyperlink r:id="rId45" w:history="1">
        <w:r w:rsidR="007541A2" w:rsidRPr="008D42CE">
          <w:rPr>
            <w:rStyle w:val="Hyperlink"/>
          </w:rPr>
          <w:t>http://www.msd.govt.nz/documents/about-msd-and-our-work/publications-resources/corporate/ndoc/msd-ndoe-2006-2007.pdf</w:t>
        </w:r>
      </w:hyperlink>
      <w:r w:rsidR="007541A2">
        <w:t xml:space="preserve"> </w:t>
      </w:r>
      <w:r w:rsidR="00FE6DA4">
        <w:br w:type="textWrapping" w:clear="all"/>
      </w:r>
    </w:p>
    <w:p w14:paraId="6DDF0565" w14:textId="77777777" w:rsidR="00FE6DA4" w:rsidRDefault="00332CE9" w:rsidP="007541A2">
      <w:r w:rsidRPr="006321D4">
        <w:t>Ministry of Social Development, 2008, Pathways to Inclusion Strategy Evaluation: Final Evaluation Report</w:t>
      </w:r>
      <w:r w:rsidR="007541A2">
        <w:t xml:space="preserve"> </w:t>
      </w:r>
      <w:hyperlink r:id="rId46" w:history="1">
        <w:r w:rsidR="007541A2" w:rsidRPr="008D42CE">
          <w:rPr>
            <w:rStyle w:val="Hyperlink"/>
          </w:rPr>
          <w:t>http://www.msd.govt.nz/documents/about-msd-and-our-work/publications-resources/evaluation/pathways-inclusion/pathways-inclusion.doc</w:t>
        </w:r>
      </w:hyperlink>
      <w:r w:rsidR="007541A2">
        <w:t xml:space="preserve"> </w:t>
      </w:r>
      <w:r w:rsidR="00263B00">
        <w:t xml:space="preserve"> </w:t>
      </w:r>
    </w:p>
    <w:p w14:paraId="1FDEDC98" w14:textId="77777777" w:rsidR="00557839" w:rsidRDefault="00332CE9" w:rsidP="00F8156B">
      <w:pPr>
        <w:spacing w:after="0"/>
      </w:pPr>
      <w:r w:rsidRPr="006321D4">
        <w:t xml:space="preserve">Ministry of Transport, 2005, Total Mobility Scheme Review; </w:t>
      </w:r>
      <w:hyperlink r:id="rId47" w:history="1">
        <w:r w:rsidR="007541A2" w:rsidRPr="008D42CE">
          <w:rPr>
            <w:rStyle w:val="Hyperlink"/>
          </w:rPr>
          <w:t>http://www.transport.govt.nz/ourwork/Documents/total-mobility2.pdf</w:t>
        </w:r>
      </w:hyperlink>
      <w:r w:rsidR="007541A2">
        <w:t xml:space="preserve"> </w:t>
      </w:r>
      <w:r w:rsidR="00FE6DA4">
        <w:br w:type="textWrapping" w:clear="all"/>
      </w:r>
    </w:p>
    <w:p w14:paraId="43C17215" w14:textId="77777777" w:rsidR="006C1F42" w:rsidRDefault="00332CE9" w:rsidP="00F8156B">
      <w:pPr>
        <w:spacing w:after="0"/>
      </w:pPr>
      <w:r w:rsidRPr="006321D4">
        <w:t xml:space="preserve">National Health Committee 2003, To Have an Ordinary Life; </w:t>
      </w:r>
      <w:hyperlink r:id="rId48" w:history="1">
        <w:r w:rsidR="007541A2" w:rsidRPr="008D42CE">
          <w:rPr>
            <w:rStyle w:val="Hyperlink"/>
          </w:rPr>
          <w:t>http://www.nhc.health.govt.nz/moh.nsf/indexcm/nhc-ordinary-life</w:t>
        </w:r>
      </w:hyperlink>
      <w:r w:rsidR="007541A2">
        <w:t xml:space="preserve"> </w:t>
      </w:r>
      <w:r w:rsidRPr="006321D4">
        <w:t xml:space="preserve"> </w:t>
      </w:r>
    </w:p>
    <w:p w14:paraId="6F4278AD" w14:textId="77777777" w:rsidR="00557839" w:rsidRDefault="00332CE9" w:rsidP="00F8156B">
      <w:pPr>
        <w:spacing w:after="0"/>
      </w:pPr>
      <w:r w:rsidRPr="006321D4">
        <w:t xml:space="preserve">Ruth Dyson, 2008, </w:t>
      </w:r>
      <w:r w:rsidRPr="006321D4">
        <w:rPr>
          <w:lang w:val="en-NZ"/>
        </w:rPr>
        <w:t>Day service funding change to benefit disabled people</w:t>
      </w:r>
      <w:r w:rsidRPr="006321D4">
        <w:t xml:space="preserve"> </w:t>
      </w:r>
      <w:hyperlink r:id="rId49" w:history="1">
        <w:r w:rsidR="007541A2" w:rsidRPr="008D42CE">
          <w:rPr>
            <w:rStyle w:val="Hyperlink"/>
          </w:rPr>
          <w:t>http://www.beehive.govt.nz/release/day+service+funding+change+benefit+disabled+people</w:t>
        </w:r>
      </w:hyperlink>
      <w:r w:rsidR="007541A2">
        <w:t xml:space="preserve"> </w:t>
      </w:r>
      <w:r w:rsidRPr="006321D4">
        <w:t xml:space="preserve"> </w:t>
      </w:r>
      <w:r w:rsidR="007541A2">
        <w:t xml:space="preserve"> </w:t>
      </w:r>
      <w:r w:rsidR="00FE6DA4">
        <w:br w:type="textWrapping" w:clear="all"/>
      </w:r>
    </w:p>
    <w:p w14:paraId="641C7803" w14:textId="77777777" w:rsidR="00557839" w:rsidRDefault="00332CE9" w:rsidP="00F8156B">
      <w:pPr>
        <w:spacing w:after="0"/>
      </w:pPr>
      <w:r w:rsidRPr="006321D4">
        <w:t xml:space="preserve">Ruth Dyson, 2007, Disabled people to receive equal employment rights </w:t>
      </w:r>
      <w:hyperlink r:id="rId50" w:history="1">
        <w:r w:rsidR="007541A2" w:rsidRPr="008D42CE">
          <w:rPr>
            <w:rStyle w:val="Hyperlink"/>
          </w:rPr>
          <w:t>http://www.beehive.govt.nz/node/28729</w:t>
        </w:r>
      </w:hyperlink>
      <w:r w:rsidR="007541A2">
        <w:t xml:space="preserve"> </w:t>
      </w:r>
      <w:r w:rsidR="00FE6DA4">
        <w:br w:type="textWrapping" w:clear="all"/>
      </w:r>
    </w:p>
    <w:p w14:paraId="3334EBF9" w14:textId="77777777" w:rsidR="00557839" w:rsidRDefault="00332CE9" w:rsidP="00F8156B">
      <w:pPr>
        <w:spacing w:after="0"/>
        <w:rPr>
          <w:color w:val="000000"/>
          <w:lang w:val="en-NZ"/>
        </w:rPr>
      </w:pPr>
      <w:r w:rsidRPr="006321D4">
        <w:t xml:space="preserve">Ruth Dyson, Minister for Disability Issues </w:t>
      </w:r>
      <w:r w:rsidRPr="006321D4">
        <w:rPr>
          <w:color w:val="000000"/>
          <w:lang w:val="en-NZ"/>
        </w:rPr>
        <w:t>Getting Started on the Continuum of Care, 2002</w:t>
      </w:r>
      <w:r>
        <w:rPr>
          <w:color w:val="000000"/>
          <w:lang w:val="en-NZ"/>
        </w:rPr>
        <w:t>,</w:t>
      </w:r>
      <w:r w:rsidRPr="006321D4">
        <w:rPr>
          <w:color w:val="000000"/>
          <w:lang w:val="en-NZ"/>
        </w:rPr>
        <w:t xml:space="preserve"> </w:t>
      </w:r>
      <w:hyperlink r:id="rId51" w:history="1">
        <w:r w:rsidR="007541A2" w:rsidRPr="008D42CE">
          <w:rPr>
            <w:rStyle w:val="Hyperlink"/>
            <w:lang w:val="en-NZ"/>
          </w:rPr>
          <w:t>http://www.beehive.govt.nz/node/15851</w:t>
        </w:r>
      </w:hyperlink>
      <w:r w:rsidR="007541A2">
        <w:rPr>
          <w:color w:val="000000"/>
          <w:lang w:val="en-NZ"/>
        </w:rPr>
        <w:t xml:space="preserve"> </w:t>
      </w:r>
      <w:r w:rsidR="00FE6DA4">
        <w:rPr>
          <w:color w:val="000000"/>
          <w:lang w:val="en-NZ"/>
        </w:rPr>
        <w:br w:type="textWrapping" w:clear="all"/>
      </w:r>
    </w:p>
    <w:p w14:paraId="104D83FB" w14:textId="77777777" w:rsidR="00557839" w:rsidRDefault="00332CE9" w:rsidP="00F8156B">
      <w:pPr>
        <w:spacing w:after="0"/>
      </w:pPr>
      <w:r w:rsidRPr="006321D4">
        <w:t xml:space="preserve">Statistics </w:t>
      </w:r>
      <w:smartTag w:uri="urn:schemas-microsoft-com:office:smarttags" w:element="country-region">
        <w:smartTag w:uri="urn:schemas-microsoft-com:office:smarttags" w:element="place">
          <w:r w:rsidRPr="006321D4">
            <w:t>New Zealand</w:t>
          </w:r>
        </w:smartTag>
      </w:smartTag>
      <w:r w:rsidRPr="006321D4">
        <w:t xml:space="preserve">, Disability Survey 2001, </w:t>
      </w:r>
      <w:hyperlink r:id="rId52" w:history="1">
        <w:r w:rsidR="007541A2" w:rsidRPr="008D42CE">
          <w:rPr>
            <w:rStyle w:val="Hyperlink"/>
          </w:rPr>
          <w:t>http://www.stats.govt.nz/methods_and_services/tablebuilder/disability-survey-tables.aspx</w:t>
        </w:r>
      </w:hyperlink>
      <w:r w:rsidR="007541A2">
        <w:t xml:space="preserve"> </w:t>
      </w:r>
      <w:r w:rsidR="00FE6DA4">
        <w:br w:type="textWrapping" w:clear="all"/>
      </w:r>
    </w:p>
    <w:p w14:paraId="08CCE378" w14:textId="77777777" w:rsidR="00557839" w:rsidRDefault="00332CE9" w:rsidP="00F8156B">
      <w:pPr>
        <w:spacing w:after="0"/>
      </w:pPr>
      <w:r w:rsidRPr="006321D4">
        <w:t xml:space="preserve">Statistics </w:t>
      </w:r>
      <w:smartTag w:uri="urn:schemas-microsoft-com:office:smarttags" w:element="country-region">
        <w:smartTag w:uri="urn:schemas-microsoft-com:office:smarttags" w:element="place">
          <w:r w:rsidRPr="006321D4">
            <w:t>New Zealand</w:t>
          </w:r>
        </w:smartTag>
      </w:smartTag>
      <w:r w:rsidRPr="006321D4">
        <w:t xml:space="preserve">, Disability Survey 2006, </w:t>
      </w:r>
      <w:hyperlink r:id="rId53" w:history="1">
        <w:r w:rsidR="007541A2" w:rsidRPr="008D42CE">
          <w:rPr>
            <w:rStyle w:val="Hyperlink"/>
          </w:rPr>
          <w:t>http://www.stats.govt.nz/methods_and_services/tablebuilder/disability-survey-tables.aspx</w:t>
        </w:r>
      </w:hyperlink>
      <w:r w:rsidR="007541A2">
        <w:t xml:space="preserve"> </w:t>
      </w:r>
    </w:p>
    <w:p w14:paraId="373F174F" w14:textId="77777777" w:rsidR="00557839" w:rsidRDefault="00000000" w:rsidP="00F8156B">
      <w:pPr>
        <w:spacing w:after="0"/>
      </w:pPr>
      <w:hyperlink r:id="rId54" w:history="1">
        <w:r w:rsidR="007541A2" w:rsidRPr="008D42CE">
          <w:rPr>
            <w:rStyle w:val="Hyperlink"/>
          </w:rPr>
          <w:t>http://www.supportoptions.co.nz/default.aspx</w:t>
        </w:r>
      </w:hyperlink>
      <w:r w:rsidR="007541A2">
        <w:t xml:space="preserve"> </w:t>
      </w:r>
      <w:r w:rsidR="00332CE9" w:rsidRPr="006321D4">
        <w:t xml:space="preserve"> (information correct as of 4 August 2009)</w:t>
      </w:r>
      <w:r w:rsidR="00FE6DA4">
        <w:br w:type="textWrapping" w:clear="all"/>
      </w:r>
    </w:p>
    <w:p w14:paraId="0A6E0BB1" w14:textId="77777777" w:rsidR="00557839" w:rsidRDefault="00332CE9" w:rsidP="00F8156B">
      <w:pPr>
        <w:spacing w:after="0"/>
      </w:pPr>
      <w:r w:rsidRPr="006321D4">
        <w:t>Social Services Comm</w:t>
      </w:r>
      <w:r w:rsidR="007541A2">
        <w:t xml:space="preserve">ittee, 2008, </w:t>
      </w:r>
      <w:r w:rsidRPr="006321D4">
        <w:t xml:space="preserve">Inquiry into the quality of care and service provision for people with disabilities; </w:t>
      </w:r>
      <w:hyperlink r:id="rId55" w:history="1">
        <w:r w:rsidR="007541A2" w:rsidRPr="008D42CE">
          <w:rPr>
            <w:rStyle w:val="Hyperlink"/>
          </w:rPr>
          <w:t>http://www.parliament.nz/NR/rdonlyres/06259D2F-780B-40A0-9170-005C8C046E72/93089/DBSCH_SCR_4194_6219.pdf</w:t>
        </w:r>
      </w:hyperlink>
      <w:r w:rsidR="007541A2">
        <w:t xml:space="preserve"> </w:t>
      </w:r>
      <w:r w:rsidR="00FE6DA4">
        <w:br w:type="textWrapping" w:clear="all"/>
      </w:r>
    </w:p>
    <w:p w14:paraId="3AC33E8C" w14:textId="77777777" w:rsidR="002C6BDF" w:rsidRDefault="00332CE9" w:rsidP="00F8156B">
      <w:pPr>
        <w:spacing w:after="0"/>
      </w:pPr>
      <w:r w:rsidRPr="006321D4">
        <w:t>W</w:t>
      </w:r>
      <w:r w:rsidR="007541A2">
        <w:t xml:space="preserve">orld Health Organisation, 2004, </w:t>
      </w:r>
      <w:r w:rsidRPr="006321D4">
        <w:t xml:space="preserve">Contracting for Health Services lessons From </w:t>
      </w:r>
      <w:smartTag w:uri="urn:schemas-microsoft-com:office:smarttags" w:element="country-region">
        <w:smartTag w:uri="urn:schemas-microsoft-com:office:smarttags" w:element="place">
          <w:r w:rsidRPr="006321D4">
            <w:t>New Zealand</w:t>
          </w:r>
        </w:smartTag>
      </w:smartTag>
      <w:r w:rsidRPr="006321D4">
        <w:t xml:space="preserve">; </w:t>
      </w:r>
      <w:hyperlink r:id="rId56" w:history="1">
        <w:r w:rsidR="007541A2" w:rsidRPr="008D42CE">
          <w:rPr>
            <w:rStyle w:val="Hyperlink"/>
          </w:rPr>
          <w:t>http://www.wpro.who.int/NR/rdonlyres/B7DB4D58-7E19-4884-BD63-6F90D2DC1C47/0/Contracting_for_health.pdf</w:t>
        </w:r>
      </w:hyperlink>
      <w:r w:rsidR="007541A2">
        <w:t xml:space="preserve"> </w:t>
      </w:r>
    </w:p>
    <w:p w14:paraId="6F435201" w14:textId="77777777" w:rsidR="00557839" w:rsidRDefault="002C6BDF" w:rsidP="005C3DC7">
      <w:pPr>
        <w:pStyle w:val="Heading1"/>
        <w:spacing w:after="120"/>
      </w:pPr>
      <w:r>
        <w:br w:type="page"/>
      </w:r>
      <w:bookmarkStart w:id="147" w:name="_Toc250627772"/>
      <w:bookmarkStart w:id="148" w:name="_Toc250627953"/>
      <w:bookmarkStart w:id="149" w:name="_Toc290886641"/>
      <w:r w:rsidRPr="00221117">
        <w:lastRenderedPageBreak/>
        <w:t>Appendix 1</w:t>
      </w:r>
      <w:r>
        <w:t xml:space="preserve">: </w:t>
      </w:r>
      <w:r w:rsidRPr="00221117">
        <w:t>Key Informant details</w:t>
      </w:r>
      <w:bookmarkEnd w:id="147"/>
      <w:bookmarkEnd w:id="148"/>
      <w:bookmarkEnd w:id="149"/>
    </w:p>
    <w:p w14:paraId="04ADE5B4" w14:textId="77777777" w:rsidR="005C3DC7" w:rsidRDefault="002C6BDF" w:rsidP="005C3DC7">
      <w:pPr>
        <w:spacing w:after="120"/>
        <w:rPr>
          <w:b/>
        </w:rPr>
      </w:pPr>
      <w:r w:rsidRPr="005C3DC7">
        <w:rPr>
          <w:b/>
        </w:rPr>
        <w:t xml:space="preserve">Dr Brigit </w:t>
      </w:r>
      <w:proofErr w:type="spellStart"/>
      <w:r w:rsidRPr="005C3DC7">
        <w:rPr>
          <w:b/>
        </w:rPr>
        <w:t>Mirfin</w:t>
      </w:r>
      <w:proofErr w:type="spellEnd"/>
      <w:r w:rsidRPr="005C3DC7">
        <w:rPr>
          <w:b/>
        </w:rPr>
        <w:t>-Veitch</w:t>
      </w:r>
    </w:p>
    <w:p w14:paraId="1E51EF41" w14:textId="77777777" w:rsidR="003F625C" w:rsidRPr="005C3DC7" w:rsidRDefault="002C6BDF" w:rsidP="005C3DC7">
      <w:pPr>
        <w:rPr>
          <w:b/>
        </w:rPr>
      </w:pPr>
      <w:r w:rsidRPr="00C9652D">
        <w:t>Director</w:t>
      </w:r>
      <w:r w:rsidR="005C3DC7">
        <w:t xml:space="preserve">, </w:t>
      </w:r>
      <w:r w:rsidRPr="00C9652D">
        <w:t>Donald Beasley Institute</w:t>
      </w:r>
      <w:r w:rsidR="005C3DC7">
        <w:t xml:space="preserve">, Mathews House, </w:t>
      </w:r>
      <w:smartTag w:uri="urn:schemas-microsoft-com:office:smarttags" w:element="address">
        <w:smartTag w:uri="urn:schemas-microsoft-com:office:smarttags" w:element="Street">
          <w:r w:rsidR="003F625C" w:rsidRPr="003F625C">
            <w:t>44 Dundas Street</w:t>
          </w:r>
          <w:r w:rsidR="005C3DC7">
            <w:t xml:space="preserve">, </w:t>
          </w:r>
          <w:r w:rsidR="003F625C" w:rsidRPr="003F625C">
            <w:t>PO Box 6189</w:t>
          </w:r>
        </w:smartTag>
        <w:r w:rsidR="005C3DC7">
          <w:t xml:space="preserve">, </w:t>
        </w:r>
        <w:smartTag w:uri="urn:schemas-microsoft-com:office:smarttags" w:element="City">
          <w:r w:rsidR="003F625C" w:rsidRPr="003F625C">
            <w:t>Dunedin</w:t>
          </w:r>
        </w:smartTag>
      </w:smartTag>
      <w:r w:rsidR="003F625C" w:rsidRPr="003F625C">
        <w:t xml:space="preserve"> 9059</w:t>
      </w:r>
    </w:p>
    <w:p w14:paraId="48544151" w14:textId="77777777" w:rsidR="002C6BDF" w:rsidRPr="005C3DC7" w:rsidRDefault="002C6BDF" w:rsidP="005C3DC7">
      <w:pPr>
        <w:spacing w:after="120"/>
        <w:rPr>
          <w:b/>
        </w:rPr>
      </w:pPr>
      <w:r w:rsidRPr="005C3DC7">
        <w:rPr>
          <w:b/>
        </w:rPr>
        <w:t xml:space="preserve">John Taylor </w:t>
      </w:r>
    </w:p>
    <w:p w14:paraId="635A9CCF" w14:textId="77777777" w:rsidR="005C3DC7" w:rsidRPr="005C3DC7" w:rsidRDefault="005C3DC7" w:rsidP="005C3DC7">
      <w:r>
        <w:t xml:space="preserve">Executive Director, </w:t>
      </w:r>
      <w:r w:rsidR="002C6BDF" w:rsidRPr="00C9652D">
        <w:t>Community Connections</w:t>
      </w:r>
      <w:r>
        <w:t xml:space="preserve">, </w:t>
      </w:r>
      <w:smartTag w:uri="urn:schemas-microsoft-com:office:smarttags" w:element="address">
        <w:smartTag w:uri="urn:schemas-microsoft-com:office:smarttags" w:element="Street">
          <w:r w:rsidR="003F625C" w:rsidRPr="003F625C">
            <w:t>11 Heriot Drive</w:t>
          </w:r>
        </w:smartTag>
      </w:smartTag>
      <w:r>
        <w:t xml:space="preserve">, </w:t>
      </w:r>
      <w:r w:rsidR="003F625C" w:rsidRPr="003F625C">
        <w:t>Elsdon, Porirua</w:t>
      </w:r>
      <w:r>
        <w:t xml:space="preserve">, </w:t>
      </w:r>
      <w:r w:rsidR="003F625C" w:rsidRPr="003F625C">
        <w:t>PO Box 50-048</w:t>
      </w:r>
    </w:p>
    <w:p w14:paraId="263EAFFB" w14:textId="77777777" w:rsidR="002C6BDF" w:rsidRPr="005C3DC7" w:rsidRDefault="002C6BDF" w:rsidP="005C3DC7">
      <w:pPr>
        <w:spacing w:after="120"/>
        <w:rPr>
          <w:b/>
        </w:rPr>
      </w:pPr>
      <w:r w:rsidRPr="005C3DC7">
        <w:rPr>
          <w:b/>
        </w:rPr>
        <w:t xml:space="preserve">Wendi Wicks </w:t>
      </w:r>
    </w:p>
    <w:p w14:paraId="4DF1F08C" w14:textId="77777777" w:rsidR="005C3DC7" w:rsidRPr="005C3DC7" w:rsidRDefault="002C6BDF" w:rsidP="005C3DC7">
      <w:r w:rsidRPr="00C9652D">
        <w:t>Policy Researcher</w:t>
      </w:r>
      <w:r w:rsidR="005C3DC7">
        <w:t xml:space="preserve">, </w:t>
      </w:r>
      <w:r w:rsidRPr="00631673">
        <w:t>DPA NZ - The N</w:t>
      </w:r>
      <w:r w:rsidR="005C3DC7">
        <w:t xml:space="preserve">ational Assembly of People with </w:t>
      </w:r>
      <w:r w:rsidRPr="00631673">
        <w:t>Disabilities</w:t>
      </w:r>
      <w:r w:rsidR="005C3DC7">
        <w:t xml:space="preserve">, </w:t>
      </w:r>
      <w:r w:rsidR="007541A2">
        <w:t>PO Box 27-524</w:t>
      </w:r>
      <w:r w:rsidR="005C3DC7">
        <w:t xml:space="preserve">, </w:t>
      </w:r>
      <w:smartTag w:uri="urn:schemas-microsoft-com:office:smarttags" w:element="City">
        <w:smartTag w:uri="urn:schemas-microsoft-com:office:smarttags" w:element="place">
          <w:r w:rsidR="003F625C" w:rsidRPr="003F625C">
            <w:t>Wellington</w:t>
          </w:r>
        </w:smartTag>
      </w:smartTag>
      <w:r w:rsidR="003F625C" w:rsidRPr="003F625C">
        <w:t xml:space="preserve"> 6035 </w:t>
      </w:r>
    </w:p>
    <w:p w14:paraId="55A605D2" w14:textId="77777777" w:rsidR="002C6BDF" w:rsidRPr="005C3DC7" w:rsidRDefault="003F625C" w:rsidP="005C3DC7">
      <w:pPr>
        <w:spacing w:after="120"/>
        <w:rPr>
          <w:b/>
        </w:rPr>
      </w:pPr>
      <w:r w:rsidRPr="005C3DC7">
        <w:rPr>
          <w:b/>
        </w:rPr>
        <w:t xml:space="preserve">Professor </w:t>
      </w:r>
      <w:r w:rsidR="002C6BDF" w:rsidRPr="005C3DC7">
        <w:rPr>
          <w:b/>
        </w:rPr>
        <w:t>Robyn Munford</w:t>
      </w:r>
    </w:p>
    <w:p w14:paraId="5D3A36C2" w14:textId="77777777" w:rsidR="005C3DC7" w:rsidRPr="005C3DC7" w:rsidRDefault="005C3DC7" w:rsidP="005C3DC7">
      <w:r>
        <w:t xml:space="preserve">Professor of Social Work, </w:t>
      </w:r>
      <w:r w:rsidR="002C6BDF" w:rsidRPr="00C9652D">
        <w:t xml:space="preserve">College of Humanities and Social Sciences </w:t>
      </w:r>
      <w:r>
        <w:t xml:space="preserve">, </w:t>
      </w:r>
      <w:r w:rsidR="002C6BDF" w:rsidRPr="00C9652D">
        <w:t>School of Health and Social Services</w:t>
      </w:r>
      <w:r>
        <w:t xml:space="preserve">, </w:t>
      </w:r>
      <w:r w:rsidR="008C7752" w:rsidRPr="00C9652D">
        <w:t>Massey University</w:t>
      </w:r>
      <w:r>
        <w:t xml:space="preserve">, </w:t>
      </w:r>
      <w:r w:rsidR="008C7752" w:rsidRPr="008C7752">
        <w:t xml:space="preserve">Private Bag 11 222 </w:t>
      </w:r>
      <w:r>
        <w:t xml:space="preserve">, </w:t>
      </w:r>
      <w:r w:rsidR="008C7752">
        <w:t xml:space="preserve">Palmerston North, </w:t>
      </w:r>
      <w:r w:rsidR="008C7752" w:rsidRPr="008C7752">
        <w:t xml:space="preserve">4442 </w:t>
      </w:r>
    </w:p>
    <w:p w14:paraId="1D5398C7" w14:textId="77777777" w:rsidR="00557839" w:rsidRPr="005C3DC7" w:rsidRDefault="003F625C" w:rsidP="005C3DC7">
      <w:pPr>
        <w:rPr>
          <w:b/>
        </w:rPr>
      </w:pPr>
      <w:r w:rsidRPr="005C3DC7">
        <w:rPr>
          <w:b/>
        </w:rPr>
        <w:t xml:space="preserve">Additional comments </w:t>
      </w:r>
      <w:r w:rsidR="0011118C" w:rsidRPr="005C3DC7">
        <w:rPr>
          <w:b/>
        </w:rPr>
        <w:t>or</w:t>
      </w:r>
      <w:r w:rsidRPr="005C3DC7">
        <w:rPr>
          <w:b/>
        </w:rPr>
        <w:t xml:space="preserve"> information were provided by:</w:t>
      </w:r>
    </w:p>
    <w:p w14:paraId="2B18DE24" w14:textId="77777777" w:rsidR="005C3DC7" w:rsidRPr="005C3DC7" w:rsidRDefault="00641B03" w:rsidP="005C3DC7">
      <w:pPr>
        <w:rPr>
          <w:b/>
        </w:rPr>
      </w:pPr>
      <w:r w:rsidRPr="00641B03">
        <w:rPr>
          <w:b/>
        </w:rPr>
        <w:t>Christopher Carroll</w:t>
      </w:r>
      <w:r w:rsidR="005C3DC7">
        <w:rPr>
          <w:b/>
        </w:rPr>
        <w:t xml:space="preserve">, </w:t>
      </w:r>
      <w:r w:rsidR="005C3DC7">
        <w:t xml:space="preserve">Senior Policy Analyst, </w:t>
      </w:r>
      <w:r w:rsidRPr="00641B03">
        <w:t>Disability Policy</w:t>
      </w:r>
      <w:r w:rsidR="005C3DC7">
        <w:t xml:space="preserve">, </w:t>
      </w:r>
      <w:r w:rsidRPr="00641B03">
        <w:t>Health &amp; Disability Services Policy Group</w:t>
      </w:r>
      <w:r w:rsidR="005C3DC7">
        <w:t xml:space="preserve">, </w:t>
      </w:r>
      <w:r w:rsidRPr="00641B03">
        <w:t>Population Health Directorate</w:t>
      </w:r>
      <w:r w:rsidR="005C3DC7">
        <w:t xml:space="preserve">, </w:t>
      </w:r>
      <w:r w:rsidRPr="00641B03">
        <w:t>Ministry of Health</w:t>
      </w:r>
      <w:r w:rsidR="005C3DC7">
        <w:t xml:space="preserve">, </w:t>
      </w:r>
      <w:r w:rsidRPr="00641B03">
        <w:t>PO Box 5013</w:t>
      </w:r>
      <w:r w:rsidR="005C3DC7">
        <w:t xml:space="preserve">, </w:t>
      </w:r>
      <w:r w:rsidRPr="00641B03">
        <w:t>Wellington</w:t>
      </w:r>
    </w:p>
    <w:p w14:paraId="740EC85E" w14:textId="77777777" w:rsidR="005C3DC7" w:rsidRPr="005C3DC7" w:rsidRDefault="00641B03" w:rsidP="005C3DC7">
      <w:pPr>
        <w:rPr>
          <w:rFonts w:cs="Arial"/>
          <w:b/>
          <w:color w:val="000000"/>
        </w:rPr>
      </w:pPr>
      <w:r w:rsidRPr="00641B03">
        <w:rPr>
          <w:rFonts w:cs="Arial"/>
          <w:b/>
          <w:color w:val="000000"/>
        </w:rPr>
        <w:t>Bob Hillier</w:t>
      </w:r>
      <w:r w:rsidR="005C3DC7">
        <w:rPr>
          <w:rFonts w:cs="Arial"/>
          <w:b/>
          <w:color w:val="000000"/>
        </w:rPr>
        <w:t xml:space="preserve">, </w:t>
      </w:r>
      <w:r w:rsidRPr="00641B03">
        <w:rPr>
          <w:rFonts w:cs="Arial"/>
          <w:color w:val="000000"/>
        </w:rPr>
        <w:t>Senior Analyst</w:t>
      </w:r>
      <w:r w:rsidR="005C3DC7">
        <w:rPr>
          <w:rFonts w:cs="Arial"/>
          <w:b/>
          <w:color w:val="000000"/>
        </w:rPr>
        <w:t xml:space="preserve">, </w:t>
      </w:r>
      <w:r w:rsidRPr="00641B03">
        <w:rPr>
          <w:rFonts w:cs="Arial"/>
          <w:color w:val="000000"/>
        </w:rPr>
        <w:t>Office for Disability Issues</w:t>
      </w:r>
      <w:r w:rsidR="005C3DC7">
        <w:rPr>
          <w:rFonts w:cs="Arial"/>
          <w:b/>
          <w:color w:val="000000"/>
        </w:rPr>
        <w:t xml:space="preserve">, </w:t>
      </w:r>
      <w:smartTag w:uri="urn:schemas-microsoft-com:office:smarttags" w:element="address">
        <w:smartTag w:uri="urn:schemas-microsoft-com:office:smarttags" w:element="Street">
          <w:r w:rsidRPr="00641B03">
            <w:rPr>
              <w:rFonts w:cs="Arial"/>
              <w:color w:val="000000"/>
            </w:rPr>
            <w:t>PO Box 1556</w:t>
          </w:r>
        </w:smartTag>
        <w:r w:rsidR="005C3DC7">
          <w:rPr>
            <w:rFonts w:cs="Arial"/>
            <w:color w:val="000000"/>
          </w:rPr>
          <w:t xml:space="preserve">,, </w:t>
        </w:r>
        <w:smartTag w:uri="urn:schemas-microsoft-com:office:smarttags" w:element="City">
          <w:r>
            <w:rPr>
              <w:rFonts w:cs="Arial"/>
              <w:color w:val="000000"/>
            </w:rPr>
            <w:t>Wellington</w:t>
          </w:r>
        </w:smartTag>
      </w:smartTag>
    </w:p>
    <w:p w14:paraId="7629AE50" w14:textId="77777777" w:rsidR="008C7752" w:rsidRPr="005C3DC7" w:rsidRDefault="00641B03" w:rsidP="005C3DC7">
      <w:pPr>
        <w:rPr>
          <w:b/>
          <w:lang w:eastAsia="en-IE"/>
        </w:rPr>
      </w:pPr>
      <w:r w:rsidRPr="00641B03">
        <w:rPr>
          <w:b/>
          <w:lang w:eastAsia="en-IE"/>
        </w:rPr>
        <w:t>Fran Hartnett</w:t>
      </w:r>
      <w:r w:rsidR="005C3DC7">
        <w:rPr>
          <w:b/>
          <w:lang w:eastAsia="en-IE"/>
        </w:rPr>
        <w:t xml:space="preserve">, </w:t>
      </w:r>
      <w:r>
        <w:rPr>
          <w:lang w:eastAsia="en-IE"/>
        </w:rPr>
        <w:t>Regional Services Advisor</w:t>
      </w:r>
      <w:r w:rsidR="005C3DC7">
        <w:rPr>
          <w:b/>
          <w:lang w:eastAsia="en-IE"/>
        </w:rPr>
        <w:t xml:space="preserve">, </w:t>
      </w:r>
      <w:r>
        <w:rPr>
          <w:lang w:eastAsia="en-IE"/>
        </w:rPr>
        <w:t>IDEA Northern Region</w:t>
      </w:r>
      <w:r w:rsidR="005C3DC7">
        <w:rPr>
          <w:b/>
          <w:lang w:eastAsia="en-IE"/>
        </w:rPr>
        <w:t xml:space="preserve">, </w:t>
      </w:r>
      <w:r w:rsidR="005C3DC7">
        <w:rPr>
          <w:lang w:eastAsia="en-IE"/>
        </w:rPr>
        <w:t xml:space="preserve">Level 1, 3 </w:t>
      </w:r>
      <w:r>
        <w:rPr>
          <w:lang w:eastAsia="en-IE"/>
        </w:rPr>
        <w:t>Margot Street</w:t>
      </w:r>
      <w:r w:rsidR="005C3DC7">
        <w:rPr>
          <w:b/>
          <w:lang w:eastAsia="en-IE"/>
        </w:rPr>
        <w:t xml:space="preserve">, </w:t>
      </w:r>
      <w:r>
        <w:rPr>
          <w:lang w:eastAsia="en-IE"/>
        </w:rPr>
        <w:t>Newmarket</w:t>
      </w:r>
      <w:r w:rsidR="005C3DC7">
        <w:rPr>
          <w:b/>
          <w:lang w:eastAsia="en-IE"/>
        </w:rPr>
        <w:t xml:space="preserve">, </w:t>
      </w:r>
      <w:r>
        <w:rPr>
          <w:lang w:eastAsia="en-IE"/>
        </w:rPr>
        <w:t>PO Box 8072, Symonds St., Auckland</w:t>
      </w:r>
    </w:p>
    <w:p w14:paraId="3811301E" w14:textId="77777777" w:rsidR="00557839" w:rsidRDefault="008C7752" w:rsidP="00C13592">
      <w:pPr>
        <w:pStyle w:val="Heading1"/>
        <w:spacing w:line="240" w:lineRule="auto"/>
      </w:pPr>
      <w:r>
        <w:rPr>
          <w:lang w:eastAsia="en-IE"/>
        </w:rPr>
        <w:br w:type="page"/>
      </w:r>
      <w:bookmarkStart w:id="150" w:name="_Toc290886642"/>
      <w:r w:rsidR="007E4574">
        <w:rPr>
          <w:lang w:eastAsia="en-IE"/>
        </w:rPr>
        <w:lastRenderedPageBreak/>
        <w:t xml:space="preserve">Appendix 2: </w:t>
      </w:r>
      <w:r w:rsidR="001F5965" w:rsidRPr="001F5965">
        <w:rPr>
          <w:lang w:eastAsia="en-IE"/>
        </w:rPr>
        <w:t xml:space="preserve">How health and personal services are overseen and monitored in </w:t>
      </w:r>
      <w:smartTag w:uri="urn:schemas-microsoft-com:office:smarttags" w:element="place">
        <w:smartTag w:uri="urn:schemas-microsoft-com:office:smarttags" w:element="country-region">
          <w:r w:rsidR="001F5965" w:rsidRPr="001F5965">
            <w:rPr>
              <w:lang w:eastAsia="en-IE"/>
            </w:rPr>
            <w:t>New Zealand</w:t>
          </w:r>
        </w:smartTag>
      </w:smartTag>
      <w:bookmarkEnd w:id="150"/>
    </w:p>
    <w:p w14:paraId="066FCEE3" w14:textId="77777777" w:rsidR="00DE01AF" w:rsidRDefault="00DE01AF" w:rsidP="00C13592">
      <w:pPr>
        <w:pStyle w:val="Heading2"/>
        <w:spacing w:line="240" w:lineRule="auto"/>
      </w:pPr>
      <w:bookmarkStart w:id="151" w:name="_Toc269910593"/>
      <w:bookmarkStart w:id="152" w:name="_Toc290886643"/>
      <w:r>
        <w:t>1) How are outsourced (i.e. non-statutory) services monitored (how is their performance to contract assessed)?</w:t>
      </w:r>
      <w:bookmarkEnd w:id="151"/>
      <w:bookmarkEnd w:id="152"/>
    </w:p>
    <w:p w14:paraId="0A6081BB" w14:textId="77777777" w:rsidR="00DE01AF" w:rsidRPr="003D0E65" w:rsidRDefault="00DE01AF" w:rsidP="00DE01AF">
      <w:pPr>
        <w:spacing w:after="120"/>
        <w:ind w:left="-180"/>
        <w:rPr>
          <w:rFonts w:cs="Arial"/>
          <w:sz w:val="22"/>
          <w:szCs w:val="22"/>
        </w:rPr>
      </w:pPr>
      <w:r w:rsidRPr="00261A3C">
        <w:t xml:space="preserve">Section 9 of </w:t>
      </w:r>
      <w:smartTag w:uri="urn:schemas-microsoft-com:office:smarttags" w:element="place">
        <w:smartTag w:uri="urn:schemas-microsoft-com:office:smarttags" w:element="country-region">
          <w:r w:rsidRPr="00261A3C">
            <w:t>New Zealand</w:t>
          </w:r>
        </w:smartTag>
      </w:smartTag>
      <w:r w:rsidRPr="00261A3C">
        <w:t>'s Health and Disability Services (Safety) Act, 2001 requires that a" person providing health care services of any kind must do so</w:t>
      </w:r>
      <w:r>
        <w:rPr>
          <w:rFonts w:cs="Arial"/>
          <w:sz w:val="22"/>
          <w:szCs w:val="22"/>
        </w:rPr>
        <w:t>-</w:t>
      </w:r>
    </w:p>
    <w:p w14:paraId="335D9D4E" w14:textId="77777777" w:rsidR="00DE01AF" w:rsidRDefault="00DE01AF" w:rsidP="001F5965">
      <w:pPr>
        <w:pStyle w:val="ListContinue"/>
        <w:ind w:left="720"/>
      </w:pPr>
      <w:r w:rsidRPr="003D0E65">
        <w:t>(a)  while certified by the Director-General to provide health care services of that kind; and</w:t>
      </w:r>
    </w:p>
    <w:p w14:paraId="29687FEC" w14:textId="77777777" w:rsidR="00DE01AF" w:rsidRDefault="00DE01AF" w:rsidP="00DE01AF">
      <w:pPr>
        <w:pStyle w:val="ListContinue"/>
      </w:pPr>
      <w:r w:rsidRPr="003D0E65">
        <w:t xml:space="preserve">      (b)  while meeting all relevant service standar</w:t>
      </w:r>
      <w:r>
        <w:t>ds; an</w:t>
      </w:r>
    </w:p>
    <w:p w14:paraId="29003842" w14:textId="77777777" w:rsidR="00DE01AF" w:rsidRDefault="00DE01AF" w:rsidP="00DE01AF">
      <w:pPr>
        <w:pStyle w:val="ListContinue"/>
        <w:ind w:left="720"/>
      </w:pPr>
      <w:r>
        <w:t xml:space="preserve"> </w:t>
      </w:r>
      <w:r w:rsidRPr="003D0E65">
        <w:t>(c)  in compliance with any conditions subject to which the person was certified by the Director-General to provide health care services of that kind; and</w:t>
      </w:r>
    </w:p>
    <w:p w14:paraId="087B064F" w14:textId="77777777" w:rsidR="00DE01AF" w:rsidRDefault="00DE01AF" w:rsidP="00DE01AF">
      <w:pPr>
        <w:pStyle w:val="ListContinue"/>
      </w:pPr>
      <w:r w:rsidRPr="003D0E65">
        <w:t xml:space="preserve">      (d)  in compliance with this Act; and</w:t>
      </w:r>
    </w:p>
    <w:p w14:paraId="72ADBF5E" w14:textId="77777777" w:rsidR="00DE01AF" w:rsidRPr="003D0E65" w:rsidRDefault="00DE01AF" w:rsidP="00DE01AF">
      <w:pPr>
        <w:pStyle w:val="ListContinue"/>
        <w:ind w:left="720"/>
      </w:pPr>
      <w:r>
        <w:t xml:space="preserve"> </w:t>
      </w:r>
      <w:r w:rsidRPr="003D0E65">
        <w:t>(e)  if the services are rest home care, or geriatric services that are hospital care, in compliance with any applicable regulations under section 53(1)(a)</w:t>
      </w:r>
      <w:r>
        <w:t>"</w:t>
      </w:r>
    </w:p>
    <w:p w14:paraId="0E935B9C" w14:textId="77777777" w:rsidR="00DE01AF" w:rsidRDefault="00DE01AF" w:rsidP="00DE01AF">
      <w:pPr>
        <w:pStyle w:val="ListContinue"/>
      </w:pPr>
      <w:r>
        <w:t>- with the notable exception of</w:t>
      </w:r>
      <w:r w:rsidRPr="003D0E65">
        <w:t xml:space="preserve"> number of children's and penal serv</w:t>
      </w:r>
      <w:r>
        <w:t>ices - per Section 8 of the Act.</w:t>
      </w:r>
      <w:r>
        <w:rPr>
          <w:rStyle w:val="FootnoteReference"/>
          <w:rFonts w:cs="Arial"/>
          <w:sz w:val="22"/>
          <w:szCs w:val="22"/>
        </w:rPr>
        <w:footnoteReference w:id="81"/>
      </w:r>
    </w:p>
    <w:p w14:paraId="462E16DC" w14:textId="77777777" w:rsidR="00DE01AF" w:rsidRPr="001F5965" w:rsidRDefault="00DE01AF" w:rsidP="001F5965">
      <w:pPr>
        <w:rPr>
          <w:rFonts w:cs="Arial"/>
          <w:color w:val="000000"/>
        </w:rPr>
      </w:pPr>
      <w:r w:rsidRPr="00967E67">
        <w:t xml:space="preserve">Disability Support Services (DSS), Ministry of Health, contracts with providers </w:t>
      </w:r>
      <w:r w:rsidRPr="001F5965">
        <w:rPr>
          <w:rFonts w:cs="Arial"/>
        </w:rPr>
        <w:t xml:space="preserve">for more than twenty different types of services for people with disabilities.  The largest of these service types is community based residential services for people with an intellectual and/or physical disability.  An annual programme of monitoring is undertaken that involves developmental evaluations and audits </w:t>
      </w:r>
      <w:r w:rsidRPr="001F5965">
        <w:rPr>
          <w:rFonts w:cs="Arial"/>
        </w:rPr>
        <w:lastRenderedPageBreak/>
        <w:t>of a selection of these contracted services.  The aim of the performance monitoring is to</w:t>
      </w:r>
      <w:r w:rsidRPr="001F5965">
        <w:rPr>
          <w:rFonts w:cs="Arial"/>
          <w:color w:val="000000"/>
        </w:rPr>
        <w:t xml:space="preserve"> facilitate the improvement of health and disability services and provide information about those services and programmes for planning, and contracting purposes.</w:t>
      </w:r>
    </w:p>
    <w:p w14:paraId="712FCFAF" w14:textId="77777777" w:rsidR="00DE01AF" w:rsidRPr="001F5965" w:rsidRDefault="00DE01AF" w:rsidP="001F5965">
      <w:pPr>
        <w:rPr>
          <w:rFonts w:cs="Arial"/>
          <w:color w:val="000000"/>
        </w:rPr>
      </w:pPr>
      <w:r w:rsidRPr="001F5965">
        <w:rPr>
          <w:rFonts w:cs="Arial"/>
          <w:color w:val="000000"/>
        </w:rPr>
        <w:t xml:space="preserve">Independent evaluators and auditors are commissioned with appropriate skills and extensive knowledge of disability and service provision within </w:t>
      </w:r>
      <w:smartTag w:uri="urn:schemas-microsoft-com:office:smarttags" w:element="country-region">
        <w:smartTag w:uri="urn:schemas-microsoft-com:office:smarttags" w:element="place">
          <w:r w:rsidRPr="001F5965">
            <w:rPr>
              <w:rFonts w:cs="Arial"/>
              <w:color w:val="000000"/>
            </w:rPr>
            <w:t>New Zealand</w:t>
          </w:r>
        </w:smartTag>
      </w:smartTag>
      <w:r w:rsidRPr="001F5965">
        <w:rPr>
          <w:rFonts w:cs="Arial"/>
          <w:color w:val="000000"/>
        </w:rPr>
        <w:t>.  The evaluation and audit work is conducted in teams of two people with one person being a consumer or a family member (more often in services or people with an intellectual disability).  Families and consumers have a key role in participating in the evaluation and their views of the service/home are an integral part of the evaluation process.  There is no direct financial cost to the service provider for the evaluation/audit.</w:t>
      </w:r>
    </w:p>
    <w:p w14:paraId="523F5DA4" w14:textId="77777777" w:rsidR="00DE01AF" w:rsidRPr="001F5965" w:rsidRDefault="00DE01AF" w:rsidP="001F5965">
      <w:pPr>
        <w:rPr>
          <w:rFonts w:cs="Arial"/>
          <w:color w:val="000000"/>
        </w:rPr>
      </w:pPr>
      <w:r w:rsidRPr="001F5965">
        <w:rPr>
          <w:rFonts w:cs="Arial"/>
          <w:color w:val="000000"/>
        </w:rPr>
        <w:t xml:space="preserve">The developmental evaluation tool used is based on some of the quality of life outcomes identified and used by the </w:t>
      </w:r>
      <w:r w:rsidRPr="001F5965">
        <w:rPr>
          <w:rFonts w:cs="Arial"/>
          <w:lang w:val="en-NZ"/>
        </w:rPr>
        <w:t>Council for Quality and Leadership.</w:t>
      </w:r>
      <w:r w:rsidRPr="001F5965">
        <w:rPr>
          <w:rFonts w:cs="Arial"/>
          <w:color w:val="000000"/>
        </w:rPr>
        <w:t xml:space="preserve">   The focus of the evaluation is on the quality of life and outcomes for the disabled person using the services and how a service provider of those services can improve their service.  As part of this approach it assesses performance with the specific contract and any related legislative standards.</w:t>
      </w:r>
    </w:p>
    <w:p w14:paraId="63F83A29" w14:textId="77777777" w:rsidR="00DE01AF" w:rsidRPr="001F5965" w:rsidRDefault="00DE01AF" w:rsidP="001F5965">
      <w:pPr>
        <w:rPr>
          <w:rFonts w:cs="Arial"/>
          <w:color w:val="000000"/>
        </w:rPr>
      </w:pPr>
      <w:r w:rsidRPr="001F5965">
        <w:rPr>
          <w:rFonts w:cs="Arial"/>
          <w:color w:val="000000"/>
        </w:rPr>
        <w:t>The quality audits of providers are a systematic review of the services to ensure that funded services are being delivered and that they are financially viable, safe and of a high quality.  These audits relate to monitoring against the contract the provider holds with the Ministry.</w:t>
      </w:r>
    </w:p>
    <w:p w14:paraId="44DC3214" w14:textId="77777777" w:rsidR="00DE01AF" w:rsidRDefault="00DE01AF" w:rsidP="001F5965">
      <w:pPr>
        <w:rPr>
          <w:color w:val="000000"/>
        </w:rPr>
      </w:pPr>
      <w:r w:rsidRPr="001F5965">
        <w:t>Cf. notes at 2. and 7., below.</w:t>
      </w:r>
      <w:r>
        <w:t xml:space="preserve">   </w:t>
      </w:r>
    </w:p>
    <w:p w14:paraId="4E79F46B" w14:textId="77777777" w:rsidR="00DE01AF" w:rsidRDefault="00DE01AF" w:rsidP="00C13592">
      <w:pPr>
        <w:pStyle w:val="Heading2"/>
        <w:spacing w:line="240" w:lineRule="auto"/>
      </w:pPr>
      <w:bookmarkStart w:id="153" w:name="_Toc269910594"/>
      <w:bookmarkStart w:id="154" w:name="_Toc290886644"/>
      <w:r>
        <w:t>2) How are state services monitored?</w:t>
      </w:r>
      <w:bookmarkEnd w:id="153"/>
      <w:bookmarkEnd w:id="154"/>
    </w:p>
    <w:p w14:paraId="37A28DD4" w14:textId="77777777" w:rsidR="00DE01AF" w:rsidRDefault="00DE01AF" w:rsidP="00347510">
      <w:pPr>
        <w:spacing w:after="120"/>
      </w:pPr>
      <w:r w:rsidRPr="00C7162F">
        <w:rPr>
          <w:b/>
        </w:rPr>
        <w:t>The Ministry of Health</w:t>
      </w:r>
      <w:r>
        <w:t xml:space="preserve"> has a pivotal monitoring role in relation to overall system performance:</w:t>
      </w:r>
    </w:p>
    <w:p w14:paraId="7227D980" w14:textId="77777777" w:rsidR="00DE01AF" w:rsidRPr="00C13592" w:rsidRDefault="00DE01AF" w:rsidP="00DE01AF">
      <w:pPr>
        <w:pStyle w:val="ListBullet"/>
      </w:pPr>
      <w:r w:rsidRPr="00C13592">
        <w:t>'</w:t>
      </w:r>
      <w:proofErr w:type="spellStart"/>
      <w:r w:rsidRPr="00C13592">
        <w:t>HealthCERT</w:t>
      </w:r>
      <w:proofErr w:type="spellEnd"/>
      <w:r w:rsidRPr="00C13592">
        <w:t xml:space="preserve">' has been established under the Ministry's Quality and Safety Sector of the Accountability and Funding Directorate as the body responsible for ensuring that hospitals, rest homes and residential disability care facilities provide safe and reasonable levels of service for consumers, as required under the Health and Disability Service (Safety) Act 2001. </w:t>
      </w:r>
      <w:proofErr w:type="spellStart"/>
      <w:r w:rsidRPr="00C13592">
        <w:t>HealthCERT’s</w:t>
      </w:r>
      <w:proofErr w:type="spellEnd"/>
      <w:r w:rsidRPr="00C13592">
        <w:t xml:space="preserve"> role is, effectively, to administer and enforce the legislation, issue certifications, review audit </w:t>
      </w:r>
      <w:r w:rsidR="007541A2">
        <w:t>reports and manage legal issues</w:t>
      </w:r>
      <w:r w:rsidRPr="00C13592">
        <w:t xml:space="preserve"> </w:t>
      </w:r>
    </w:p>
    <w:p w14:paraId="7DCFFB62" w14:textId="77777777" w:rsidR="00DE01AF" w:rsidRPr="00C13592" w:rsidRDefault="00DE01AF" w:rsidP="00DE01AF">
      <w:pPr>
        <w:pStyle w:val="ListBullet"/>
      </w:pPr>
      <w:r w:rsidRPr="00C13592">
        <w:t xml:space="preserve">The Ministry's Health and Disability National Services Directorate oversees the administration of </w:t>
      </w:r>
      <w:smartTag w:uri="urn:schemas-microsoft-com:office:smarttags" w:element="place">
        <w:smartTag w:uri="urn:schemas-microsoft-com:office:smarttags" w:element="country-region">
          <w:r w:rsidRPr="00C13592">
            <w:t>New Zealand</w:t>
          </w:r>
        </w:smartTag>
      </w:smartTag>
      <w:r w:rsidRPr="00C13592">
        <w:t>'s national fund for disability support and personal and public health services</w:t>
      </w:r>
    </w:p>
    <w:p w14:paraId="2EEBD06B" w14:textId="77777777" w:rsidR="00DE01AF" w:rsidRPr="00C13592" w:rsidRDefault="00DE01AF" w:rsidP="00DE01AF">
      <w:pPr>
        <w:pStyle w:val="ListBullet"/>
      </w:pPr>
      <w:r w:rsidRPr="00C13592">
        <w:t>The Ministry's Population Health Directorate oversees population health, mental health and system quality and improvement</w:t>
      </w:r>
    </w:p>
    <w:p w14:paraId="27A76F6A" w14:textId="77777777" w:rsidR="00DE01AF" w:rsidRPr="00C13592" w:rsidRDefault="00DE01AF" w:rsidP="00DE01AF">
      <w:pPr>
        <w:pStyle w:val="ListBullet"/>
      </w:pPr>
      <w:r w:rsidRPr="00C13592">
        <w:rPr>
          <w:bCs/>
        </w:rPr>
        <w:t xml:space="preserve">The </w:t>
      </w:r>
      <w:r w:rsidRPr="00C13592">
        <w:t xml:space="preserve">Ministry's </w:t>
      </w:r>
      <w:r w:rsidRPr="00C13592">
        <w:rPr>
          <w:bCs/>
        </w:rPr>
        <w:t xml:space="preserve">Health and Disability Systems Strategy Directorate </w:t>
      </w:r>
      <w:r w:rsidRPr="00C13592">
        <w:t xml:space="preserve">provides strategic and whole-of-system perspectives and advice on the </w:t>
      </w:r>
      <w:r w:rsidRPr="00C13592">
        <w:lastRenderedPageBreak/>
        <w:t>development of the overall health and disability system with a view to achieving better health and participation, and to reduce inequali</w:t>
      </w:r>
      <w:r w:rsidR="007541A2">
        <w:t>ties</w:t>
      </w:r>
      <w:r w:rsidRPr="00C13592">
        <w:t xml:space="preserve"> </w:t>
      </w:r>
    </w:p>
    <w:p w14:paraId="5D6A077A" w14:textId="77777777" w:rsidR="00DE01AF" w:rsidRPr="00C13592" w:rsidRDefault="00DE01AF" w:rsidP="00DE01AF">
      <w:pPr>
        <w:pStyle w:val="ListBullet"/>
        <w:rPr>
          <w:rFonts w:cs="Arial"/>
          <w:color w:val="000000"/>
          <w:lang w:eastAsia="en-IE"/>
        </w:rPr>
      </w:pPr>
      <w:r w:rsidRPr="00C13592">
        <w:rPr>
          <w:rFonts w:cs="Arial"/>
          <w:lang w:eastAsia="en-IE"/>
        </w:rPr>
        <w:t>The Ministry's Contract Relationship Managers' (CRMs') and Quality team monitor quality through audit/evaluation reports, complaints received and direct visits</w:t>
      </w:r>
      <w:r w:rsidRPr="00C13592">
        <w:rPr>
          <w:rFonts w:cs="Arial"/>
          <w:color w:val="000000"/>
          <w:lang w:eastAsia="en-IE"/>
        </w:rPr>
        <w:t xml:space="preserve"> </w:t>
      </w:r>
    </w:p>
    <w:p w14:paraId="47ADC895" w14:textId="77777777" w:rsidR="00DE01AF" w:rsidRPr="00C13592" w:rsidRDefault="00DE01AF" w:rsidP="00DE01AF">
      <w:pPr>
        <w:pStyle w:val="ListBullet"/>
        <w:rPr>
          <w:rFonts w:cs="Arial"/>
          <w:color w:val="000000"/>
          <w:lang w:eastAsia="en-IE"/>
        </w:rPr>
      </w:pPr>
      <w:r w:rsidRPr="00C13592">
        <w:rPr>
          <w:rFonts w:cs="Arial"/>
          <w:color w:val="000000"/>
          <w:lang w:eastAsia="en-IE"/>
        </w:rPr>
        <w:t>Statutory provider, contractual and financial audits against contracts and national quality standards are routinely undertaken by District Health Boards or other agencies that contract with health care service providers</w:t>
      </w:r>
      <w:r w:rsidRPr="00C13592">
        <w:rPr>
          <w:rStyle w:val="FootnoteReference"/>
          <w:rFonts w:cs="Arial"/>
          <w:color w:val="000000"/>
          <w:lang w:eastAsia="en-IE"/>
        </w:rPr>
        <w:footnoteReference w:id="82"/>
      </w:r>
      <w:r w:rsidRPr="00C13592">
        <w:rPr>
          <w:rFonts w:cs="Arial"/>
          <w:color w:val="000000"/>
          <w:lang w:eastAsia="en-IE"/>
        </w:rPr>
        <w:t xml:space="preserve"> - and findings are reported to the Ministry of Health. A monitoring and intervention framework - MIF - enables performance management</w:t>
      </w:r>
      <w:r w:rsidR="007541A2">
        <w:rPr>
          <w:rFonts w:cs="Arial"/>
          <w:color w:val="000000"/>
          <w:lang w:eastAsia="en-IE"/>
        </w:rPr>
        <w:t xml:space="preserve"> of specific Boards if required</w:t>
      </w:r>
      <w:r w:rsidRPr="00C13592">
        <w:rPr>
          <w:rFonts w:cs="Arial"/>
          <w:color w:val="000000"/>
          <w:lang w:eastAsia="en-IE"/>
        </w:rPr>
        <w:t xml:space="preserve"> </w:t>
      </w:r>
    </w:p>
    <w:p w14:paraId="70F4E03B" w14:textId="77777777" w:rsidR="00DE01AF" w:rsidRPr="00C13592" w:rsidRDefault="00DE01AF" w:rsidP="00DE01AF">
      <w:pPr>
        <w:pStyle w:val="ListBullet"/>
        <w:rPr>
          <w:rFonts w:cs="Arial"/>
          <w:color w:val="000000"/>
          <w:lang w:eastAsia="en-IE"/>
        </w:rPr>
      </w:pPr>
      <w:r w:rsidRPr="00C13592">
        <w:rPr>
          <w:rFonts w:cs="Arial"/>
          <w:color w:val="000000"/>
          <w:lang w:eastAsia="en-IE"/>
        </w:rPr>
        <w:t xml:space="preserve">Special </w:t>
      </w:r>
      <w:r w:rsidR="00C13592" w:rsidRPr="00C13592">
        <w:rPr>
          <w:rFonts w:cs="Arial"/>
          <w:color w:val="000000"/>
          <w:lang w:eastAsia="en-IE"/>
        </w:rPr>
        <w:t>Ministry of Health i</w:t>
      </w:r>
      <w:r w:rsidRPr="00C13592">
        <w:rPr>
          <w:rFonts w:cs="Arial"/>
          <w:color w:val="000000"/>
          <w:lang w:eastAsia="en-IE"/>
        </w:rPr>
        <w:t>nspections or issues based audits are also conducted in response to serious complaints made to the Ministry of Health, a District Health Board or the Health and Disability Commissioner</w:t>
      </w:r>
    </w:p>
    <w:p w14:paraId="7D4B2B0B" w14:textId="77777777" w:rsidR="00DE01AF" w:rsidRPr="00CC0C66" w:rsidRDefault="00DE01AF" w:rsidP="00347510">
      <w:pPr>
        <w:spacing w:after="120"/>
        <w:rPr>
          <w:color w:val="000000"/>
          <w:lang w:eastAsia="en-IE"/>
        </w:rPr>
      </w:pPr>
      <w:r>
        <w:t xml:space="preserve">Periodical </w:t>
      </w:r>
      <w:r w:rsidRPr="008858D8">
        <w:t>process evaluations</w:t>
      </w:r>
      <w:r w:rsidR="00C13592">
        <w:t xml:space="preserve"> for the </w:t>
      </w:r>
      <w:r w:rsidRPr="00C7162F">
        <w:rPr>
          <w:b/>
        </w:rPr>
        <w:t xml:space="preserve">Ministry of Social Development </w:t>
      </w:r>
      <w:r>
        <w:t xml:space="preserve">are also undertaken in respect of </w:t>
      </w:r>
      <w:r w:rsidRPr="008858D8">
        <w:t>the</w:t>
      </w:r>
      <w:r>
        <w:t xml:space="preserve"> Government's</w:t>
      </w:r>
      <w:r w:rsidRPr="008858D8">
        <w:t xml:space="preserve"> </w:t>
      </w:r>
      <w:r>
        <w:t>Pathways to Inclusion</w:t>
      </w:r>
      <w:r w:rsidRPr="008858D8">
        <w:t xml:space="preserve"> Strategy</w:t>
      </w:r>
      <w:r>
        <w:t xml:space="preserve"> which examine, amongst other indicators:</w:t>
      </w:r>
    </w:p>
    <w:p w14:paraId="47BF4FB0" w14:textId="77777777" w:rsidR="00DE01AF" w:rsidRPr="008858D8" w:rsidRDefault="00DE01AF" w:rsidP="00DE01AF">
      <w:pPr>
        <w:pStyle w:val="ListBullet"/>
      </w:pPr>
      <w:r>
        <w:t>p</w:t>
      </w:r>
      <w:r w:rsidRPr="008858D8">
        <w:t xml:space="preserve">rovider alignment with the </w:t>
      </w:r>
      <w:r>
        <w:t>Pathways to Inclusion</w:t>
      </w:r>
      <w:r w:rsidRPr="008858D8">
        <w:t xml:space="preserve"> Strategy</w:t>
      </w:r>
    </w:p>
    <w:p w14:paraId="1160F52C" w14:textId="77777777" w:rsidR="00DE01AF" w:rsidRPr="008858D8" w:rsidRDefault="00DE01AF" w:rsidP="00DE01AF">
      <w:pPr>
        <w:pStyle w:val="ListBullet"/>
      </w:pPr>
      <w:r>
        <w:t>t</w:t>
      </w:r>
      <w:r w:rsidRPr="008858D8">
        <w:t>he degree to which services were individualised</w:t>
      </w:r>
      <w:r>
        <w:t xml:space="preserve"> and </w:t>
      </w:r>
      <w:r w:rsidRPr="008858D8">
        <w:t>individual plans</w:t>
      </w:r>
      <w:r>
        <w:t xml:space="preserve"> implemented across services</w:t>
      </w:r>
    </w:p>
    <w:p w14:paraId="4FAA517B" w14:textId="77777777" w:rsidR="00DE01AF" w:rsidRDefault="00DE01AF" w:rsidP="00DE01AF">
      <w:pPr>
        <w:pStyle w:val="ListBullet"/>
      </w:pPr>
      <w:r>
        <w:t>e</w:t>
      </w:r>
      <w:r w:rsidRPr="008858D8">
        <w:t>stablishment of formal partnerships with service users</w:t>
      </w:r>
    </w:p>
    <w:p w14:paraId="5404B3E0" w14:textId="77777777" w:rsidR="00DE01AF" w:rsidRDefault="00DE01AF" w:rsidP="00347510">
      <w:pPr>
        <w:spacing w:after="120"/>
        <w:rPr>
          <w:lang w:eastAsia="en-IE"/>
        </w:rPr>
      </w:pPr>
      <w:r>
        <w:rPr>
          <w:lang w:eastAsia="en-IE"/>
        </w:rPr>
        <w:t>Other crown entities that have a statutory monitoring role include, for example:</w:t>
      </w:r>
    </w:p>
    <w:p w14:paraId="53756A32" w14:textId="77777777" w:rsidR="00DE01AF" w:rsidRDefault="00DE01AF" w:rsidP="00DE01AF">
      <w:pPr>
        <w:pStyle w:val="ListBullet"/>
        <w:rPr>
          <w:lang w:eastAsia="en-IE"/>
        </w:rPr>
      </w:pPr>
      <w:r>
        <w:rPr>
          <w:lang w:eastAsia="en-IE"/>
        </w:rPr>
        <w:t xml:space="preserve">the </w:t>
      </w:r>
      <w:r w:rsidRPr="003D0E65">
        <w:rPr>
          <w:lang w:eastAsia="en-IE"/>
        </w:rPr>
        <w:t>Health and Disability Commissioner</w:t>
      </w:r>
      <w:r>
        <w:rPr>
          <w:lang w:eastAsia="en-IE"/>
        </w:rPr>
        <w:t xml:space="preserve"> - which undertakes investigations</w:t>
      </w:r>
      <w:r w:rsidRPr="003D0E65">
        <w:rPr>
          <w:lang w:eastAsia="en-IE"/>
        </w:rPr>
        <w:t xml:space="preserve"> in response to a complaint </w:t>
      </w:r>
      <w:r>
        <w:rPr>
          <w:lang w:eastAsia="en-IE"/>
        </w:rPr>
        <w:t>relating to the Code of Rights</w:t>
      </w:r>
    </w:p>
    <w:p w14:paraId="5A77E77D" w14:textId="77777777" w:rsidR="00DE01AF" w:rsidRDefault="00DE01AF" w:rsidP="00DE01AF">
      <w:pPr>
        <w:pStyle w:val="ListBullet"/>
        <w:rPr>
          <w:lang w:eastAsia="en-IE"/>
        </w:rPr>
      </w:pPr>
      <w:r>
        <w:rPr>
          <w:lang w:eastAsia="en-IE"/>
        </w:rPr>
        <w:t>the Mental Health Commission - which oversees the mental health system and the Ministry of Health</w:t>
      </w:r>
      <w:r w:rsidR="007541A2">
        <w:rPr>
          <w:lang w:eastAsia="en-IE"/>
        </w:rPr>
        <w:t>'s performance in mental health</w:t>
      </w:r>
    </w:p>
    <w:p w14:paraId="44F892C2" w14:textId="77777777" w:rsidR="00DE01AF" w:rsidRDefault="00DE01AF" w:rsidP="00DE01AF">
      <w:pPr>
        <w:pStyle w:val="Heading2"/>
      </w:pPr>
      <w:bookmarkStart w:id="155" w:name="_Toc269910595"/>
      <w:bookmarkStart w:id="156" w:name="_Toc290886645"/>
      <w:r>
        <w:t>3) Are services licensed?</w:t>
      </w:r>
      <w:bookmarkEnd w:id="155"/>
      <w:bookmarkEnd w:id="156"/>
    </w:p>
    <w:p w14:paraId="0F22E8FB" w14:textId="77777777" w:rsidR="00DE01AF" w:rsidRPr="00676A74" w:rsidRDefault="00DE01AF" w:rsidP="00DE01AF">
      <w:pPr>
        <w:rPr>
          <w:lang w:eastAsia="en-IE"/>
        </w:rPr>
      </w:pPr>
      <w:r w:rsidRPr="00676A74">
        <w:rPr>
          <w:lang w:eastAsia="en-IE"/>
        </w:rPr>
        <w:t xml:space="preserve">Key health and personal services </w:t>
      </w:r>
      <w:r>
        <w:rPr>
          <w:lang w:eastAsia="en-IE"/>
        </w:rPr>
        <w:t>of relevance to</w:t>
      </w:r>
      <w:r w:rsidRPr="00676A74">
        <w:rPr>
          <w:lang w:eastAsia="en-IE"/>
        </w:rPr>
        <w:t xml:space="preserve"> people with disabilities </w:t>
      </w:r>
      <w:r>
        <w:rPr>
          <w:lang w:eastAsia="en-IE"/>
        </w:rPr>
        <w:t>that must be certified</w:t>
      </w:r>
      <w:r w:rsidRPr="00676A74">
        <w:rPr>
          <w:lang w:eastAsia="en-IE"/>
        </w:rPr>
        <w:t xml:space="preserve"> under the Health and Disabi</w:t>
      </w:r>
      <w:r>
        <w:rPr>
          <w:lang w:eastAsia="en-IE"/>
        </w:rPr>
        <w:t>lity Services (Safety) Act 2001</w:t>
      </w:r>
      <w:r w:rsidRPr="00676A74">
        <w:rPr>
          <w:lang w:eastAsia="en-IE"/>
        </w:rPr>
        <w:t xml:space="preserve"> include: rest homes, hospitals and residential services for five or more residents.</w:t>
      </w:r>
    </w:p>
    <w:p w14:paraId="4950AA1E" w14:textId="77777777" w:rsidR="00DE01AF" w:rsidRDefault="00DE01AF" w:rsidP="00DE01AF">
      <w:pPr>
        <w:rPr>
          <w:lang w:eastAsia="en-IE"/>
        </w:rPr>
      </w:pPr>
      <w:r>
        <w:rPr>
          <w:lang w:eastAsia="en-IE"/>
        </w:rPr>
        <w:t>In order to</w:t>
      </w:r>
      <w:r w:rsidRPr="00676A74">
        <w:rPr>
          <w:lang w:eastAsia="en-IE"/>
        </w:rPr>
        <w:t xml:space="preserve"> </w:t>
      </w:r>
      <w:r>
        <w:rPr>
          <w:lang w:eastAsia="en-IE"/>
        </w:rPr>
        <w:t>qualify for</w:t>
      </w:r>
      <w:r w:rsidRPr="00676A74">
        <w:rPr>
          <w:lang w:eastAsia="en-IE"/>
        </w:rPr>
        <w:t xml:space="preserve"> certification</w:t>
      </w:r>
      <w:r>
        <w:rPr>
          <w:lang w:eastAsia="en-IE"/>
        </w:rPr>
        <w:t xml:space="preserve">, </w:t>
      </w:r>
      <w:r w:rsidRPr="00676A74">
        <w:rPr>
          <w:lang w:eastAsia="en-IE"/>
        </w:rPr>
        <w:t>servi</w:t>
      </w:r>
      <w:r>
        <w:rPr>
          <w:lang w:eastAsia="en-IE"/>
        </w:rPr>
        <w:t>ce</w:t>
      </w:r>
      <w:r w:rsidRPr="00676A74">
        <w:rPr>
          <w:lang w:eastAsia="en-IE"/>
        </w:rPr>
        <w:t xml:space="preserve"> provider</w:t>
      </w:r>
      <w:r>
        <w:rPr>
          <w:lang w:eastAsia="en-IE"/>
        </w:rPr>
        <w:t xml:space="preserve">s must pass a prescribed certification audit that will satisfy </w:t>
      </w:r>
      <w:r w:rsidRPr="00676A74">
        <w:rPr>
          <w:lang w:eastAsia="en-IE"/>
        </w:rPr>
        <w:t xml:space="preserve">the Director-General of Health that the </w:t>
      </w:r>
      <w:r>
        <w:rPr>
          <w:lang w:eastAsia="en-IE"/>
        </w:rPr>
        <w:t>services they provide meet</w:t>
      </w:r>
      <w:r w:rsidRPr="00676A74">
        <w:rPr>
          <w:lang w:eastAsia="en-IE"/>
        </w:rPr>
        <w:t xml:space="preserve"> </w:t>
      </w:r>
      <w:r>
        <w:rPr>
          <w:lang w:eastAsia="en-IE"/>
        </w:rPr>
        <w:t>prescribed Service Standards.</w:t>
      </w:r>
    </w:p>
    <w:p w14:paraId="369B1EEF" w14:textId="77777777" w:rsidR="00DE01AF" w:rsidRDefault="00DE01AF" w:rsidP="00DE01AF">
      <w:pPr>
        <w:rPr>
          <w:lang w:eastAsia="en-IE"/>
        </w:rPr>
      </w:pPr>
      <w:r>
        <w:t>These audits are conducted</w:t>
      </w:r>
      <w:r w:rsidRPr="003D0E65">
        <w:t xml:space="preserve"> by a small group of </w:t>
      </w:r>
      <w:r>
        <w:t xml:space="preserve">government-approved </w:t>
      </w:r>
      <w:r w:rsidRPr="003D0E65">
        <w:t>agencies</w:t>
      </w:r>
      <w:r>
        <w:t>,</w:t>
      </w:r>
      <w:r w:rsidRPr="003D0E65">
        <w:t xml:space="preserve"> each </w:t>
      </w:r>
      <w:r>
        <w:t xml:space="preserve">of which is designated </w:t>
      </w:r>
      <w:r w:rsidRPr="003D0E65">
        <w:t xml:space="preserve">to conduct </w:t>
      </w:r>
      <w:r>
        <w:t>c</w:t>
      </w:r>
      <w:r w:rsidRPr="003D0E65">
        <w:t>ertification</w:t>
      </w:r>
      <w:r>
        <w:t>-</w:t>
      </w:r>
      <w:r w:rsidRPr="003D0E65">
        <w:t>, conditional</w:t>
      </w:r>
      <w:r>
        <w:t>-</w:t>
      </w:r>
      <w:r w:rsidRPr="003D0E65">
        <w:t xml:space="preserve">, </w:t>
      </w:r>
      <w:r w:rsidRPr="003D0E65">
        <w:lastRenderedPageBreak/>
        <w:t>surveillance</w:t>
      </w:r>
      <w:r>
        <w:t>-</w:t>
      </w:r>
      <w:r w:rsidRPr="003D0E65">
        <w:t xml:space="preserve"> and progress</w:t>
      </w:r>
      <w:r>
        <w:t>-</w:t>
      </w:r>
      <w:r w:rsidRPr="003D0E65">
        <w:t>reporting</w:t>
      </w:r>
      <w:r>
        <w:t>-</w:t>
      </w:r>
      <w:r w:rsidRPr="003D0E65">
        <w:t xml:space="preserve"> audits in relation to </w:t>
      </w:r>
      <w:r>
        <w:t>specific</w:t>
      </w:r>
      <w:r w:rsidRPr="003D0E65">
        <w:t xml:space="preserve"> types of services.  </w:t>
      </w:r>
    </w:p>
    <w:p w14:paraId="77FE8F16" w14:textId="77777777" w:rsidR="00DE01AF" w:rsidRDefault="00DE01AF" w:rsidP="00DE01AF">
      <w:r>
        <w:t>R</w:t>
      </w:r>
      <w:r w:rsidRPr="003D39C3">
        <w:t>esidential care facilities are certified for set periods of time up to a maximum of five</w:t>
      </w:r>
      <w:r>
        <w:t xml:space="preserve"> </w:t>
      </w:r>
      <w:r w:rsidRPr="003D39C3">
        <w:t xml:space="preserve">years. When the certification expires, facilities must be re-audited and their certification renewed. </w:t>
      </w:r>
    </w:p>
    <w:p w14:paraId="7BC43E24" w14:textId="77777777" w:rsidR="00DE01AF" w:rsidRDefault="00DE01AF" w:rsidP="00DE01AF">
      <w:pPr>
        <w:rPr>
          <w:color w:val="000000"/>
          <w:lang w:eastAsia="en-IE"/>
        </w:rPr>
      </w:pPr>
      <w:r w:rsidRPr="00676A74">
        <w:rPr>
          <w:color w:val="000000"/>
          <w:lang w:eastAsia="en-IE"/>
        </w:rPr>
        <w:t xml:space="preserve">Progress reporting is required in relation to </w:t>
      </w:r>
      <w:r>
        <w:rPr>
          <w:color w:val="000000"/>
          <w:lang w:eastAsia="en-IE"/>
        </w:rPr>
        <w:t xml:space="preserve">any </w:t>
      </w:r>
      <w:r w:rsidRPr="00676A74">
        <w:rPr>
          <w:color w:val="000000"/>
          <w:lang w:eastAsia="en-IE"/>
        </w:rPr>
        <w:t>conditional certification</w:t>
      </w:r>
      <w:r>
        <w:rPr>
          <w:color w:val="000000"/>
          <w:lang w:eastAsia="en-IE"/>
        </w:rPr>
        <w:t xml:space="preserve"> made</w:t>
      </w:r>
      <w:r w:rsidRPr="00676A74">
        <w:rPr>
          <w:color w:val="000000"/>
          <w:lang w:eastAsia="en-IE"/>
        </w:rPr>
        <w:t>.</w:t>
      </w:r>
    </w:p>
    <w:p w14:paraId="3290F4B9" w14:textId="77777777" w:rsidR="00DE01AF" w:rsidRDefault="00DE01AF" w:rsidP="00DE01AF">
      <w:pPr>
        <w:rPr>
          <w:color w:val="000000"/>
          <w:lang w:eastAsia="en-IE"/>
        </w:rPr>
      </w:pPr>
      <w:r>
        <w:rPr>
          <w:color w:val="000000"/>
          <w:lang w:eastAsia="en-IE"/>
        </w:rPr>
        <w:t xml:space="preserve">The Minister oversees appointments for regulation and overview of health and personal social care practitioners covered in the Health Practitioners Competence Assurance Act, 2003 - and the principal </w:t>
      </w:r>
      <w:r w:rsidRPr="00967E67">
        <w:t xml:space="preserve">statutory </w:t>
      </w:r>
      <w:r>
        <w:rPr>
          <w:color w:val="000000"/>
          <w:lang w:eastAsia="en-IE"/>
        </w:rPr>
        <w:t>offices such as Medical Officers of Health and Health Protection Officers.</w:t>
      </w:r>
    </w:p>
    <w:p w14:paraId="7E092A9B" w14:textId="77777777" w:rsidR="00DE01AF" w:rsidRDefault="00DE01AF" w:rsidP="00DE01AF">
      <w:pPr>
        <w:pStyle w:val="Heading2"/>
      </w:pPr>
      <w:bookmarkStart w:id="157" w:name="_Toc269910596"/>
      <w:bookmarkStart w:id="158" w:name="_Toc290886646"/>
      <w:r>
        <w:t>4) What regulations apply?</w:t>
      </w:r>
      <w:bookmarkEnd w:id="157"/>
      <w:bookmarkEnd w:id="158"/>
    </w:p>
    <w:p w14:paraId="40B46E80" w14:textId="77777777" w:rsidR="00DE01AF" w:rsidRPr="003D39C3" w:rsidRDefault="00DE01AF" w:rsidP="00347510">
      <w:pPr>
        <w:spacing w:after="120"/>
        <w:rPr>
          <w:lang w:eastAsia="en-IE"/>
        </w:rPr>
      </w:pPr>
      <w:r w:rsidRPr="003D39C3">
        <w:rPr>
          <w:lang w:eastAsia="en-IE"/>
        </w:rPr>
        <w:t>Health and disability services that are required to be certified under the Health and Disability Services (Safety) Act 2001 are required comply with all relevant legislation and Standards as set out at 6, below, unless exempted as follows:</w:t>
      </w:r>
    </w:p>
    <w:p w14:paraId="64FFF772" w14:textId="77777777" w:rsidR="00DE01AF" w:rsidRPr="003D39C3" w:rsidRDefault="00DE01AF" w:rsidP="00DE01AF">
      <w:pPr>
        <w:pStyle w:val="ListBullet"/>
        <w:rPr>
          <w:lang w:eastAsia="en-IE"/>
        </w:rPr>
      </w:pPr>
      <w:r w:rsidRPr="003D39C3">
        <w:rPr>
          <w:lang w:eastAsia="en-IE"/>
        </w:rPr>
        <w:t xml:space="preserve">where the Minister has granted an exemption to a provider; OR </w:t>
      </w:r>
    </w:p>
    <w:p w14:paraId="4AC4AD2D" w14:textId="77777777" w:rsidR="00DE01AF" w:rsidRPr="003D39C3" w:rsidRDefault="00DE01AF" w:rsidP="00DE01AF">
      <w:pPr>
        <w:pStyle w:val="ListBullet"/>
        <w:rPr>
          <w:lang w:eastAsia="en-IE"/>
        </w:rPr>
      </w:pPr>
      <w:r w:rsidRPr="003D39C3">
        <w:rPr>
          <w:lang w:eastAsia="en-IE"/>
        </w:rPr>
        <w:t>where the Standard specifies it applies only to some heal</w:t>
      </w:r>
      <w:r w:rsidR="007541A2">
        <w:rPr>
          <w:lang w:eastAsia="en-IE"/>
        </w:rPr>
        <w:t>th or disability services, e.g.:</w:t>
      </w:r>
    </w:p>
    <w:p w14:paraId="76346C3D" w14:textId="77777777" w:rsidR="00DE01AF" w:rsidRPr="003D39C3" w:rsidRDefault="00DE01AF" w:rsidP="00DE01AF">
      <w:pPr>
        <w:pStyle w:val="ListBullet2"/>
        <w:rPr>
          <w:lang w:eastAsia="en-IE"/>
        </w:rPr>
      </w:pPr>
      <w:r>
        <w:rPr>
          <w:lang w:eastAsia="en-IE"/>
        </w:rPr>
        <w:t>i</w:t>
      </w:r>
      <w:r w:rsidRPr="003D39C3">
        <w:rPr>
          <w:lang w:eastAsia="en-IE"/>
        </w:rPr>
        <w:t>n</w:t>
      </w:r>
      <w:r w:rsidR="007541A2">
        <w:rPr>
          <w:lang w:eastAsia="en-IE"/>
        </w:rPr>
        <w:t>tellectual disability services</w:t>
      </w:r>
    </w:p>
    <w:p w14:paraId="542958A5" w14:textId="77777777" w:rsidR="00DE01AF" w:rsidRPr="003D39C3" w:rsidRDefault="00DE01AF" w:rsidP="00DE01AF">
      <w:pPr>
        <w:pStyle w:val="ListBullet2"/>
        <w:rPr>
          <w:lang w:eastAsia="en-IE"/>
        </w:rPr>
      </w:pPr>
      <w:r>
        <w:rPr>
          <w:lang w:eastAsia="en-IE"/>
        </w:rPr>
        <w:t>m</w:t>
      </w:r>
      <w:r w:rsidRPr="003D39C3">
        <w:rPr>
          <w:lang w:eastAsia="en-IE"/>
        </w:rPr>
        <w:t>ental</w:t>
      </w:r>
      <w:r w:rsidR="007541A2">
        <w:rPr>
          <w:lang w:eastAsia="en-IE"/>
        </w:rPr>
        <w:t xml:space="preserve"> health and addiction services;</w:t>
      </w:r>
    </w:p>
    <w:p w14:paraId="513A8EC7" w14:textId="77777777" w:rsidR="00DE01AF" w:rsidRPr="003D39C3" w:rsidRDefault="00DE01AF" w:rsidP="00DE01AF">
      <w:pPr>
        <w:pStyle w:val="ListBullet2"/>
        <w:rPr>
          <w:lang w:eastAsia="en-IE"/>
        </w:rPr>
      </w:pPr>
      <w:r>
        <w:rPr>
          <w:lang w:eastAsia="en-IE"/>
        </w:rPr>
        <w:t>a</w:t>
      </w:r>
      <w:r w:rsidRPr="003D39C3">
        <w:rPr>
          <w:lang w:eastAsia="en-IE"/>
        </w:rPr>
        <w:t>cute, secondary, or tertiary services</w:t>
      </w:r>
      <w:r w:rsidR="007541A2">
        <w:rPr>
          <w:lang w:eastAsia="en-IE"/>
        </w:rPr>
        <w:t xml:space="preserve"> </w:t>
      </w:r>
      <w:r w:rsidRPr="003D39C3">
        <w:rPr>
          <w:lang w:eastAsia="en-IE"/>
        </w:rPr>
        <w:t xml:space="preserve">OR </w:t>
      </w:r>
    </w:p>
    <w:p w14:paraId="4E844428" w14:textId="77777777" w:rsidR="00DE01AF" w:rsidRPr="003D39C3" w:rsidRDefault="00DE01AF" w:rsidP="00DE01AF">
      <w:pPr>
        <w:pStyle w:val="ListBullet"/>
        <w:rPr>
          <w:lang w:eastAsia="en-IE"/>
        </w:rPr>
      </w:pPr>
      <w:r w:rsidRPr="003D39C3">
        <w:rPr>
          <w:lang w:eastAsia="en-IE"/>
        </w:rPr>
        <w:t>where the service can demonstrate that the Standard is not relevant to the servi</w:t>
      </w:r>
      <w:r w:rsidR="007541A2">
        <w:rPr>
          <w:lang w:eastAsia="en-IE"/>
        </w:rPr>
        <w:t>ce and therefore does not apply</w:t>
      </w:r>
    </w:p>
    <w:p w14:paraId="43378088" w14:textId="77777777" w:rsidR="00DE01AF" w:rsidRDefault="00DE01AF" w:rsidP="00DE01AF">
      <w:r>
        <w:t>In addition, a</w:t>
      </w:r>
      <w:r w:rsidRPr="00274C0C">
        <w:t xml:space="preserve"> Code of Health and Disability Services Consumers' Rights </w:t>
      </w:r>
      <w:r>
        <w:t xml:space="preserve">which has regulatory effect </w:t>
      </w:r>
      <w:r w:rsidRPr="00274C0C">
        <w:t xml:space="preserve">under the Health and Disability Commissioner Act. It confers a number of rights on all consumers of health and disability services in </w:t>
      </w:r>
      <w:smartTag w:uri="urn:schemas-microsoft-com:office:smarttags" w:element="country-region">
        <w:smartTag w:uri="urn:schemas-microsoft-com:office:smarttags" w:element="place">
          <w:r w:rsidRPr="00274C0C">
            <w:t>New Zealand</w:t>
          </w:r>
        </w:smartTag>
      </w:smartTag>
      <w:r w:rsidRPr="00274C0C">
        <w:t xml:space="preserve"> and places corresponding obligations on providers of those services.</w:t>
      </w:r>
    </w:p>
    <w:p w14:paraId="434ABE9E" w14:textId="77777777" w:rsidR="00DE01AF" w:rsidRDefault="00DE01AF" w:rsidP="00DE01AF">
      <w:pPr>
        <w:rPr>
          <w:rFonts w:cs="Arial"/>
          <w:lang w:eastAsia="en-IE"/>
        </w:rPr>
      </w:pPr>
      <w:r w:rsidRPr="00A34C70">
        <w:rPr>
          <w:rFonts w:cs="Arial"/>
          <w:lang w:eastAsia="en-IE"/>
        </w:rPr>
        <w:t>The other main regulatory instrument</w:t>
      </w:r>
      <w:r>
        <w:rPr>
          <w:rFonts w:cs="Arial"/>
          <w:lang w:eastAsia="en-IE"/>
        </w:rPr>
        <w:t>s</w:t>
      </w:r>
      <w:r w:rsidRPr="00A34C70">
        <w:rPr>
          <w:rFonts w:cs="Arial"/>
          <w:lang w:eastAsia="en-IE"/>
        </w:rPr>
        <w:t xml:space="preserve"> for health and personal care services </w:t>
      </w:r>
      <w:r>
        <w:rPr>
          <w:rFonts w:cs="Arial"/>
          <w:lang w:eastAsia="en-IE"/>
        </w:rPr>
        <w:t xml:space="preserve">for people with disabilities </w:t>
      </w:r>
      <w:r w:rsidRPr="00A34C70">
        <w:rPr>
          <w:rFonts w:cs="Arial"/>
          <w:lang w:eastAsia="en-IE"/>
        </w:rPr>
        <w:t xml:space="preserve">in </w:t>
      </w:r>
      <w:smartTag w:uri="urn:schemas-microsoft-com:office:smarttags" w:element="country-region">
        <w:smartTag w:uri="urn:schemas-microsoft-com:office:smarttags" w:element="place">
          <w:r w:rsidRPr="00A34C70">
            <w:rPr>
              <w:rFonts w:cs="Arial"/>
              <w:lang w:eastAsia="en-IE"/>
            </w:rPr>
            <w:t>New Zealand</w:t>
          </w:r>
        </w:smartTag>
      </w:smartTag>
      <w:r w:rsidRPr="00A34C70">
        <w:rPr>
          <w:rFonts w:cs="Arial"/>
          <w:lang w:eastAsia="en-IE"/>
        </w:rPr>
        <w:t xml:space="preserve"> </w:t>
      </w:r>
      <w:r>
        <w:rPr>
          <w:rFonts w:cs="Arial"/>
          <w:lang w:eastAsia="en-IE"/>
        </w:rPr>
        <w:t xml:space="preserve">are the Mental Health (Compulsory Assessment and Treatment) Act, 1992 and </w:t>
      </w:r>
      <w:r w:rsidRPr="00A34C70">
        <w:rPr>
          <w:rFonts w:cs="Arial"/>
          <w:lang w:eastAsia="en-IE"/>
        </w:rPr>
        <w:t>the Health and Disability Commissioner Act</w:t>
      </w:r>
      <w:r>
        <w:rPr>
          <w:rFonts w:cs="Arial"/>
          <w:lang w:eastAsia="en-IE"/>
        </w:rPr>
        <w:t>,</w:t>
      </w:r>
      <w:r w:rsidRPr="00A34C70">
        <w:rPr>
          <w:rFonts w:cs="Arial"/>
          <w:lang w:eastAsia="en-IE"/>
        </w:rPr>
        <w:t xml:space="preserve"> 1994.</w:t>
      </w:r>
    </w:p>
    <w:p w14:paraId="257F8BBE" w14:textId="77777777" w:rsidR="00DE01AF" w:rsidRDefault="00DE01AF" w:rsidP="00DE01AF">
      <w:pPr>
        <w:pStyle w:val="Heading2"/>
      </w:pPr>
      <w:bookmarkStart w:id="159" w:name="_Toc269910597"/>
      <w:bookmarkStart w:id="160" w:name="_Toc290886647"/>
      <w:r>
        <w:t>5) Are services inspected?</w:t>
      </w:r>
      <w:bookmarkEnd w:id="159"/>
      <w:bookmarkEnd w:id="160"/>
    </w:p>
    <w:p w14:paraId="2920B16C" w14:textId="77777777" w:rsidR="00DE01AF" w:rsidRDefault="00DE01AF" w:rsidP="00347510">
      <w:pPr>
        <w:spacing w:after="120"/>
      </w:pPr>
      <w:r w:rsidRPr="003D39C3">
        <w:t>The Health and Disability Services (Safety) Act 2001, requires that rest homes and residential care facilities</w:t>
      </w:r>
      <w:r>
        <w:t xml:space="preserve"> for five or more people</w:t>
      </w:r>
      <w:r w:rsidRPr="003D39C3">
        <w:t xml:space="preserve"> must be audited and certified to ensure:</w:t>
      </w:r>
    </w:p>
    <w:p w14:paraId="664334F4" w14:textId="77777777" w:rsidR="00DE01AF" w:rsidRPr="003D39C3" w:rsidRDefault="00DE01AF" w:rsidP="00DE01AF">
      <w:pPr>
        <w:pStyle w:val="ListBullet"/>
      </w:pPr>
      <w:r w:rsidRPr="003D39C3">
        <w:t xml:space="preserve">they are providing safe and reasonable care and </w:t>
      </w:r>
    </w:p>
    <w:p w14:paraId="3B5361BD" w14:textId="77777777" w:rsidR="00DE01AF" w:rsidRPr="00D80D5F" w:rsidRDefault="00DE01AF" w:rsidP="00DE01AF">
      <w:pPr>
        <w:pStyle w:val="ListBullet"/>
        <w:rPr>
          <w:color w:val="000000"/>
          <w:lang w:eastAsia="en-IE"/>
        </w:rPr>
      </w:pPr>
      <w:r w:rsidRPr="003D39C3">
        <w:t>meet t</w:t>
      </w:r>
      <w:r w:rsidR="007541A2">
        <w:t>he standards set out in the Act</w:t>
      </w:r>
    </w:p>
    <w:p w14:paraId="08D9551F" w14:textId="77777777" w:rsidR="00DE01AF" w:rsidRDefault="00DE01AF" w:rsidP="00DE01AF">
      <w:pPr>
        <w:rPr>
          <w:lang w:eastAsia="en-IE"/>
        </w:rPr>
      </w:pPr>
      <w:r>
        <w:lastRenderedPageBreak/>
        <w:t xml:space="preserve">Both the Mental Health </w:t>
      </w:r>
      <w:r>
        <w:rPr>
          <w:lang w:eastAsia="en-IE"/>
        </w:rPr>
        <w:t>(Compulsory Assessment and Treatment) Act, 1992 and the Intellectual Disability (Compulsory Care and Rehabilitation) Act, 2003 provide for the appointment and deployment of district inspectors and official visitors as independent monitors of inpatient and outpatient, secure and supervised assessment and treatment care services.</w:t>
      </w:r>
    </w:p>
    <w:p w14:paraId="14A3485A" w14:textId="77777777" w:rsidR="00DE01AF" w:rsidRDefault="00DE01AF" w:rsidP="00DE01AF">
      <w:pPr>
        <w:rPr>
          <w:lang w:eastAsia="en-IE"/>
        </w:rPr>
      </w:pPr>
      <w:r>
        <w:rPr>
          <w:lang w:eastAsia="en-IE"/>
        </w:rPr>
        <w:t>L</w:t>
      </w:r>
      <w:r w:rsidRPr="00D24629">
        <w:rPr>
          <w:lang w:eastAsia="en-IE"/>
        </w:rPr>
        <w:t xml:space="preserve">awyers </w:t>
      </w:r>
      <w:r>
        <w:rPr>
          <w:lang w:eastAsia="en-IE"/>
        </w:rPr>
        <w:t xml:space="preserve">are </w:t>
      </w:r>
      <w:r w:rsidRPr="00D24629">
        <w:rPr>
          <w:lang w:eastAsia="en-IE"/>
        </w:rPr>
        <w:t>appointed</w:t>
      </w:r>
      <w:r>
        <w:rPr>
          <w:lang w:eastAsia="en-IE"/>
        </w:rPr>
        <w:t xml:space="preserve"> as inspectors under the</w:t>
      </w:r>
      <w:r w:rsidRPr="00D24629">
        <w:rPr>
          <w:lang w:eastAsia="en-IE"/>
        </w:rPr>
        <w:t xml:space="preserve"> </w:t>
      </w:r>
      <w:r>
        <w:rPr>
          <w:lang w:eastAsia="en-IE"/>
        </w:rPr>
        <w:t xml:space="preserve">Intellectual Disability (Compulsory Care and Rehabilitation) Act, 2003 to </w:t>
      </w:r>
      <w:r w:rsidRPr="00D24629">
        <w:rPr>
          <w:lang w:eastAsia="en-IE"/>
        </w:rPr>
        <w:t xml:space="preserve">ensure that </w:t>
      </w:r>
      <w:r>
        <w:rPr>
          <w:lang w:eastAsia="en-IE"/>
        </w:rPr>
        <w:t>people who are being provided with compulsory care</w:t>
      </w:r>
      <w:r w:rsidRPr="00D24629">
        <w:rPr>
          <w:lang w:eastAsia="en-IE"/>
        </w:rPr>
        <w:t xml:space="preserve"> have their</w:t>
      </w:r>
      <w:r>
        <w:rPr>
          <w:lang w:eastAsia="en-IE"/>
        </w:rPr>
        <w:t xml:space="preserve"> rights upheld</w:t>
      </w:r>
      <w:r w:rsidRPr="00D24629">
        <w:rPr>
          <w:lang w:eastAsia="en-IE"/>
        </w:rPr>
        <w:t>.</w:t>
      </w:r>
    </w:p>
    <w:p w14:paraId="571B601D" w14:textId="77777777" w:rsidR="00DE01AF" w:rsidRDefault="00DE01AF" w:rsidP="00DE01AF">
      <w:r>
        <w:rPr>
          <w:lang w:eastAsia="en-IE"/>
        </w:rPr>
        <w:t>The Ministry of Health agreement with Disability Service Providers allows for access to the providers premises, records, service users and their families, and staff or other personnel for the purposes of and during the course of carrying out a quality audit/evaluation or review.</w:t>
      </w:r>
      <w:r w:rsidRPr="00D24629">
        <w:br/>
      </w:r>
    </w:p>
    <w:p w14:paraId="504313F2" w14:textId="77777777" w:rsidR="00DE01AF" w:rsidRDefault="00DE01AF" w:rsidP="00DE01AF">
      <w:pPr>
        <w:pStyle w:val="Heading2"/>
      </w:pPr>
      <w:bookmarkStart w:id="161" w:name="_Toc269910598"/>
      <w:bookmarkStart w:id="162" w:name="_Toc290886648"/>
      <w:r>
        <w:t>6) What standards exist to support such inspections?</w:t>
      </w:r>
      <w:bookmarkEnd w:id="161"/>
      <w:bookmarkEnd w:id="162"/>
    </w:p>
    <w:p w14:paraId="38611BD5" w14:textId="77777777" w:rsidR="00DE01AF" w:rsidRPr="003D39C3" w:rsidRDefault="00DE01AF" w:rsidP="00DE01AF">
      <w:r w:rsidRPr="003D39C3">
        <w:t>New Health and Disability Services Standards were published by the New Zealand Government in October 2008. These standards came into force 1 June 2009.</w:t>
      </w:r>
    </w:p>
    <w:p w14:paraId="007589F5" w14:textId="77777777" w:rsidR="00DE01AF" w:rsidRPr="003D39C3" w:rsidRDefault="00DE01AF" w:rsidP="00DE01AF">
      <w:pPr>
        <w:rPr>
          <w:color w:val="000000"/>
          <w:lang w:eastAsia="en-IE"/>
        </w:rPr>
      </w:pPr>
      <w:r>
        <w:rPr>
          <w:color w:val="000000"/>
          <w:lang w:eastAsia="en-IE"/>
        </w:rPr>
        <w:t>The</w:t>
      </w:r>
      <w:r w:rsidRPr="003D39C3">
        <w:rPr>
          <w:color w:val="000000"/>
          <w:lang w:eastAsia="en-IE"/>
        </w:rPr>
        <w:t xml:space="preserve"> </w:t>
      </w:r>
      <w:r>
        <w:rPr>
          <w:color w:val="000000"/>
          <w:lang w:eastAsia="en-IE"/>
        </w:rPr>
        <w:t xml:space="preserve">stated </w:t>
      </w:r>
      <w:r w:rsidRPr="003D39C3">
        <w:rPr>
          <w:color w:val="000000"/>
          <w:lang w:eastAsia="en-IE"/>
        </w:rPr>
        <w:t xml:space="preserve">aim </w:t>
      </w:r>
      <w:r>
        <w:rPr>
          <w:color w:val="000000"/>
          <w:lang w:eastAsia="en-IE"/>
        </w:rPr>
        <w:t xml:space="preserve">of the Standards </w:t>
      </w:r>
      <w:r w:rsidRPr="003D39C3">
        <w:rPr>
          <w:color w:val="000000"/>
          <w:lang w:eastAsia="en-IE"/>
        </w:rPr>
        <w:t xml:space="preserve">is to support the safe provision of services to consumers and set the minimum standard for rest homes hospitals and providers of residential care. </w:t>
      </w:r>
    </w:p>
    <w:p w14:paraId="383A2BBC" w14:textId="77777777" w:rsidR="00DE01AF" w:rsidRPr="003D39C3" w:rsidRDefault="00DE01AF" w:rsidP="00DE01AF">
      <w:pPr>
        <w:rPr>
          <w:color w:val="000000"/>
          <w:lang w:eastAsia="en-IE"/>
        </w:rPr>
      </w:pPr>
      <w:r>
        <w:rPr>
          <w:color w:val="000000"/>
          <w:lang w:eastAsia="en-IE"/>
        </w:rPr>
        <w:t xml:space="preserve">They </w:t>
      </w:r>
      <w:r w:rsidRPr="003D39C3">
        <w:rPr>
          <w:color w:val="000000"/>
          <w:lang w:eastAsia="en-IE"/>
        </w:rPr>
        <w:t xml:space="preserve">are mandatory for providers of health care services that are subject to the Health and Disability Services (Safety) Act 2001. </w:t>
      </w:r>
    </w:p>
    <w:p w14:paraId="2AAC99D3" w14:textId="77777777" w:rsidR="00DE01AF" w:rsidRPr="003D39C3" w:rsidRDefault="00DE01AF" w:rsidP="00347510">
      <w:pPr>
        <w:spacing w:after="120"/>
        <w:rPr>
          <w:lang w:eastAsia="en-IE"/>
        </w:rPr>
      </w:pPr>
      <w:r>
        <w:rPr>
          <w:lang w:eastAsia="en-IE"/>
        </w:rPr>
        <w:t>The Standards cover</w:t>
      </w:r>
      <w:r w:rsidRPr="003D39C3">
        <w:rPr>
          <w:lang w:eastAsia="en-IE"/>
        </w:rPr>
        <w:t>:</w:t>
      </w:r>
    </w:p>
    <w:p w14:paraId="3A960061" w14:textId="77777777" w:rsidR="00DE01AF" w:rsidRPr="003D39C3" w:rsidRDefault="00DE01AF" w:rsidP="00DE01AF">
      <w:pPr>
        <w:pStyle w:val="ListBullet"/>
        <w:rPr>
          <w:lang w:eastAsia="en-IE"/>
        </w:rPr>
      </w:pPr>
      <w:r w:rsidRPr="003D39C3">
        <w:rPr>
          <w:lang w:eastAsia="en-IE"/>
        </w:rPr>
        <w:t xml:space="preserve">Consumer rights </w:t>
      </w:r>
    </w:p>
    <w:p w14:paraId="27996314" w14:textId="77777777" w:rsidR="00DE01AF" w:rsidRPr="003D39C3" w:rsidRDefault="00DE01AF" w:rsidP="00DE01AF">
      <w:pPr>
        <w:pStyle w:val="ListBullet"/>
        <w:rPr>
          <w:lang w:eastAsia="en-IE"/>
        </w:rPr>
      </w:pPr>
      <w:r w:rsidRPr="003D39C3">
        <w:rPr>
          <w:lang w:eastAsia="en-IE"/>
        </w:rPr>
        <w:t xml:space="preserve">Organisational management </w:t>
      </w:r>
    </w:p>
    <w:p w14:paraId="427AC7F0" w14:textId="77777777" w:rsidR="00DE01AF" w:rsidRPr="003D39C3" w:rsidRDefault="00DE01AF" w:rsidP="00DE01AF">
      <w:pPr>
        <w:pStyle w:val="ListBullet"/>
        <w:rPr>
          <w:lang w:eastAsia="en-IE"/>
        </w:rPr>
      </w:pPr>
      <w:r w:rsidRPr="003D39C3">
        <w:rPr>
          <w:lang w:eastAsia="en-IE"/>
        </w:rPr>
        <w:t xml:space="preserve">Service delivery </w:t>
      </w:r>
    </w:p>
    <w:p w14:paraId="7B551B93" w14:textId="77777777" w:rsidR="00DE01AF" w:rsidRPr="003D39C3" w:rsidRDefault="00DE01AF" w:rsidP="00DE01AF">
      <w:pPr>
        <w:pStyle w:val="ListBullet"/>
        <w:rPr>
          <w:lang w:eastAsia="en-IE"/>
        </w:rPr>
      </w:pPr>
      <w:r w:rsidRPr="003D39C3">
        <w:rPr>
          <w:lang w:eastAsia="en-IE"/>
        </w:rPr>
        <w:t xml:space="preserve">Safe and appropriate environments </w:t>
      </w:r>
    </w:p>
    <w:p w14:paraId="0B0FCAFF" w14:textId="77777777" w:rsidR="00DE01AF" w:rsidRPr="003D39C3" w:rsidRDefault="00DE01AF" w:rsidP="00DE01AF">
      <w:pPr>
        <w:pStyle w:val="ListBullet"/>
        <w:rPr>
          <w:lang w:eastAsia="en-IE"/>
        </w:rPr>
      </w:pPr>
      <w:r w:rsidRPr="003D39C3">
        <w:rPr>
          <w:lang w:eastAsia="en-IE"/>
        </w:rPr>
        <w:t xml:space="preserve">Infection control </w:t>
      </w:r>
    </w:p>
    <w:p w14:paraId="77EB3E06" w14:textId="77777777" w:rsidR="00DE01AF" w:rsidRPr="003D39C3" w:rsidRDefault="007541A2" w:rsidP="00DE01AF">
      <w:pPr>
        <w:pStyle w:val="ListBullet"/>
        <w:rPr>
          <w:lang w:eastAsia="en-IE"/>
        </w:rPr>
      </w:pPr>
      <w:r>
        <w:rPr>
          <w:lang w:eastAsia="en-IE"/>
        </w:rPr>
        <w:t>Restraint Minimisation</w:t>
      </w:r>
    </w:p>
    <w:p w14:paraId="16B75E86" w14:textId="77777777" w:rsidR="00DE01AF" w:rsidRPr="003D39C3" w:rsidRDefault="00DE01AF" w:rsidP="00DE01AF">
      <w:r>
        <w:t xml:space="preserve">They </w:t>
      </w:r>
      <w:r w:rsidRPr="003D39C3">
        <w:t>have been set out in a way that allows each service provider interpret the</w:t>
      </w:r>
      <w:r>
        <w:t>ir</w:t>
      </w:r>
      <w:r w:rsidRPr="003D39C3">
        <w:t xml:space="preserve"> intent in</w:t>
      </w:r>
      <w:r>
        <w:t xml:space="preserve"> a way that is appropriate to the particular services they provide and</w:t>
      </w:r>
      <w:r w:rsidRPr="003D39C3">
        <w:t xml:space="preserve"> the context </w:t>
      </w:r>
      <w:r>
        <w:t>in which these are provided</w:t>
      </w:r>
      <w:r w:rsidRPr="003D39C3">
        <w:t>.</w:t>
      </w:r>
    </w:p>
    <w:p w14:paraId="13B1F55A" w14:textId="77777777" w:rsidR="00DE01AF" w:rsidRDefault="00DE01AF" w:rsidP="00DE01AF">
      <w:r w:rsidRPr="003D39C3">
        <w:t xml:space="preserve">General guidance </w:t>
      </w:r>
      <w:r>
        <w:t xml:space="preserve">is, however, provided </w:t>
      </w:r>
      <w:r w:rsidRPr="003D39C3">
        <w:t>on how to meet the criteria for each Standard</w:t>
      </w:r>
      <w:r>
        <w:t>.</w:t>
      </w:r>
    </w:p>
    <w:p w14:paraId="2D1E39CA" w14:textId="77777777" w:rsidR="00DE01AF" w:rsidRDefault="00DE01AF" w:rsidP="00DE01AF">
      <w:pPr>
        <w:pStyle w:val="Heading2"/>
      </w:pPr>
      <w:bookmarkStart w:id="163" w:name="_Toc269910599"/>
      <w:bookmarkStart w:id="164" w:name="_Toc290886649"/>
      <w:r>
        <w:lastRenderedPageBreak/>
        <w:t>7) Other developments of note</w:t>
      </w:r>
      <w:bookmarkEnd w:id="163"/>
      <w:bookmarkEnd w:id="164"/>
    </w:p>
    <w:p w14:paraId="7B9BC7C8" w14:textId="77777777" w:rsidR="00DE01AF" w:rsidRDefault="00DE01AF" w:rsidP="00DE01AF">
      <w:pPr>
        <w:pStyle w:val="ListBullet"/>
        <w:rPr>
          <w:lang w:eastAsia="en-IE"/>
        </w:rPr>
      </w:pPr>
      <w:r w:rsidRPr="004846DC">
        <w:rPr>
          <w:lang w:eastAsia="en-IE"/>
        </w:rPr>
        <w:t>A list of certified service providers is maintained on the government website, with links to records of audits conducted</w:t>
      </w:r>
      <w:r>
        <w:rPr>
          <w:lang w:eastAsia="en-IE"/>
        </w:rPr>
        <w:t xml:space="preserve">. See: </w:t>
      </w:r>
      <w:hyperlink r:id="rId57" w:history="1">
        <w:r w:rsidR="007541A2" w:rsidRPr="008D42CE">
          <w:rPr>
            <w:rStyle w:val="Hyperlink"/>
            <w:lang w:eastAsia="en-IE"/>
          </w:rPr>
          <w:t>http://cert.moh.govt.nz/certification/review.nsf/default?OpenForm</w:t>
        </w:r>
      </w:hyperlink>
      <w:r w:rsidR="007541A2">
        <w:rPr>
          <w:lang w:eastAsia="en-IE"/>
        </w:rPr>
        <w:t xml:space="preserve"> </w:t>
      </w:r>
    </w:p>
    <w:p w14:paraId="224C35D9" w14:textId="77777777" w:rsidR="00DE01AF" w:rsidRDefault="00DE01AF" w:rsidP="00DE01AF">
      <w:pPr>
        <w:pStyle w:val="ListBullet"/>
        <w:rPr>
          <w:lang w:eastAsia="en-IE"/>
        </w:rPr>
      </w:pPr>
      <w:r>
        <w:rPr>
          <w:lang w:eastAsia="en-IE"/>
        </w:rPr>
        <w:t>Going forward, t</w:t>
      </w:r>
      <w:r w:rsidRPr="004532BC">
        <w:rPr>
          <w:lang w:eastAsia="en-IE"/>
        </w:rPr>
        <w:t xml:space="preserve">he </w:t>
      </w:r>
      <w:r>
        <w:rPr>
          <w:lang w:eastAsia="en-IE"/>
        </w:rPr>
        <w:t>q</w:t>
      </w:r>
      <w:r w:rsidRPr="004532BC">
        <w:rPr>
          <w:lang w:eastAsia="en-IE"/>
        </w:rPr>
        <w:t>uality of the Individualised Funding (IF) scheme is expected to be monitored</w:t>
      </w:r>
      <w:r>
        <w:rPr>
          <w:lang w:eastAsia="en-IE"/>
        </w:rPr>
        <w:t xml:space="preserve"> by the Ministry of Health however the service hosting this scheme will monitor the service delivery</w:t>
      </w:r>
    </w:p>
    <w:p w14:paraId="60BA98C7" w14:textId="77777777" w:rsidR="00DE01AF" w:rsidRDefault="00DE01AF" w:rsidP="007B5AD9">
      <w:pPr>
        <w:pStyle w:val="ListBullet"/>
        <w:rPr>
          <w:lang w:eastAsia="en-IE"/>
        </w:rPr>
      </w:pPr>
      <w:r w:rsidRPr="00EE1F4E">
        <w:rPr>
          <w:lang w:eastAsia="en-IE"/>
        </w:rPr>
        <w:t>A report on the findings of a Government inquiry into the quality of care and service provision for people with disabilities, published in September 2008, includes a number of recommendations on streamlining monitoring activities and costs while refocusing the scope of these activities more on quality of life and satisfactory outcomes for people with disabilities rather than on compliance with minimum standards for audit purposes. These findings also recommend people with disabilities and their families have a key role in the monitoring process to ensure that quality of life is measured and valued.  Team</w:t>
      </w:r>
      <w:r>
        <w:rPr>
          <w:lang w:eastAsia="en-IE"/>
        </w:rPr>
        <w:t>s</w:t>
      </w:r>
      <w:r w:rsidRPr="00EE1F4E">
        <w:rPr>
          <w:lang w:eastAsia="en-IE"/>
        </w:rPr>
        <w:t xml:space="preserve"> involved in the monitoring of service</w:t>
      </w:r>
      <w:r>
        <w:rPr>
          <w:lang w:eastAsia="en-IE"/>
        </w:rPr>
        <w:t>s</w:t>
      </w:r>
      <w:r w:rsidRPr="00EE1F4E">
        <w:rPr>
          <w:lang w:eastAsia="en-IE"/>
        </w:rPr>
        <w:t xml:space="preserve"> should have the freedom to talk with all stakeholders involved in services</w:t>
      </w:r>
      <w:bookmarkStart w:id="165" w:name="_Toc250627460"/>
      <w:bookmarkStart w:id="166" w:name="_Toc250627773"/>
      <w:bookmarkStart w:id="167" w:name="_Toc250627954"/>
    </w:p>
    <w:p w14:paraId="7183E70D" w14:textId="77777777" w:rsidR="008C7752" w:rsidRDefault="007B5AD9" w:rsidP="00C90549">
      <w:pPr>
        <w:pStyle w:val="Heading1"/>
        <w:spacing w:line="240" w:lineRule="auto"/>
      </w:pPr>
      <w:r>
        <w:br w:type="page"/>
      </w:r>
      <w:bookmarkStart w:id="168" w:name="_Toc290886650"/>
      <w:r w:rsidR="007E4574">
        <w:lastRenderedPageBreak/>
        <w:t>Appendix 3</w:t>
      </w:r>
      <w:r w:rsidR="008C7752" w:rsidRPr="00F11237">
        <w:t>: Eligibility by main service type</w:t>
      </w:r>
      <w:bookmarkEnd w:id="165"/>
      <w:bookmarkEnd w:id="166"/>
      <w:bookmarkEnd w:id="167"/>
      <w:bookmarkEnd w:id="168"/>
    </w:p>
    <w:p w14:paraId="6C43D8FA" w14:textId="77777777" w:rsidR="008C7752" w:rsidRDefault="00BA1D63" w:rsidP="00BA1D63">
      <w:pPr>
        <w:pStyle w:val="TableTitle"/>
      </w:pPr>
      <w:r>
        <w:t>Table 10</w:t>
      </w:r>
      <w:r w:rsidR="008C7752">
        <w:t xml:space="preserve">: </w:t>
      </w:r>
      <w:r w:rsidR="008C7752" w:rsidRPr="001C2D14">
        <w:t>Eligibility by main service type</w:t>
      </w:r>
      <w:r w:rsidR="008C7752">
        <w:rPr>
          <w:rStyle w:val="FootnoteReference"/>
          <w:rFonts w:cs="Arial"/>
          <w:color w:val="000000"/>
          <w:sz w:val="20"/>
          <w:szCs w:val="20"/>
        </w:rPr>
        <w:footnoteReference w:id="83"/>
      </w:r>
    </w:p>
    <w:tbl>
      <w:tblPr>
        <w:tblW w:w="8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05"/>
        <w:gridCol w:w="2906"/>
        <w:gridCol w:w="2648"/>
      </w:tblGrid>
      <w:tr w:rsidR="008C7752" w:rsidRPr="00CC7C8F" w14:paraId="7A4222ED" w14:textId="77777777">
        <w:trPr>
          <w:cantSplit/>
          <w:tblHeader/>
        </w:trPr>
        <w:tc>
          <w:tcPr>
            <w:tcW w:w="2905" w:type="dxa"/>
          </w:tcPr>
          <w:p w14:paraId="01E7E762" w14:textId="77777777" w:rsidR="008C7752" w:rsidRPr="00CC7C8F" w:rsidRDefault="008C7752" w:rsidP="008C7752">
            <w:pPr>
              <w:pStyle w:val="TableText"/>
              <w:rPr>
                <w:rFonts w:ascii="Arial" w:hAnsi="Arial" w:cs="Arial"/>
                <w:b/>
              </w:rPr>
            </w:pPr>
            <w:r w:rsidRPr="00CC7C8F">
              <w:rPr>
                <w:rFonts w:ascii="Arial" w:hAnsi="Arial" w:cs="Arial"/>
                <w:b/>
              </w:rPr>
              <w:t>Service and examples</w:t>
            </w:r>
          </w:p>
        </w:tc>
        <w:tc>
          <w:tcPr>
            <w:tcW w:w="2906" w:type="dxa"/>
          </w:tcPr>
          <w:p w14:paraId="38A4581E" w14:textId="77777777" w:rsidR="008C7752" w:rsidRPr="00CC7C8F" w:rsidRDefault="008C7752" w:rsidP="008C7752">
            <w:pPr>
              <w:pStyle w:val="TableText"/>
              <w:rPr>
                <w:rFonts w:ascii="Arial" w:hAnsi="Arial" w:cs="Arial"/>
                <w:b/>
              </w:rPr>
            </w:pPr>
            <w:r w:rsidRPr="00CC7C8F">
              <w:rPr>
                <w:rFonts w:ascii="Arial" w:hAnsi="Arial" w:cs="Arial"/>
                <w:b/>
              </w:rPr>
              <w:t>Who is eligible?</w:t>
            </w:r>
          </w:p>
        </w:tc>
        <w:tc>
          <w:tcPr>
            <w:tcW w:w="2648" w:type="dxa"/>
          </w:tcPr>
          <w:p w14:paraId="13D5559D" w14:textId="77777777" w:rsidR="008C7752" w:rsidRPr="00CC7C8F" w:rsidRDefault="008C7752" w:rsidP="008C7752">
            <w:pPr>
              <w:pStyle w:val="TableText"/>
              <w:rPr>
                <w:rFonts w:ascii="Arial" w:hAnsi="Arial" w:cs="Arial"/>
                <w:b/>
              </w:rPr>
            </w:pPr>
            <w:r w:rsidRPr="00CC7C8F">
              <w:rPr>
                <w:rFonts w:ascii="Arial" w:hAnsi="Arial" w:cs="Arial"/>
                <w:b/>
              </w:rPr>
              <w:t>Who pays for what? (including regional variations)</w:t>
            </w:r>
          </w:p>
        </w:tc>
      </w:tr>
      <w:tr w:rsidR="008C7752" w:rsidRPr="00CC7C8F" w14:paraId="01B82D13" w14:textId="77777777">
        <w:trPr>
          <w:cantSplit/>
        </w:trPr>
        <w:tc>
          <w:tcPr>
            <w:tcW w:w="2905" w:type="dxa"/>
          </w:tcPr>
          <w:p w14:paraId="5642D575" w14:textId="77777777" w:rsidR="008C7752" w:rsidRPr="00CC7C8F" w:rsidRDefault="008C7752" w:rsidP="008C7752">
            <w:pPr>
              <w:pStyle w:val="TableText"/>
              <w:rPr>
                <w:rFonts w:ascii="Arial" w:hAnsi="Arial" w:cs="Arial"/>
              </w:rPr>
            </w:pPr>
            <w:r w:rsidRPr="00CC7C8F">
              <w:rPr>
                <w:rFonts w:ascii="Arial" w:hAnsi="Arial" w:cs="Arial"/>
                <w:b/>
              </w:rPr>
              <w:t>Needs assessment and service co</w:t>
            </w:r>
            <w:r w:rsidRPr="00CC7C8F">
              <w:rPr>
                <w:rFonts w:ascii="Arial" w:hAnsi="Arial" w:cs="Arial"/>
                <w:b/>
              </w:rPr>
              <w:noBreakHyphen/>
              <w:t>ordination</w:t>
            </w:r>
          </w:p>
        </w:tc>
        <w:tc>
          <w:tcPr>
            <w:tcW w:w="2906" w:type="dxa"/>
          </w:tcPr>
          <w:p w14:paraId="5D03D0FA" w14:textId="77777777" w:rsidR="008C7752" w:rsidRPr="00CC7C8F" w:rsidRDefault="008C7752" w:rsidP="008C7752">
            <w:pPr>
              <w:pStyle w:val="TableText"/>
              <w:rPr>
                <w:rFonts w:ascii="Arial" w:hAnsi="Arial" w:cs="Arial"/>
              </w:rPr>
            </w:pPr>
          </w:p>
        </w:tc>
        <w:tc>
          <w:tcPr>
            <w:tcW w:w="2648" w:type="dxa"/>
          </w:tcPr>
          <w:p w14:paraId="7675011A" w14:textId="77777777" w:rsidR="008C7752" w:rsidRPr="00CC7C8F" w:rsidRDefault="008C7752" w:rsidP="008C7752">
            <w:pPr>
              <w:pStyle w:val="TableText"/>
              <w:rPr>
                <w:rFonts w:ascii="Arial" w:hAnsi="Arial" w:cs="Arial"/>
              </w:rPr>
            </w:pPr>
          </w:p>
        </w:tc>
      </w:tr>
      <w:tr w:rsidR="008C7752" w:rsidRPr="00CC7C8F" w14:paraId="74200073" w14:textId="77777777">
        <w:trPr>
          <w:cantSplit/>
        </w:trPr>
        <w:tc>
          <w:tcPr>
            <w:tcW w:w="2905" w:type="dxa"/>
          </w:tcPr>
          <w:p w14:paraId="11A5D14D" w14:textId="77777777" w:rsidR="008C7752" w:rsidRPr="00CC7C8F" w:rsidRDefault="008C7752" w:rsidP="008C7752">
            <w:pPr>
              <w:pStyle w:val="TableText"/>
              <w:rPr>
                <w:rFonts w:ascii="Arial" w:hAnsi="Arial" w:cs="Arial"/>
              </w:rPr>
            </w:pPr>
            <w:bookmarkStart w:id="169" w:name="_Toc15804227"/>
            <w:r w:rsidRPr="00CC7C8F">
              <w:rPr>
                <w:rFonts w:ascii="Arial" w:hAnsi="Arial" w:cs="Arial"/>
              </w:rPr>
              <w:t>Needs assessment</w:t>
            </w:r>
            <w:bookmarkEnd w:id="169"/>
          </w:p>
        </w:tc>
        <w:tc>
          <w:tcPr>
            <w:tcW w:w="2906" w:type="dxa"/>
          </w:tcPr>
          <w:p w14:paraId="215B2E93" w14:textId="77777777" w:rsidR="008C7752" w:rsidRPr="00CC7C8F" w:rsidRDefault="008C7752" w:rsidP="008C7752">
            <w:pPr>
              <w:pStyle w:val="TableText"/>
              <w:rPr>
                <w:rFonts w:ascii="Arial" w:hAnsi="Arial" w:cs="Arial"/>
              </w:rPr>
            </w:pPr>
            <w:r w:rsidRPr="00CC7C8F">
              <w:rPr>
                <w:rFonts w:ascii="Arial" w:hAnsi="Arial" w:cs="Arial"/>
              </w:rPr>
              <w:t>People of all ages who meet the Ministry’s definition of disability.</w:t>
            </w:r>
          </w:p>
        </w:tc>
        <w:tc>
          <w:tcPr>
            <w:tcW w:w="2648" w:type="dxa"/>
          </w:tcPr>
          <w:p w14:paraId="42167F57" w14:textId="77777777" w:rsidR="008C7752" w:rsidRPr="00CC7C8F" w:rsidRDefault="008C7752" w:rsidP="008C7752">
            <w:pPr>
              <w:pStyle w:val="TableText"/>
              <w:rPr>
                <w:rFonts w:ascii="Arial" w:hAnsi="Arial" w:cs="Arial"/>
              </w:rPr>
            </w:pPr>
            <w:r w:rsidRPr="00CC7C8F">
              <w:rPr>
                <w:rFonts w:ascii="Arial" w:hAnsi="Arial" w:cs="Arial"/>
              </w:rPr>
              <w:t>The</w:t>
            </w:r>
            <w:r w:rsidR="007541A2">
              <w:rPr>
                <w:rFonts w:ascii="Arial" w:hAnsi="Arial" w:cs="Arial"/>
              </w:rPr>
              <w:t xml:space="preserve"> Ministry of Health </w:t>
            </w:r>
            <w:proofErr w:type="spellStart"/>
            <w:r w:rsidR="007541A2">
              <w:rPr>
                <w:rFonts w:ascii="Arial" w:hAnsi="Arial" w:cs="Arial"/>
              </w:rPr>
              <w:t>funds</w:t>
            </w:r>
            <w:proofErr w:type="spellEnd"/>
            <w:r w:rsidR="007541A2">
              <w:rPr>
                <w:rFonts w:ascii="Arial" w:hAnsi="Arial" w:cs="Arial"/>
              </w:rPr>
              <w:t xml:space="preserve"> needs-</w:t>
            </w:r>
            <w:r w:rsidRPr="00CC7C8F">
              <w:rPr>
                <w:rFonts w:ascii="Arial" w:hAnsi="Arial" w:cs="Arial"/>
              </w:rPr>
              <w:t xml:space="preserve">assessment services from contracted agencies.  They are free to users.  </w:t>
            </w:r>
          </w:p>
        </w:tc>
      </w:tr>
      <w:tr w:rsidR="008C7752" w:rsidRPr="00CC7C8F" w14:paraId="529AF607" w14:textId="77777777">
        <w:trPr>
          <w:cantSplit/>
        </w:trPr>
        <w:tc>
          <w:tcPr>
            <w:tcW w:w="2905" w:type="dxa"/>
          </w:tcPr>
          <w:p w14:paraId="0ABE1F70" w14:textId="77777777" w:rsidR="008C7752" w:rsidRPr="00CC7C8F" w:rsidRDefault="008C7752" w:rsidP="008C7752">
            <w:pPr>
              <w:pStyle w:val="TableText"/>
              <w:rPr>
                <w:rFonts w:ascii="Arial" w:hAnsi="Arial" w:cs="Arial"/>
              </w:rPr>
            </w:pPr>
            <w:r w:rsidRPr="00CC7C8F">
              <w:rPr>
                <w:rFonts w:ascii="Arial" w:hAnsi="Arial" w:cs="Arial"/>
              </w:rPr>
              <w:t>Service co</w:t>
            </w:r>
            <w:r w:rsidRPr="00CC7C8F">
              <w:rPr>
                <w:rFonts w:ascii="Arial" w:hAnsi="Arial" w:cs="Arial"/>
              </w:rPr>
              <w:noBreakHyphen/>
              <w:t>ordination or planning</w:t>
            </w:r>
          </w:p>
        </w:tc>
        <w:tc>
          <w:tcPr>
            <w:tcW w:w="2906" w:type="dxa"/>
          </w:tcPr>
          <w:p w14:paraId="3AC8AF47" w14:textId="77777777" w:rsidR="008C7752" w:rsidRPr="00CC7C8F" w:rsidRDefault="008C7752" w:rsidP="008C7752">
            <w:pPr>
              <w:pStyle w:val="TableText"/>
              <w:rPr>
                <w:rFonts w:ascii="Arial" w:hAnsi="Arial" w:cs="Arial"/>
              </w:rPr>
            </w:pPr>
            <w:r w:rsidRPr="00CC7C8F">
              <w:rPr>
                <w:rFonts w:ascii="Arial" w:hAnsi="Arial" w:cs="Arial"/>
              </w:rPr>
              <w:t xml:space="preserve">Anyone who </w:t>
            </w:r>
            <w:r>
              <w:rPr>
                <w:rFonts w:ascii="Arial" w:hAnsi="Arial" w:cs="Arial"/>
              </w:rPr>
              <w:t>has been through a needs assess</w:t>
            </w:r>
            <w:r w:rsidRPr="00CC7C8F">
              <w:rPr>
                <w:rFonts w:ascii="Arial" w:hAnsi="Arial" w:cs="Arial"/>
              </w:rPr>
              <w:t>ment and is assessed as requiring a service or package of services.</w:t>
            </w:r>
          </w:p>
        </w:tc>
        <w:tc>
          <w:tcPr>
            <w:tcW w:w="2648" w:type="dxa"/>
          </w:tcPr>
          <w:p w14:paraId="3FF91B59" w14:textId="77777777" w:rsidR="008C7752" w:rsidRPr="00CC7C8F" w:rsidRDefault="008C7752" w:rsidP="008C7752">
            <w:pPr>
              <w:pStyle w:val="TableText"/>
              <w:rPr>
                <w:rFonts w:ascii="Arial" w:hAnsi="Arial" w:cs="Arial"/>
              </w:rPr>
            </w:pPr>
            <w:r w:rsidRPr="00CC7C8F">
              <w:rPr>
                <w:rFonts w:ascii="Arial" w:hAnsi="Arial" w:cs="Arial"/>
              </w:rPr>
              <w:t>These services are free to the user.</w:t>
            </w:r>
          </w:p>
        </w:tc>
      </w:tr>
      <w:tr w:rsidR="008C7752" w:rsidRPr="00CC7C8F" w14:paraId="6062B29A" w14:textId="77777777">
        <w:trPr>
          <w:cantSplit/>
        </w:trPr>
        <w:tc>
          <w:tcPr>
            <w:tcW w:w="2905" w:type="dxa"/>
          </w:tcPr>
          <w:p w14:paraId="1DDD5C70" w14:textId="77777777" w:rsidR="008C7752" w:rsidRPr="00CC7C8F" w:rsidRDefault="008C7752" w:rsidP="008C7752">
            <w:pPr>
              <w:pStyle w:val="TableText"/>
              <w:keepNext/>
              <w:rPr>
                <w:rFonts w:ascii="Arial" w:hAnsi="Arial" w:cs="Arial"/>
                <w:b/>
              </w:rPr>
            </w:pPr>
            <w:bookmarkStart w:id="170" w:name="_Toc15804228"/>
            <w:r w:rsidRPr="00CC7C8F">
              <w:rPr>
                <w:rFonts w:ascii="Arial" w:hAnsi="Arial" w:cs="Arial"/>
                <w:b/>
              </w:rPr>
              <w:t>Home-based services</w:t>
            </w:r>
            <w:bookmarkEnd w:id="170"/>
          </w:p>
        </w:tc>
        <w:tc>
          <w:tcPr>
            <w:tcW w:w="2906" w:type="dxa"/>
          </w:tcPr>
          <w:p w14:paraId="502FEBC2" w14:textId="77777777" w:rsidR="008C7752" w:rsidRPr="00CC7C8F" w:rsidRDefault="008C7752" w:rsidP="008C7752">
            <w:pPr>
              <w:pStyle w:val="TableText"/>
              <w:keepNext/>
              <w:rPr>
                <w:rFonts w:ascii="Arial" w:hAnsi="Arial" w:cs="Arial"/>
              </w:rPr>
            </w:pPr>
          </w:p>
        </w:tc>
        <w:tc>
          <w:tcPr>
            <w:tcW w:w="2648" w:type="dxa"/>
          </w:tcPr>
          <w:p w14:paraId="59745EB9" w14:textId="77777777" w:rsidR="008C7752" w:rsidRPr="00CC7C8F" w:rsidRDefault="008C7752" w:rsidP="008C7752">
            <w:pPr>
              <w:pStyle w:val="TableText"/>
              <w:keepNext/>
              <w:rPr>
                <w:rFonts w:ascii="Arial" w:hAnsi="Arial" w:cs="Arial"/>
              </w:rPr>
            </w:pPr>
          </w:p>
        </w:tc>
      </w:tr>
      <w:tr w:rsidR="008C7752" w:rsidRPr="00CC7C8F" w14:paraId="16D8DBC4" w14:textId="77777777">
        <w:trPr>
          <w:cantSplit/>
        </w:trPr>
        <w:tc>
          <w:tcPr>
            <w:tcW w:w="2905" w:type="dxa"/>
          </w:tcPr>
          <w:p w14:paraId="456A9E27" w14:textId="77777777" w:rsidR="008C7752" w:rsidRPr="00CC7C8F" w:rsidRDefault="008C7752" w:rsidP="008C7752">
            <w:pPr>
              <w:pStyle w:val="TableText"/>
              <w:rPr>
                <w:rFonts w:ascii="Arial" w:hAnsi="Arial" w:cs="Arial"/>
              </w:rPr>
            </w:pPr>
            <w:r w:rsidRPr="00CC7C8F">
              <w:rPr>
                <w:rFonts w:ascii="Arial" w:hAnsi="Arial" w:cs="Arial"/>
              </w:rPr>
              <w:t>Personal care (</w:t>
            </w:r>
            <w:proofErr w:type="spellStart"/>
            <w:r w:rsidRPr="00CC7C8F">
              <w:rPr>
                <w:rFonts w:ascii="Arial" w:hAnsi="Arial" w:cs="Arial"/>
              </w:rPr>
              <w:t>eg</w:t>
            </w:r>
            <w:proofErr w:type="spellEnd"/>
            <w:r w:rsidRPr="00CC7C8F">
              <w:rPr>
                <w:rFonts w:ascii="Arial" w:hAnsi="Arial" w:cs="Arial"/>
              </w:rPr>
              <w:t>, help with dressing, bathing and eating)</w:t>
            </w:r>
          </w:p>
        </w:tc>
        <w:tc>
          <w:tcPr>
            <w:tcW w:w="2906" w:type="dxa"/>
          </w:tcPr>
          <w:p w14:paraId="264220B3" w14:textId="77777777" w:rsidR="008C7752" w:rsidRPr="00CC7C8F" w:rsidRDefault="008C7752" w:rsidP="008C7752">
            <w:pPr>
              <w:pStyle w:val="TableText"/>
              <w:rPr>
                <w:rFonts w:ascii="Arial" w:hAnsi="Arial" w:cs="Arial"/>
              </w:rPr>
            </w:pPr>
            <w:r w:rsidRPr="00CC7C8F">
              <w:rPr>
                <w:rFonts w:ascii="Arial" w:hAnsi="Arial" w:cs="Arial"/>
              </w:rPr>
              <w:t>Anyone living in the community who has been assessed by the NASC process as being eligible to receive these services.</w:t>
            </w:r>
          </w:p>
        </w:tc>
        <w:tc>
          <w:tcPr>
            <w:tcW w:w="2648" w:type="dxa"/>
          </w:tcPr>
          <w:p w14:paraId="51ED4765" w14:textId="77777777" w:rsidR="008C7752" w:rsidRPr="00CC7C8F" w:rsidRDefault="008C7752" w:rsidP="008C7752">
            <w:pPr>
              <w:pStyle w:val="TableText"/>
              <w:rPr>
                <w:rFonts w:ascii="Arial" w:hAnsi="Arial" w:cs="Arial"/>
              </w:rPr>
            </w:pPr>
            <w:r w:rsidRPr="00CC7C8F">
              <w:rPr>
                <w:rFonts w:ascii="Arial" w:hAnsi="Arial" w:cs="Arial"/>
              </w:rPr>
              <w:t>No charge.</w:t>
            </w:r>
          </w:p>
        </w:tc>
      </w:tr>
      <w:tr w:rsidR="008C7752" w:rsidRPr="00CC7C8F" w14:paraId="723A125B" w14:textId="77777777">
        <w:trPr>
          <w:cantSplit/>
        </w:trPr>
        <w:tc>
          <w:tcPr>
            <w:tcW w:w="2905" w:type="dxa"/>
            <w:tcBorders>
              <w:bottom w:val="single" w:sz="4" w:space="0" w:color="auto"/>
            </w:tcBorders>
          </w:tcPr>
          <w:p w14:paraId="18739B2A" w14:textId="77777777" w:rsidR="008C7752" w:rsidRPr="00CC7C8F" w:rsidRDefault="008C7752" w:rsidP="008C7752">
            <w:pPr>
              <w:pStyle w:val="TableText"/>
              <w:rPr>
                <w:rFonts w:ascii="Arial" w:hAnsi="Arial" w:cs="Arial"/>
              </w:rPr>
            </w:pPr>
            <w:r w:rsidRPr="00CC7C8F">
              <w:rPr>
                <w:rFonts w:ascii="Arial" w:hAnsi="Arial" w:cs="Arial"/>
              </w:rPr>
              <w:t>Household management (home help)</w:t>
            </w:r>
          </w:p>
        </w:tc>
        <w:tc>
          <w:tcPr>
            <w:tcW w:w="2906" w:type="dxa"/>
            <w:tcBorders>
              <w:bottom w:val="single" w:sz="4" w:space="0" w:color="auto"/>
            </w:tcBorders>
          </w:tcPr>
          <w:p w14:paraId="26144D23" w14:textId="77777777" w:rsidR="008C7752" w:rsidRPr="00CC7C8F" w:rsidRDefault="008C7752" w:rsidP="008C7752">
            <w:pPr>
              <w:pStyle w:val="TableText"/>
              <w:rPr>
                <w:rFonts w:ascii="Arial" w:hAnsi="Arial" w:cs="Arial"/>
              </w:rPr>
            </w:pPr>
            <w:r w:rsidRPr="00CC7C8F">
              <w:rPr>
                <w:rFonts w:ascii="Arial" w:hAnsi="Arial" w:cs="Arial"/>
              </w:rPr>
              <w:t>As above, or the primary caregiver of someone who meets the criteria.</w:t>
            </w:r>
          </w:p>
        </w:tc>
        <w:tc>
          <w:tcPr>
            <w:tcW w:w="2648" w:type="dxa"/>
            <w:tcBorders>
              <w:bottom w:val="single" w:sz="4" w:space="0" w:color="auto"/>
            </w:tcBorders>
          </w:tcPr>
          <w:p w14:paraId="73DFF800" w14:textId="77777777" w:rsidR="008C7752" w:rsidRPr="00CC7C8F" w:rsidRDefault="008C7752" w:rsidP="008C7752">
            <w:pPr>
              <w:pStyle w:val="TableText"/>
              <w:rPr>
                <w:rFonts w:ascii="Arial" w:hAnsi="Arial" w:cs="Arial"/>
              </w:rPr>
            </w:pPr>
            <w:r w:rsidRPr="00CC7C8F">
              <w:rPr>
                <w:rFonts w:ascii="Arial" w:hAnsi="Arial" w:cs="Arial"/>
              </w:rPr>
              <w:t>No charge for people who hold a Community Services Card.</w:t>
            </w:r>
          </w:p>
        </w:tc>
      </w:tr>
      <w:tr w:rsidR="008C7752" w:rsidRPr="00CC7C8F" w14:paraId="2E901877" w14:textId="77777777">
        <w:trPr>
          <w:cantSplit/>
        </w:trPr>
        <w:tc>
          <w:tcPr>
            <w:tcW w:w="2905" w:type="dxa"/>
            <w:tcBorders>
              <w:top w:val="single" w:sz="4" w:space="0" w:color="auto"/>
              <w:left w:val="single" w:sz="4" w:space="0" w:color="auto"/>
              <w:bottom w:val="single" w:sz="4" w:space="0" w:color="auto"/>
              <w:right w:val="single" w:sz="4" w:space="0" w:color="auto"/>
            </w:tcBorders>
          </w:tcPr>
          <w:p w14:paraId="38DF1EBA" w14:textId="77777777" w:rsidR="008C7752" w:rsidRPr="00CC7C8F" w:rsidRDefault="008C7752" w:rsidP="008C7752">
            <w:pPr>
              <w:pStyle w:val="TableText"/>
              <w:rPr>
                <w:rFonts w:ascii="Arial" w:hAnsi="Arial" w:cs="Arial"/>
                <w:b/>
              </w:rPr>
            </w:pPr>
            <w:r w:rsidRPr="00CC7C8F">
              <w:rPr>
                <w:rFonts w:ascii="Arial" w:hAnsi="Arial" w:cs="Arial"/>
                <w:b/>
              </w:rPr>
              <w:t>Residential care</w:t>
            </w:r>
          </w:p>
        </w:tc>
        <w:tc>
          <w:tcPr>
            <w:tcW w:w="2906" w:type="dxa"/>
            <w:tcBorders>
              <w:top w:val="single" w:sz="4" w:space="0" w:color="auto"/>
              <w:left w:val="single" w:sz="4" w:space="0" w:color="auto"/>
              <w:bottom w:val="single" w:sz="4" w:space="0" w:color="auto"/>
              <w:right w:val="single" w:sz="4" w:space="0" w:color="auto"/>
            </w:tcBorders>
          </w:tcPr>
          <w:p w14:paraId="62AA8E2D" w14:textId="77777777" w:rsidR="008C7752" w:rsidRPr="00CC7C8F" w:rsidRDefault="008C7752" w:rsidP="008C7752">
            <w:pPr>
              <w:pStyle w:val="TableText"/>
              <w:rPr>
                <w:rFonts w:ascii="Arial" w:hAnsi="Arial" w:cs="Arial"/>
              </w:rPr>
            </w:pPr>
          </w:p>
        </w:tc>
        <w:tc>
          <w:tcPr>
            <w:tcW w:w="2648" w:type="dxa"/>
            <w:tcBorders>
              <w:top w:val="single" w:sz="4" w:space="0" w:color="auto"/>
              <w:left w:val="single" w:sz="4" w:space="0" w:color="auto"/>
              <w:bottom w:val="single" w:sz="4" w:space="0" w:color="auto"/>
              <w:right w:val="single" w:sz="4" w:space="0" w:color="auto"/>
            </w:tcBorders>
          </w:tcPr>
          <w:p w14:paraId="441D2E90" w14:textId="77777777" w:rsidR="008C7752" w:rsidRPr="00CC7C8F" w:rsidRDefault="008C7752" w:rsidP="008C7752">
            <w:pPr>
              <w:pStyle w:val="TableText"/>
              <w:rPr>
                <w:rFonts w:ascii="Arial" w:hAnsi="Arial" w:cs="Arial"/>
              </w:rPr>
            </w:pPr>
          </w:p>
        </w:tc>
      </w:tr>
      <w:tr w:rsidR="008C7752" w:rsidRPr="00CC7C8F" w14:paraId="2E8B4BC8" w14:textId="77777777">
        <w:trPr>
          <w:cantSplit/>
        </w:trPr>
        <w:tc>
          <w:tcPr>
            <w:tcW w:w="2905" w:type="dxa"/>
            <w:tcBorders>
              <w:top w:val="single" w:sz="4" w:space="0" w:color="auto"/>
              <w:left w:val="single" w:sz="4" w:space="0" w:color="auto"/>
              <w:bottom w:val="single" w:sz="4" w:space="0" w:color="auto"/>
              <w:right w:val="single" w:sz="4" w:space="0" w:color="auto"/>
            </w:tcBorders>
          </w:tcPr>
          <w:p w14:paraId="69075203" w14:textId="77777777" w:rsidR="008C7752" w:rsidRPr="00CC7C8F" w:rsidRDefault="008C7752" w:rsidP="008C7752">
            <w:pPr>
              <w:pStyle w:val="TableText"/>
              <w:rPr>
                <w:rFonts w:ascii="Arial" w:hAnsi="Arial" w:cs="Arial"/>
              </w:rPr>
            </w:pPr>
            <w:r w:rsidRPr="00CC7C8F">
              <w:rPr>
                <w:rFonts w:ascii="Arial" w:hAnsi="Arial" w:cs="Arial"/>
              </w:rPr>
              <w:lastRenderedPageBreak/>
              <w:t>Rest homes (11,840 subsidised clients, including those in dementia units, in April 2002)</w:t>
            </w:r>
          </w:p>
          <w:p w14:paraId="58E2338D" w14:textId="77777777" w:rsidR="008C7752" w:rsidRPr="00CC7C8F" w:rsidRDefault="008C7752" w:rsidP="008C7752">
            <w:pPr>
              <w:pStyle w:val="TableText"/>
              <w:rPr>
                <w:rFonts w:ascii="Arial" w:hAnsi="Arial" w:cs="Arial"/>
              </w:rPr>
            </w:pPr>
            <w:r w:rsidRPr="00CC7C8F">
              <w:rPr>
                <w:rFonts w:ascii="Arial" w:hAnsi="Arial" w:cs="Arial"/>
              </w:rPr>
              <w:t>Continuing care hospitals (7831 subsidised clients in April 2002)</w:t>
            </w:r>
          </w:p>
        </w:tc>
        <w:tc>
          <w:tcPr>
            <w:tcW w:w="2906" w:type="dxa"/>
            <w:tcBorders>
              <w:top w:val="single" w:sz="4" w:space="0" w:color="auto"/>
              <w:left w:val="single" w:sz="4" w:space="0" w:color="auto"/>
              <w:bottom w:val="single" w:sz="4" w:space="0" w:color="auto"/>
              <w:right w:val="single" w:sz="4" w:space="0" w:color="auto"/>
            </w:tcBorders>
          </w:tcPr>
          <w:p w14:paraId="78E088BA" w14:textId="77777777" w:rsidR="008C7752" w:rsidRPr="00CC7C8F" w:rsidRDefault="008C7752" w:rsidP="008C7752">
            <w:pPr>
              <w:pStyle w:val="TableText"/>
              <w:rPr>
                <w:rFonts w:ascii="Arial" w:hAnsi="Arial" w:cs="Arial"/>
              </w:rPr>
            </w:pPr>
            <w:r w:rsidRPr="00CC7C8F">
              <w:rPr>
                <w:rFonts w:ascii="Arial" w:hAnsi="Arial" w:cs="Arial"/>
              </w:rPr>
              <w:t>People aged 65 and over, or people aged 50–64 who are defined as ‘like in age and interest’ to an older person, who have been assessed by NASC as requiring residential care or hospitalisation in a continuing care facility.</w:t>
            </w:r>
          </w:p>
        </w:tc>
        <w:tc>
          <w:tcPr>
            <w:tcW w:w="2648" w:type="dxa"/>
            <w:tcBorders>
              <w:top w:val="single" w:sz="4" w:space="0" w:color="auto"/>
              <w:left w:val="single" w:sz="4" w:space="0" w:color="auto"/>
              <w:bottom w:val="single" w:sz="4" w:space="0" w:color="auto"/>
              <w:right w:val="single" w:sz="4" w:space="0" w:color="auto"/>
            </w:tcBorders>
          </w:tcPr>
          <w:p w14:paraId="58EA45F9" w14:textId="77777777" w:rsidR="008C7752" w:rsidRPr="00CC7C8F" w:rsidRDefault="008C7752" w:rsidP="008C7752">
            <w:pPr>
              <w:pStyle w:val="TableText"/>
              <w:rPr>
                <w:rFonts w:ascii="Arial" w:hAnsi="Arial" w:cs="Arial"/>
              </w:rPr>
            </w:pPr>
            <w:r w:rsidRPr="00CC7C8F">
              <w:rPr>
                <w:rFonts w:ascii="Arial" w:hAnsi="Arial" w:cs="Arial"/>
              </w:rPr>
              <w:t>If older people (including those ‘like in age and interest’) have income and assets, they pay for their care up to $636 per week until their assets have been used up to an exempted threshold.  Government pays any costs over $636.</w:t>
            </w:r>
          </w:p>
        </w:tc>
      </w:tr>
      <w:tr w:rsidR="008C7752" w:rsidRPr="00CC7C8F" w14:paraId="069460ED" w14:textId="77777777">
        <w:trPr>
          <w:cantSplit/>
        </w:trPr>
        <w:tc>
          <w:tcPr>
            <w:tcW w:w="2905" w:type="dxa"/>
            <w:tcBorders>
              <w:top w:val="single" w:sz="4" w:space="0" w:color="auto"/>
              <w:left w:val="single" w:sz="4" w:space="0" w:color="auto"/>
              <w:bottom w:val="single" w:sz="4" w:space="0" w:color="auto"/>
              <w:right w:val="single" w:sz="4" w:space="0" w:color="auto"/>
            </w:tcBorders>
          </w:tcPr>
          <w:p w14:paraId="30E707D5" w14:textId="77777777" w:rsidR="008C7752" w:rsidRPr="00CC7C8F" w:rsidRDefault="008C7752" w:rsidP="008C7752">
            <w:pPr>
              <w:pStyle w:val="TableText"/>
              <w:rPr>
                <w:rFonts w:ascii="Arial" w:hAnsi="Arial" w:cs="Arial"/>
              </w:rPr>
            </w:pPr>
            <w:r w:rsidRPr="00CC7C8F">
              <w:rPr>
                <w:rFonts w:ascii="Arial" w:hAnsi="Arial" w:cs="Arial"/>
              </w:rPr>
              <w:t>Community group living</w:t>
            </w:r>
          </w:p>
        </w:tc>
        <w:tc>
          <w:tcPr>
            <w:tcW w:w="2906" w:type="dxa"/>
            <w:tcBorders>
              <w:top w:val="single" w:sz="4" w:space="0" w:color="auto"/>
              <w:left w:val="single" w:sz="4" w:space="0" w:color="auto"/>
              <w:bottom w:val="single" w:sz="4" w:space="0" w:color="auto"/>
              <w:right w:val="single" w:sz="4" w:space="0" w:color="auto"/>
            </w:tcBorders>
          </w:tcPr>
          <w:p w14:paraId="2A24377E" w14:textId="77777777" w:rsidR="008C7752" w:rsidRPr="00CC7C8F" w:rsidRDefault="008C7752" w:rsidP="008C7752">
            <w:pPr>
              <w:pStyle w:val="TableText"/>
              <w:rPr>
                <w:rFonts w:ascii="Arial" w:hAnsi="Arial" w:cs="Arial"/>
              </w:rPr>
            </w:pPr>
            <w:r w:rsidRPr="00CC7C8F">
              <w:rPr>
                <w:rFonts w:ascii="Arial" w:hAnsi="Arial" w:cs="Arial"/>
              </w:rPr>
              <w:t>Generally people aged 16–64 with an intellectual or physical disability who have been assessed by a NASC service as requiring care in a community group-living facility or home.</w:t>
            </w:r>
          </w:p>
        </w:tc>
        <w:tc>
          <w:tcPr>
            <w:tcW w:w="2648" w:type="dxa"/>
            <w:tcBorders>
              <w:top w:val="single" w:sz="4" w:space="0" w:color="auto"/>
              <w:left w:val="single" w:sz="4" w:space="0" w:color="auto"/>
              <w:bottom w:val="single" w:sz="4" w:space="0" w:color="auto"/>
              <w:right w:val="single" w:sz="4" w:space="0" w:color="auto"/>
            </w:tcBorders>
          </w:tcPr>
          <w:p w14:paraId="4A71B0B1" w14:textId="77777777" w:rsidR="008C7752" w:rsidRPr="00CC7C8F" w:rsidRDefault="008C7752" w:rsidP="008C7752">
            <w:pPr>
              <w:pStyle w:val="TableText"/>
              <w:rPr>
                <w:rFonts w:ascii="Arial" w:hAnsi="Arial" w:cs="Arial"/>
              </w:rPr>
            </w:pPr>
            <w:r>
              <w:rPr>
                <w:rFonts w:ascii="Arial" w:hAnsi="Arial" w:cs="Arial"/>
              </w:rPr>
              <w:t>Up until 2006 people under 64</w:t>
            </w:r>
            <w:r w:rsidRPr="00CC7C8F">
              <w:rPr>
                <w:rFonts w:ascii="Arial" w:hAnsi="Arial" w:cs="Arial"/>
              </w:rPr>
              <w:t xml:space="preserve"> </w:t>
            </w:r>
            <w:r>
              <w:rPr>
                <w:rFonts w:ascii="Arial" w:hAnsi="Arial" w:cs="Arial"/>
              </w:rPr>
              <w:t xml:space="preserve">were required to </w:t>
            </w:r>
            <w:r w:rsidR="003B52B8">
              <w:rPr>
                <w:rFonts w:ascii="Arial" w:hAnsi="Arial" w:cs="Arial"/>
              </w:rPr>
              <w:t xml:space="preserve">forgo </w:t>
            </w:r>
            <w:r w:rsidR="005D5DFA">
              <w:rPr>
                <w:rFonts w:ascii="Arial" w:hAnsi="Arial" w:cs="Arial"/>
              </w:rPr>
              <w:t>their disability</w:t>
            </w:r>
            <w:r>
              <w:rPr>
                <w:rFonts w:ascii="Arial" w:hAnsi="Arial" w:cs="Arial"/>
              </w:rPr>
              <w:t xml:space="preserve"> allowance </w:t>
            </w:r>
            <w:r w:rsidRPr="00CC7C8F">
              <w:rPr>
                <w:rFonts w:ascii="Arial" w:hAnsi="Arial" w:cs="Arial"/>
              </w:rPr>
              <w:t>(they retain part of their benefit as a personal allowance</w:t>
            </w:r>
            <w:r>
              <w:rPr>
                <w:rFonts w:ascii="Arial" w:hAnsi="Arial" w:cs="Arial"/>
              </w:rPr>
              <w:t>) if they received community residential support. Legislation was changed in 2006 (after a number of successful court appeals) to allow them to keep their Disability Allowance while in state funded community residential services</w:t>
            </w:r>
          </w:p>
        </w:tc>
      </w:tr>
      <w:tr w:rsidR="008C7752" w:rsidRPr="00CC7C8F" w14:paraId="6EE4AABE" w14:textId="77777777">
        <w:trPr>
          <w:cantSplit/>
        </w:trPr>
        <w:tc>
          <w:tcPr>
            <w:tcW w:w="2905" w:type="dxa"/>
            <w:tcBorders>
              <w:top w:val="single" w:sz="4" w:space="0" w:color="auto"/>
              <w:left w:val="single" w:sz="4" w:space="0" w:color="auto"/>
              <w:bottom w:val="single" w:sz="4" w:space="0" w:color="auto"/>
              <w:right w:val="single" w:sz="4" w:space="0" w:color="auto"/>
            </w:tcBorders>
          </w:tcPr>
          <w:p w14:paraId="055729C9" w14:textId="77777777" w:rsidR="008C7752" w:rsidRPr="00CC7C8F" w:rsidRDefault="008C7752" w:rsidP="008C7752">
            <w:pPr>
              <w:pStyle w:val="TableText"/>
              <w:rPr>
                <w:rFonts w:ascii="Arial" w:hAnsi="Arial" w:cs="Arial"/>
                <w:b/>
              </w:rPr>
            </w:pPr>
            <w:r w:rsidRPr="00CC7C8F">
              <w:rPr>
                <w:rFonts w:ascii="Arial" w:hAnsi="Arial" w:cs="Arial"/>
                <w:b/>
              </w:rPr>
              <w:t>Carer support</w:t>
            </w:r>
          </w:p>
        </w:tc>
        <w:tc>
          <w:tcPr>
            <w:tcW w:w="2906" w:type="dxa"/>
            <w:tcBorders>
              <w:top w:val="single" w:sz="4" w:space="0" w:color="auto"/>
              <w:left w:val="single" w:sz="4" w:space="0" w:color="auto"/>
              <w:bottom w:val="single" w:sz="4" w:space="0" w:color="auto"/>
              <w:right w:val="single" w:sz="4" w:space="0" w:color="auto"/>
            </w:tcBorders>
          </w:tcPr>
          <w:p w14:paraId="7BEAB4A5" w14:textId="77777777" w:rsidR="008C7752" w:rsidRPr="00CC7C8F" w:rsidRDefault="008C7752" w:rsidP="008C7752">
            <w:pPr>
              <w:pStyle w:val="TableText"/>
              <w:rPr>
                <w:rFonts w:ascii="Arial" w:hAnsi="Arial" w:cs="Arial"/>
              </w:rPr>
            </w:pPr>
          </w:p>
        </w:tc>
        <w:tc>
          <w:tcPr>
            <w:tcW w:w="2648" w:type="dxa"/>
            <w:tcBorders>
              <w:top w:val="single" w:sz="4" w:space="0" w:color="auto"/>
              <w:left w:val="single" w:sz="4" w:space="0" w:color="auto"/>
              <w:bottom w:val="single" w:sz="4" w:space="0" w:color="auto"/>
              <w:right w:val="single" w:sz="4" w:space="0" w:color="auto"/>
            </w:tcBorders>
          </w:tcPr>
          <w:p w14:paraId="762119B8" w14:textId="77777777" w:rsidR="008C7752" w:rsidRPr="00CC7C8F" w:rsidRDefault="008C7752" w:rsidP="008C7752">
            <w:pPr>
              <w:pStyle w:val="TableText"/>
              <w:rPr>
                <w:rFonts w:ascii="Arial" w:hAnsi="Arial" w:cs="Arial"/>
              </w:rPr>
            </w:pPr>
          </w:p>
        </w:tc>
      </w:tr>
      <w:tr w:rsidR="008C7752" w:rsidRPr="00CC7C8F" w14:paraId="304F57E0" w14:textId="77777777">
        <w:trPr>
          <w:cantSplit/>
        </w:trPr>
        <w:tc>
          <w:tcPr>
            <w:tcW w:w="2905" w:type="dxa"/>
            <w:tcBorders>
              <w:top w:val="single" w:sz="4" w:space="0" w:color="auto"/>
              <w:left w:val="single" w:sz="4" w:space="0" w:color="auto"/>
              <w:bottom w:val="single" w:sz="4" w:space="0" w:color="auto"/>
              <w:right w:val="single" w:sz="4" w:space="0" w:color="auto"/>
            </w:tcBorders>
          </w:tcPr>
          <w:p w14:paraId="55772173" w14:textId="77777777" w:rsidR="008C7752" w:rsidRPr="00CC7C8F" w:rsidRDefault="008C7752" w:rsidP="008C7752">
            <w:pPr>
              <w:pStyle w:val="TableText"/>
              <w:rPr>
                <w:rFonts w:ascii="Arial" w:hAnsi="Arial" w:cs="Arial"/>
              </w:rPr>
            </w:pPr>
            <w:r w:rsidRPr="00CC7C8F">
              <w:rPr>
                <w:rFonts w:ascii="Arial" w:hAnsi="Arial" w:cs="Arial"/>
              </w:rPr>
              <w:t>Respite care (provided outside the home)</w:t>
            </w:r>
          </w:p>
        </w:tc>
        <w:tc>
          <w:tcPr>
            <w:tcW w:w="2906" w:type="dxa"/>
            <w:tcBorders>
              <w:top w:val="single" w:sz="4" w:space="0" w:color="auto"/>
              <w:left w:val="single" w:sz="4" w:space="0" w:color="auto"/>
              <w:bottom w:val="single" w:sz="4" w:space="0" w:color="auto"/>
              <w:right w:val="single" w:sz="4" w:space="0" w:color="auto"/>
            </w:tcBorders>
          </w:tcPr>
          <w:p w14:paraId="564B1E4E" w14:textId="77777777" w:rsidR="008C7752" w:rsidRPr="00CC7C8F" w:rsidRDefault="008C7752" w:rsidP="008C7752">
            <w:pPr>
              <w:pStyle w:val="TableText"/>
              <w:rPr>
                <w:rFonts w:ascii="Arial" w:hAnsi="Arial" w:cs="Arial"/>
              </w:rPr>
            </w:pPr>
            <w:r w:rsidRPr="00CC7C8F">
              <w:rPr>
                <w:rFonts w:ascii="Arial" w:hAnsi="Arial" w:cs="Arial"/>
              </w:rPr>
              <w:t>The primary caregiver of someone who meets the criteria.</w:t>
            </w:r>
          </w:p>
        </w:tc>
        <w:tc>
          <w:tcPr>
            <w:tcW w:w="2648" w:type="dxa"/>
            <w:tcBorders>
              <w:top w:val="single" w:sz="4" w:space="0" w:color="auto"/>
              <w:left w:val="single" w:sz="4" w:space="0" w:color="auto"/>
              <w:bottom w:val="single" w:sz="4" w:space="0" w:color="auto"/>
              <w:right w:val="single" w:sz="4" w:space="0" w:color="auto"/>
            </w:tcBorders>
          </w:tcPr>
          <w:p w14:paraId="1AD674E6" w14:textId="77777777" w:rsidR="008C7752" w:rsidRPr="00CC7C8F" w:rsidRDefault="008C7752" w:rsidP="008C7752">
            <w:pPr>
              <w:pStyle w:val="TableText"/>
              <w:rPr>
                <w:rFonts w:ascii="Arial" w:hAnsi="Arial" w:cs="Arial"/>
              </w:rPr>
            </w:pPr>
            <w:r w:rsidRPr="00CC7C8F">
              <w:rPr>
                <w:rFonts w:ascii="Arial" w:hAnsi="Arial" w:cs="Arial"/>
              </w:rPr>
              <w:t>A subsidy is paid but does not always cover the full cost of the service.  The balance may be ‘topped up’ by the family.</w:t>
            </w:r>
          </w:p>
        </w:tc>
      </w:tr>
      <w:tr w:rsidR="008C7752" w:rsidRPr="00CC7C8F" w14:paraId="2D0631A5" w14:textId="77777777">
        <w:trPr>
          <w:cantSplit/>
        </w:trPr>
        <w:tc>
          <w:tcPr>
            <w:tcW w:w="2905" w:type="dxa"/>
            <w:tcBorders>
              <w:top w:val="single" w:sz="4" w:space="0" w:color="auto"/>
              <w:left w:val="single" w:sz="4" w:space="0" w:color="auto"/>
              <w:bottom w:val="single" w:sz="4" w:space="0" w:color="auto"/>
              <w:right w:val="single" w:sz="4" w:space="0" w:color="auto"/>
            </w:tcBorders>
          </w:tcPr>
          <w:p w14:paraId="6EEAE851" w14:textId="77777777" w:rsidR="008C7752" w:rsidRPr="00CC7C8F" w:rsidRDefault="008C7752" w:rsidP="008C7752">
            <w:pPr>
              <w:pStyle w:val="TableText"/>
              <w:rPr>
                <w:rFonts w:ascii="Arial" w:hAnsi="Arial" w:cs="Arial"/>
              </w:rPr>
            </w:pPr>
            <w:r w:rsidRPr="00CC7C8F">
              <w:rPr>
                <w:rFonts w:ascii="Arial" w:hAnsi="Arial" w:cs="Arial"/>
              </w:rPr>
              <w:t>Caregiver support (provided in the home)</w:t>
            </w:r>
          </w:p>
        </w:tc>
        <w:tc>
          <w:tcPr>
            <w:tcW w:w="2906" w:type="dxa"/>
            <w:tcBorders>
              <w:top w:val="single" w:sz="4" w:space="0" w:color="auto"/>
              <w:left w:val="single" w:sz="4" w:space="0" w:color="auto"/>
              <w:bottom w:val="single" w:sz="4" w:space="0" w:color="auto"/>
              <w:right w:val="single" w:sz="4" w:space="0" w:color="auto"/>
            </w:tcBorders>
          </w:tcPr>
          <w:p w14:paraId="44DF5141" w14:textId="77777777" w:rsidR="008C7752" w:rsidRPr="00CC7C8F" w:rsidRDefault="008C7752" w:rsidP="008C7752">
            <w:pPr>
              <w:pStyle w:val="TableText"/>
              <w:rPr>
                <w:rFonts w:ascii="Arial" w:hAnsi="Arial" w:cs="Arial"/>
              </w:rPr>
            </w:pPr>
            <w:r w:rsidRPr="00CC7C8F">
              <w:rPr>
                <w:rFonts w:ascii="Arial" w:hAnsi="Arial" w:cs="Arial"/>
              </w:rPr>
              <w:t>As above.</w:t>
            </w:r>
          </w:p>
        </w:tc>
        <w:tc>
          <w:tcPr>
            <w:tcW w:w="2648" w:type="dxa"/>
            <w:tcBorders>
              <w:top w:val="single" w:sz="4" w:space="0" w:color="auto"/>
              <w:left w:val="single" w:sz="4" w:space="0" w:color="auto"/>
              <w:bottom w:val="single" w:sz="4" w:space="0" w:color="auto"/>
              <w:right w:val="single" w:sz="4" w:space="0" w:color="auto"/>
            </w:tcBorders>
          </w:tcPr>
          <w:p w14:paraId="463CFEC2" w14:textId="77777777" w:rsidR="008C7752" w:rsidRPr="00CC7C8F" w:rsidRDefault="008C7752" w:rsidP="008C7752">
            <w:pPr>
              <w:pStyle w:val="TableText"/>
              <w:rPr>
                <w:rFonts w:ascii="Arial" w:hAnsi="Arial" w:cs="Arial"/>
              </w:rPr>
            </w:pPr>
            <w:r w:rsidRPr="00CC7C8F">
              <w:rPr>
                <w:rFonts w:ascii="Arial" w:hAnsi="Arial" w:cs="Arial"/>
              </w:rPr>
              <w:t>As above.</w:t>
            </w:r>
          </w:p>
        </w:tc>
      </w:tr>
      <w:tr w:rsidR="008C7752" w:rsidRPr="00CC7C8F" w14:paraId="2F9A6782" w14:textId="77777777">
        <w:trPr>
          <w:cantSplit/>
        </w:trPr>
        <w:tc>
          <w:tcPr>
            <w:tcW w:w="2905" w:type="dxa"/>
            <w:tcBorders>
              <w:top w:val="single" w:sz="4" w:space="0" w:color="auto"/>
              <w:left w:val="single" w:sz="4" w:space="0" w:color="auto"/>
              <w:bottom w:val="single" w:sz="4" w:space="0" w:color="auto"/>
              <w:right w:val="single" w:sz="4" w:space="0" w:color="auto"/>
            </w:tcBorders>
          </w:tcPr>
          <w:p w14:paraId="61AB4043" w14:textId="77777777" w:rsidR="008C7752" w:rsidRPr="00CC7C8F" w:rsidRDefault="008C7752" w:rsidP="008C7752">
            <w:pPr>
              <w:pStyle w:val="TableText"/>
              <w:rPr>
                <w:rFonts w:ascii="Arial" w:hAnsi="Arial" w:cs="Arial"/>
              </w:rPr>
            </w:pPr>
            <w:r w:rsidRPr="00CC7C8F">
              <w:rPr>
                <w:rFonts w:ascii="Arial" w:hAnsi="Arial" w:cs="Arial"/>
              </w:rPr>
              <w:lastRenderedPageBreak/>
              <w:t xml:space="preserve">Family and </w:t>
            </w:r>
            <w:r w:rsidRPr="007541A2">
              <w:rPr>
                <w:rFonts w:ascii="Arial" w:hAnsi="Arial" w:cs="Arial"/>
                <w:lang w:val="mi-NZ"/>
              </w:rPr>
              <w:t>whänau</w:t>
            </w:r>
            <w:r w:rsidRPr="00CC7C8F">
              <w:rPr>
                <w:rFonts w:ascii="Arial" w:hAnsi="Arial" w:cs="Arial"/>
              </w:rPr>
              <w:t xml:space="preserve"> Carer Support Programmes (these aim to support family and </w:t>
            </w:r>
            <w:r w:rsidRPr="007541A2">
              <w:rPr>
                <w:rFonts w:ascii="Arial" w:hAnsi="Arial" w:cs="Arial"/>
                <w:lang w:val="mi-NZ"/>
              </w:rPr>
              <w:t>whänau</w:t>
            </w:r>
            <w:r w:rsidRPr="00CC7C8F">
              <w:rPr>
                <w:rFonts w:ascii="Arial" w:hAnsi="Arial" w:cs="Arial"/>
              </w:rPr>
              <w:t xml:space="preserve"> carers by assisting them to improve skills, by improving their understanding of the health and disability support systems, and by giving opportunities for networking to reduce social isolation)</w:t>
            </w:r>
          </w:p>
        </w:tc>
        <w:tc>
          <w:tcPr>
            <w:tcW w:w="2906" w:type="dxa"/>
            <w:tcBorders>
              <w:top w:val="single" w:sz="4" w:space="0" w:color="auto"/>
              <w:left w:val="single" w:sz="4" w:space="0" w:color="auto"/>
              <w:bottom w:val="single" w:sz="4" w:space="0" w:color="auto"/>
              <w:right w:val="single" w:sz="4" w:space="0" w:color="auto"/>
            </w:tcBorders>
          </w:tcPr>
          <w:p w14:paraId="01CD2276" w14:textId="77777777" w:rsidR="008C7752" w:rsidRPr="00CC7C8F" w:rsidRDefault="008C7752" w:rsidP="008C7752">
            <w:pPr>
              <w:pStyle w:val="TableText"/>
              <w:rPr>
                <w:rFonts w:ascii="Arial" w:hAnsi="Arial" w:cs="Arial"/>
              </w:rPr>
            </w:pPr>
            <w:r w:rsidRPr="00CC7C8F">
              <w:rPr>
                <w:rFonts w:ascii="Arial" w:hAnsi="Arial" w:cs="Arial"/>
              </w:rPr>
              <w:t xml:space="preserve">Any family or </w:t>
            </w:r>
            <w:r w:rsidRPr="007541A2">
              <w:rPr>
                <w:rFonts w:ascii="Arial" w:hAnsi="Arial" w:cs="Arial"/>
                <w:lang w:val="mi-NZ"/>
              </w:rPr>
              <w:t>whänau</w:t>
            </w:r>
            <w:r w:rsidRPr="00CC7C8F">
              <w:rPr>
                <w:rFonts w:ascii="Arial" w:hAnsi="Arial" w:cs="Arial"/>
              </w:rPr>
              <w:t xml:space="preserve"> carer who provides support for a person with a disability who meets the Ministry’s definition of disability.</w:t>
            </w:r>
          </w:p>
        </w:tc>
        <w:tc>
          <w:tcPr>
            <w:tcW w:w="2648" w:type="dxa"/>
            <w:tcBorders>
              <w:top w:val="single" w:sz="4" w:space="0" w:color="auto"/>
              <w:left w:val="single" w:sz="4" w:space="0" w:color="auto"/>
              <w:bottom w:val="single" w:sz="4" w:space="0" w:color="auto"/>
              <w:right w:val="single" w:sz="4" w:space="0" w:color="auto"/>
            </w:tcBorders>
          </w:tcPr>
          <w:p w14:paraId="35AFAD5C" w14:textId="77777777" w:rsidR="008C7752" w:rsidRPr="00CC7C8F" w:rsidRDefault="008C7752" w:rsidP="008C7752">
            <w:pPr>
              <w:pStyle w:val="TableText"/>
              <w:rPr>
                <w:rFonts w:ascii="Arial" w:hAnsi="Arial" w:cs="Arial"/>
              </w:rPr>
            </w:pPr>
            <w:r w:rsidRPr="00CC7C8F">
              <w:rPr>
                <w:rFonts w:ascii="Arial" w:hAnsi="Arial" w:cs="Arial"/>
              </w:rPr>
              <w:t>No charge.</w:t>
            </w:r>
          </w:p>
        </w:tc>
      </w:tr>
      <w:tr w:rsidR="008C7752" w:rsidRPr="00CC7C8F" w14:paraId="5FCDDB95" w14:textId="77777777">
        <w:trPr>
          <w:cantSplit/>
        </w:trPr>
        <w:tc>
          <w:tcPr>
            <w:tcW w:w="2905" w:type="dxa"/>
            <w:tcBorders>
              <w:top w:val="single" w:sz="4" w:space="0" w:color="auto"/>
              <w:left w:val="single" w:sz="4" w:space="0" w:color="auto"/>
              <w:bottom w:val="single" w:sz="4" w:space="0" w:color="auto"/>
              <w:right w:val="single" w:sz="4" w:space="0" w:color="auto"/>
            </w:tcBorders>
          </w:tcPr>
          <w:p w14:paraId="5181C2D6" w14:textId="77777777" w:rsidR="008C7752" w:rsidRPr="00585B10" w:rsidRDefault="008C7752" w:rsidP="008C7752">
            <w:pPr>
              <w:pStyle w:val="TableText"/>
              <w:keepNext/>
              <w:rPr>
                <w:rFonts w:ascii="Arial" w:hAnsi="Arial" w:cs="Arial"/>
                <w:b/>
              </w:rPr>
            </w:pPr>
            <w:r w:rsidRPr="00585B10">
              <w:rPr>
                <w:rFonts w:ascii="Arial" w:hAnsi="Arial" w:cs="Arial"/>
                <w:b/>
              </w:rPr>
              <w:t>Day and vocational services</w:t>
            </w:r>
          </w:p>
        </w:tc>
        <w:tc>
          <w:tcPr>
            <w:tcW w:w="2906" w:type="dxa"/>
            <w:tcBorders>
              <w:top w:val="single" w:sz="4" w:space="0" w:color="auto"/>
              <w:left w:val="single" w:sz="4" w:space="0" w:color="auto"/>
              <w:bottom w:val="single" w:sz="4" w:space="0" w:color="auto"/>
              <w:right w:val="single" w:sz="4" w:space="0" w:color="auto"/>
            </w:tcBorders>
          </w:tcPr>
          <w:p w14:paraId="7A1C790F" w14:textId="77777777" w:rsidR="008C7752" w:rsidRPr="00585B10" w:rsidRDefault="008C7752" w:rsidP="008C7752">
            <w:pPr>
              <w:pStyle w:val="TableText"/>
              <w:keepNext/>
              <w:rPr>
                <w:rFonts w:ascii="Arial" w:hAnsi="Arial" w:cs="Arial"/>
              </w:rPr>
            </w:pPr>
          </w:p>
        </w:tc>
        <w:tc>
          <w:tcPr>
            <w:tcW w:w="2648" w:type="dxa"/>
            <w:tcBorders>
              <w:top w:val="single" w:sz="4" w:space="0" w:color="auto"/>
              <w:left w:val="single" w:sz="4" w:space="0" w:color="auto"/>
              <w:bottom w:val="single" w:sz="4" w:space="0" w:color="auto"/>
              <w:right w:val="single" w:sz="4" w:space="0" w:color="auto"/>
            </w:tcBorders>
          </w:tcPr>
          <w:p w14:paraId="315D352D" w14:textId="77777777" w:rsidR="008C7752" w:rsidRPr="00585B10" w:rsidRDefault="008C7752" w:rsidP="008C7752">
            <w:pPr>
              <w:pStyle w:val="TableText"/>
              <w:keepNext/>
              <w:rPr>
                <w:rFonts w:ascii="Arial" w:hAnsi="Arial" w:cs="Arial"/>
              </w:rPr>
            </w:pPr>
          </w:p>
        </w:tc>
      </w:tr>
      <w:tr w:rsidR="008C7752" w:rsidRPr="00CC7C8F" w14:paraId="0373D80E" w14:textId="77777777">
        <w:trPr>
          <w:cantSplit/>
        </w:trPr>
        <w:tc>
          <w:tcPr>
            <w:tcW w:w="2905" w:type="dxa"/>
            <w:tcBorders>
              <w:top w:val="single" w:sz="4" w:space="0" w:color="auto"/>
              <w:left w:val="single" w:sz="4" w:space="0" w:color="auto"/>
              <w:bottom w:val="single" w:sz="4" w:space="0" w:color="auto"/>
              <w:right w:val="single" w:sz="4" w:space="0" w:color="auto"/>
            </w:tcBorders>
          </w:tcPr>
          <w:p w14:paraId="776DD3F8" w14:textId="77777777" w:rsidR="008C7752" w:rsidRDefault="008C7752" w:rsidP="008C7752">
            <w:pPr>
              <w:pStyle w:val="TableText"/>
              <w:rPr>
                <w:rFonts w:ascii="Arial" w:hAnsi="Arial" w:cs="Arial"/>
              </w:rPr>
            </w:pPr>
            <w:r w:rsidRPr="001E7102">
              <w:rPr>
                <w:rFonts w:ascii="Arial" w:hAnsi="Arial" w:cs="Arial"/>
              </w:rPr>
              <w:t>Day and vocational services (Work and Income New Zealand funds employment and training opportunities and community participation activities for people with disabilities 16–65 years of age)</w:t>
            </w:r>
          </w:p>
          <w:p w14:paraId="4B69C010" w14:textId="77777777" w:rsidR="008C7752" w:rsidRPr="001E7102" w:rsidRDefault="008C7752" w:rsidP="008C7752">
            <w:pPr>
              <w:pStyle w:val="TableText"/>
              <w:rPr>
                <w:rFonts w:ascii="Arial" w:hAnsi="Arial" w:cs="Arial"/>
              </w:rPr>
            </w:pPr>
            <w:r>
              <w:rPr>
                <w:rFonts w:ascii="Arial" w:hAnsi="Arial" w:cs="Arial"/>
              </w:rPr>
              <w:t xml:space="preserve">Note: </w:t>
            </w:r>
            <w:r w:rsidRPr="001E7102">
              <w:rPr>
                <w:rFonts w:ascii="Arial" w:hAnsi="Arial" w:cs="Arial"/>
              </w:rPr>
              <w:t xml:space="preserve">From 2009  day and vocational services under Minister of Health services are being gradually transferred to the Ministry </w:t>
            </w:r>
          </w:p>
          <w:p w14:paraId="32FA001A" w14:textId="77777777" w:rsidR="008C7752" w:rsidRPr="001E7102" w:rsidRDefault="008C7752" w:rsidP="008C7752">
            <w:pPr>
              <w:pStyle w:val="TableText"/>
              <w:rPr>
                <w:rFonts w:ascii="Arial" w:hAnsi="Arial" w:cs="Arial"/>
              </w:rPr>
            </w:pPr>
          </w:p>
        </w:tc>
        <w:tc>
          <w:tcPr>
            <w:tcW w:w="2906" w:type="dxa"/>
            <w:tcBorders>
              <w:top w:val="single" w:sz="4" w:space="0" w:color="auto"/>
              <w:left w:val="single" w:sz="4" w:space="0" w:color="auto"/>
              <w:bottom w:val="single" w:sz="4" w:space="0" w:color="auto"/>
              <w:right w:val="single" w:sz="4" w:space="0" w:color="auto"/>
            </w:tcBorders>
          </w:tcPr>
          <w:p w14:paraId="3BE2BA90" w14:textId="77777777" w:rsidR="008C7752" w:rsidRDefault="008C7752" w:rsidP="008C7752">
            <w:pPr>
              <w:pStyle w:val="TableText"/>
              <w:rPr>
                <w:rFonts w:ascii="Arial" w:hAnsi="Arial" w:cs="Arial"/>
              </w:rPr>
            </w:pPr>
            <w:r w:rsidRPr="001E7102">
              <w:rPr>
                <w:rFonts w:ascii="Arial" w:hAnsi="Arial" w:cs="Arial"/>
              </w:rPr>
              <w:t xml:space="preserve">The Ministry funds day activities, generally for older people, and day and vocational services for people with intellectual disabilities resettled into the community,.  People with disabilities must meet the Ministry’s definition of disability, and be assessed as needing services which provide training opportunities, or respite care for their primary carers. </w:t>
            </w:r>
          </w:p>
          <w:p w14:paraId="041C0D58" w14:textId="77777777" w:rsidR="008C7752" w:rsidRDefault="008C7752" w:rsidP="008C7752">
            <w:pPr>
              <w:pStyle w:val="TableText"/>
              <w:rPr>
                <w:rFonts w:ascii="Arial" w:hAnsi="Arial" w:cs="Arial"/>
              </w:rPr>
            </w:pPr>
            <w:r>
              <w:rPr>
                <w:rFonts w:ascii="Arial" w:hAnsi="Arial" w:cs="Arial"/>
              </w:rPr>
              <w:t xml:space="preserve">Note: </w:t>
            </w:r>
            <w:r w:rsidRPr="001E7102">
              <w:rPr>
                <w:rFonts w:ascii="Arial" w:hAnsi="Arial" w:cs="Arial"/>
              </w:rPr>
              <w:t xml:space="preserve">From 2009  day and vocational services under Minister of Health services are being gradually transferred to the Ministry </w:t>
            </w:r>
            <w:r>
              <w:rPr>
                <w:rFonts w:ascii="Arial" w:hAnsi="Arial" w:cs="Arial"/>
              </w:rPr>
              <w:t xml:space="preserve">of Social Development </w:t>
            </w:r>
          </w:p>
          <w:p w14:paraId="43389314" w14:textId="77777777" w:rsidR="008C7752" w:rsidRPr="001E7102" w:rsidRDefault="008C7752" w:rsidP="008C7752">
            <w:pPr>
              <w:pStyle w:val="TableText"/>
              <w:rPr>
                <w:rFonts w:ascii="Arial" w:hAnsi="Arial" w:cs="Arial"/>
              </w:rPr>
            </w:pPr>
          </w:p>
        </w:tc>
        <w:tc>
          <w:tcPr>
            <w:tcW w:w="2648" w:type="dxa"/>
            <w:tcBorders>
              <w:top w:val="single" w:sz="4" w:space="0" w:color="auto"/>
              <w:left w:val="single" w:sz="4" w:space="0" w:color="auto"/>
              <w:bottom w:val="single" w:sz="4" w:space="0" w:color="auto"/>
              <w:right w:val="single" w:sz="4" w:space="0" w:color="auto"/>
            </w:tcBorders>
          </w:tcPr>
          <w:p w14:paraId="6C6F4340" w14:textId="77777777" w:rsidR="008C7752" w:rsidRPr="00585B10" w:rsidRDefault="008C7752" w:rsidP="008C7752">
            <w:pPr>
              <w:pStyle w:val="TableText"/>
              <w:rPr>
                <w:rFonts w:ascii="Arial" w:hAnsi="Arial" w:cs="Arial"/>
              </w:rPr>
            </w:pPr>
            <w:r w:rsidRPr="00585B10">
              <w:rPr>
                <w:rFonts w:ascii="Arial" w:hAnsi="Arial" w:cs="Arial"/>
              </w:rPr>
              <w:t>In most instances there is no charge.</w:t>
            </w:r>
          </w:p>
        </w:tc>
      </w:tr>
      <w:tr w:rsidR="008C7752" w:rsidRPr="00CC7C8F" w14:paraId="418F1C13" w14:textId="77777777">
        <w:trPr>
          <w:cantSplit/>
        </w:trPr>
        <w:tc>
          <w:tcPr>
            <w:tcW w:w="2905" w:type="dxa"/>
            <w:tcBorders>
              <w:top w:val="single" w:sz="4" w:space="0" w:color="auto"/>
              <w:left w:val="single" w:sz="4" w:space="0" w:color="auto"/>
              <w:bottom w:val="single" w:sz="4" w:space="0" w:color="auto"/>
              <w:right w:val="single" w:sz="4" w:space="0" w:color="auto"/>
            </w:tcBorders>
          </w:tcPr>
          <w:p w14:paraId="0E34307C" w14:textId="77777777" w:rsidR="008C7752" w:rsidRPr="00D610E6" w:rsidRDefault="008C7752" w:rsidP="008C7752">
            <w:pPr>
              <w:pStyle w:val="TableText"/>
              <w:keepNext/>
              <w:rPr>
                <w:rFonts w:ascii="Arial" w:hAnsi="Arial" w:cs="Arial"/>
                <w:b/>
              </w:rPr>
            </w:pPr>
            <w:bookmarkStart w:id="171" w:name="_Toc15804233"/>
            <w:proofErr w:type="spellStart"/>
            <w:r w:rsidRPr="00D610E6">
              <w:rPr>
                <w:rFonts w:ascii="Arial" w:hAnsi="Arial" w:cs="Arial"/>
                <w:b/>
              </w:rPr>
              <w:t>Habilitation</w:t>
            </w:r>
            <w:proofErr w:type="spellEnd"/>
            <w:r w:rsidRPr="00D610E6">
              <w:rPr>
                <w:rFonts w:ascii="Arial" w:hAnsi="Arial" w:cs="Arial"/>
                <w:b/>
              </w:rPr>
              <w:t xml:space="preserve"> and rehabilitation</w:t>
            </w:r>
            <w:bookmarkEnd w:id="171"/>
          </w:p>
        </w:tc>
        <w:tc>
          <w:tcPr>
            <w:tcW w:w="2906" w:type="dxa"/>
            <w:tcBorders>
              <w:top w:val="single" w:sz="4" w:space="0" w:color="auto"/>
              <w:left w:val="single" w:sz="4" w:space="0" w:color="auto"/>
              <w:bottom w:val="single" w:sz="4" w:space="0" w:color="auto"/>
              <w:right w:val="single" w:sz="4" w:space="0" w:color="auto"/>
            </w:tcBorders>
          </w:tcPr>
          <w:p w14:paraId="0334BCA6" w14:textId="77777777" w:rsidR="008C7752" w:rsidRPr="00D610E6" w:rsidRDefault="008C7752" w:rsidP="008C7752">
            <w:pPr>
              <w:pStyle w:val="TableText"/>
              <w:rPr>
                <w:rFonts w:ascii="Arial" w:hAnsi="Arial" w:cs="Arial"/>
              </w:rPr>
            </w:pPr>
          </w:p>
        </w:tc>
        <w:tc>
          <w:tcPr>
            <w:tcW w:w="2648" w:type="dxa"/>
            <w:tcBorders>
              <w:top w:val="single" w:sz="4" w:space="0" w:color="auto"/>
              <w:left w:val="single" w:sz="4" w:space="0" w:color="auto"/>
              <w:bottom w:val="single" w:sz="4" w:space="0" w:color="auto"/>
              <w:right w:val="single" w:sz="4" w:space="0" w:color="auto"/>
            </w:tcBorders>
          </w:tcPr>
          <w:p w14:paraId="1935D73E" w14:textId="77777777" w:rsidR="008C7752" w:rsidRPr="00D610E6" w:rsidRDefault="008C7752" w:rsidP="008C7752">
            <w:pPr>
              <w:pStyle w:val="TableText"/>
              <w:rPr>
                <w:rFonts w:ascii="Arial" w:hAnsi="Arial" w:cs="Arial"/>
              </w:rPr>
            </w:pPr>
          </w:p>
        </w:tc>
      </w:tr>
      <w:tr w:rsidR="008C7752" w:rsidRPr="00CC7C8F" w14:paraId="5D7D6413" w14:textId="77777777">
        <w:trPr>
          <w:cantSplit/>
        </w:trPr>
        <w:tc>
          <w:tcPr>
            <w:tcW w:w="2905" w:type="dxa"/>
            <w:tcBorders>
              <w:top w:val="single" w:sz="4" w:space="0" w:color="auto"/>
              <w:left w:val="single" w:sz="4" w:space="0" w:color="auto"/>
              <w:bottom w:val="single" w:sz="4" w:space="0" w:color="auto"/>
              <w:right w:val="single" w:sz="4" w:space="0" w:color="auto"/>
            </w:tcBorders>
          </w:tcPr>
          <w:p w14:paraId="2A34D860" w14:textId="77777777" w:rsidR="008C7752" w:rsidRPr="00D610E6" w:rsidRDefault="008C7752" w:rsidP="008C7752">
            <w:pPr>
              <w:pStyle w:val="TableText"/>
              <w:rPr>
                <w:rFonts w:ascii="Arial" w:hAnsi="Arial" w:cs="Arial"/>
                <w:b/>
              </w:rPr>
            </w:pPr>
            <w:r w:rsidRPr="00D610E6">
              <w:rPr>
                <w:rFonts w:ascii="Arial" w:hAnsi="Arial" w:cs="Arial"/>
              </w:rPr>
              <w:t>Assessment, Treatment and Rehabilitation services</w:t>
            </w:r>
          </w:p>
        </w:tc>
        <w:tc>
          <w:tcPr>
            <w:tcW w:w="2906" w:type="dxa"/>
            <w:tcBorders>
              <w:top w:val="single" w:sz="4" w:space="0" w:color="auto"/>
              <w:left w:val="single" w:sz="4" w:space="0" w:color="auto"/>
              <w:bottom w:val="single" w:sz="4" w:space="0" w:color="auto"/>
              <w:right w:val="single" w:sz="4" w:space="0" w:color="auto"/>
            </w:tcBorders>
          </w:tcPr>
          <w:p w14:paraId="485D9BB0" w14:textId="77777777" w:rsidR="008C7752" w:rsidRPr="00D610E6" w:rsidRDefault="008C7752" w:rsidP="008C7752">
            <w:pPr>
              <w:pStyle w:val="TableText"/>
              <w:rPr>
                <w:rFonts w:ascii="Arial" w:hAnsi="Arial" w:cs="Arial"/>
              </w:rPr>
            </w:pPr>
            <w:r w:rsidRPr="00D610E6">
              <w:rPr>
                <w:rFonts w:ascii="Arial" w:hAnsi="Arial" w:cs="Arial"/>
              </w:rPr>
              <w:t>People assessed as needing services.  These services are mainly provided in hospitals, and the majority of people (approximately 80%) receiving services are over 65.</w:t>
            </w:r>
          </w:p>
        </w:tc>
        <w:tc>
          <w:tcPr>
            <w:tcW w:w="2648" w:type="dxa"/>
            <w:tcBorders>
              <w:top w:val="single" w:sz="4" w:space="0" w:color="auto"/>
              <w:left w:val="single" w:sz="4" w:space="0" w:color="auto"/>
              <w:bottom w:val="single" w:sz="4" w:space="0" w:color="auto"/>
              <w:right w:val="single" w:sz="4" w:space="0" w:color="auto"/>
            </w:tcBorders>
          </w:tcPr>
          <w:p w14:paraId="4A2A8D59" w14:textId="77777777" w:rsidR="008C7752" w:rsidRPr="00D610E6" w:rsidRDefault="008C7752" w:rsidP="008C7752">
            <w:pPr>
              <w:pStyle w:val="TableText"/>
              <w:rPr>
                <w:rFonts w:ascii="Arial" w:hAnsi="Arial" w:cs="Arial"/>
              </w:rPr>
            </w:pPr>
            <w:r w:rsidRPr="00D610E6">
              <w:rPr>
                <w:rFonts w:ascii="Arial" w:hAnsi="Arial" w:cs="Arial"/>
              </w:rPr>
              <w:t xml:space="preserve">Provided by DHBs.  Services are free to users </w:t>
            </w:r>
          </w:p>
        </w:tc>
      </w:tr>
      <w:tr w:rsidR="008C7752" w:rsidRPr="00CC7C8F" w14:paraId="01CEAA88" w14:textId="77777777">
        <w:trPr>
          <w:cantSplit/>
        </w:trPr>
        <w:tc>
          <w:tcPr>
            <w:tcW w:w="2905" w:type="dxa"/>
            <w:tcBorders>
              <w:top w:val="single" w:sz="4" w:space="0" w:color="auto"/>
              <w:left w:val="single" w:sz="4" w:space="0" w:color="auto"/>
              <w:bottom w:val="single" w:sz="4" w:space="0" w:color="auto"/>
              <w:right w:val="single" w:sz="4" w:space="0" w:color="auto"/>
            </w:tcBorders>
          </w:tcPr>
          <w:p w14:paraId="2E751774" w14:textId="77777777" w:rsidR="008C7752" w:rsidRPr="00D610E6" w:rsidRDefault="008C7752" w:rsidP="008C7752">
            <w:pPr>
              <w:pStyle w:val="TableText"/>
              <w:rPr>
                <w:b/>
              </w:rPr>
            </w:pPr>
            <w:r w:rsidRPr="00D610E6">
              <w:lastRenderedPageBreak/>
              <w:t>Child development services</w:t>
            </w:r>
          </w:p>
        </w:tc>
        <w:tc>
          <w:tcPr>
            <w:tcW w:w="2906" w:type="dxa"/>
            <w:tcBorders>
              <w:top w:val="single" w:sz="4" w:space="0" w:color="auto"/>
              <w:left w:val="single" w:sz="4" w:space="0" w:color="auto"/>
              <w:bottom w:val="single" w:sz="4" w:space="0" w:color="auto"/>
              <w:right w:val="single" w:sz="4" w:space="0" w:color="auto"/>
            </w:tcBorders>
          </w:tcPr>
          <w:p w14:paraId="5D117BDB" w14:textId="77777777" w:rsidR="008C7752" w:rsidRPr="00D610E6" w:rsidRDefault="008C7752" w:rsidP="008C7752">
            <w:pPr>
              <w:pStyle w:val="TableText"/>
            </w:pPr>
            <w:r w:rsidRPr="00D610E6">
              <w:t>Children and young people assessed as needing services, which are mainly hospital-based and multidisciplinary.</w:t>
            </w:r>
          </w:p>
        </w:tc>
        <w:tc>
          <w:tcPr>
            <w:tcW w:w="2648" w:type="dxa"/>
            <w:tcBorders>
              <w:top w:val="single" w:sz="4" w:space="0" w:color="auto"/>
              <w:left w:val="single" w:sz="4" w:space="0" w:color="auto"/>
              <w:bottom w:val="single" w:sz="4" w:space="0" w:color="auto"/>
              <w:right w:val="single" w:sz="4" w:space="0" w:color="auto"/>
            </w:tcBorders>
          </w:tcPr>
          <w:p w14:paraId="02C95BAD" w14:textId="77777777" w:rsidR="008C7752" w:rsidRPr="00D610E6" w:rsidRDefault="008C7752" w:rsidP="008C7752">
            <w:pPr>
              <w:pStyle w:val="TableText"/>
            </w:pPr>
            <w:r w:rsidRPr="00D610E6">
              <w:rPr>
                <w:rFonts w:ascii="Arial" w:hAnsi="Arial" w:cs="Arial"/>
              </w:rPr>
              <w:t xml:space="preserve">Provided by DHBs.  Services are free to users </w:t>
            </w:r>
          </w:p>
        </w:tc>
      </w:tr>
    </w:tbl>
    <w:p w14:paraId="7070DD1A" w14:textId="77777777" w:rsidR="006C1F42" w:rsidRDefault="006C1F42" w:rsidP="008C7752"/>
    <w:p w14:paraId="34DF1A0A" w14:textId="77777777" w:rsidR="008C7752" w:rsidRPr="007541A2" w:rsidRDefault="008C7752" w:rsidP="007541A2">
      <w:pPr>
        <w:sectPr w:rsidR="008C7752" w:rsidRPr="007541A2" w:rsidSect="008C7752">
          <w:footerReference w:type="even" r:id="rId58"/>
          <w:footerReference w:type="default" r:id="rId59"/>
          <w:pgSz w:w="11906" w:h="16838"/>
          <w:pgMar w:top="1440" w:right="1800" w:bottom="1440" w:left="1800" w:header="708" w:footer="708" w:gutter="0"/>
          <w:cols w:space="708"/>
          <w:titlePg/>
          <w:docGrid w:linePitch="360"/>
        </w:sectPr>
      </w:pPr>
    </w:p>
    <w:p w14:paraId="6DF6BDAF" w14:textId="77777777" w:rsidR="008C7752" w:rsidRDefault="008C7752" w:rsidP="00C90549">
      <w:pPr>
        <w:pStyle w:val="Heading1"/>
        <w:spacing w:line="240" w:lineRule="auto"/>
        <w:rPr>
          <w:i/>
          <w:color w:val="000000"/>
        </w:rPr>
      </w:pPr>
      <w:bookmarkStart w:id="172" w:name="_Toc250627774"/>
      <w:bookmarkStart w:id="173" w:name="_Toc250627955"/>
      <w:bookmarkStart w:id="174" w:name="_Toc290886651"/>
      <w:r>
        <w:lastRenderedPageBreak/>
        <w:t>A</w:t>
      </w:r>
      <w:r w:rsidR="007E4574">
        <w:t>ppendix 4</w:t>
      </w:r>
      <w:r w:rsidRPr="006B3AA7">
        <w:t>: Adults with disabilities by type of residence</w:t>
      </w:r>
      <w:bookmarkEnd w:id="172"/>
      <w:bookmarkEnd w:id="173"/>
      <w:bookmarkEnd w:id="174"/>
    </w:p>
    <w:p w14:paraId="2DD7CA6D" w14:textId="77777777" w:rsidR="008C7752" w:rsidRPr="00FE6DA4" w:rsidRDefault="008C7752" w:rsidP="000B2936">
      <w:pPr>
        <w:spacing w:after="120" w:line="240" w:lineRule="auto"/>
        <w:jc w:val="center"/>
        <w:rPr>
          <w:rFonts w:cs="Arial"/>
          <w:b/>
          <w:bCs/>
          <w:color w:val="000000"/>
        </w:rPr>
      </w:pPr>
      <w:r w:rsidRPr="00BA1D63">
        <w:rPr>
          <w:rFonts w:cs="Arial"/>
          <w:b/>
          <w:bCs/>
          <w:color w:val="000000"/>
        </w:rPr>
        <w:t xml:space="preserve">Table </w:t>
      </w:r>
      <w:r w:rsidR="00BA1D63" w:rsidRPr="00BA1D63">
        <w:rPr>
          <w:rFonts w:cs="Arial"/>
          <w:b/>
          <w:bCs/>
          <w:color w:val="000000"/>
        </w:rPr>
        <w:t>11</w:t>
      </w:r>
      <w:r w:rsidRPr="00BA1D63">
        <w:rPr>
          <w:rFonts w:cs="Arial"/>
          <w:b/>
          <w:bCs/>
          <w:color w:val="000000"/>
        </w:rPr>
        <w:t>: Adults with disabilities by type of residence - Household, Residential, total place of resident by age cohort. Disability Survey 2006</w:t>
      </w:r>
      <w:r w:rsidRPr="00BA1D63">
        <w:rPr>
          <w:rStyle w:val="FootnoteReference"/>
          <w:rFonts w:cs="Arial"/>
          <w:b/>
          <w:bCs/>
          <w:color w:val="000000"/>
        </w:rPr>
        <w:footnoteReference w:id="84"/>
      </w:r>
    </w:p>
    <w:tbl>
      <w:tblPr>
        <w:tblpPr w:leftFromText="180" w:rightFromText="180" w:vertAnchor="page" w:horzAnchor="margin" w:tblpY="3322"/>
        <w:tblW w:w="5000" w:type="pct"/>
        <w:tblLook w:val="01E0" w:firstRow="1" w:lastRow="1" w:firstColumn="1" w:lastColumn="1" w:noHBand="0" w:noVBand="0"/>
      </w:tblPr>
      <w:tblGrid>
        <w:gridCol w:w="1771"/>
        <w:gridCol w:w="1106"/>
        <w:gridCol w:w="739"/>
        <w:gridCol w:w="939"/>
        <w:gridCol w:w="1107"/>
        <w:gridCol w:w="739"/>
        <w:gridCol w:w="1107"/>
        <w:gridCol w:w="1107"/>
        <w:gridCol w:w="1107"/>
        <w:gridCol w:w="1107"/>
        <w:gridCol w:w="1107"/>
        <w:gridCol w:w="923"/>
        <w:gridCol w:w="1099"/>
      </w:tblGrid>
      <w:tr w:rsidR="008C7752" w14:paraId="4301714B" w14:textId="77777777" w:rsidTr="00FE6DA4">
        <w:tc>
          <w:tcPr>
            <w:tcW w:w="635" w:type="pct"/>
          </w:tcPr>
          <w:p w14:paraId="4A7D8825" w14:textId="77777777" w:rsidR="008C7752" w:rsidRPr="00AC6A45" w:rsidRDefault="008C7752" w:rsidP="008C7752">
            <w:pPr>
              <w:rPr>
                <w:rFonts w:cs="Arial"/>
                <w:sz w:val="20"/>
                <w:szCs w:val="20"/>
              </w:rPr>
            </w:pPr>
          </w:p>
        </w:tc>
        <w:tc>
          <w:tcPr>
            <w:tcW w:w="992" w:type="pct"/>
            <w:gridSpan w:val="3"/>
          </w:tcPr>
          <w:p w14:paraId="4CDCD765" w14:textId="77777777" w:rsidR="008C7752" w:rsidRPr="00F23F2B" w:rsidRDefault="008C7752" w:rsidP="00F23F2B">
            <w:pPr>
              <w:pStyle w:val="TableHead"/>
              <w:rPr>
                <w:sz w:val="20"/>
                <w:szCs w:val="20"/>
              </w:rPr>
            </w:pPr>
            <w:r w:rsidRPr="00F23F2B">
              <w:rPr>
                <w:sz w:val="20"/>
                <w:szCs w:val="20"/>
              </w:rPr>
              <w:t>15 - 44</w:t>
            </w:r>
          </w:p>
        </w:tc>
        <w:tc>
          <w:tcPr>
            <w:tcW w:w="1058" w:type="pct"/>
            <w:gridSpan w:val="3"/>
          </w:tcPr>
          <w:p w14:paraId="4F40235E" w14:textId="77777777" w:rsidR="008C7752" w:rsidRPr="00F23F2B" w:rsidRDefault="008C7752" w:rsidP="00F23F2B">
            <w:pPr>
              <w:pStyle w:val="TableHead"/>
              <w:rPr>
                <w:sz w:val="20"/>
                <w:szCs w:val="20"/>
              </w:rPr>
            </w:pPr>
            <w:r w:rsidRPr="00F23F2B">
              <w:rPr>
                <w:sz w:val="20"/>
                <w:szCs w:val="20"/>
              </w:rPr>
              <w:t>45 - 64</w:t>
            </w:r>
          </w:p>
        </w:tc>
        <w:tc>
          <w:tcPr>
            <w:tcW w:w="1190" w:type="pct"/>
            <w:gridSpan w:val="3"/>
          </w:tcPr>
          <w:p w14:paraId="6A99B9A4" w14:textId="77777777" w:rsidR="008C7752" w:rsidRPr="00F23F2B" w:rsidRDefault="008C7752" w:rsidP="00F23F2B">
            <w:pPr>
              <w:pStyle w:val="TableHead"/>
              <w:rPr>
                <w:sz w:val="20"/>
                <w:szCs w:val="20"/>
              </w:rPr>
            </w:pPr>
            <w:r w:rsidRPr="00F23F2B">
              <w:rPr>
                <w:sz w:val="20"/>
                <w:szCs w:val="20"/>
              </w:rPr>
              <w:t>65 and over</w:t>
            </w:r>
          </w:p>
        </w:tc>
        <w:tc>
          <w:tcPr>
            <w:tcW w:w="1124" w:type="pct"/>
            <w:gridSpan w:val="3"/>
          </w:tcPr>
          <w:p w14:paraId="2673C962" w14:textId="77777777" w:rsidR="008C7752" w:rsidRPr="00F23F2B" w:rsidRDefault="008C7752" w:rsidP="00F23F2B">
            <w:pPr>
              <w:pStyle w:val="TableHead"/>
              <w:rPr>
                <w:sz w:val="20"/>
                <w:szCs w:val="20"/>
              </w:rPr>
            </w:pPr>
            <w:r w:rsidRPr="00F23F2B">
              <w:rPr>
                <w:sz w:val="20"/>
                <w:szCs w:val="20"/>
              </w:rPr>
              <w:t>Total</w:t>
            </w:r>
          </w:p>
        </w:tc>
      </w:tr>
      <w:tr w:rsidR="008C7752" w:rsidRPr="00326232" w14:paraId="22F71662" w14:textId="77777777" w:rsidTr="00FE6DA4">
        <w:tc>
          <w:tcPr>
            <w:tcW w:w="635" w:type="pct"/>
          </w:tcPr>
          <w:p w14:paraId="29642908" w14:textId="77777777" w:rsidR="008C7752" w:rsidRPr="00AC6A45" w:rsidRDefault="008C7752" w:rsidP="008C7752">
            <w:pPr>
              <w:rPr>
                <w:rFonts w:cs="Arial"/>
                <w:sz w:val="20"/>
                <w:szCs w:val="20"/>
              </w:rPr>
            </w:pPr>
          </w:p>
        </w:tc>
        <w:tc>
          <w:tcPr>
            <w:tcW w:w="397" w:type="pct"/>
          </w:tcPr>
          <w:p w14:paraId="0286E922" w14:textId="77777777" w:rsidR="008C7752" w:rsidRPr="00F23F2B" w:rsidRDefault="008C7752" w:rsidP="00F23F2B">
            <w:pPr>
              <w:pStyle w:val="TableHead"/>
              <w:rPr>
                <w:sz w:val="20"/>
                <w:szCs w:val="20"/>
              </w:rPr>
            </w:pPr>
            <w:r w:rsidRPr="00F23F2B">
              <w:rPr>
                <w:sz w:val="20"/>
                <w:szCs w:val="20"/>
              </w:rPr>
              <w:t>House</w:t>
            </w:r>
          </w:p>
        </w:tc>
        <w:tc>
          <w:tcPr>
            <w:tcW w:w="265" w:type="pct"/>
          </w:tcPr>
          <w:p w14:paraId="0CAA6CEF" w14:textId="77777777" w:rsidR="008C7752" w:rsidRPr="00F23F2B" w:rsidRDefault="008C7752" w:rsidP="00F23F2B">
            <w:pPr>
              <w:pStyle w:val="TableHead"/>
              <w:rPr>
                <w:sz w:val="20"/>
                <w:szCs w:val="20"/>
              </w:rPr>
            </w:pPr>
            <w:r w:rsidRPr="00F23F2B">
              <w:rPr>
                <w:sz w:val="20"/>
                <w:szCs w:val="20"/>
              </w:rPr>
              <w:t xml:space="preserve">Res. </w:t>
            </w:r>
          </w:p>
        </w:tc>
        <w:tc>
          <w:tcPr>
            <w:tcW w:w="331" w:type="pct"/>
          </w:tcPr>
          <w:p w14:paraId="0121CD6B" w14:textId="77777777" w:rsidR="008C7752" w:rsidRPr="00F23F2B" w:rsidRDefault="008C7752" w:rsidP="00F23F2B">
            <w:pPr>
              <w:pStyle w:val="TableHead"/>
              <w:rPr>
                <w:sz w:val="20"/>
                <w:szCs w:val="20"/>
              </w:rPr>
            </w:pPr>
            <w:r w:rsidRPr="00F23F2B">
              <w:rPr>
                <w:sz w:val="20"/>
                <w:szCs w:val="20"/>
              </w:rPr>
              <w:t xml:space="preserve">Total </w:t>
            </w:r>
          </w:p>
        </w:tc>
        <w:tc>
          <w:tcPr>
            <w:tcW w:w="397" w:type="pct"/>
          </w:tcPr>
          <w:p w14:paraId="08D23C03" w14:textId="77777777" w:rsidR="008C7752" w:rsidRPr="00F23F2B" w:rsidRDefault="008C7752" w:rsidP="00F23F2B">
            <w:pPr>
              <w:pStyle w:val="TableHead"/>
              <w:rPr>
                <w:sz w:val="20"/>
                <w:szCs w:val="20"/>
              </w:rPr>
            </w:pPr>
            <w:r w:rsidRPr="00F23F2B">
              <w:rPr>
                <w:sz w:val="20"/>
                <w:szCs w:val="20"/>
              </w:rPr>
              <w:t>House</w:t>
            </w:r>
          </w:p>
        </w:tc>
        <w:tc>
          <w:tcPr>
            <w:tcW w:w="265" w:type="pct"/>
          </w:tcPr>
          <w:p w14:paraId="0454E184" w14:textId="77777777" w:rsidR="008C7752" w:rsidRPr="00F23F2B" w:rsidRDefault="008C7752" w:rsidP="00F23F2B">
            <w:pPr>
              <w:pStyle w:val="TableHead"/>
              <w:rPr>
                <w:sz w:val="20"/>
                <w:szCs w:val="20"/>
              </w:rPr>
            </w:pPr>
            <w:r w:rsidRPr="00F23F2B">
              <w:rPr>
                <w:sz w:val="20"/>
                <w:szCs w:val="20"/>
              </w:rPr>
              <w:t>Res.</w:t>
            </w:r>
          </w:p>
        </w:tc>
        <w:tc>
          <w:tcPr>
            <w:tcW w:w="397" w:type="pct"/>
          </w:tcPr>
          <w:p w14:paraId="475C3349" w14:textId="77777777" w:rsidR="008C7752" w:rsidRPr="00F23F2B" w:rsidRDefault="008C7752" w:rsidP="00F23F2B">
            <w:pPr>
              <w:pStyle w:val="TableHead"/>
              <w:rPr>
                <w:sz w:val="20"/>
                <w:szCs w:val="20"/>
              </w:rPr>
            </w:pPr>
            <w:r w:rsidRPr="00F23F2B">
              <w:rPr>
                <w:sz w:val="20"/>
                <w:szCs w:val="20"/>
              </w:rPr>
              <w:t xml:space="preserve">Total </w:t>
            </w:r>
          </w:p>
        </w:tc>
        <w:tc>
          <w:tcPr>
            <w:tcW w:w="397" w:type="pct"/>
          </w:tcPr>
          <w:p w14:paraId="37286282" w14:textId="77777777" w:rsidR="008C7752" w:rsidRPr="00F23F2B" w:rsidRDefault="008C7752" w:rsidP="00F23F2B">
            <w:pPr>
              <w:pStyle w:val="TableHead"/>
              <w:rPr>
                <w:sz w:val="20"/>
                <w:szCs w:val="20"/>
              </w:rPr>
            </w:pPr>
            <w:r w:rsidRPr="00F23F2B">
              <w:rPr>
                <w:sz w:val="20"/>
                <w:szCs w:val="20"/>
              </w:rPr>
              <w:t>House</w:t>
            </w:r>
          </w:p>
        </w:tc>
        <w:tc>
          <w:tcPr>
            <w:tcW w:w="397" w:type="pct"/>
          </w:tcPr>
          <w:p w14:paraId="2357EE78" w14:textId="77777777" w:rsidR="008C7752" w:rsidRPr="00F23F2B" w:rsidRDefault="008C7752" w:rsidP="00F23F2B">
            <w:pPr>
              <w:pStyle w:val="TableHead"/>
              <w:rPr>
                <w:sz w:val="20"/>
                <w:szCs w:val="20"/>
              </w:rPr>
            </w:pPr>
            <w:r w:rsidRPr="00F23F2B">
              <w:rPr>
                <w:sz w:val="20"/>
                <w:szCs w:val="20"/>
              </w:rPr>
              <w:t>Res.</w:t>
            </w:r>
          </w:p>
        </w:tc>
        <w:tc>
          <w:tcPr>
            <w:tcW w:w="397" w:type="pct"/>
          </w:tcPr>
          <w:p w14:paraId="7F6431E1" w14:textId="77777777" w:rsidR="008C7752" w:rsidRPr="00F23F2B" w:rsidRDefault="008C7752" w:rsidP="00F23F2B">
            <w:pPr>
              <w:pStyle w:val="TableHead"/>
              <w:rPr>
                <w:sz w:val="20"/>
                <w:szCs w:val="20"/>
              </w:rPr>
            </w:pPr>
            <w:r w:rsidRPr="00F23F2B">
              <w:rPr>
                <w:sz w:val="20"/>
                <w:szCs w:val="20"/>
              </w:rPr>
              <w:t xml:space="preserve">Total </w:t>
            </w:r>
          </w:p>
        </w:tc>
        <w:tc>
          <w:tcPr>
            <w:tcW w:w="397" w:type="pct"/>
          </w:tcPr>
          <w:p w14:paraId="41DA7F19" w14:textId="77777777" w:rsidR="008C7752" w:rsidRPr="00F23F2B" w:rsidRDefault="008C7752" w:rsidP="00F23F2B">
            <w:pPr>
              <w:pStyle w:val="TableHead"/>
              <w:rPr>
                <w:sz w:val="20"/>
                <w:szCs w:val="20"/>
              </w:rPr>
            </w:pPr>
            <w:r w:rsidRPr="00F23F2B">
              <w:rPr>
                <w:sz w:val="20"/>
                <w:szCs w:val="20"/>
              </w:rPr>
              <w:t>House</w:t>
            </w:r>
          </w:p>
        </w:tc>
        <w:tc>
          <w:tcPr>
            <w:tcW w:w="331" w:type="pct"/>
          </w:tcPr>
          <w:p w14:paraId="764AAD62" w14:textId="77777777" w:rsidR="008C7752" w:rsidRPr="00F23F2B" w:rsidRDefault="008C7752" w:rsidP="00F23F2B">
            <w:pPr>
              <w:pStyle w:val="TableHead"/>
              <w:rPr>
                <w:sz w:val="20"/>
                <w:szCs w:val="20"/>
              </w:rPr>
            </w:pPr>
            <w:r w:rsidRPr="00F23F2B">
              <w:rPr>
                <w:sz w:val="20"/>
                <w:szCs w:val="20"/>
              </w:rPr>
              <w:t>Res.</w:t>
            </w:r>
          </w:p>
        </w:tc>
        <w:tc>
          <w:tcPr>
            <w:tcW w:w="397" w:type="pct"/>
          </w:tcPr>
          <w:p w14:paraId="29EA777F" w14:textId="77777777" w:rsidR="008C7752" w:rsidRPr="00F23F2B" w:rsidRDefault="008C7752" w:rsidP="00F23F2B">
            <w:pPr>
              <w:pStyle w:val="TableHead"/>
              <w:rPr>
                <w:sz w:val="20"/>
                <w:szCs w:val="20"/>
              </w:rPr>
            </w:pPr>
            <w:r w:rsidRPr="00F23F2B">
              <w:rPr>
                <w:sz w:val="20"/>
                <w:szCs w:val="20"/>
              </w:rPr>
              <w:t xml:space="preserve">Total </w:t>
            </w:r>
          </w:p>
        </w:tc>
      </w:tr>
      <w:tr w:rsidR="008C7752" w:rsidRPr="00326232" w14:paraId="4374E4B8" w14:textId="77777777" w:rsidTr="00FE6DA4">
        <w:tc>
          <w:tcPr>
            <w:tcW w:w="635" w:type="pct"/>
          </w:tcPr>
          <w:p w14:paraId="7C227FDF" w14:textId="77777777" w:rsidR="008C7752" w:rsidRPr="00F23F2B" w:rsidRDefault="008C7752" w:rsidP="00F23F2B">
            <w:pPr>
              <w:pStyle w:val="TableRowHead"/>
              <w:rPr>
                <w:sz w:val="20"/>
                <w:szCs w:val="20"/>
              </w:rPr>
            </w:pPr>
            <w:r w:rsidRPr="00F23F2B">
              <w:rPr>
                <w:sz w:val="20"/>
                <w:szCs w:val="20"/>
              </w:rPr>
              <w:t>Sensory</w:t>
            </w:r>
          </w:p>
        </w:tc>
        <w:tc>
          <w:tcPr>
            <w:tcW w:w="397" w:type="pct"/>
          </w:tcPr>
          <w:p w14:paraId="529078C9" w14:textId="77777777" w:rsidR="008C7752" w:rsidRPr="00AC6A45" w:rsidRDefault="008C7752" w:rsidP="00FE6DA4">
            <w:pPr>
              <w:jc w:val="right"/>
              <w:rPr>
                <w:rFonts w:cs="Arial"/>
                <w:sz w:val="20"/>
                <w:szCs w:val="20"/>
              </w:rPr>
            </w:pPr>
            <w:r w:rsidRPr="00AC6A45">
              <w:rPr>
                <w:rFonts w:cs="Arial"/>
                <w:sz w:val="20"/>
                <w:szCs w:val="20"/>
              </w:rPr>
              <w:t>43,100</w:t>
            </w:r>
          </w:p>
        </w:tc>
        <w:tc>
          <w:tcPr>
            <w:tcW w:w="265" w:type="pct"/>
          </w:tcPr>
          <w:p w14:paraId="0B768AB8" w14:textId="77777777" w:rsidR="008C7752" w:rsidRPr="00AC6A45" w:rsidRDefault="008C7752" w:rsidP="00FE6DA4">
            <w:pPr>
              <w:jc w:val="right"/>
              <w:rPr>
                <w:rFonts w:cs="Arial"/>
                <w:sz w:val="20"/>
                <w:szCs w:val="20"/>
              </w:rPr>
            </w:pPr>
            <w:r w:rsidRPr="00AC6A45">
              <w:rPr>
                <w:rFonts w:cs="Arial"/>
                <w:sz w:val="20"/>
                <w:szCs w:val="20"/>
              </w:rPr>
              <w:t>-</w:t>
            </w:r>
          </w:p>
        </w:tc>
        <w:tc>
          <w:tcPr>
            <w:tcW w:w="331" w:type="pct"/>
          </w:tcPr>
          <w:p w14:paraId="5DB46432" w14:textId="77777777" w:rsidR="008C7752" w:rsidRPr="00AC6A45" w:rsidRDefault="008C7752" w:rsidP="00FE6DA4">
            <w:pPr>
              <w:jc w:val="right"/>
              <w:rPr>
                <w:rFonts w:cs="Arial"/>
                <w:sz w:val="20"/>
                <w:szCs w:val="20"/>
              </w:rPr>
            </w:pPr>
            <w:r w:rsidRPr="00AC6A45">
              <w:rPr>
                <w:rFonts w:cs="Arial"/>
                <w:sz w:val="20"/>
                <w:szCs w:val="20"/>
              </w:rPr>
              <w:t>43,100</w:t>
            </w:r>
          </w:p>
        </w:tc>
        <w:tc>
          <w:tcPr>
            <w:tcW w:w="397" w:type="pct"/>
          </w:tcPr>
          <w:p w14:paraId="6C74CA92" w14:textId="77777777" w:rsidR="008C7752" w:rsidRPr="00AC6A45" w:rsidRDefault="008C7752" w:rsidP="00FE6DA4">
            <w:pPr>
              <w:jc w:val="right"/>
              <w:rPr>
                <w:rFonts w:cs="Arial"/>
                <w:sz w:val="20"/>
                <w:szCs w:val="20"/>
              </w:rPr>
            </w:pPr>
            <w:r w:rsidRPr="00AC6A45">
              <w:rPr>
                <w:rFonts w:cs="Arial"/>
                <w:sz w:val="20"/>
                <w:szCs w:val="20"/>
              </w:rPr>
              <w:t>86,000</w:t>
            </w:r>
          </w:p>
        </w:tc>
        <w:tc>
          <w:tcPr>
            <w:tcW w:w="265" w:type="pct"/>
          </w:tcPr>
          <w:p w14:paraId="578C3F45" w14:textId="77777777" w:rsidR="008C7752" w:rsidRPr="00AC6A45" w:rsidRDefault="008C7752" w:rsidP="00FE6DA4">
            <w:pPr>
              <w:jc w:val="right"/>
              <w:rPr>
                <w:rFonts w:cs="Arial"/>
                <w:sz w:val="20"/>
                <w:szCs w:val="20"/>
              </w:rPr>
            </w:pPr>
            <w:r w:rsidRPr="00AC6A45">
              <w:rPr>
                <w:rFonts w:cs="Arial"/>
                <w:sz w:val="20"/>
                <w:szCs w:val="20"/>
              </w:rPr>
              <w:t>-</w:t>
            </w:r>
          </w:p>
        </w:tc>
        <w:tc>
          <w:tcPr>
            <w:tcW w:w="397" w:type="pct"/>
          </w:tcPr>
          <w:p w14:paraId="3A641A33" w14:textId="77777777" w:rsidR="008C7752" w:rsidRPr="00AC6A45" w:rsidRDefault="008C7752" w:rsidP="00FE6DA4">
            <w:pPr>
              <w:jc w:val="right"/>
              <w:rPr>
                <w:rFonts w:cs="Arial"/>
                <w:sz w:val="20"/>
                <w:szCs w:val="20"/>
              </w:rPr>
            </w:pPr>
            <w:r w:rsidRPr="00AC6A45">
              <w:rPr>
                <w:rFonts w:cs="Arial"/>
                <w:sz w:val="20"/>
                <w:szCs w:val="20"/>
              </w:rPr>
              <w:t>87,400</w:t>
            </w:r>
          </w:p>
        </w:tc>
        <w:tc>
          <w:tcPr>
            <w:tcW w:w="397" w:type="pct"/>
          </w:tcPr>
          <w:p w14:paraId="2D4DF217" w14:textId="77777777" w:rsidR="008C7752" w:rsidRPr="00AC6A45" w:rsidRDefault="008C7752" w:rsidP="00FE6DA4">
            <w:pPr>
              <w:jc w:val="right"/>
              <w:rPr>
                <w:rFonts w:cs="Arial"/>
                <w:sz w:val="20"/>
                <w:szCs w:val="20"/>
              </w:rPr>
            </w:pPr>
            <w:r w:rsidRPr="00AC6A45">
              <w:rPr>
                <w:rFonts w:cs="Arial"/>
                <w:sz w:val="20"/>
                <w:szCs w:val="20"/>
              </w:rPr>
              <w:t>90,600</w:t>
            </w:r>
          </w:p>
        </w:tc>
        <w:tc>
          <w:tcPr>
            <w:tcW w:w="397" w:type="pct"/>
          </w:tcPr>
          <w:p w14:paraId="224D34D9" w14:textId="77777777" w:rsidR="008C7752" w:rsidRPr="00AC6A45" w:rsidRDefault="008C7752" w:rsidP="00FE6DA4">
            <w:pPr>
              <w:jc w:val="right"/>
              <w:rPr>
                <w:rFonts w:cs="Arial"/>
                <w:sz w:val="20"/>
                <w:szCs w:val="20"/>
              </w:rPr>
            </w:pPr>
            <w:r w:rsidRPr="00AC6A45">
              <w:rPr>
                <w:rFonts w:cs="Arial"/>
                <w:sz w:val="20"/>
                <w:szCs w:val="20"/>
              </w:rPr>
              <w:t>17,800</w:t>
            </w:r>
          </w:p>
        </w:tc>
        <w:tc>
          <w:tcPr>
            <w:tcW w:w="397" w:type="pct"/>
          </w:tcPr>
          <w:p w14:paraId="06F1302B" w14:textId="77777777" w:rsidR="008C7752" w:rsidRPr="00AC6A45" w:rsidRDefault="008C7752" w:rsidP="00FE6DA4">
            <w:pPr>
              <w:jc w:val="right"/>
              <w:rPr>
                <w:rFonts w:cs="Arial"/>
                <w:sz w:val="20"/>
                <w:szCs w:val="20"/>
              </w:rPr>
            </w:pPr>
            <w:r w:rsidRPr="00AC6A45">
              <w:rPr>
                <w:rFonts w:cs="Arial"/>
                <w:sz w:val="20"/>
                <w:szCs w:val="20"/>
              </w:rPr>
              <w:t>108,400</w:t>
            </w:r>
          </w:p>
        </w:tc>
        <w:tc>
          <w:tcPr>
            <w:tcW w:w="397" w:type="pct"/>
          </w:tcPr>
          <w:p w14:paraId="6DD19219" w14:textId="77777777" w:rsidR="008C7752" w:rsidRPr="00AC6A45" w:rsidRDefault="008C7752" w:rsidP="00FE6DA4">
            <w:pPr>
              <w:jc w:val="right"/>
              <w:rPr>
                <w:rFonts w:cs="Arial"/>
                <w:sz w:val="20"/>
                <w:szCs w:val="20"/>
              </w:rPr>
            </w:pPr>
            <w:r w:rsidRPr="00AC6A45">
              <w:rPr>
                <w:rFonts w:cs="Arial"/>
                <w:sz w:val="20"/>
                <w:szCs w:val="20"/>
              </w:rPr>
              <w:t>220,300</w:t>
            </w:r>
          </w:p>
        </w:tc>
        <w:tc>
          <w:tcPr>
            <w:tcW w:w="331" w:type="pct"/>
          </w:tcPr>
          <w:p w14:paraId="1BDEB6EE" w14:textId="77777777" w:rsidR="008C7752" w:rsidRPr="00AC6A45" w:rsidRDefault="008C7752" w:rsidP="00FE6DA4">
            <w:pPr>
              <w:jc w:val="right"/>
              <w:rPr>
                <w:rFonts w:cs="Arial"/>
                <w:sz w:val="20"/>
                <w:szCs w:val="20"/>
              </w:rPr>
            </w:pPr>
            <w:r w:rsidRPr="00AC6A45">
              <w:rPr>
                <w:rFonts w:cs="Arial"/>
                <w:sz w:val="20"/>
                <w:szCs w:val="20"/>
              </w:rPr>
              <w:t>18,700</w:t>
            </w:r>
          </w:p>
        </w:tc>
        <w:tc>
          <w:tcPr>
            <w:tcW w:w="397" w:type="pct"/>
          </w:tcPr>
          <w:p w14:paraId="4A1C8707" w14:textId="77777777" w:rsidR="008C7752" w:rsidRPr="00AC6A45" w:rsidRDefault="008C7752" w:rsidP="00FE6DA4">
            <w:pPr>
              <w:jc w:val="right"/>
              <w:rPr>
                <w:rFonts w:cs="Arial"/>
                <w:sz w:val="20"/>
                <w:szCs w:val="20"/>
              </w:rPr>
            </w:pPr>
            <w:r w:rsidRPr="00AC6A45">
              <w:rPr>
                <w:rFonts w:cs="Arial"/>
                <w:sz w:val="20"/>
                <w:szCs w:val="20"/>
              </w:rPr>
              <w:t>239,000</w:t>
            </w:r>
          </w:p>
        </w:tc>
      </w:tr>
      <w:tr w:rsidR="008C7752" w:rsidRPr="00326232" w14:paraId="33612841" w14:textId="77777777" w:rsidTr="00FE6DA4">
        <w:tc>
          <w:tcPr>
            <w:tcW w:w="635" w:type="pct"/>
          </w:tcPr>
          <w:p w14:paraId="76774420" w14:textId="77777777" w:rsidR="008C7752" w:rsidRPr="00F23F2B" w:rsidRDefault="008C7752" w:rsidP="00F23F2B">
            <w:pPr>
              <w:pStyle w:val="TableRowHead"/>
              <w:rPr>
                <w:sz w:val="20"/>
                <w:szCs w:val="20"/>
              </w:rPr>
            </w:pPr>
            <w:r w:rsidRPr="00F23F2B">
              <w:rPr>
                <w:sz w:val="20"/>
                <w:szCs w:val="20"/>
              </w:rPr>
              <w:t>Physical</w:t>
            </w:r>
          </w:p>
        </w:tc>
        <w:tc>
          <w:tcPr>
            <w:tcW w:w="397" w:type="pct"/>
          </w:tcPr>
          <w:p w14:paraId="587D854C" w14:textId="77777777" w:rsidR="008C7752" w:rsidRPr="00AC6A45" w:rsidRDefault="008C7752" w:rsidP="00FE6DA4">
            <w:pPr>
              <w:jc w:val="right"/>
              <w:rPr>
                <w:rFonts w:cs="Arial"/>
                <w:sz w:val="20"/>
                <w:szCs w:val="20"/>
              </w:rPr>
            </w:pPr>
            <w:r w:rsidRPr="00AC6A45">
              <w:rPr>
                <w:rFonts w:cs="Arial"/>
                <w:sz w:val="20"/>
                <w:szCs w:val="20"/>
              </w:rPr>
              <w:t>67,100</w:t>
            </w:r>
          </w:p>
        </w:tc>
        <w:tc>
          <w:tcPr>
            <w:tcW w:w="265" w:type="pct"/>
          </w:tcPr>
          <w:p w14:paraId="626F903F" w14:textId="77777777" w:rsidR="008C7752" w:rsidRPr="00AC6A45" w:rsidRDefault="008C7752" w:rsidP="00FE6DA4">
            <w:pPr>
              <w:jc w:val="right"/>
              <w:rPr>
                <w:rFonts w:cs="Arial"/>
                <w:sz w:val="20"/>
                <w:szCs w:val="20"/>
              </w:rPr>
            </w:pPr>
            <w:r w:rsidRPr="00AC6A45">
              <w:rPr>
                <w:rFonts w:cs="Arial"/>
                <w:sz w:val="20"/>
                <w:szCs w:val="20"/>
              </w:rPr>
              <w:t>-</w:t>
            </w:r>
          </w:p>
        </w:tc>
        <w:tc>
          <w:tcPr>
            <w:tcW w:w="331" w:type="pct"/>
          </w:tcPr>
          <w:p w14:paraId="6CFDA058" w14:textId="77777777" w:rsidR="008C7752" w:rsidRPr="00AC6A45" w:rsidRDefault="008C7752" w:rsidP="00FE6DA4">
            <w:pPr>
              <w:jc w:val="right"/>
              <w:rPr>
                <w:rFonts w:cs="Arial"/>
                <w:sz w:val="20"/>
                <w:szCs w:val="20"/>
              </w:rPr>
            </w:pPr>
            <w:r w:rsidRPr="00AC6A45">
              <w:rPr>
                <w:rFonts w:cs="Arial"/>
                <w:sz w:val="20"/>
                <w:szCs w:val="20"/>
              </w:rPr>
              <w:t>67,100</w:t>
            </w:r>
          </w:p>
        </w:tc>
        <w:tc>
          <w:tcPr>
            <w:tcW w:w="397" w:type="pct"/>
          </w:tcPr>
          <w:p w14:paraId="58FD398B" w14:textId="77777777" w:rsidR="008C7752" w:rsidRPr="00AC6A45" w:rsidRDefault="008C7752" w:rsidP="00FE6DA4">
            <w:pPr>
              <w:jc w:val="right"/>
              <w:rPr>
                <w:rFonts w:cs="Arial"/>
                <w:sz w:val="20"/>
                <w:szCs w:val="20"/>
              </w:rPr>
            </w:pPr>
            <w:r w:rsidRPr="00AC6A45">
              <w:rPr>
                <w:rFonts w:cs="Arial"/>
                <w:sz w:val="20"/>
                <w:szCs w:val="20"/>
              </w:rPr>
              <w:t>131,300</w:t>
            </w:r>
          </w:p>
        </w:tc>
        <w:tc>
          <w:tcPr>
            <w:tcW w:w="265" w:type="pct"/>
          </w:tcPr>
          <w:p w14:paraId="059560CB" w14:textId="77777777" w:rsidR="008C7752" w:rsidRPr="00AC6A45" w:rsidRDefault="008C7752" w:rsidP="00FE6DA4">
            <w:pPr>
              <w:jc w:val="right"/>
              <w:rPr>
                <w:rFonts w:cs="Arial"/>
                <w:sz w:val="20"/>
                <w:szCs w:val="20"/>
              </w:rPr>
            </w:pPr>
            <w:r w:rsidRPr="00AC6A45">
              <w:rPr>
                <w:rFonts w:cs="Arial"/>
                <w:sz w:val="20"/>
                <w:szCs w:val="20"/>
              </w:rPr>
              <w:t>1,400</w:t>
            </w:r>
          </w:p>
        </w:tc>
        <w:tc>
          <w:tcPr>
            <w:tcW w:w="397" w:type="pct"/>
          </w:tcPr>
          <w:p w14:paraId="4EAEF04F" w14:textId="77777777" w:rsidR="008C7752" w:rsidRPr="00AC6A45" w:rsidRDefault="008C7752" w:rsidP="00FE6DA4">
            <w:pPr>
              <w:jc w:val="right"/>
              <w:rPr>
                <w:rFonts w:cs="Arial"/>
                <w:sz w:val="20"/>
                <w:szCs w:val="20"/>
              </w:rPr>
            </w:pPr>
            <w:r w:rsidRPr="00AC6A45">
              <w:rPr>
                <w:rFonts w:cs="Arial"/>
                <w:sz w:val="20"/>
                <w:szCs w:val="20"/>
              </w:rPr>
              <w:t>132,700</w:t>
            </w:r>
          </w:p>
        </w:tc>
        <w:tc>
          <w:tcPr>
            <w:tcW w:w="397" w:type="pct"/>
          </w:tcPr>
          <w:p w14:paraId="2845F91E" w14:textId="77777777" w:rsidR="008C7752" w:rsidRPr="00AC6A45" w:rsidRDefault="008C7752" w:rsidP="00FE6DA4">
            <w:pPr>
              <w:jc w:val="right"/>
              <w:rPr>
                <w:rFonts w:cs="Arial"/>
                <w:sz w:val="20"/>
                <w:szCs w:val="20"/>
              </w:rPr>
            </w:pPr>
            <w:r w:rsidRPr="00AC6A45">
              <w:rPr>
                <w:rFonts w:cs="Arial"/>
                <w:sz w:val="20"/>
                <w:szCs w:val="20"/>
              </w:rPr>
              <w:t>154,700</w:t>
            </w:r>
          </w:p>
        </w:tc>
        <w:tc>
          <w:tcPr>
            <w:tcW w:w="397" w:type="pct"/>
          </w:tcPr>
          <w:p w14:paraId="1F72B563" w14:textId="77777777" w:rsidR="008C7752" w:rsidRPr="00AC6A45" w:rsidRDefault="008C7752" w:rsidP="00FE6DA4">
            <w:pPr>
              <w:jc w:val="right"/>
              <w:rPr>
                <w:rFonts w:cs="Arial"/>
                <w:sz w:val="20"/>
                <w:szCs w:val="20"/>
              </w:rPr>
            </w:pPr>
            <w:r w:rsidRPr="00AC6A45">
              <w:rPr>
                <w:rFonts w:cs="Arial"/>
                <w:sz w:val="20"/>
                <w:szCs w:val="20"/>
              </w:rPr>
              <w:t>28,800</w:t>
            </w:r>
          </w:p>
        </w:tc>
        <w:tc>
          <w:tcPr>
            <w:tcW w:w="397" w:type="pct"/>
          </w:tcPr>
          <w:p w14:paraId="0EA5675E" w14:textId="77777777" w:rsidR="008C7752" w:rsidRPr="00AC6A45" w:rsidRDefault="008C7752" w:rsidP="00FE6DA4">
            <w:pPr>
              <w:jc w:val="right"/>
              <w:rPr>
                <w:rFonts w:cs="Arial"/>
                <w:sz w:val="20"/>
                <w:szCs w:val="20"/>
              </w:rPr>
            </w:pPr>
            <w:r w:rsidRPr="00AC6A45">
              <w:rPr>
                <w:rFonts w:cs="Arial"/>
                <w:sz w:val="20"/>
                <w:szCs w:val="20"/>
              </w:rPr>
              <w:t>183,500</w:t>
            </w:r>
          </w:p>
        </w:tc>
        <w:tc>
          <w:tcPr>
            <w:tcW w:w="397" w:type="pct"/>
          </w:tcPr>
          <w:p w14:paraId="7A7B30CD" w14:textId="77777777" w:rsidR="008C7752" w:rsidRPr="00AC6A45" w:rsidRDefault="008C7752" w:rsidP="00FE6DA4">
            <w:pPr>
              <w:jc w:val="right"/>
              <w:rPr>
                <w:rFonts w:cs="Arial"/>
                <w:sz w:val="20"/>
                <w:szCs w:val="20"/>
              </w:rPr>
            </w:pPr>
            <w:r w:rsidRPr="00AC6A45">
              <w:rPr>
                <w:rFonts w:cs="Arial"/>
                <w:sz w:val="20"/>
                <w:szCs w:val="20"/>
              </w:rPr>
              <w:t>353,200</w:t>
            </w:r>
          </w:p>
        </w:tc>
        <w:tc>
          <w:tcPr>
            <w:tcW w:w="331" w:type="pct"/>
          </w:tcPr>
          <w:p w14:paraId="630C1664" w14:textId="77777777" w:rsidR="008C7752" w:rsidRPr="00AC6A45" w:rsidRDefault="008C7752" w:rsidP="00FE6DA4">
            <w:pPr>
              <w:jc w:val="right"/>
              <w:rPr>
                <w:rFonts w:cs="Arial"/>
                <w:sz w:val="20"/>
                <w:szCs w:val="20"/>
              </w:rPr>
            </w:pPr>
            <w:r w:rsidRPr="00AC6A45">
              <w:rPr>
                <w:rFonts w:cs="Arial"/>
                <w:sz w:val="20"/>
                <w:szCs w:val="20"/>
              </w:rPr>
              <w:t>30,300</w:t>
            </w:r>
          </w:p>
        </w:tc>
        <w:tc>
          <w:tcPr>
            <w:tcW w:w="397" w:type="pct"/>
          </w:tcPr>
          <w:p w14:paraId="61C3E626" w14:textId="77777777" w:rsidR="008C7752" w:rsidRPr="00AC6A45" w:rsidRDefault="008C7752" w:rsidP="00FE6DA4">
            <w:pPr>
              <w:jc w:val="right"/>
              <w:rPr>
                <w:rFonts w:cs="Arial"/>
                <w:sz w:val="20"/>
                <w:szCs w:val="20"/>
              </w:rPr>
            </w:pPr>
            <w:r w:rsidRPr="00AC6A45">
              <w:rPr>
                <w:rFonts w:cs="Arial"/>
                <w:sz w:val="20"/>
                <w:szCs w:val="20"/>
              </w:rPr>
              <w:t>383,500</w:t>
            </w:r>
          </w:p>
        </w:tc>
      </w:tr>
      <w:tr w:rsidR="008C7752" w:rsidRPr="00326232" w14:paraId="6027C86E" w14:textId="77777777" w:rsidTr="00FE6DA4">
        <w:tc>
          <w:tcPr>
            <w:tcW w:w="635" w:type="pct"/>
          </w:tcPr>
          <w:p w14:paraId="31522765" w14:textId="77777777" w:rsidR="008C7752" w:rsidRPr="00F23F2B" w:rsidRDefault="008C7752" w:rsidP="00F23F2B">
            <w:pPr>
              <w:pStyle w:val="TableRowHead"/>
              <w:rPr>
                <w:sz w:val="20"/>
                <w:szCs w:val="20"/>
              </w:rPr>
            </w:pPr>
            <w:r w:rsidRPr="00F23F2B">
              <w:rPr>
                <w:sz w:val="20"/>
                <w:szCs w:val="20"/>
              </w:rPr>
              <w:t xml:space="preserve">Intellectual </w:t>
            </w:r>
          </w:p>
        </w:tc>
        <w:tc>
          <w:tcPr>
            <w:tcW w:w="397" w:type="pct"/>
          </w:tcPr>
          <w:p w14:paraId="37BE291B" w14:textId="77777777" w:rsidR="008C7752" w:rsidRPr="00AC6A45" w:rsidRDefault="008C7752" w:rsidP="00FE6DA4">
            <w:pPr>
              <w:jc w:val="right"/>
              <w:rPr>
                <w:rFonts w:cs="Arial"/>
                <w:sz w:val="20"/>
                <w:szCs w:val="20"/>
              </w:rPr>
            </w:pPr>
            <w:r w:rsidRPr="00AC6A45">
              <w:rPr>
                <w:rFonts w:cs="Arial"/>
                <w:sz w:val="20"/>
                <w:szCs w:val="20"/>
              </w:rPr>
              <w:t>18,400</w:t>
            </w:r>
          </w:p>
        </w:tc>
        <w:tc>
          <w:tcPr>
            <w:tcW w:w="265" w:type="pct"/>
          </w:tcPr>
          <w:p w14:paraId="153BBB5D" w14:textId="77777777" w:rsidR="008C7752" w:rsidRPr="00AC6A45" w:rsidRDefault="008C7752" w:rsidP="00FE6DA4">
            <w:pPr>
              <w:jc w:val="right"/>
              <w:rPr>
                <w:rFonts w:cs="Arial"/>
                <w:sz w:val="20"/>
                <w:szCs w:val="20"/>
              </w:rPr>
            </w:pPr>
            <w:r w:rsidRPr="00AC6A45">
              <w:rPr>
                <w:rFonts w:cs="Arial"/>
                <w:sz w:val="20"/>
                <w:szCs w:val="20"/>
              </w:rPr>
              <w:t>-</w:t>
            </w:r>
          </w:p>
        </w:tc>
        <w:tc>
          <w:tcPr>
            <w:tcW w:w="331" w:type="pct"/>
          </w:tcPr>
          <w:p w14:paraId="2F8FAE5C" w14:textId="77777777" w:rsidR="008C7752" w:rsidRPr="00AC6A45" w:rsidRDefault="008C7752" w:rsidP="00FE6DA4">
            <w:pPr>
              <w:jc w:val="right"/>
              <w:rPr>
                <w:rFonts w:cs="Arial"/>
                <w:sz w:val="20"/>
                <w:szCs w:val="20"/>
              </w:rPr>
            </w:pPr>
            <w:r w:rsidRPr="00AC6A45">
              <w:rPr>
                <w:rFonts w:cs="Arial"/>
                <w:sz w:val="20"/>
                <w:szCs w:val="20"/>
              </w:rPr>
              <w:t>18,400</w:t>
            </w:r>
          </w:p>
        </w:tc>
        <w:tc>
          <w:tcPr>
            <w:tcW w:w="397" w:type="pct"/>
          </w:tcPr>
          <w:p w14:paraId="3620D584" w14:textId="77777777" w:rsidR="008C7752" w:rsidRPr="00AC6A45" w:rsidRDefault="008C7752" w:rsidP="00FE6DA4">
            <w:pPr>
              <w:jc w:val="right"/>
              <w:rPr>
                <w:rFonts w:cs="Arial"/>
                <w:sz w:val="20"/>
                <w:szCs w:val="20"/>
              </w:rPr>
            </w:pPr>
            <w:r w:rsidRPr="00AC6A45">
              <w:rPr>
                <w:rFonts w:cs="Arial"/>
                <w:sz w:val="20"/>
                <w:szCs w:val="20"/>
              </w:rPr>
              <w:t>10,300</w:t>
            </w:r>
          </w:p>
        </w:tc>
        <w:tc>
          <w:tcPr>
            <w:tcW w:w="265" w:type="pct"/>
          </w:tcPr>
          <w:p w14:paraId="24ABF77B" w14:textId="77777777" w:rsidR="008C7752" w:rsidRPr="00AC6A45" w:rsidRDefault="008C7752" w:rsidP="00FE6DA4">
            <w:pPr>
              <w:jc w:val="right"/>
              <w:rPr>
                <w:rFonts w:cs="Arial"/>
                <w:sz w:val="20"/>
                <w:szCs w:val="20"/>
              </w:rPr>
            </w:pPr>
            <w:r w:rsidRPr="00AC6A45">
              <w:rPr>
                <w:rFonts w:cs="Arial"/>
                <w:sz w:val="20"/>
                <w:szCs w:val="20"/>
              </w:rPr>
              <w:t>-</w:t>
            </w:r>
          </w:p>
        </w:tc>
        <w:tc>
          <w:tcPr>
            <w:tcW w:w="397" w:type="pct"/>
          </w:tcPr>
          <w:p w14:paraId="7441EAF1" w14:textId="77777777" w:rsidR="008C7752" w:rsidRPr="00AC6A45" w:rsidRDefault="008C7752" w:rsidP="00FE6DA4">
            <w:pPr>
              <w:jc w:val="right"/>
              <w:rPr>
                <w:rFonts w:cs="Arial"/>
                <w:sz w:val="20"/>
                <w:szCs w:val="20"/>
              </w:rPr>
            </w:pPr>
            <w:r w:rsidRPr="00AC6A45">
              <w:rPr>
                <w:rFonts w:cs="Arial"/>
                <w:sz w:val="20"/>
                <w:szCs w:val="20"/>
              </w:rPr>
              <w:t>10,700</w:t>
            </w:r>
          </w:p>
        </w:tc>
        <w:tc>
          <w:tcPr>
            <w:tcW w:w="397" w:type="pct"/>
          </w:tcPr>
          <w:p w14:paraId="1FDF27C6" w14:textId="77777777" w:rsidR="008C7752" w:rsidRPr="00AC6A45" w:rsidRDefault="008C7752" w:rsidP="00FE6DA4">
            <w:pPr>
              <w:jc w:val="right"/>
              <w:rPr>
                <w:rFonts w:cs="Arial"/>
                <w:sz w:val="20"/>
                <w:szCs w:val="20"/>
              </w:rPr>
            </w:pPr>
            <w:r w:rsidRPr="00AC6A45">
              <w:rPr>
                <w:rFonts w:cs="Arial"/>
                <w:sz w:val="20"/>
                <w:szCs w:val="20"/>
              </w:rPr>
              <w:t>3,000</w:t>
            </w:r>
          </w:p>
        </w:tc>
        <w:tc>
          <w:tcPr>
            <w:tcW w:w="397" w:type="pct"/>
          </w:tcPr>
          <w:p w14:paraId="4F059319" w14:textId="77777777" w:rsidR="008C7752" w:rsidRPr="00AC6A45" w:rsidRDefault="008C7752" w:rsidP="00FE6DA4">
            <w:pPr>
              <w:jc w:val="right"/>
              <w:rPr>
                <w:rFonts w:cs="Arial"/>
                <w:sz w:val="20"/>
                <w:szCs w:val="20"/>
              </w:rPr>
            </w:pPr>
            <w:r w:rsidRPr="00AC6A45">
              <w:rPr>
                <w:rFonts w:cs="Arial"/>
                <w:sz w:val="20"/>
                <w:szCs w:val="20"/>
              </w:rPr>
              <w:t>1,500</w:t>
            </w:r>
          </w:p>
        </w:tc>
        <w:tc>
          <w:tcPr>
            <w:tcW w:w="397" w:type="pct"/>
          </w:tcPr>
          <w:p w14:paraId="23E8FA74" w14:textId="77777777" w:rsidR="008C7752" w:rsidRPr="00AC6A45" w:rsidRDefault="008C7752" w:rsidP="00FE6DA4">
            <w:pPr>
              <w:jc w:val="right"/>
              <w:rPr>
                <w:rFonts w:cs="Arial"/>
                <w:sz w:val="20"/>
                <w:szCs w:val="20"/>
              </w:rPr>
            </w:pPr>
            <w:r w:rsidRPr="00AC6A45">
              <w:rPr>
                <w:rFonts w:cs="Arial"/>
                <w:sz w:val="20"/>
                <w:szCs w:val="20"/>
              </w:rPr>
              <w:t>4,500</w:t>
            </w:r>
          </w:p>
        </w:tc>
        <w:tc>
          <w:tcPr>
            <w:tcW w:w="397" w:type="pct"/>
          </w:tcPr>
          <w:p w14:paraId="3BDCFBD9" w14:textId="77777777" w:rsidR="008C7752" w:rsidRPr="00AC6A45" w:rsidRDefault="008C7752" w:rsidP="00FE6DA4">
            <w:pPr>
              <w:jc w:val="right"/>
              <w:rPr>
                <w:rFonts w:cs="Arial"/>
                <w:sz w:val="20"/>
                <w:szCs w:val="20"/>
              </w:rPr>
            </w:pPr>
            <w:r w:rsidRPr="00AC6A45">
              <w:rPr>
                <w:rFonts w:cs="Arial"/>
                <w:sz w:val="20"/>
                <w:szCs w:val="20"/>
              </w:rPr>
              <w:t>31,700</w:t>
            </w:r>
          </w:p>
        </w:tc>
        <w:tc>
          <w:tcPr>
            <w:tcW w:w="331" w:type="pct"/>
          </w:tcPr>
          <w:p w14:paraId="27B68727" w14:textId="77777777" w:rsidR="008C7752" w:rsidRPr="00AC6A45" w:rsidRDefault="008C7752" w:rsidP="00FE6DA4">
            <w:pPr>
              <w:jc w:val="right"/>
              <w:rPr>
                <w:rFonts w:cs="Arial"/>
                <w:sz w:val="20"/>
                <w:szCs w:val="20"/>
              </w:rPr>
            </w:pPr>
            <w:r w:rsidRPr="00AC6A45">
              <w:rPr>
                <w:rFonts w:cs="Arial"/>
                <w:sz w:val="20"/>
                <w:szCs w:val="20"/>
              </w:rPr>
              <w:t>2,100</w:t>
            </w:r>
          </w:p>
        </w:tc>
        <w:tc>
          <w:tcPr>
            <w:tcW w:w="397" w:type="pct"/>
          </w:tcPr>
          <w:p w14:paraId="206BBC69" w14:textId="77777777" w:rsidR="008C7752" w:rsidRPr="00AC6A45" w:rsidRDefault="008C7752" w:rsidP="00FE6DA4">
            <w:pPr>
              <w:jc w:val="right"/>
              <w:rPr>
                <w:rFonts w:cs="Arial"/>
                <w:sz w:val="20"/>
                <w:szCs w:val="20"/>
              </w:rPr>
            </w:pPr>
            <w:r w:rsidRPr="00AC6A45">
              <w:rPr>
                <w:rFonts w:cs="Arial"/>
                <w:sz w:val="20"/>
                <w:szCs w:val="20"/>
              </w:rPr>
              <w:t>33,700</w:t>
            </w:r>
          </w:p>
        </w:tc>
      </w:tr>
      <w:tr w:rsidR="008C7752" w:rsidRPr="00326232" w14:paraId="0DDBE0D7" w14:textId="77777777" w:rsidTr="00FE6DA4">
        <w:tc>
          <w:tcPr>
            <w:tcW w:w="635" w:type="pct"/>
          </w:tcPr>
          <w:p w14:paraId="71411E51" w14:textId="77777777" w:rsidR="008C7752" w:rsidRPr="00F23F2B" w:rsidRDefault="008C7752" w:rsidP="00F23F2B">
            <w:pPr>
              <w:pStyle w:val="TableRowHead"/>
              <w:rPr>
                <w:sz w:val="20"/>
                <w:szCs w:val="20"/>
              </w:rPr>
            </w:pPr>
            <w:r w:rsidRPr="00F23F2B">
              <w:rPr>
                <w:sz w:val="20"/>
                <w:szCs w:val="20"/>
              </w:rPr>
              <w:t xml:space="preserve">Psychiatric / psychological  </w:t>
            </w:r>
          </w:p>
        </w:tc>
        <w:tc>
          <w:tcPr>
            <w:tcW w:w="397" w:type="pct"/>
          </w:tcPr>
          <w:p w14:paraId="6A34FB04" w14:textId="77777777" w:rsidR="008C7752" w:rsidRPr="00AC6A45" w:rsidRDefault="008C7752" w:rsidP="00FE6DA4">
            <w:pPr>
              <w:jc w:val="right"/>
              <w:rPr>
                <w:rFonts w:cs="Arial"/>
                <w:sz w:val="20"/>
                <w:szCs w:val="20"/>
              </w:rPr>
            </w:pPr>
            <w:r w:rsidRPr="00AC6A45">
              <w:rPr>
                <w:rFonts w:cs="Arial"/>
                <w:sz w:val="20"/>
                <w:szCs w:val="20"/>
              </w:rPr>
              <w:t>45,100</w:t>
            </w:r>
          </w:p>
        </w:tc>
        <w:tc>
          <w:tcPr>
            <w:tcW w:w="265" w:type="pct"/>
          </w:tcPr>
          <w:p w14:paraId="0D8EB062" w14:textId="77777777" w:rsidR="008C7752" w:rsidRPr="00AC6A45" w:rsidRDefault="008C7752" w:rsidP="00FE6DA4">
            <w:pPr>
              <w:jc w:val="right"/>
              <w:rPr>
                <w:rFonts w:cs="Arial"/>
                <w:sz w:val="20"/>
                <w:szCs w:val="20"/>
              </w:rPr>
            </w:pPr>
            <w:r w:rsidRPr="00AC6A45">
              <w:rPr>
                <w:rFonts w:cs="Arial"/>
                <w:sz w:val="20"/>
                <w:szCs w:val="20"/>
              </w:rPr>
              <w:t>-</w:t>
            </w:r>
          </w:p>
        </w:tc>
        <w:tc>
          <w:tcPr>
            <w:tcW w:w="331" w:type="pct"/>
          </w:tcPr>
          <w:p w14:paraId="3611509B" w14:textId="77777777" w:rsidR="008C7752" w:rsidRPr="00AC6A45" w:rsidRDefault="008C7752" w:rsidP="00FE6DA4">
            <w:pPr>
              <w:jc w:val="right"/>
              <w:rPr>
                <w:rFonts w:cs="Arial"/>
                <w:sz w:val="20"/>
                <w:szCs w:val="20"/>
              </w:rPr>
            </w:pPr>
            <w:r w:rsidRPr="00AC6A45">
              <w:rPr>
                <w:rFonts w:cs="Arial"/>
                <w:sz w:val="20"/>
                <w:szCs w:val="20"/>
              </w:rPr>
              <w:t>45,100</w:t>
            </w:r>
          </w:p>
        </w:tc>
        <w:tc>
          <w:tcPr>
            <w:tcW w:w="397" w:type="pct"/>
          </w:tcPr>
          <w:p w14:paraId="514E1C34" w14:textId="77777777" w:rsidR="008C7752" w:rsidRPr="00AC6A45" w:rsidRDefault="008C7752" w:rsidP="00FE6DA4">
            <w:pPr>
              <w:jc w:val="right"/>
              <w:rPr>
                <w:rFonts w:cs="Arial"/>
                <w:sz w:val="20"/>
                <w:szCs w:val="20"/>
              </w:rPr>
            </w:pPr>
            <w:r w:rsidRPr="00AC6A45">
              <w:rPr>
                <w:rFonts w:cs="Arial"/>
                <w:sz w:val="20"/>
                <w:szCs w:val="20"/>
              </w:rPr>
              <w:t>27,700</w:t>
            </w:r>
          </w:p>
        </w:tc>
        <w:tc>
          <w:tcPr>
            <w:tcW w:w="265" w:type="pct"/>
          </w:tcPr>
          <w:p w14:paraId="3C9CE530" w14:textId="77777777" w:rsidR="008C7752" w:rsidRPr="00AC6A45" w:rsidRDefault="008C7752" w:rsidP="00FE6DA4">
            <w:pPr>
              <w:jc w:val="right"/>
              <w:rPr>
                <w:rFonts w:cs="Arial"/>
                <w:sz w:val="20"/>
                <w:szCs w:val="20"/>
              </w:rPr>
            </w:pPr>
            <w:r w:rsidRPr="00AC6A45">
              <w:rPr>
                <w:rFonts w:cs="Arial"/>
                <w:sz w:val="20"/>
                <w:szCs w:val="20"/>
              </w:rPr>
              <w:t>-</w:t>
            </w:r>
          </w:p>
        </w:tc>
        <w:tc>
          <w:tcPr>
            <w:tcW w:w="397" w:type="pct"/>
          </w:tcPr>
          <w:p w14:paraId="6A11244C" w14:textId="77777777" w:rsidR="008C7752" w:rsidRPr="00AC6A45" w:rsidRDefault="008C7752" w:rsidP="00FE6DA4">
            <w:pPr>
              <w:jc w:val="right"/>
              <w:rPr>
                <w:rFonts w:cs="Arial"/>
                <w:sz w:val="20"/>
                <w:szCs w:val="20"/>
              </w:rPr>
            </w:pPr>
            <w:r w:rsidRPr="00AC6A45">
              <w:rPr>
                <w:rFonts w:cs="Arial"/>
                <w:sz w:val="20"/>
                <w:szCs w:val="20"/>
              </w:rPr>
              <w:t>28,700</w:t>
            </w:r>
          </w:p>
        </w:tc>
        <w:tc>
          <w:tcPr>
            <w:tcW w:w="397" w:type="pct"/>
          </w:tcPr>
          <w:p w14:paraId="2EAA6ADA" w14:textId="77777777" w:rsidR="008C7752" w:rsidRPr="00AC6A45" w:rsidRDefault="008C7752" w:rsidP="00FE6DA4">
            <w:pPr>
              <w:jc w:val="right"/>
              <w:rPr>
                <w:rFonts w:cs="Arial"/>
                <w:sz w:val="20"/>
                <w:szCs w:val="20"/>
              </w:rPr>
            </w:pPr>
            <w:r w:rsidRPr="00AC6A45">
              <w:rPr>
                <w:rFonts w:cs="Arial"/>
                <w:sz w:val="20"/>
                <w:szCs w:val="20"/>
              </w:rPr>
              <w:t>10,200</w:t>
            </w:r>
          </w:p>
        </w:tc>
        <w:tc>
          <w:tcPr>
            <w:tcW w:w="397" w:type="pct"/>
          </w:tcPr>
          <w:p w14:paraId="5AD1EE9B" w14:textId="77777777" w:rsidR="008C7752" w:rsidRPr="00AC6A45" w:rsidRDefault="008C7752" w:rsidP="00FE6DA4">
            <w:pPr>
              <w:jc w:val="right"/>
              <w:rPr>
                <w:rFonts w:cs="Arial"/>
                <w:sz w:val="20"/>
                <w:szCs w:val="20"/>
              </w:rPr>
            </w:pPr>
            <w:r w:rsidRPr="00AC6A45">
              <w:rPr>
                <w:rFonts w:cs="Arial"/>
                <w:sz w:val="20"/>
                <w:szCs w:val="20"/>
              </w:rPr>
              <w:t>6,200</w:t>
            </w:r>
          </w:p>
        </w:tc>
        <w:tc>
          <w:tcPr>
            <w:tcW w:w="397" w:type="pct"/>
          </w:tcPr>
          <w:p w14:paraId="42BBA01A" w14:textId="77777777" w:rsidR="008C7752" w:rsidRPr="00AC6A45" w:rsidRDefault="008C7752" w:rsidP="00FE6DA4">
            <w:pPr>
              <w:jc w:val="right"/>
              <w:rPr>
                <w:rFonts w:cs="Arial"/>
                <w:sz w:val="20"/>
                <w:szCs w:val="20"/>
              </w:rPr>
            </w:pPr>
            <w:r w:rsidRPr="00AC6A45">
              <w:rPr>
                <w:rFonts w:cs="Arial"/>
                <w:sz w:val="20"/>
                <w:szCs w:val="20"/>
              </w:rPr>
              <w:t>16,400</w:t>
            </w:r>
          </w:p>
        </w:tc>
        <w:tc>
          <w:tcPr>
            <w:tcW w:w="397" w:type="pct"/>
          </w:tcPr>
          <w:p w14:paraId="32F9DF96" w14:textId="77777777" w:rsidR="008C7752" w:rsidRPr="00AC6A45" w:rsidRDefault="008C7752" w:rsidP="00FE6DA4">
            <w:pPr>
              <w:jc w:val="right"/>
              <w:rPr>
                <w:rFonts w:cs="Arial"/>
                <w:sz w:val="20"/>
                <w:szCs w:val="20"/>
              </w:rPr>
            </w:pPr>
            <w:r w:rsidRPr="00AC6A45">
              <w:rPr>
                <w:rFonts w:cs="Arial"/>
                <w:sz w:val="20"/>
                <w:szCs w:val="20"/>
              </w:rPr>
              <w:t>83,000</w:t>
            </w:r>
          </w:p>
        </w:tc>
        <w:tc>
          <w:tcPr>
            <w:tcW w:w="331" w:type="pct"/>
          </w:tcPr>
          <w:p w14:paraId="370344AD" w14:textId="77777777" w:rsidR="008C7752" w:rsidRPr="00AC6A45" w:rsidRDefault="008C7752" w:rsidP="00FE6DA4">
            <w:pPr>
              <w:jc w:val="right"/>
              <w:rPr>
                <w:rFonts w:cs="Arial"/>
                <w:sz w:val="20"/>
                <w:szCs w:val="20"/>
              </w:rPr>
            </w:pPr>
            <w:r w:rsidRPr="00AC6A45">
              <w:rPr>
                <w:rFonts w:cs="Arial"/>
                <w:sz w:val="20"/>
                <w:szCs w:val="20"/>
              </w:rPr>
              <w:t>7,400</w:t>
            </w:r>
          </w:p>
        </w:tc>
        <w:tc>
          <w:tcPr>
            <w:tcW w:w="397" w:type="pct"/>
          </w:tcPr>
          <w:p w14:paraId="136E69C2" w14:textId="77777777" w:rsidR="008C7752" w:rsidRPr="00AC6A45" w:rsidRDefault="008C7752" w:rsidP="00FE6DA4">
            <w:pPr>
              <w:jc w:val="right"/>
              <w:rPr>
                <w:rFonts w:cs="Arial"/>
                <w:sz w:val="20"/>
                <w:szCs w:val="20"/>
              </w:rPr>
            </w:pPr>
            <w:r w:rsidRPr="00AC6A45">
              <w:rPr>
                <w:rFonts w:cs="Arial"/>
                <w:sz w:val="20"/>
                <w:szCs w:val="20"/>
              </w:rPr>
              <w:t>90,400</w:t>
            </w:r>
          </w:p>
        </w:tc>
      </w:tr>
      <w:tr w:rsidR="008C7752" w:rsidRPr="00326232" w14:paraId="4A5913B0" w14:textId="77777777" w:rsidTr="00FE6DA4">
        <w:tc>
          <w:tcPr>
            <w:tcW w:w="635" w:type="pct"/>
          </w:tcPr>
          <w:p w14:paraId="474D55C5" w14:textId="77777777" w:rsidR="008C7752" w:rsidRPr="00F23F2B" w:rsidRDefault="008C7752" w:rsidP="00F23F2B">
            <w:pPr>
              <w:pStyle w:val="TableRowHead"/>
              <w:rPr>
                <w:sz w:val="20"/>
                <w:szCs w:val="20"/>
              </w:rPr>
            </w:pPr>
            <w:r w:rsidRPr="00F23F2B">
              <w:rPr>
                <w:sz w:val="20"/>
                <w:szCs w:val="20"/>
              </w:rPr>
              <w:t>Other</w:t>
            </w:r>
          </w:p>
        </w:tc>
        <w:tc>
          <w:tcPr>
            <w:tcW w:w="397" w:type="pct"/>
          </w:tcPr>
          <w:p w14:paraId="7CE05336" w14:textId="77777777" w:rsidR="008C7752" w:rsidRPr="00AC6A45" w:rsidRDefault="008C7752" w:rsidP="00FE6DA4">
            <w:pPr>
              <w:jc w:val="right"/>
              <w:rPr>
                <w:rFonts w:cs="Arial"/>
                <w:sz w:val="20"/>
                <w:szCs w:val="20"/>
              </w:rPr>
            </w:pPr>
            <w:r w:rsidRPr="00AC6A45">
              <w:rPr>
                <w:rFonts w:cs="Arial"/>
                <w:sz w:val="20"/>
                <w:szCs w:val="20"/>
              </w:rPr>
              <w:t>68,700</w:t>
            </w:r>
          </w:p>
        </w:tc>
        <w:tc>
          <w:tcPr>
            <w:tcW w:w="265" w:type="pct"/>
          </w:tcPr>
          <w:p w14:paraId="44E526FE" w14:textId="77777777" w:rsidR="008C7752" w:rsidRPr="00AC6A45" w:rsidRDefault="008C7752" w:rsidP="00FE6DA4">
            <w:pPr>
              <w:jc w:val="right"/>
              <w:rPr>
                <w:rFonts w:cs="Arial"/>
                <w:sz w:val="20"/>
                <w:szCs w:val="20"/>
              </w:rPr>
            </w:pPr>
            <w:r w:rsidRPr="00AC6A45">
              <w:rPr>
                <w:rFonts w:cs="Arial"/>
                <w:sz w:val="20"/>
                <w:szCs w:val="20"/>
              </w:rPr>
              <w:t>-</w:t>
            </w:r>
          </w:p>
        </w:tc>
        <w:tc>
          <w:tcPr>
            <w:tcW w:w="331" w:type="pct"/>
          </w:tcPr>
          <w:p w14:paraId="2615B92A" w14:textId="77777777" w:rsidR="008C7752" w:rsidRPr="00AC6A45" w:rsidRDefault="008C7752" w:rsidP="00FE6DA4">
            <w:pPr>
              <w:jc w:val="right"/>
              <w:rPr>
                <w:rFonts w:cs="Arial"/>
                <w:sz w:val="20"/>
                <w:szCs w:val="20"/>
              </w:rPr>
            </w:pPr>
            <w:r w:rsidRPr="00AC6A45">
              <w:rPr>
                <w:rFonts w:cs="Arial"/>
                <w:sz w:val="20"/>
                <w:szCs w:val="20"/>
              </w:rPr>
              <w:t>68,700</w:t>
            </w:r>
          </w:p>
        </w:tc>
        <w:tc>
          <w:tcPr>
            <w:tcW w:w="397" w:type="pct"/>
          </w:tcPr>
          <w:p w14:paraId="2A6D4066" w14:textId="77777777" w:rsidR="008C7752" w:rsidRPr="00AC6A45" w:rsidRDefault="008C7752" w:rsidP="00FE6DA4">
            <w:pPr>
              <w:jc w:val="right"/>
              <w:rPr>
                <w:rFonts w:cs="Arial"/>
                <w:sz w:val="20"/>
                <w:szCs w:val="20"/>
              </w:rPr>
            </w:pPr>
            <w:r w:rsidRPr="00AC6A45">
              <w:rPr>
                <w:rFonts w:cs="Arial"/>
                <w:sz w:val="20"/>
                <w:szCs w:val="20"/>
              </w:rPr>
              <w:t>73,300</w:t>
            </w:r>
          </w:p>
        </w:tc>
        <w:tc>
          <w:tcPr>
            <w:tcW w:w="265" w:type="pct"/>
          </w:tcPr>
          <w:p w14:paraId="3C4C4F1D" w14:textId="77777777" w:rsidR="008C7752" w:rsidRPr="00AC6A45" w:rsidRDefault="008C7752" w:rsidP="00FE6DA4">
            <w:pPr>
              <w:jc w:val="right"/>
              <w:rPr>
                <w:rFonts w:cs="Arial"/>
                <w:sz w:val="20"/>
                <w:szCs w:val="20"/>
              </w:rPr>
            </w:pPr>
            <w:r w:rsidRPr="00AC6A45">
              <w:rPr>
                <w:rFonts w:cs="Arial"/>
                <w:sz w:val="20"/>
                <w:szCs w:val="20"/>
              </w:rPr>
              <w:t>1,300</w:t>
            </w:r>
          </w:p>
        </w:tc>
        <w:tc>
          <w:tcPr>
            <w:tcW w:w="397" w:type="pct"/>
          </w:tcPr>
          <w:p w14:paraId="5683DF01" w14:textId="77777777" w:rsidR="008C7752" w:rsidRPr="00AC6A45" w:rsidRDefault="008C7752" w:rsidP="00FE6DA4">
            <w:pPr>
              <w:jc w:val="right"/>
              <w:rPr>
                <w:rFonts w:cs="Arial"/>
                <w:sz w:val="20"/>
                <w:szCs w:val="20"/>
              </w:rPr>
            </w:pPr>
            <w:r w:rsidRPr="00AC6A45">
              <w:rPr>
                <w:rFonts w:cs="Arial"/>
                <w:sz w:val="20"/>
                <w:szCs w:val="20"/>
              </w:rPr>
              <w:t>74,600</w:t>
            </w:r>
          </w:p>
        </w:tc>
        <w:tc>
          <w:tcPr>
            <w:tcW w:w="397" w:type="pct"/>
          </w:tcPr>
          <w:p w14:paraId="1C0F108B" w14:textId="77777777" w:rsidR="008C7752" w:rsidRPr="00AC6A45" w:rsidRDefault="008C7752" w:rsidP="00FE6DA4">
            <w:pPr>
              <w:jc w:val="right"/>
              <w:rPr>
                <w:rFonts w:cs="Arial"/>
                <w:sz w:val="20"/>
                <w:szCs w:val="20"/>
              </w:rPr>
            </w:pPr>
            <w:r w:rsidRPr="00AC6A45">
              <w:rPr>
                <w:rFonts w:cs="Arial"/>
                <w:sz w:val="20"/>
                <w:szCs w:val="20"/>
              </w:rPr>
              <w:t>60,800</w:t>
            </w:r>
          </w:p>
        </w:tc>
        <w:tc>
          <w:tcPr>
            <w:tcW w:w="397" w:type="pct"/>
          </w:tcPr>
          <w:p w14:paraId="08FA5C8C" w14:textId="77777777" w:rsidR="008C7752" w:rsidRPr="00AC6A45" w:rsidRDefault="008C7752" w:rsidP="00FE6DA4">
            <w:pPr>
              <w:jc w:val="right"/>
              <w:rPr>
                <w:rFonts w:cs="Arial"/>
                <w:sz w:val="20"/>
                <w:szCs w:val="20"/>
              </w:rPr>
            </w:pPr>
            <w:r w:rsidRPr="00AC6A45">
              <w:rPr>
                <w:rFonts w:cs="Arial"/>
                <w:sz w:val="20"/>
                <w:szCs w:val="20"/>
              </w:rPr>
              <w:t>20,200</w:t>
            </w:r>
          </w:p>
        </w:tc>
        <w:tc>
          <w:tcPr>
            <w:tcW w:w="397" w:type="pct"/>
          </w:tcPr>
          <w:p w14:paraId="07BD153E" w14:textId="77777777" w:rsidR="008C7752" w:rsidRPr="00AC6A45" w:rsidRDefault="008C7752" w:rsidP="00FE6DA4">
            <w:pPr>
              <w:jc w:val="right"/>
              <w:rPr>
                <w:rFonts w:cs="Arial"/>
                <w:sz w:val="20"/>
                <w:szCs w:val="20"/>
              </w:rPr>
            </w:pPr>
            <w:r w:rsidRPr="00AC6A45">
              <w:rPr>
                <w:rFonts w:cs="Arial"/>
                <w:sz w:val="20"/>
                <w:szCs w:val="20"/>
              </w:rPr>
              <w:t>81,000</w:t>
            </w:r>
          </w:p>
        </w:tc>
        <w:tc>
          <w:tcPr>
            <w:tcW w:w="397" w:type="pct"/>
          </w:tcPr>
          <w:p w14:paraId="7BE4AFB4" w14:textId="77777777" w:rsidR="008C7752" w:rsidRPr="00AC6A45" w:rsidRDefault="008C7752" w:rsidP="00FE6DA4">
            <w:pPr>
              <w:jc w:val="right"/>
              <w:rPr>
                <w:rFonts w:cs="Arial"/>
                <w:sz w:val="20"/>
                <w:szCs w:val="20"/>
              </w:rPr>
            </w:pPr>
            <w:r w:rsidRPr="00AC6A45">
              <w:rPr>
                <w:rFonts w:cs="Arial"/>
                <w:sz w:val="20"/>
                <w:szCs w:val="20"/>
              </w:rPr>
              <w:t>202,700</w:t>
            </w:r>
          </w:p>
        </w:tc>
        <w:tc>
          <w:tcPr>
            <w:tcW w:w="331" w:type="pct"/>
          </w:tcPr>
          <w:p w14:paraId="0F3597D6" w14:textId="77777777" w:rsidR="008C7752" w:rsidRPr="00AC6A45" w:rsidRDefault="008C7752" w:rsidP="00FE6DA4">
            <w:pPr>
              <w:jc w:val="right"/>
              <w:rPr>
                <w:rFonts w:cs="Arial"/>
                <w:sz w:val="20"/>
                <w:szCs w:val="20"/>
              </w:rPr>
            </w:pPr>
            <w:r w:rsidRPr="00AC6A45">
              <w:rPr>
                <w:rFonts w:cs="Arial"/>
                <w:sz w:val="20"/>
                <w:szCs w:val="20"/>
              </w:rPr>
              <w:t>21,700</w:t>
            </w:r>
          </w:p>
        </w:tc>
        <w:tc>
          <w:tcPr>
            <w:tcW w:w="397" w:type="pct"/>
          </w:tcPr>
          <w:p w14:paraId="160EA192" w14:textId="77777777" w:rsidR="008C7752" w:rsidRPr="00AC6A45" w:rsidRDefault="008C7752" w:rsidP="00FE6DA4">
            <w:pPr>
              <w:jc w:val="right"/>
              <w:rPr>
                <w:rFonts w:cs="Arial"/>
                <w:sz w:val="20"/>
                <w:szCs w:val="20"/>
              </w:rPr>
            </w:pPr>
            <w:r w:rsidRPr="00AC6A45">
              <w:rPr>
                <w:rFonts w:cs="Arial"/>
                <w:sz w:val="20"/>
                <w:szCs w:val="20"/>
              </w:rPr>
              <w:t>224,500</w:t>
            </w:r>
          </w:p>
        </w:tc>
      </w:tr>
      <w:tr w:rsidR="008C7752" w:rsidRPr="00326232" w14:paraId="07ADBE1A" w14:textId="77777777" w:rsidTr="00FE6DA4">
        <w:trPr>
          <w:trHeight w:val="565"/>
        </w:trPr>
        <w:tc>
          <w:tcPr>
            <w:tcW w:w="635" w:type="pct"/>
          </w:tcPr>
          <w:p w14:paraId="565522E0" w14:textId="77777777" w:rsidR="008C7752" w:rsidRPr="00F23F2B" w:rsidRDefault="008C7752" w:rsidP="00F23F2B">
            <w:pPr>
              <w:pStyle w:val="TableRowHead"/>
              <w:rPr>
                <w:sz w:val="20"/>
                <w:szCs w:val="20"/>
              </w:rPr>
            </w:pPr>
            <w:r w:rsidRPr="00F23F2B">
              <w:rPr>
                <w:sz w:val="20"/>
                <w:szCs w:val="20"/>
              </w:rPr>
              <w:t>Total adults with disabilities</w:t>
            </w:r>
          </w:p>
        </w:tc>
        <w:tc>
          <w:tcPr>
            <w:tcW w:w="397" w:type="pct"/>
          </w:tcPr>
          <w:p w14:paraId="1B27C059" w14:textId="77777777" w:rsidR="008C7752" w:rsidRPr="00AC6A45" w:rsidRDefault="008C7752" w:rsidP="00FE6DA4">
            <w:pPr>
              <w:jc w:val="right"/>
              <w:rPr>
                <w:rFonts w:cs="Arial"/>
                <w:sz w:val="20"/>
                <w:szCs w:val="20"/>
              </w:rPr>
            </w:pPr>
            <w:r w:rsidRPr="00AC6A45">
              <w:rPr>
                <w:rFonts w:cs="Arial"/>
                <w:sz w:val="20"/>
                <w:szCs w:val="20"/>
              </w:rPr>
              <w:t>141,200</w:t>
            </w:r>
          </w:p>
        </w:tc>
        <w:tc>
          <w:tcPr>
            <w:tcW w:w="265" w:type="pct"/>
          </w:tcPr>
          <w:p w14:paraId="5F0AC90F" w14:textId="77777777" w:rsidR="008C7752" w:rsidRPr="00AC6A45" w:rsidRDefault="008C7752" w:rsidP="00FE6DA4">
            <w:pPr>
              <w:jc w:val="right"/>
              <w:rPr>
                <w:rFonts w:cs="Arial"/>
                <w:sz w:val="20"/>
                <w:szCs w:val="20"/>
              </w:rPr>
            </w:pPr>
            <w:r w:rsidRPr="00AC6A45">
              <w:rPr>
                <w:rFonts w:cs="Arial"/>
                <w:sz w:val="20"/>
                <w:szCs w:val="20"/>
              </w:rPr>
              <w:t>-</w:t>
            </w:r>
          </w:p>
        </w:tc>
        <w:tc>
          <w:tcPr>
            <w:tcW w:w="331" w:type="pct"/>
          </w:tcPr>
          <w:p w14:paraId="3BD01D2A" w14:textId="77777777" w:rsidR="008C7752" w:rsidRPr="00AC6A45" w:rsidRDefault="008C7752" w:rsidP="00FE6DA4">
            <w:pPr>
              <w:jc w:val="right"/>
              <w:rPr>
                <w:rFonts w:cs="Arial"/>
                <w:sz w:val="20"/>
                <w:szCs w:val="20"/>
              </w:rPr>
            </w:pPr>
            <w:r w:rsidRPr="00AC6A45">
              <w:rPr>
                <w:rFonts w:cs="Arial"/>
                <w:sz w:val="20"/>
                <w:szCs w:val="20"/>
              </w:rPr>
              <w:t>141,200</w:t>
            </w:r>
          </w:p>
        </w:tc>
        <w:tc>
          <w:tcPr>
            <w:tcW w:w="397" w:type="pct"/>
          </w:tcPr>
          <w:p w14:paraId="39FBB07F" w14:textId="77777777" w:rsidR="008C7752" w:rsidRPr="00AC6A45" w:rsidRDefault="008C7752" w:rsidP="00FE6DA4">
            <w:pPr>
              <w:jc w:val="right"/>
              <w:rPr>
                <w:rFonts w:cs="Arial"/>
                <w:sz w:val="20"/>
                <w:szCs w:val="20"/>
              </w:rPr>
            </w:pPr>
            <w:r w:rsidRPr="00AC6A45">
              <w:rPr>
                <w:rFonts w:cs="Arial"/>
                <w:sz w:val="20"/>
                <w:szCs w:val="20"/>
              </w:rPr>
              <w:t>207,100</w:t>
            </w:r>
          </w:p>
        </w:tc>
        <w:tc>
          <w:tcPr>
            <w:tcW w:w="265" w:type="pct"/>
          </w:tcPr>
          <w:p w14:paraId="07AEC29F" w14:textId="77777777" w:rsidR="008C7752" w:rsidRPr="00AC6A45" w:rsidRDefault="008C7752" w:rsidP="00FE6DA4">
            <w:pPr>
              <w:jc w:val="right"/>
              <w:rPr>
                <w:rFonts w:cs="Arial"/>
                <w:sz w:val="20"/>
                <w:szCs w:val="20"/>
              </w:rPr>
            </w:pPr>
          </w:p>
        </w:tc>
        <w:tc>
          <w:tcPr>
            <w:tcW w:w="397" w:type="pct"/>
          </w:tcPr>
          <w:p w14:paraId="566CF001" w14:textId="77777777" w:rsidR="008C7752" w:rsidRPr="00AC6A45" w:rsidRDefault="008C7752" w:rsidP="00FE6DA4">
            <w:pPr>
              <w:jc w:val="right"/>
              <w:rPr>
                <w:rFonts w:cs="Arial"/>
                <w:sz w:val="20"/>
                <w:szCs w:val="20"/>
              </w:rPr>
            </w:pPr>
            <w:r w:rsidRPr="00AC6A45">
              <w:rPr>
                <w:rFonts w:cs="Arial"/>
                <w:sz w:val="20"/>
                <w:szCs w:val="20"/>
              </w:rPr>
              <w:t>208,500</w:t>
            </w:r>
          </w:p>
        </w:tc>
        <w:tc>
          <w:tcPr>
            <w:tcW w:w="397" w:type="pct"/>
          </w:tcPr>
          <w:p w14:paraId="2C403094" w14:textId="77777777" w:rsidR="008C7752" w:rsidRPr="00AC6A45" w:rsidRDefault="008C7752" w:rsidP="00FE6DA4">
            <w:pPr>
              <w:jc w:val="right"/>
              <w:rPr>
                <w:rFonts w:cs="Arial"/>
                <w:sz w:val="20"/>
                <w:szCs w:val="20"/>
              </w:rPr>
            </w:pPr>
            <w:r w:rsidRPr="00AC6A45">
              <w:rPr>
                <w:rFonts w:cs="Arial"/>
                <w:sz w:val="20"/>
                <w:szCs w:val="20"/>
              </w:rPr>
              <w:t>190,000</w:t>
            </w:r>
          </w:p>
        </w:tc>
        <w:tc>
          <w:tcPr>
            <w:tcW w:w="397" w:type="pct"/>
          </w:tcPr>
          <w:p w14:paraId="35946BEB" w14:textId="77777777" w:rsidR="008C7752" w:rsidRPr="00AC6A45" w:rsidRDefault="008C7752" w:rsidP="00FE6DA4">
            <w:pPr>
              <w:jc w:val="right"/>
              <w:rPr>
                <w:rFonts w:cs="Arial"/>
                <w:sz w:val="20"/>
                <w:szCs w:val="20"/>
              </w:rPr>
            </w:pPr>
            <w:r w:rsidRPr="00AC6A45">
              <w:rPr>
                <w:rFonts w:cs="Arial"/>
                <w:sz w:val="20"/>
                <w:szCs w:val="20"/>
              </w:rPr>
              <w:t>29,400</w:t>
            </w:r>
          </w:p>
        </w:tc>
        <w:tc>
          <w:tcPr>
            <w:tcW w:w="397" w:type="pct"/>
          </w:tcPr>
          <w:p w14:paraId="19FCDB28" w14:textId="77777777" w:rsidR="008C7752" w:rsidRPr="00AC6A45" w:rsidRDefault="008C7752" w:rsidP="00FE6DA4">
            <w:pPr>
              <w:jc w:val="right"/>
              <w:rPr>
                <w:rFonts w:cs="Arial"/>
                <w:sz w:val="20"/>
                <w:szCs w:val="20"/>
              </w:rPr>
            </w:pPr>
            <w:r w:rsidRPr="00AC6A45">
              <w:rPr>
                <w:rFonts w:cs="Arial"/>
                <w:sz w:val="20"/>
                <w:szCs w:val="20"/>
              </w:rPr>
              <w:t>220,300</w:t>
            </w:r>
          </w:p>
        </w:tc>
        <w:tc>
          <w:tcPr>
            <w:tcW w:w="397" w:type="pct"/>
          </w:tcPr>
          <w:p w14:paraId="14705DA2" w14:textId="77777777" w:rsidR="008C7752" w:rsidRPr="00AC6A45" w:rsidRDefault="008C7752" w:rsidP="00FE6DA4">
            <w:pPr>
              <w:jc w:val="right"/>
              <w:rPr>
                <w:rFonts w:cs="Arial"/>
                <w:sz w:val="20"/>
                <w:szCs w:val="20"/>
              </w:rPr>
            </w:pPr>
            <w:r w:rsidRPr="00AC6A45">
              <w:rPr>
                <w:rFonts w:cs="Arial"/>
                <w:sz w:val="20"/>
                <w:szCs w:val="20"/>
              </w:rPr>
              <w:t>539,200</w:t>
            </w:r>
          </w:p>
        </w:tc>
        <w:tc>
          <w:tcPr>
            <w:tcW w:w="331" w:type="pct"/>
          </w:tcPr>
          <w:p w14:paraId="35C4C9FF" w14:textId="77777777" w:rsidR="008C7752" w:rsidRPr="00AC6A45" w:rsidRDefault="008C7752" w:rsidP="00FE6DA4">
            <w:pPr>
              <w:jc w:val="right"/>
              <w:rPr>
                <w:rFonts w:cs="Arial"/>
                <w:sz w:val="20"/>
                <w:szCs w:val="20"/>
              </w:rPr>
            </w:pPr>
            <w:r w:rsidRPr="00AC6A45">
              <w:rPr>
                <w:rFonts w:cs="Arial"/>
                <w:sz w:val="20"/>
                <w:szCs w:val="20"/>
              </w:rPr>
              <w:t>31,100</w:t>
            </w:r>
          </w:p>
        </w:tc>
        <w:tc>
          <w:tcPr>
            <w:tcW w:w="397" w:type="pct"/>
          </w:tcPr>
          <w:p w14:paraId="598613AD" w14:textId="77777777" w:rsidR="008C7752" w:rsidRPr="00AC6A45" w:rsidRDefault="008C7752" w:rsidP="00FE6DA4">
            <w:pPr>
              <w:jc w:val="right"/>
              <w:rPr>
                <w:rFonts w:cs="Arial"/>
                <w:sz w:val="20"/>
                <w:szCs w:val="20"/>
              </w:rPr>
            </w:pPr>
            <w:r w:rsidRPr="00AC6A45">
              <w:rPr>
                <w:rFonts w:cs="Arial"/>
                <w:sz w:val="20"/>
                <w:szCs w:val="20"/>
              </w:rPr>
              <w:t>570,300</w:t>
            </w:r>
          </w:p>
        </w:tc>
      </w:tr>
    </w:tbl>
    <w:p w14:paraId="2F628E4A" w14:textId="77777777" w:rsidR="00544D9F" w:rsidRDefault="00544D9F" w:rsidP="000B2936"/>
    <w:sectPr w:rsidR="00544D9F" w:rsidSect="008C7752">
      <w:pgSz w:w="16838" w:h="11906" w:orient="landscape"/>
      <w:pgMar w:top="1701"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E78C" w14:textId="77777777" w:rsidR="007B09CA" w:rsidRDefault="007B09CA">
      <w:r>
        <w:separator/>
      </w:r>
    </w:p>
  </w:endnote>
  <w:endnote w:type="continuationSeparator" w:id="0">
    <w:p w14:paraId="44A385FA" w14:textId="77777777" w:rsidR="007B09CA" w:rsidRDefault="007B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porateSBQ-Light">
    <w:altName w:val="MS Gothic"/>
    <w:panose1 w:val="00000000000000000000"/>
    <w:charset w:val="00"/>
    <w:family w:val="swiss"/>
    <w:notTrueType/>
    <w:pitch w:val="default"/>
    <w:sig w:usb0="00000000" w:usb1="08070000" w:usb2="00000010" w:usb3="00000000" w:csb0="00020001" w:csb1="00000000"/>
  </w:font>
  <w:font w:name="CorporateSBQ-M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lotte Sans">
    <w:panose1 w:val="00000000000000000000"/>
    <w:charset w:val="00"/>
    <w:family w:val="auto"/>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F5D2" w14:textId="77777777" w:rsidR="007541A2" w:rsidRDefault="007541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245AEC" w14:textId="77777777" w:rsidR="007541A2" w:rsidRDefault="007541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3369" w14:textId="77777777" w:rsidR="007541A2" w:rsidRDefault="007541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597">
      <w:rPr>
        <w:rStyle w:val="PageNumber"/>
        <w:noProof/>
      </w:rPr>
      <w:t>2</w:t>
    </w:r>
    <w:r>
      <w:rPr>
        <w:rStyle w:val="PageNumber"/>
      </w:rPr>
      <w:fldChar w:fldCharType="end"/>
    </w:r>
  </w:p>
  <w:p w14:paraId="03083856" w14:textId="77777777" w:rsidR="007541A2" w:rsidRDefault="007541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54D3" w14:textId="77777777" w:rsidR="007541A2" w:rsidRDefault="007541A2" w:rsidP="008C7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37D1D9D" w14:textId="77777777" w:rsidR="007541A2" w:rsidRDefault="007541A2" w:rsidP="008C775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8559" w14:textId="77777777" w:rsidR="007541A2" w:rsidRDefault="007541A2" w:rsidP="008C7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597">
      <w:rPr>
        <w:rStyle w:val="PageNumber"/>
        <w:noProof/>
      </w:rPr>
      <w:t>54</w:t>
    </w:r>
    <w:r>
      <w:rPr>
        <w:rStyle w:val="PageNumber"/>
      </w:rPr>
      <w:fldChar w:fldCharType="end"/>
    </w:r>
  </w:p>
  <w:p w14:paraId="50C37D93" w14:textId="77777777" w:rsidR="007541A2" w:rsidRDefault="007541A2" w:rsidP="008C77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6445" w14:textId="77777777" w:rsidR="007B09CA" w:rsidRDefault="007B09CA">
      <w:r>
        <w:separator/>
      </w:r>
    </w:p>
  </w:footnote>
  <w:footnote w:type="continuationSeparator" w:id="0">
    <w:p w14:paraId="32273C30" w14:textId="77777777" w:rsidR="007B09CA" w:rsidRDefault="007B09CA">
      <w:r>
        <w:continuationSeparator/>
      </w:r>
    </w:p>
  </w:footnote>
  <w:footnote w:id="1">
    <w:p w14:paraId="0FDE17CE" w14:textId="77777777" w:rsidR="007541A2" w:rsidRPr="001607A7" w:rsidRDefault="007541A2" w:rsidP="00261804">
      <w:pPr>
        <w:pStyle w:val="FootnoteText"/>
      </w:pPr>
      <w:r>
        <w:rPr>
          <w:rStyle w:val="FootnoteReference"/>
        </w:rPr>
        <w:footnoteRef/>
      </w:r>
      <w:r>
        <w:t xml:space="preserve"> </w:t>
      </w:r>
      <w:r w:rsidRPr="001607A7">
        <w:t xml:space="preserve">Central Statistics Office. Population and Migration Estimates April 2009 </w:t>
      </w:r>
      <w:hyperlink r:id="rId1" w:history="1">
        <w:r w:rsidRPr="008D42CE">
          <w:rPr>
            <w:rStyle w:val="Hyperlink"/>
          </w:rPr>
          <w:t>http://www.cso.ie</w:t>
        </w:r>
      </w:hyperlink>
      <w:r>
        <w:t xml:space="preserve"> </w:t>
      </w:r>
      <w:r w:rsidRPr="001607A7">
        <w:t xml:space="preserve"> </w:t>
      </w:r>
      <w:r>
        <w:t xml:space="preserve"> </w:t>
      </w:r>
      <w:r w:rsidRPr="001607A7">
        <w:t>accessed 17 August 2010</w:t>
      </w:r>
    </w:p>
  </w:footnote>
  <w:footnote w:id="2">
    <w:p w14:paraId="5643F5C7" w14:textId="77777777" w:rsidR="007541A2" w:rsidRPr="001607A7" w:rsidRDefault="007541A2" w:rsidP="00261804">
      <w:pPr>
        <w:pStyle w:val="FootnoteText"/>
      </w:pPr>
      <w:r>
        <w:rPr>
          <w:rStyle w:val="FootnoteReference"/>
        </w:rPr>
        <w:footnoteRef/>
      </w:r>
      <w:r>
        <w:t xml:space="preserve"> </w:t>
      </w:r>
      <w:r w:rsidRPr="001607A7">
        <w:t xml:space="preserve">Office for National Statistics. </w:t>
      </w:r>
      <w:hyperlink r:id="rId2" w:history="1">
        <w:r w:rsidRPr="008D42CE">
          <w:rPr>
            <w:rStyle w:val="Hyperlink"/>
          </w:rPr>
          <w:t>http://www.statistics.gov.uk/pdfdir/pop0610.pdf</w:t>
        </w:r>
      </w:hyperlink>
      <w:r>
        <w:t xml:space="preserve"> </w:t>
      </w:r>
      <w:r w:rsidRPr="001607A7">
        <w:t xml:space="preserve"> accessed 17 August 2010</w:t>
      </w:r>
    </w:p>
  </w:footnote>
  <w:footnote w:id="3">
    <w:p w14:paraId="0838B920" w14:textId="77777777" w:rsidR="007541A2" w:rsidRPr="001607A7" w:rsidRDefault="007541A2" w:rsidP="00261804">
      <w:pPr>
        <w:pStyle w:val="FootnoteText"/>
      </w:pPr>
      <w:r>
        <w:rPr>
          <w:rStyle w:val="FootnoteReference"/>
        </w:rPr>
        <w:footnoteRef/>
      </w:r>
      <w:r>
        <w:t xml:space="preserve"> </w:t>
      </w:r>
      <w:r w:rsidRPr="001607A7">
        <w:t xml:space="preserve">General Register Office for </w:t>
      </w:r>
      <w:smartTag w:uri="urn:schemas-microsoft-com:office:smarttags" w:element="country-region">
        <w:smartTag w:uri="urn:schemas-microsoft-com:office:smarttags" w:element="place">
          <w:r w:rsidRPr="001607A7">
            <w:t>Scotland</w:t>
          </w:r>
        </w:smartTag>
      </w:smartTag>
      <w:r w:rsidRPr="001607A7">
        <w:t xml:space="preserve">. </w:t>
      </w:r>
      <w:hyperlink r:id="rId3" w:history="1">
        <w:r w:rsidRPr="008D42CE">
          <w:rPr>
            <w:rStyle w:val="Hyperlink"/>
          </w:rPr>
          <w:t>http://www.statistics.gov.uk/pdfdir/pop0610.pdf</w:t>
        </w:r>
      </w:hyperlink>
      <w:r>
        <w:t xml:space="preserve"> </w:t>
      </w:r>
      <w:r w:rsidRPr="001607A7">
        <w:t xml:space="preserve"> accessed </w:t>
      </w:r>
      <w:smartTag w:uri="urn:schemas-microsoft-com:office:smarttags" w:element="date">
        <w:smartTagPr>
          <w:attr w:name="Year" w:val="2010"/>
          <w:attr w:name="Day" w:val="17"/>
          <w:attr w:name="Month" w:val="8"/>
        </w:smartTagPr>
        <w:r w:rsidRPr="001607A7">
          <w:t>17 August 2010</w:t>
        </w:r>
      </w:smartTag>
    </w:p>
  </w:footnote>
  <w:footnote w:id="4">
    <w:p w14:paraId="0322AE56" w14:textId="77777777" w:rsidR="007541A2" w:rsidRPr="001607A7" w:rsidRDefault="007541A2" w:rsidP="00261804">
      <w:pPr>
        <w:pStyle w:val="FootnoteText"/>
      </w:pPr>
      <w:r>
        <w:rPr>
          <w:rStyle w:val="FootnoteReference"/>
        </w:rPr>
        <w:footnoteRef/>
      </w:r>
      <w:r>
        <w:t xml:space="preserve"> </w:t>
      </w:r>
      <w:r w:rsidRPr="001607A7">
        <w:t xml:space="preserve">Statistics </w:t>
      </w:r>
      <w:smartTag w:uri="urn:schemas-microsoft-com:office:smarttags" w:element="country-region">
        <w:smartTag w:uri="urn:schemas-microsoft-com:office:smarttags" w:element="place">
          <w:r w:rsidRPr="001607A7">
            <w:t>Netherlands</w:t>
          </w:r>
        </w:smartTag>
      </w:smartTag>
      <w:r w:rsidRPr="001607A7">
        <w:t xml:space="preserve">. </w:t>
      </w:r>
      <w:proofErr w:type="spellStart"/>
      <w:r w:rsidRPr="001607A7">
        <w:t>Centraal</w:t>
      </w:r>
      <w:proofErr w:type="spellEnd"/>
      <w:r w:rsidRPr="001607A7">
        <w:t xml:space="preserve"> Bureau </w:t>
      </w:r>
      <w:proofErr w:type="spellStart"/>
      <w:r w:rsidRPr="001607A7">
        <w:t>voor</w:t>
      </w:r>
      <w:proofErr w:type="spellEnd"/>
      <w:r w:rsidRPr="001607A7">
        <w:t xml:space="preserve"> de </w:t>
      </w:r>
      <w:proofErr w:type="spellStart"/>
      <w:r w:rsidRPr="001607A7">
        <w:t>Statistiek</w:t>
      </w:r>
      <w:proofErr w:type="spellEnd"/>
      <w:r w:rsidRPr="001607A7">
        <w:t xml:space="preserve"> </w:t>
      </w:r>
      <w:hyperlink r:id="rId4" w:history="1">
        <w:r w:rsidRPr="008D42CE">
          <w:rPr>
            <w:rStyle w:val="Hyperlink"/>
          </w:rPr>
          <w:t>http://statline.cbs.nl/StatWeb/publication/?DM=SLEN&amp;PA=37296eng&amp;D1=0-51,56-68&amp;D2=56&amp;LA=EN&amp;VW=T</w:t>
        </w:r>
      </w:hyperlink>
      <w:r>
        <w:t xml:space="preserve"> </w:t>
      </w:r>
      <w:r w:rsidRPr="001607A7">
        <w:t xml:space="preserve"> accessed 17 August 2010</w:t>
      </w:r>
    </w:p>
  </w:footnote>
  <w:footnote w:id="5">
    <w:p w14:paraId="6486C513" w14:textId="77777777" w:rsidR="007541A2" w:rsidRPr="001607A7" w:rsidRDefault="007541A2" w:rsidP="00261804">
      <w:pPr>
        <w:pStyle w:val="FootnoteText"/>
      </w:pPr>
      <w:r>
        <w:rPr>
          <w:rStyle w:val="FootnoteReference"/>
        </w:rPr>
        <w:footnoteRef/>
      </w:r>
      <w:r>
        <w:t xml:space="preserve"> </w:t>
      </w:r>
      <w:r w:rsidRPr="001607A7">
        <w:t xml:space="preserve">Statistics </w:t>
      </w:r>
      <w:smartTag w:uri="urn:schemas-microsoft-com:office:smarttags" w:element="country-region">
        <w:smartTag w:uri="urn:schemas-microsoft-com:office:smarttags" w:element="place">
          <w:r w:rsidRPr="001607A7">
            <w:t>Norway</w:t>
          </w:r>
        </w:smartTag>
      </w:smartTag>
      <w:r w:rsidRPr="001607A7">
        <w:t xml:space="preserve">. </w:t>
      </w:r>
      <w:hyperlink r:id="rId5" w:history="1">
        <w:r w:rsidRPr="008D42CE">
          <w:rPr>
            <w:rStyle w:val="Hyperlink"/>
          </w:rPr>
          <w:t>http://www.ssb.no/folkber_en/tab-2009-12-17-01-en.html</w:t>
        </w:r>
      </w:hyperlink>
      <w:r>
        <w:t xml:space="preserve"> </w:t>
      </w:r>
      <w:r w:rsidRPr="001607A7">
        <w:t xml:space="preserve"> accessed </w:t>
      </w:r>
      <w:smartTag w:uri="urn:schemas-microsoft-com:office:smarttags" w:element="date">
        <w:smartTagPr>
          <w:attr w:name="Year" w:val="2010"/>
          <w:attr w:name="Day" w:val="17"/>
          <w:attr w:name="Month" w:val="8"/>
        </w:smartTagPr>
        <w:r w:rsidRPr="001607A7">
          <w:t>17 August 2010</w:t>
        </w:r>
      </w:smartTag>
    </w:p>
  </w:footnote>
  <w:footnote w:id="6">
    <w:p w14:paraId="21434DB6" w14:textId="77777777" w:rsidR="007541A2" w:rsidRPr="001607A7" w:rsidRDefault="007541A2" w:rsidP="00261804">
      <w:pPr>
        <w:pStyle w:val="FootnoteText"/>
      </w:pPr>
      <w:r>
        <w:rPr>
          <w:rStyle w:val="FootnoteReference"/>
        </w:rPr>
        <w:footnoteRef/>
      </w:r>
      <w:r>
        <w:t xml:space="preserve"> </w:t>
      </w:r>
      <w:r w:rsidRPr="001607A7">
        <w:t xml:space="preserve">Bureau of Statistics. Australian Demographic Statistics (cat. no 3101.0) </w:t>
      </w:r>
      <w:hyperlink r:id="rId6" w:history="1">
        <w:r w:rsidRPr="008D42CE">
          <w:rPr>
            <w:rStyle w:val="Hyperlink"/>
          </w:rPr>
          <w:t>http://www.ausstats.abs.gov.au/Ausstats/subscriber.nsf/0/4B3D2204865A8CCCCA25772900202261/$File/13672do002_201003.xls</w:t>
        </w:r>
      </w:hyperlink>
      <w:r>
        <w:t xml:space="preserve"> </w:t>
      </w:r>
      <w:r w:rsidRPr="001607A7">
        <w:t xml:space="preserve"> accessed, </w:t>
      </w:r>
      <w:smartTag w:uri="urn:schemas-microsoft-com:office:smarttags" w:element="date">
        <w:smartTagPr>
          <w:attr w:name="Year" w:val="2010"/>
          <w:attr w:name="Day" w:val="17"/>
          <w:attr w:name="Month" w:val="8"/>
        </w:smartTagPr>
        <w:r w:rsidRPr="001607A7">
          <w:t>17 August 2010</w:t>
        </w:r>
      </w:smartTag>
    </w:p>
  </w:footnote>
  <w:footnote w:id="7">
    <w:p w14:paraId="2E090780" w14:textId="77777777" w:rsidR="007541A2" w:rsidRPr="001607A7" w:rsidRDefault="007541A2" w:rsidP="00261804">
      <w:pPr>
        <w:pStyle w:val="FootnoteText"/>
      </w:pPr>
      <w:r>
        <w:rPr>
          <w:rStyle w:val="FootnoteReference"/>
        </w:rPr>
        <w:footnoteRef/>
      </w:r>
      <w:r>
        <w:t xml:space="preserve"> </w:t>
      </w:r>
      <w:r w:rsidRPr="001607A7">
        <w:t xml:space="preserve">Statistics </w:t>
      </w:r>
      <w:smartTag w:uri="urn:schemas-microsoft-com:office:smarttags" w:element="country-region">
        <w:smartTag w:uri="urn:schemas-microsoft-com:office:smarttags" w:element="place">
          <w:r w:rsidRPr="001607A7">
            <w:t>New Zealand</w:t>
          </w:r>
        </w:smartTag>
      </w:smartTag>
      <w:r w:rsidRPr="001607A7">
        <w:t xml:space="preserve">. </w:t>
      </w:r>
      <w:hyperlink r:id="rId7" w:history="1">
        <w:r w:rsidRPr="008D42CE">
          <w:rPr>
            <w:rStyle w:val="Hyperlink"/>
          </w:rPr>
          <w:t>http://www.stats.govt.nz/browse_for_stats/population/estimates_and_projections/NationalPopulationEstimates_HOTPJun09qtr.aspx</w:t>
        </w:r>
      </w:hyperlink>
      <w:r>
        <w:t xml:space="preserve"> </w:t>
      </w:r>
      <w:r w:rsidRPr="001607A7">
        <w:t xml:space="preserve"> accessed </w:t>
      </w:r>
      <w:smartTag w:uri="urn:schemas-microsoft-com:office:smarttags" w:element="date">
        <w:smartTagPr>
          <w:attr w:name="Year" w:val="2010"/>
          <w:attr w:name="Day" w:val="17"/>
          <w:attr w:name="Month" w:val="8"/>
        </w:smartTagPr>
        <w:r w:rsidRPr="001607A7">
          <w:t>17 August 2010</w:t>
        </w:r>
      </w:smartTag>
    </w:p>
  </w:footnote>
  <w:footnote w:id="8">
    <w:p w14:paraId="2B717ECF" w14:textId="77777777" w:rsidR="007541A2" w:rsidRDefault="007541A2">
      <w:pPr>
        <w:pStyle w:val="FootnoteText"/>
      </w:pPr>
      <w:r>
        <w:rPr>
          <w:rStyle w:val="FootnoteReference"/>
        </w:rPr>
        <w:footnoteRef/>
      </w:r>
      <w:r>
        <w:t xml:space="preserve"> The population in 2010 is 4,372,000, which is broadly </w:t>
      </w:r>
      <w:proofErr w:type="gramStart"/>
      <w:r>
        <w:t>similar to</w:t>
      </w:r>
      <w:proofErr w:type="gramEnd"/>
      <w:r>
        <w:t xml:space="preserve"> </w:t>
      </w:r>
      <w:smartTag w:uri="urn:schemas-microsoft-com:office:smarttags" w:element="country-region">
        <w:smartTag w:uri="urn:schemas-microsoft-com:office:smarttags" w:element="place">
          <w:r>
            <w:t>Ireland</w:t>
          </w:r>
        </w:smartTag>
      </w:smartTag>
      <w:r>
        <w:t>'s population.</w:t>
      </w:r>
    </w:p>
  </w:footnote>
  <w:footnote w:id="9">
    <w:p w14:paraId="3C1AA5B7" w14:textId="77777777" w:rsidR="007541A2" w:rsidRPr="00720E98" w:rsidRDefault="007541A2">
      <w:pPr>
        <w:pStyle w:val="FootnoteText"/>
      </w:pPr>
      <w:r>
        <w:rPr>
          <w:rStyle w:val="FootnoteReference"/>
        </w:rPr>
        <w:footnoteRef/>
      </w:r>
      <w:r>
        <w:t xml:space="preserve"> </w:t>
      </w:r>
      <w:r w:rsidRPr="00720E98">
        <w:t>Only limited headline statistics from the 2006 Disability Survey were available as this report was being concluded. Table 10 in appendix 3 contains figures for adults by disability type and place of residence.</w:t>
      </w:r>
    </w:p>
  </w:footnote>
  <w:footnote w:id="10">
    <w:p w14:paraId="65542124" w14:textId="77777777" w:rsidR="007541A2" w:rsidRDefault="007541A2" w:rsidP="00C13592">
      <w:pPr>
        <w:pStyle w:val="FootnoteText"/>
        <w:spacing w:after="0"/>
      </w:pPr>
      <w:r>
        <w:rPr>
          <w:rStyle w:val="FootnoteReference"/>
        </w:rPr>
        <w:footnoteRef/>
      </w:r>
      <w:r>
        <w:t xml:space="preserve">   Ministry of Health, 2004, Living with a Disability in </w:t>
      </w:r>
      <w:smartTag w:uri="urn:schemas-microsoft-com:office:smarttags" w:element="country-region">
        <w:smartTag w:uri="urn:schemas-microsoft-com:office:smarttags" w:element="place">
          <w:r>
            <w:t>New Zealand</w:t>
          </w:r>
        </w:smartTag>
      </w:smartTag>
      <w:r>
        <w:t>: A descriptive analysis of results from the 2001 Household Disability Survey and the 2001 Disability Survey of</w:t>
      </w:r>
    </w:p>
    <w:p w14:paraId="67883CBD" w14:textId="77777777" w:rsidR="007541A2" w:rsidRDefault="007541A2" w:rsidP="00C13592">
      <w:pPr>
        <w:pStyle w:val="FootnoteText"/>
        <w:spacing w:after="0"/>
      </w:pPr>
      <w:r>
        <w:t xml:space="preserve">Residential Facilities  </w:t>
      </w:r>
      <w:hyperlink r:id="rId8" w:history="1">
        <w:r w:rsidRPr="008D42CE">
          <w:rPr>
            <w:rStyle w:val="Hyperlink"/>
          </w:rPr>
          <w:t>http://www.moh.govt.nz/moh.nsf/0/8FD2A69286CD6715CC256F33007AADE4/$File/livingwithdisability.pdf</w:t>
        </w:r>
      </w:hyperlink>
      <w:r>
        <w:t xml:space="preserve"> </w:t>
      </w:r>
    </w:p>
    <w:p w14:paraId="708F169E" w14:textId="77777777" w:rsidR="007541A2" w:rsidRPr="00720E98" w:rsidRDefault="007541A2" w:rsidP="00C13592">
      <w:pPr>
        <w:pStyle w:val="FootnoteText"/>
        <w:rPr>
          <w:b/>
        </w:rPr>
      </w:pPr>
      <w:r>
        <w:t>While a 2006 disability survey has been conducted only some limited headline statistics are available at present. If individuals reported more than one disability type, they were counted in each applicable disability group.</w:t>
      </w:r>
    </w:p>
  </w:footnote>
  <w:footnote w:id="11">
    <w:p w14:paraId="3C63A42F" w14:textId="77777777" w:rsidR="007541A2" w:rsidRPr="00720E98" w:rsidRDefault="007541A2" w:rsidP="00C13592">
      <w:pPr>
        <w:pStyle w:val="FootnoteText"/>
      </w:pPr>
      <w:r>
        <w:rPr>
          <w:rStyle w:val="FootnoteReference"/>
        </w:rPr>
        <w:footnoteRef/>
      </w:r>
      <w:r>
        <w:t xml:space="preserve"> </w:t>
      </w:r>
      <w:r w:rsidRPr="00720E98">
        <w:t>2001 figures based on Statistics New Zealand, Disability Survey 2001;  2006 figures based on Statistics New Z</w:t>
      </w:r>
      <w:r>
        <w:t xml:space="preserve">ealand, Disability Survey 2006 </w:t>
      </w:r>
      <w:hyperlink r:id="rId9" w:history="1">
        <w:r w:rsidRPr="008D42CE">
          <w:rPr>
            <w:rStyle w:val="Hyperlink"/>
          </w:rPr>
          <w:t>http://www.stats.govt.nz/methods_and_services/tablebuilder/disability-survey-tables.aspx</w:t>
        </w:r>
      </w:hyperlink>
      <w:r>
        <w:t xml:space="preserve"> </w:t>
      </w:r>
      <w:r w:rsidRPr="00720E98">
        <w:t xml:space="preserve"> Children with more than one disability included under all appropriate disability type categories.</w:t>
      </w:r>
    </w:p>
  </w:footnote>
  <w:footnote w:id="12">
    <w:p w14:paraId="559E716B" w14:textId="77777777" w:rsidR="007541A2" w:rsidRDefault="007541A2">
      <w:pPr>
        <w:pStyle w:val="FootnoteText"/>
      </w:pPr>
      <w:r>
        <w:rPr>
          <w:rStyle w:val="FootnoteReference"/>
        </w:rPr>
        <w:footnoteRef/>
      </w:r>
      <w:r>
        <w:t xml:space="preserve"> </w:t>
      </w:r>
      <w:hyperlink r:id="rId10" w:history="1">
        <w:r w:rsidRPr="008D42CE">
          <w:rPr>
            <w:rStyle w:val="Hyperlink"/>
            <w:rFonts w:cs="Arial"/>
          </w:rPr>
          <w:t>http://www.supportoptions.co.nz/default.aspx</w:t>
        </w:r>
      </w:hyperlink>
      <w:r>
        <w:rPr>
          <w:rFonts w:cs="Arial"/>
        </w:rPr>
        <w:t xml:space="preserve"> </w:t>
      </w:r>
      <w:r w:rsidRPr="005B4BD6">
        <w:rPr>
          <w:rFonts w:cs="Arial"/>
        </w:rPr>
        <w:t xml:space="preserve"> (information correct as of </w:t>
      </w:r>
      <w:smartTag w:uri="urn:schemas-microsoft-com:office:smarttags" w:element="date">
        <w:smartTagPr>
          <w:attr w:name="Month" w:val="8"/>
          <w:attr w:name="Day" w:val="4"/>
          <w:attr w:name="Year" w:val="2009"/>
        </w:smartTagPr>
        <w:r w:rsidRPr="005B4BD6">
          <w:rPr>
            <w:rFonts w:cs="Arial"/>
          </w:rPr>
          <w:t>4 August 2009</w:t>
        </w:r>
      </w:smartTag>
      <w:r w:rsidRPr="005B4BD6">
        <w:rPr>
          <w:rFonts w:cs="Arial"/>
        </w:rPr>
        <w:t>)</w:t>
      </w:r>
    </w:p>
  </w:footnote>
  <w:footnote w:id="13">
    <w:p w14:paraId="3A72079D" w14:textId="77777777" w:rsidR="007541A2" w:rsidRDefault="007541A2">
      <w:pPr>
        <w:pStyle w:val="FootnoteText"/>
      </w:pPr>
      <w:r>
        <w:rPr>
          <w:rStyle w:val="FootnoteReference"/>
        </w:rPr>
        <w:footnoteRef/>
      </w:r>
      <w:r>
        <w:t xml:space="preserve"> </w:t>
      </w:r>
      <w:r w:rsidRPr="005A483D">
        <w:rPr>
          <w:rFonts w:cs="Arial"/>
        </w:rPr>
        <w:t>Until the 1990s disability support services were funded by Ministry of Social Development but were transferred to Ministry of Health as a "capped and ringfenced budget" as part of the reforms of health and disability services in the 1990s under the Health and Disability Services Act (1993)</w:t>
      </w:r>
    </w:p>
  </w:footnote>
  <w:footnote w:id="14">
    <w:p w14:paraId="439AE189" w14:textId="77777777" w:rsidR="007541A2" w:rsidRPr="005B4BD6" w:rsidRDefault="007541A2" w:rsidP="00544D9F">
      <w:pPr>
        <w:pStyle w:val="FootnoteText"/>
        <w:rPr>
          <w:rFonts w:cs="Arial"/>
        </w:rPr>
      </w:pPr>
      <w:r w:rsidRPr="005B4BD6">
        <w:rPr>
          <w:rStyle w:val="FootnoteReference"/>
          <w:rFonts w:cs="Arial"/>
        </w:rPr>
        <w:footnoteRef/>
      </w:r>
      <w:r w:rsidRPr="005B4BD6">
        <w:rPr>
          <w:rFonts w:cs="Arial"/>
        </w:rPr>
        <w:t xml:space="preserve"> Key Informant details are included in appendix 1</w:t>
      </w:r>
    </w:p>
  </w:footnote>
  <w:footnote w:id="15">
    <w:p w14:paraId="27CB13E5" w14:textId="77777777" w:rsidR="007541A2" w:rsidRPr="008F58BB" w:rsidRDefault="007541A2">
      <w:pPr>
        <w:pStyle w:val="FootnoteText"/>
      </w:pPr>
      <w:r>
        <w:rPr>
          <w:rStyle w:val="FootnoteReference"/>
        </w:rPr>
        <w:footnoteRef/>
      </w:r>
      <w:r>
        <w:t xml:space="preserve"> Social Services </w:t>
      </w:r>
      <w:smartTag w:uri="urn:schemas-microsoft-com:office:smarttags" w:element="place">
        <w:smartTag w:uri="urn:schemas-microsoft-com:office:smarttags" w:element="City">
          <w:r w:rsidRPr="008F58BB">
            <w:t>Committee</w:t>
          </w:r>
        </w:smartTag>
        <w:r>
          <w:t xml:space="preserve">, </w:t>
        </w:r>
        <w:smartTag w:uri="urn:schemas-microsoft-com:office:smarttags" w:element="country-region">
          <w:r>
            <w:t>New Zealand</w:t>
          </w:r>
        </w:smartTag>
      </w:smartTag>
      <w:r>
        <w:t xml:space="preserve"> Parliament, 2008, </w:t>
      </w:r>
      <w:r w:rsidRPr="008F58BB">
        <w:t>Inquiry into the quality of care and service provision for people with disabilities</w:t>
      </w:r>
      <w:r>
        <w:t xml:space="preserve"> </w:t>
      </w:r>
      <w:hyperlink r:id="rId11" w:history="1">
        <w:r w:rsidRPr="008D42CE">
          <w:rPr>
            <w:rStyle w:val="Hyperlink"/>
          </w:rPr>
          <w:t>http://www.parliament.nz/NR/rdonlyres/06259D2F-780B-40A0-9170-005C8C046E72/93089/DBSCH_SCR_4194_6219.pdf</w:t>
        </w:r>
      </w:hyperlink>
      <w:r>
        <w:t xml:space="preserve"> </w:t>
      </w:r>
    </w:p>
  </w:footnote>
  <w:footnote w:id="16">
    <w:p w14:paraId="34C70AD7" w14:textId="77777777" w:rsidR="007541A2" w:rsidRDefault="007541A2">
      <w:pPr>
        <w:pStyle w:val="FootnoteText"/>
      </w:pPr>
      <w:r>
        <w:rPr>
          <w:rStyle w:val="FootnoteReference"/>
        </w:rPr>
        <w:footnoteRef/>
      </w:r>
      <w:r>
        <w:t xml:space="preserve"> Up until 2002/2003 services for those under and over 65s with a disability were funded directly by the Minister for Health. </w:t>
      </w:r>
    </w:p>
  </w:footnote>
  <w:footnote w:id="17">
    <w:p w14:paraId="52F79AFE" w14:textId="77777777" w:rsidR="007541A2" w:rsidRDefault="007541A2">
      <w:pPr>
        <w:pStyle w:val="FootnoteText"/>
      </w:pPr>
      <w:r>
        <w:rPr>
          <w:rStyle w:val="FootnoteReference"/>
        </w:rPr>
        <w:footnoteRef/>
      </w:r>
      <w:r>
        <w:t xml:space="preserve"> From 2003/2004 onwards funding for services for people with disabilities over 65 was devolved to District Health Board level</w:t>
      </w:r>
    </w:p>
  </w:footnote>
  <w:footnote w:id="18">
    <w:p w14:paraId="0001E7A8" w14:textId="77777777" w:rsidR="007541A2" w:rsidRDefault="007541A2">
      <w:pPr>
        <w:pStyle w:val="FootnoteText"/>
      </w:pPr>
      <w:r>
        <w:rPr>
          <w:rStyle w:val="FootnoteReference"/>
        </w:rPr>
        <w:footnoteRef/>
      </w:r>
      <w:r>
        <w:t xml:space="preserve"> </w:t>
      </w:r>
      <w:r w:rsidRPr="005B4BD6">
        <w:rPr>
          <w:rFonts w:cs="Arial"/>
        </w:rPr>
        <w:t xml:space="preserve">Ministry of Health, 2002, Disability Support Services Increasing participation and independence: </w:t>
      </w:r>
      <w:hyperlink r:id="rId12" w:history="1">
        <w:r w:rsidRPr="008D42CE">
          <w:rPr>
            <w:rStyle w:val="Hyperlink"/>
            <w:rFonts w:cs="Arial"/>
          </w:rPr>
          <w:t>http://www.moh.govt.nz/moh.nsf/82f4780aa066f8d7cc2570bb006b5d4d/75f5a04fb626a985cc256c240079150d/$FILE/DisabilitySupportServices.pdf</w:t>
        </w:r>
      </w:hyperlink>
      <w:r>
        <w:rPr>
          <w:rFonts w:cs="Arial"/>
        </w:rPr>
        <w:t xml:space="preserve"> </w:t>
      </w:r>
    </w:p>
  </w:footnote>
  <w:footnote w:id="19">
    <w:p w14:paraId="6420C24A" w14:textId="77777777" w:rsidR="007541A2" w:rsidRDefault="007541A2">
      <w:pPr>
        <w:pStyle w:val="FootnoteText"/>
      </w:pPr>
      <w:r>
        <w:rPr>
          <w:rStyle w:val="FootnoteReference"/>
        </w:rPr>
        <w:footnoteRef/>
      </w:r>
      <w:r>
        <w:t xml:space="preserve"> </w:t>
      </w:r>
      <w:r w:rsidRPr="005B4BD6">
        <w:rPr>
          <w:rFonts w:cs="Arial"/>
        </w:rPr>
        <w:t xml:space="preserve">Information supplied </w:t>
      </w:r>
      <w:r>
        <w:rPr>
          <w:rFonts w:cs="Arial"/>
        </w:rPr>
        <w:t>by the New Zealand Ministry of H</w:t>
      </w:r>
      <w:r w:rsidRPr="005B4BD6">
        <w:rPr>
          <w:rFonts w:cs="Arial"/>
        </w:rPr>
        <w:t>ealth</w:t>
      </w:r>
    </w:p>
  </w:footnote>
  <w:footnote w:id="20">
    <w:p w14:paraId="57CA7BCE" w14:textId="77777777" w:rsidR="007541A2" w:rsidRDefault="007541A2">
      <w:pPr>
        <w:pStyle w:val="FootnoteText"/>
      </w:pPr>
      <w:r>
        <w:rPr>
          <w:rStyle w:val="FootnoteReference"/>
        </w:rPr>
        <w:footnoteRef/>
      </w:r>
      <w:r>
        <w:t xml:space="preserve"> </w:t>
      </w:r>
      <w:r w:rsidRPr="005B4BD6">
        <w:rPr>
          <w:rFonts w:cs="Arial"/>
        </w:rPr>
        <w:t xml:space="preserve">Ministry of Health, 2006, </w:t>
      </w:r>
      <w:r w:rsidRPr="00204E28">
        <w:rPr>
          <w:rFonts w:cs="Arial"/>
        </w:rPr>
        <w:t>The Annual Report 2005/06 including The Health and Independence Report:</w:t>
      </w:r>
      <w:r w:rsidRPr="005B4BD6">
        <w:rPr>
          <w:rFonts w:cs="Arial"/>
        </w:rPr>
        <w:t xml:space="preserve"> </w:t>
      </w:r>
      <w:hyperlink r:id="rId13" w:history="1">
        <w:r w:rsidRPr="008D42CE">
          <w:rPr>
            <w:rStyle w:val="Hyperlink"/>
            <w:rFonts w:cs="Arial"/>
          </w:rPr>
          <w:t>http://www.moh.govt.nz/moh.nsf/indexmh/annual-report-0506</w:t>
        </w:r>
      </w:hyperlink>
      <w:r>
        <w:rPr>
          <w:rFonts w:cs="Arial"/>
        </w:rPr>
        <w:t xml:space="preserve"> </w:t>
      </w:r>
    </w:p>
  </w:footnote>
  <w:footnote w:id="21">
    <w:p w14:paraId="0DFC7D42" w14:textId="77777777" w:rsidR="007541A2" w:rsidRPr="00BF36C9" w:rsidRDefault="007541A2">
      <w:pPr>
        <w:pStyle w:val="FootnoteText"/>
        <w:rPr>
          <w:rFonts w:cs="Arial"/>
          <w:i/>
        </w:rPr>
      </w:pPr>
      <w:r>
        <w:rPr>
          <w:rStyle w:val="FootnoteReference"/>
        </w:rPr>
        <w:footnoteRef/>
      </w:r>
      <w:r>
        <w:t xml:space="preserve"> </w:t>
      </w:r>
      <w:r w:rsidRPr="00A5187C">
        <w:rPr>
          <w:rFonts w:cs="Arial"/>
        </w:rPr>
        <w:t>Ministry of He</w:t>
      </w:r>
      <w:r w:rsidRPr="00F23F2B">
        <w:rPr>
          <w:rFonts w:cs="Arial"/>
        </w:rPr>
        <w:t xml:space="preserve">alth, 1998, Disability Support Services Strategic Work Programme: Building on the New Deal; </w:t>
      </w:r>
      <w:hyperlink r:id="rId14" w:history="1">
        <w:r w:rsidRPr="008D42CE">
          <w:rPr>
            <w:rStyle w:val="Hyperlink"/>
            <w:rFonts w:cs="Arial"/>
          </w:rPr>
          <w:t>http://www.moh.govt.nz/moh.nsf/Files/Dss/$file/Dss.pdf</w:t>
        </w:r>
      </w:hyperlink>
      <w:r>
        <w:rPr>
          <w:rFonts w:cs="Arial"/>
        </w:rPr>
        <w:t xml:space="preserve"> </w:t>
      </w:r>
    </w:p>
  </w:footnote>
  <w:footnote w:id="22">
    <w:p w14:paraId="2A5E0446" w14:textId="77777777" w:rsidR="007541A2" w:rsidRDefault="007541A2">
      <w:pPr>
        <w:pStyle w:val="FootnoteText"/>
      </w:pPr>
      <w:r>
        <w:rPr>
          <w:rStyle w:val="FootnoteReference"/>
        </w:rPr>
        <w:footnoteRef/>
      </w:r>
      <w:r>
        <w:t xml:space="preserve"> </w:t>
      </w:r>
      <w:r w:rsidRPr="00A5187C">
        <w:rPr>
          <w:rFonts w:cs="Arial"/>
        </w:rPr>
        <w:t xml:space="preserve">ACC is Crown entity (statutory organisation) which provides for accident compensation for all new Zealanders and visitors on a </w:t>
      </w:r>
      <w:proofErr w:type="gramStart"/>
      <w:r w:rsidRPr="00A5187C">
        <w:rPr>
          <w:rFonts w:cs="Arial"/>
          <w:i/>
        </w:rPr>
        <w:t>no fault</w:t>
      </w:r>
      <w:proofErr w:type="gramEnd"/>
      <w:r w:rsidRPr="00A5187C">
        <w:rPr>
          <w:rFonts w:cs="Arial"/>
        </w:rPr>
        <w:t xml:space="preserve"> basis. ACC is funded by levies on employees' income, business payrolls, duties on fuel and vehicle licensing. It compensates 1.7 million people a year, 90% of who claim relating to minor accidents. Approximately 10% are compensated for their ongoing needs resulting from their injury. Source: Accident Compensation Corporation, 2006, Strategic Plan 2007 - 2012.</w:t>
      </w:r>
    </w:p>
  </w:footnote>
  <w:footnote w:id="23">
    <w:p w14:paraId="73D6CD37" w14:textId="77777777" w:rsidR="007541A2" w:rsidRPr="0077370B" w:rsidRDefault="007541A2">
      <w:pPr>
        <w:pStyle w:val="FootnoteText"/>
      </w:pPr>
      <w:r w:rsidRPr="0077370B">
        <w:rPr>
          <w:rStyle w:val="FootnoteReference"/>
        </w:rPr>
        <w:footnoteRef/>
      </w:r>
      <w:r w:rsidRPr="0077370B">
        <w:t xml:space="preserve"> </w:t>
      </w:r>
      <w:hyperlink r:id="rId15" w:history="1">
        <w:r w:rsidRPr="008D42CE">
          <w:rPr>
            <w:rStyle w:val="Hyperlink"/>
            <w:rFonts w:cs="Arial"/>
          </w:rPr>
          <w:t>http://www.hdc.org.nz/aboutus</w:t>
        </w:r>
      </w:hyperlink>
      <w:r>
        <w:rPr>
          <w:rFonts w:cs="Arial"/>
        </w:rPr>
        <w:t xml:space="preserve"> </w:t>
      </w:r>
    </w:p>
  </w:footnote>
  <w:footnote w:id="24">
    <w:p w14:paraId="128BA461" w14:textId="77777777" w:rsidR="007541A2" w:rsidRPr="0077370B" w:rsidRDefault="007541A2">
      <w:pPr>
        <w:pStyle w:val="FootnoteText"/>
      </w:pPr>
      <w:r w:rsidRPr="0077370B">
        <w:rPr>
          <w:rStyle w:val="FootnoteReference"/>
        </w:rPr>
        <w:footnoteRef/>
      </w:r>
      <w:r w:rsidRPr="0077370B">
        <w:t xml:space="preserve"> </w:t>
      </w:r>
      <w:r w:rsidRPr="0077370B">
        <w:rPr>
          <w:rFonts w:cs="Arial"/>
        </w:rPr>
        <w:t xml:space="preserve">The HDC Code of Health and Disability Services Consumers' Rights Regulation 1996: </w:t>
      </w:r>
      <w:hyperlink r:id="rId16" w:history="1">
        <w:r w:rsidRPr="008D42CE">
          <w:rPr>
            <w:rStyle w:val="Hyperlink"/>
            <w:rFonts w:cs="Arial"/>
          </w:rPr>
          <w:t>http://www.hdc.org.nz/theact/theact-thecodedetail</w:t>
        </w:r>
      </w:hyperlink>
      <w:r>
        <w:rPr>
          <w:rFonts w:cs="Arial"/>
        </w:rPr>
        <w:t xml:space="preserve"> </w:t>
      </w:r>
    </w:p>
  </w:footnote>
  <w:footnote w:id="25">
    <w:p w14:paraId="122DD836" w14:textId="77777777" w:rsidR="007541A2" w:rsidRDefault="007541A2">
      <w:pPr>
        <w:pStyle w:val="FootnoteText"/>
      </w:pPr>
      <w:r w:rsidRPr="0077370B">
        <w:rPr>
          <w:rStyle w:val="FootnoteReference"/>
        </w:rPr>
        <w:footnoteRef/>
      </w:r>
      <w:r w:rsidRPr="0077370B">
        <w:t xml:space="preserve"> </w:t>
      </w:r>
      <w:proofErr w:type="spellStart"/>
      <w:r w:rsidRPr="0077370B">
        <w:rPr>
          <w:rFonts w:cs="Arial"/>
        </w:rPr>
        <w:t>Bonardi</w:t>
      </w:r>
      <w:proofErr w:type="spellEnd"/>
      <w:r w:rsidRPr="0077370B">
        <w:rPr>
          <w:rFonts w:cs="Arial"/>
        </w:rPr>
        <w:t xml:space="preserve">, A, 2009, The Balance between Choice and Control: Risk Management in New Zealand Intellectual Disability Services; </w:t>
      </w:r>
      <w:hyperlink r:id="rId17" w:history="1">
        <w:r w:rsidRPr="008D42CE">
          <w:rPr>
            <w:rStyle w:val="Hyperlink"/>
            <w:rFonts w:cs="Arial"/>
          </w:rPr>
          <w:t>http://www.fulbright.org.nz/voices/axford/docs/axford2009_bonardi.pdf</w:t>
        </w:r>
      </w:hyperlink>
      <w:r>
        <w:rPr>
          <w:rFonts w:cs="Arial"/>
        </w:rPr>
        <w:t xml:space="preserve"> </w:t>
      </w:r>
    </w:p>
  </w:footnote>
  <w:footnote w:id="26">
    <w:p w14:paraId="03CC4139" w14:textId="77777777" w:rsidR="007541A2" w:rsidRPr="00F23F2B" w:rsidRDefault="007541A2" w:rsidP="0077370B">
      <w:pPr>
        <w:pStyle w:val="FootnoteText"/>
        <w:rPr>
          <w:rFonts w:cs="Arial"/>
        </w:rPr>
      </w:pPr>
      <w:r>
        <w:rPr>
          <w:rStyle w:val="FootnoteReference"/>
        </w:rPr>
        <w:footnoteRef/>
      </w:r>
      <w:r>
        <w:t xml:space="preserve"> </w:t>
      </w:r>
      <w:r w:rsidRPr="00F23F2B">
        <w:rPr>
          <w:rFonts w:cs="Arial"/>
        </w:rPr>
        <w:t xml:space="preserve">Ministry of Health / </w:t>
      </w:r>
      <w:smartTag w:uri="urn:schemas-microsoft-com:office:smarttags" w:element="PlaceType">
        <w:r w:rsidRPr="00F23F2B">
          <w:rPr>
            <w:rFonts w:cs="Arial"/>
          </w:rPr>
          <w:t>University</w:t>
        </w:r>
      </w:smartTag>
      <w:r w:rsidRPr="00F23F2B">
        <w:rPr>
          <w:rFonts w:cs="Arial"/>
        </w:rPr>
        <w:t xml:space="preserve"> of </w:t>
      </w:r>
      <w:smartTag w:uri="urn:schemas-microsoft-com:office:smarttags" w:element="PlaceName">
        <w:r w:rsidRPr="00F23F2B">
          <w:rPr>
            <w:rFonts w:cs="Arial"/>
          </w:rPr>
          <w:t>Auckland</w:t>
        </w:r>
      </w:smartTag>
      <w:r w:rsidRPr="00F23F2B">
        <w:rPr>
          <w:rFonts w:cs="Arial"/>
        </w:rPr>
        <w:t xml:space="preserve">, 2004, Disability Support Service </w:t>
      </w:r>
      <w:proofErr w:type="gramStart"/>
      <w:r w:rsidRPr="00F23F2B">
        <w:rPr>
          <w:rFonts w:cs="Arial"/>
        </w:rPr>
        <w:t>In</w:t>
      </w:r>
      <w:proofErr w:type="gramEnd"/>
      <w:r w:rsidRPr="00F23F2B">
        <w:rPr>
          <w:rFonts w:cs="Arial"/>
        </w:rPr>
        <w:t xml:space="preserve"> </w:t>
      </w:r>
      <w:smartTag w:uri="urn:schemas-microsoft-com:office:smarttags" w:element="place">
        <w:smartTag w:uri="urn:schemas-microsoft-com:office:smarttags" w:element="country-region">
          <w:r w:rsidRPr="00F23F2B">
            <w:rPr>
              <w:rFonts w:cs="Arial"/>
            </w:rPr>
            <w:t>New Zealand</w:t>
          </w:r>
        </w:smartTag>
      </w:smartTag>
      <w:r w:rsidRPr="00F23F2B">
        <w:rPr>
          <w:rFonts w:cs="Arial"/>
        </w:rPr>
        <w:t xml:space="preserve">: The Service User Survey. </w:t>
      </w:r>
      <w:hyperlink r:id="rId18" w:history="1">
        <w:r w:rsidRPr="008D42CE">
          <w:rPr>
            <w:rStyle w:val="Hyperlink"/>
            <w:rFonts w:cs="Arial"/>
          </w:rPr>
          <w:t>http://www.moh.govt.nz/moh.nsf/0/69A15ED7BE0F32FCCC256F6C000836FC/$File/dss-serviceusersurvey-largefont.pdf</w:t>
        </w:r>
      </w:hyperlink>
      <w:r>
        <w:rPr>
          <w:rFonts w:cs="Arial"/>
        </w:rPr>
        <w:t xml:space="preserve"> </w:t>
      </w:r>
    </w:p>
    <w:p w14:paraId="4DEEE4A0" w14:textId="77777777" w:rsidR="007541A2" w:rsidRPr="00F23F2B" w:rsidRDefault="007541A2">
      <w:pPr>
        <w:pStyle w:val="FootnoteText"/>
      </w:pPr>
      <w:r w:rsidRPr="00F23F2B">
        <w:rPr>
          <w:rFonts w:cs="Arial"/>
          <w:b/>
        </w:rPr>
        <w:t>Please note</w:t>
      </w:r>
      <w:r w:rsidRPr="00F23F2B">
        <w:rPr>
          <w:rFonts w:cs="Arial"/>
        </w:rPr>
        <w:t xml:space="preserve"> that in the table 5 above that the category "Community Residential" refers to community group homes. These are the group homes for adults with intellectual disability. Also of interest in table 5 are the number of people under 65 living in hospitals and rest homes (nursing homes). This category of residential support recipients </w:t>
      </w:r>
      <w:proofErr w:type="gramStart"/>
      <w:r w:rsidRPr="00F23F2B">
        <w:rPr>
          <w:rFonts w:cs="Arial"/>
        </w:rPr>
        <w:t>are</w:t>
      </w:r>
      <w:proofErr w:type="gramEnd"/>
      <w:r w:rsidRPr="00F23F2B">
        <w:rPr>
          <w:rFonts w:cs="Arial"/>
        </w:rPr>
        <w:t xml:space="preserve"> discussed further below.</w:t>
      </w:r>
    </w:p>
  </w:footnote>
  <w:footnote w:id="27">
    <w:p w14:paraId="60C59B73" w14:textId="77777777" w:rsidR="007541A2" w:rsidRPr="00F23F2B" w:rsidRDefault="007541A2" w:rsidP="0077370B">
      <w:pPr>
        <w:pStyle w:val="FootnoteText"/>
      </w:pPr>
      <w:r w:rsidRPr="00F23F2B">
        <w:rPr>
          <w:rStyle w:val="FootnoteReference"/>
        </w:rPr>
        <w:footnoteRef/>
      </w:r>
      <w:r w:rsidRPr="00F23F2B">
        <w:t xml:space="preserve"> Ministry of Health / </w:t>
      </w:r>
      <w:smartTag w:uri="urn:schemas-microsoft-com:office:smarttags" w:element="place">
        <w:smartTag w:uri="urn:schemas-microsoft-com:office:smarttags" w:element="PlaceType">
          <w:r w:rsidRPr="00F23F2B">
            <w:t>University</w:t>
          </w:r>
        </w:smartTag>
        <w:r w:rsidRPr="00F23F2B">
          <w:t xml:space="preserve"> of </w:t>
        </w:r>
        <w:smartTag w:uri="urn:schemas-microsoft-com:office:smarttags" w:element="PlaceName">
          <w:r w:rsidRPr="00F23F2B">
            <w:t>Auckland</w:t>
          </w:r>
        </w:smartTag>
      </w:smartTag>
      <w:r w:rsidRPr="00F23F2B">
        <w:t xml:space="preserve">, 2004, ibid </w:t>
      </w:r>
    </w:p>
    <w:p w14:paraId="17E97601" w14:textId="77777777" w:rsidR="007541A2" w:rsidRPr="00F23F2B" w:rsidRDefault="007541A2" w:rsidP="0077370B">
      <w:pPr>
        <w:pStyle w:val="FootnoteText"/>
      </w:pPr>
      <w:r w:rsidRPr="00F23F2B">
        <w:rPr>
          <w:b/>
        </w:rPr>
        <w:t>Please note</w:t>
      </w:r>
      <w:r w:rsidRPr="00F23F2B">
        <w:t xml:space="preserve"> this table is based on an analysis of Ministry of Health admin data (invoices received) for one month (June 2004). It therefore may not accurately represent annual figures. </w:t>
      </w:r>
      <w:proofErr w:type="gramStart"/>
      <w:r w:rsidRPr="00F23F2B">
        <w:t>In particular the</w:t>
      </w:r>
      <w:proofErr w:type="gramEnd"/>
      <w:r w:rsidRPr="00F23F2B">
        <w:t xml:space="preserve"> Ministry of Health has pointed out that the 0.9% of services users accessing respite services appears to be skewed. Please see section below on Respite Care for figures for respite services users from Disability Survey 2001</w:t>
      </w:r>
    </w:p>
  </w:footnote>
  <w:footnote w:id="28">
    <w:p w14:paraId="7260B510" w14:textId="77777777" w:rsidR="007541A2" w:rsidRPr="00BF36C9" w:rsidRDefault="007541A2">
      <w:pPr>
        <w:pStyle w:val="FootnoteText"/>
        <w:rPr>
          <w:rFonts w:cs="Arial"/>
          <w:i/>
        </w:rPr>
      </w:pPr>
      <w:r>
        <w:rPr>
          <w:rStyle w:val="FootnoteReference"/>
        </w:rPr>
        <w:footnoteRef/>
      </w:r>
      <w:r>
        <w:t xml:space="preserve"> </w:t>
      </w:r>
      <w:r w:rsidRPr="00AF0DEB">
        <w:rPr>
          <w:rFonts w:cs="Arial"/>
        </w:rPr>
        <w:t xml:space="preserve">Ministry of Health, 2004, </w:t>
      </w:r>
      <w:r w:rsidRPr="009A7C12">
        <w:rPr>
          <w:rFonts w:cs="Arial"/>
        </w:rPr>
        <w:t xml:space="preserve">The Health and Independence Report 2004 Director-General of Health’s annual report on the state of public health; </w:t>
      </w:r>
      <w:hyperlink r:id="rId19" w:history="1">
        <w:r w:rsidRPr="008D42CE">
          <w:rPr>
            <w:rStyle w:val="Hyperlink"/>
            <w:rFonts w:cs="Arial"/>
          </w:rPr>
          <w:t>http://www.moh.govt.nz/moh.nsf/0/65461551FA649C5CCC256F6B00782B1B/$File/healthandindependence2004.pdf</w:t>
        </w:r>
      </w:hyperlink>
      <w:r>
        <w:rPr>
          <w:rFonts w:cs="Arial"/>
        </w:rPr>
        <w:t xml:space="preserve"> </w:t>
      </w:r>
    </w:p>
  </w:footnote>
  <w:footnote w:id="29">
    <w:p w14:paraId="030F2991" w14:textId="77777777" w:rsidR="007541A2" w:rsidRDefault="007541A2">
      <w:pPr>
        <w:pStyle w:val="FootnoteText"/>
      </w:pPr>
      <w:r>
        <w:rPr>
          <w:rStyle w:val="FootnoteReference"/>
        </w:rPr>
        <w:footnoteRef/>
      </w:r>
      <w:r>
        <w:t xml:space="preserve"> </w:t>
      </w:r>
      <w:r w:rsidRPr="00F458E1">
        <w:rPr>
          <w:rFonts w:cs="Arial"/>
        </w:rPr>
        <w:t xml:space="preserve">National Health Committee 2003, To Have an Ordinary Life; http://www.nhc.health.govt.nz/moh.nsf/indexcm/nhc-ordinary-life  and Report of the Social Services Committee, 2008,  Inquiry into the quality of care and service provision for people with disabilities; </w:t>
      </w:r>
      <w:hyperlink r:id="rId20" w:history="1">
        <w:r w:rsidRPr="008D42CE">
          <w:rPr>
            <w:rStyle w:val="Hyperlink"/>
            <w:rFonts w:cs="Arial"/>
          </w:rPr>
          <w:t>http://www.parliament.nz/NR/rdonlyres/06259D2F-780B-40A0-9170-005C8C046E72/93089/DBSCH_SCR_4194_6219.pdf</w:t>
        </w:r>
      </w:hyperlink>
      <w:r>
        <w:rPr>
          <w:rFonts w:cs="Arial"/>
        </w:rPr>
        <w:t xml:space="preserve"> </w:t>
      </w:r>
    </w:p>
  </w:footnote>
  <w:footnote w:id="30">
    <w:p w14:paraId="77BA51CD" w14:textId="77777777" w:rsidR="007541A2" w:rsidRPr="00F458E1" w:rsidRDefault="007541A2">
      <w:pPr>
        <w:pStyle w:val="FootnoteText"/>
      </w:pPr>
      <w:r>
        <w:rPr>
          <w:rStyle w:val="FootnoteReference"/>
        </w:rPr>
        <w:footnoteRef/>
      </w:r>
      <w:r>
        <w:t xml:space="preserve"> </w:t>
      </w:r>
      <w:r w:rsidRPr="00F458E1">
        <w:t xml:space="preserve">Government of New Zealand, 2009,  Government Response to Report of the Social Services Select Committee on its Inquiry into the Quality of Care and Services Provision for People with </w:t>
      </w:r>
      <w:r>
        <w:t>D</w:t>
      </w:r>
      <w:r w:rsidRPr="00F458E1">
        <w:t xml:space="preserve">isabilities; </w:t>
      </w:r>
      <w:hyperlink r:id="rId21" w:history="1">
        <w:r w:rsidRPr="008D42CE">
          <w:rPr>
            <w:rStyle w:val="Hyperlink"/>
          </w:rPr>
          <w:t>http://www.parliament.nz/NR/rdonlyres/8A7D9F6E-E272-41E4-BB27-63A3C4557F07/99832/DBHOH_PAP_17698_6462.pdf</w:t>
        </w:r>
      </w:hyperlink>
      <w:r>
        <w:t xml:space="preserve"> </w:t>
      </w:r>
    </w:p>
  </w:footnote>
  <w:footnote w:id="31">
    <w:p w14:paraId="41E1132C" w14:textId="77777777" w:rsidR="007541A2" w:rsidRPr="00F23F2B" w:rsidRDefault="007541A2" w:rsidP="00486E1A">
      <w:pPr>
        <w:pStyle w:val="FootnoteText"/>
        <w:rPr>
          <w:rFonts w:cs="Arial"/>
        </w:rPr>
      </w:pPr>
      <w:r w:rsidRPr="00F23F2B">
        <w:rPr>
          <w:rStyle w:val="FootnoteReference"/>
          <w:rFonts w:cs="Arial"/>
        </w:rPr>
        <w:footnoteRef/>
      </w:r>
      <w:r w:rsidRPr="00F23F2B">
        <w:rPr>
          <w:rFonts w:cs="Arial"/>
        </w:rPr>
        <w:t xml:space="preserve"> World Health Organisation, 2004, Contracting for Health Services lessons From </w:t>
      </w:r>
      <w:smartTag w:uri="urn:schemas-microsoft-com:office:smarttags" w:element="place">
        <w:smartTag w:uri="urn:schemas-microsoft-com:office:smarttags" w:element="country-region">
          <w:r w:rsidRPr="00F23F2B">
            <w:rPr>
              <w:rFonts w:cs="Arial"/>
            </w:rPr>
            <w:t>New Zealand</w:t>
          </w:r>
        </w:smartTag>
      </w:smartTag>
      <w:r w:rsidRPr="00F23F2B">
        <w:rPr>
          <w:rFonts w:cs="Arial"/>
        </w:rPr>
        <w:t xml:space="preserve">; </w:t>
      </w:r>
      <w:hyperlink r:id="rId22" w:history="1">
        <w:r w:rsidRPr="008D42CE">
          <w:rPr>
            <w:rStyle w:val="Hyperlink"/>
            <w:rFonts w:cs="Arial"/>
          </w:rPr>
          <w:t>http://www.wpro.who.int/NR/rdonlyres/B7DB4D58-7E19-4884-BD63-6F90D2DC1C47/0/Contracting_for_health.pdf</w:t>
        </w:r>
      </w:hyperlink>
      <w:r>
        <w:rPr>
          <w:rFonts w:cs="Arial"/>
        </w:rPr>
        <w:t xml:space="preserve"> </w:t>
      </w:r>
    </w:p>
  </w:footnote>
  <w:footnote w:id="32">
    <w:p w14:paraId="72A9468A" w14:textId="77777777" w:rsidR="007541A2" w:rsidRPr="00F23F2B" w:rsidRDefault="007541A2" w:rsidP="00486E1A">
      <w:pPr>
        <w:pStyle w:val="FootnoteText"/>
      </w:pPr>
      <w:r w:rsidRPr="00F23F2B">
        <w:rPr>
          <w:rStyle w:val="FootnoteReference"/>
        </w:rPr>
        <w:footnoteRef/>
      </w:r>
      <w:r w:rsidRPr="00F23F2B">
        <w:t xml:space="preserve"> </w:t>
      </w:r>
      <w:r w:rsidRPr="00F23F2B">
        <w:rPr>
          <w:rFonts w:cs="Arial"/>
        </w:rPr>
        <w:t xml:space="preserve">Ministry of Health / </w:t>
      </w:r>
      <w:smartTag w:uri="urn:schemas-microsoft-com:office:smarttags" w:element="place">
        <w:smartTag w:uri="urn:schemas-microsoft-com:office:smarttags" w:element="PlaceType">
          <w:r w:rsidRPr="00F23F2B">
            <w:rPr>
              <w:rFonts w:cs="Arial"/>
            </w:rPr>
            <w:t>University</w:t>
          </w:r>
        </w:smartTag>
        <w:r w:rsidRPr="00F23F2B">
          <w:rPr>
            <w:rFonts w:cs="Arial"/>
          </w:rPr>
          <w:t xml:space="preserve"> of </w:t>
        </w:r>
        <w:smartTag w:uri="urn:schemas-microsoft-com:office:smarttags" w:element="PlaceName">
          <w:r w:rsidRPr="00F23F2B">
            <w:rPr>
              <w:rFonts w:cs="Arial"/>
            </w:rPr>
            <w:t>Auckland</w:t>
          </w:r>
        </w:smartTag>
      </w:smartTag>
      <w:r w:rsidRPr="00F23F2B">
        <w:rPr>
          <w:rFonts w:cs="Arial"/>
        </w:rPr>
        <w:t>, 2004, ibid</w:t>
      </w:r>
    </w:p>
  </w:footnote>
  <w:footnote w:id="33">
    <w:p w14:paraId="630407E1" w14:textId="77777777" w:rsidR="007541A2" w:rsidRPr="00F23F2B" w:rsidRDefault="007541A2" w:rsidP="00D2713D">
      <w:pPr>
        <w:autoSpaceDE w:val="0"/>
        <w:autoSpaceDN w:val="0"/>
        <w:adjustRightInd w:val="0"/>
        <w:spacing w:after="0" w:line="240" w:lineRule="auto"/>
        <w:rPr>
          <w:rFonts w:cs="Arial"/>
        </w:rPr>
      </w:pPr>
      <w:r w:rsidRPr="00F23F2B">
        <w:rPr>
          <w:rStyle w:val="FootnoteReference"/>
          <w:rFonts w:cs="Arial"/>
          <w:sz w:val="20"/>
          <w:szCs w:val="20"/>
        </w:rPr>
        <w:footnoteRef/>
      </w:r>
      <w:r w:rsidRPr="00F23F2B">
        <w:rPr>
          <w:rFonts w:cs="Arial"/>
          <w:sz w:val="20"/>
          <w:szCs w:val="20"/>
        </w:rPr>
        <w:t xml:space="preserve"> Centre for Housing Research, Aotearoa New Zealand (CHRANZ), 2005, Housing Choices for Disabled New Zealanders; </w:t>
      </w:r>
      <w:hyperlink r:id="rId23" w:history="1">
        <w:r w:rsidRPr="008D42CE">
          <w:rPr>
            <w:rStyle w:val="Hyperlink"/>
            <w:rFonts w:cs="Arial"/>
            <w:sz w:val="20"/>
            <w:szCs w:val="20"/>
          </w:rPr>
          <w:t>http://www.chranz.co.nz/pdfs/housing-choices-for-disabled-new-zealanders.pdf</w:t>
        </w:r>
      </w:hyperlink>
      <w:r>
        <w:rPr>
          <w:rFonts w:cs="Arial"/>
          <w:sz w:val="20"/>
          <w:szCs w:val="20"/>
        </w:rPr>
        <w:t xml:space="preserve"> </w:t>
      </w:r>
    </w:p>
  </w:footnote>
  <w:footnote w:id="34">
    <w:p w14:paraId="2CAF245F" w14:textId="77777777" w:rsidR="007541A2" w:rsidRPr="00F23F2B" w:rsidRDefault="007541A2" w:rsidP="00544D9F">
      <w:pPr>
        <w:pStyle w:val="FootnoteText"/>
        <w:spacing w:after="0"/>
        <w:rPr>
          <w:rFonts w:cs="Arial"/>
        </w:rPr>
      </w:pPr>
      <w:r w:rsidRPr="00F23F2B">
        <w:rPr>
          <w:rStyle w:val="FootnoteReference"/>
          <w:rFonts w:cs="Arial"/>
        </w:rPr>
        <w:footnoteRef/>
      </w:r>
      <w:r w:rsidRPr="00F23F2B">
        <w:rPr>
          <w:rFonts w:cs="Arial"/>
        </w:rPr>
        <w:t xml:space="preserve"> Ministry of Health, 2006, Needs Assessment and Service Coordination: Service Specification </w:t>
      </w:r>
      <w:hyperlink r:id="rId24" w:history="1">
        <w:r w:rsidRPr="008D42CE">
          <w:rPr>
            <w:rStyle w:val="Hyperlink"/>
            <w:rFonts w:cs="Arial"/>
          </w:rPr>
          <w:t>http://www.moh.govt.nz/moh.nsf/pagesmh/5238/$File/disability-service-spec-nasc.doc</w:t>
        </w:r>
      </w:hyperlink>
      <w:r>
        <w:rPr>
          <w:rFonts w:cs="Arial"/>
        </w:rPr>
        <w:t xml:space="preserve"> </w:t>
      </w:r>
    </w:p>
  </w:footnote>
  <w:footnote w:id="35">
    <w:p w14:paraId="56131DFD" w14:textId="77777777" w:rsidR="007541A2" w:rsidRPr="00F23F2B" w:rsidRDefault="007541A2" w:rsidP="00046914">
      <w:pPr>
        <w:autoSpaceDE w:val="0"/>
        <w:autoSpaceDN w:val="0"/>
        <w:adjustRightInd w:val="0"/>
        <w:spacing w:after="0" w:line="240" w:lineRule="auto"/>
        <w:rPr>
          <w:rFonts w:cs="Arial"/>
          <w:sz w:val="20"/>
          <w:szCs w:val="20"/>
        </w:rPr>
      </w:pPr>
      <w:r w:rsidRPr="00F23F2B">
        <w:rPr>
          <w:rStyle w:val="FootnoteReference"/>
          <w:rFonts w:cs="Arial"/>
          <w:sz w:val="20"/>
          <w:szCs w:val="20"/>
        </w:rPr>
        <w:footnoteRef/>
      </w:r>
      <w:r w:rsidRPr="00F23F2B">
        <w:rPr>
          <w:rFonts w:cs="Arial"/>
          <w:sz w:val="20"/>
          <w:szCs w:val="20"/>
        </w:rPr>
        <w:t xml:space="preserve"> Ministry of Health, 2002. Support Needs Assessment and Service Coordination: Policy, </w:t>
      </w:r>
      <w:proofErr w:type="gramStart"/>
      <w:r w:rsidRPr="00F23F2B">
        <w:rPr>
          <w:rFonts w:cs="Arial"/>
          <w:sz w:val="20"/>
          <w:szCs w:val="20"/>
        </w:rPr>
        <w:t>Procedure</w:t>
      </w:r>
      <w:proofErr w:type="gramEnd"/>
      <w:r w:rsidRPr="00F23F2B">
        <w:rPr>
          <w:rFonts w:cs="Arial"/>
          <w:sz w:val="20"/>
          <w:szCs w:val="20"/>
        </w:rPr>
        <w:t xml:space="preserve"> and Information Reporting Guidelines.</w:t>
      </w:r>
    </w:p>
  </w:footnote>
  <w:footnote w:id="36">
    <w:p w14:paraId="367245B5" w14:textId="77777777" w:rsidR="007541A2" w:rsidRPr="00F23F2B" w:rsidRDefault="007541A2" w:rsidP="00544D9F">
      <w:pPr>
        <w:pStyle w:val="FootnoteText"/>
        <w:spacing w:after="0"/>
        <w:rPr>
          <w:rFonts w:cs="Arial"/>
        </w:rPr>
      </w:pPr>
      <w:r w:rsidRPr="00F23F2B">
        <w:rPr>
          <w:rStyle w:val="FootnoteReference"/>
          <w:rFonts w:cs="Arial"/>
        </w:rPr>
        <w:footnoteRef/>
      </w:r>
      <w:r w:rsidRPr="00F23F2B">
        <w:rPr>
          <w:rFonts w:cs="Arial"/>
        </w:rPr>
        <w:t xml:space="preserve"> Bray, A (</w:t>
      </w:r>
      <w:r w:rsidRPr="00F23F2B">
        <w:rPr>
          <w:rFonts w:cs="Arial"/>
          <w:color w:val="000000"/>
        </w:rPr>
        <w:t>New Zealand Guidelines Group</w:t>
      </w:r>
      <w:r w:rsidRPr="00F23F2B">
        <w:rPr>
          <w:rFonts w:cs="Arial"/>
        </w:rPr>
        <w:t>) 2002, Review of Policy Developments in Needs assessment and Service Coordination</w:t>
      </w:r>
    </w:p>
    <w:p w14:paraId="58E8FF94" w14:textId="77777777" w:rsidR="007541A2" w:rsidRPr="00F23F2B" w:rsidRDefault="00000000" w:rsidP="00544D9F">
      <w:pPr>
        <w:pStyle w:val="FootnoteText"/>
        <w:spacing w:after="0"/>
      </w:pPr>
      <w:hyperlink r:id="rId25" w:history="1">
        <w:r w:rsidR="007541A2" w:rsidRPr="008D42CE">
          <w:rPr>
            <w:rStyle w:val="Hyperlink"/>
            <w:rFonts w:cs="Arial"/>
          </w:rPr>
          <w:t>http://www.nzgg.org.nz/guidelines/0030/Brays_report.pdf</w:t>
        </w:r>
      </w:hyperlink>
      <w:r w:rsidR="007541A2">
        <w:rPr>
          <w:rFonts w:cs="Arial"/>
        </w:rPr>
        <w:t xml:space="preserve"> </w:t>
      </w:r>
    </w:p>
  </w:footnote>
  <w:footnote w:id="37">
    <w:p w14:paraId="7DA1ADE6"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2004, Living </w:t>
      </w:r>
      <w:r>
        <w:rPr>
          <w:rFonts w:cs="Arial"/>
        </w:rPr>
        <w:t xml:space="preserve">with Disability in </w:t>
      </w:r>
      <w:smartTag w:uri="urn:schemas-microsoft-com:office:smarttags" w:element="country-region">
        <w:smartTag w:uri="urn:schemas-microsoft-com:office:smarttags" w:element="place">
          <w:r>
            <w:rPr>
              <w:rFonts w:cs="Arial"/>
            </w:rPr>
            <w:t>New Zealand</w:t>
          </w:r>
        </w:smartTag>
      </w:smartTag>
      <w:r w:rsidRPr="00F23F2B">
        <w:rPr>
          <w:rFonts w:cs="Arial"/>
        </w:rPr>
        <w:t>,</w:t>
      </w:r>
      <w:r>
        <w:rPr>
          <w:rFonts w:cs="Arial"/>
        </w:rPr>
        <w:t xml:space="preserve"> </w:t>
      </w:r>
      <w:hyperlink r:id="rId26" w:anchor="everdayactivities" w:history="1">
        <w:r w:rsidRPr="008D42CE">
          <w:rPr>
            <w:rStyle w:val="Hyperlink"/>
            <w:rFonts w:cs="Arial"/>
          </w:rPr>
          <w:t>http://www.moh.govt.nz/moh.nsf/238fd5fb4fd051844c256669006aed57/61758c73aa8ade8fcc256f320005800d?OpenDocument#everdayactivities</w:t>
        </w:r>
      </w:hyperlink>
      <w:r>
        <w:rPr>
          <w:rFonts w:cs="Arial"/>
        </w:rPr>
        <w:t xml:space="preserve"> </w:t>
      </w:r>
    </w:p>
  </w:footnote>
  <w:footnote w:id="38">
    <w:p w14:paraId="3E99484A"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 </w:t>
      </w:r>
      <w:smartTag w:uri="urn:schemas-microsoft-com:office:smarttags" w:element="place">
        <w:smartTag w:uri="urn:schemas-microsoft-com:office:smarttags" w:element="PlaceType">
          <w:r w:rsidRPr="00F23F2B">
            <w:rPr>
              <w:rFonts w:cs="Arial"/>
            </w:rPr>
            <w:t>University</w:t>
          </w:r>
        </w:smartTag>
        <w:r w:rsidRPr="00F23F2B">
          <w:rPr>
            <w:rFonts w:cs="Arial"/>
          </w:rPr>
          <w:t xml:space="preserve"> of </w:t>
        </w:r>
        <w:smartTag w:uri="urn:schemas-microsoft-com:office:smarttags" w:element="PlaceName">
          <w:r w:rsidRPr="00F23F2B">
            <w:rPr>
              <w:rFonts w:cs="Arial"/>
            </w:rPr>
            <w:t>Auckland</w:t>
          </w:r>
        </w:smartTag>
      </w:smartTag>
      <w:r w:rsidRPr="00F23F2B">
        <w:rPr>
          <w:rFonts w:cs="Arial"/>
        </w:rPr>
        <w:t>, 2004, ibid</w:t>
      </w:r>
    </w:p>
  </w:footnote>
  <w:footnote w:id="39">
    <w:p w14:paraId="197722EA"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2007, Home and Community Support Services (HCSS) Service Specification </w:t>
      </w:r>
      <w:hyperlink r:id="rId27" w:history="1">
        <w:r w:rsidRPr="008D42CE">
          <w:rPr>
            <w:rStyle w:val="Hyperlink"/>
            <w:rFonts w:cs="Arial"/>
          </w:rPr>
          <w:t>http://www.moh.govt.nz/moh.nsf/Files/disability-servicespecs/$file/HCSS.pdf</w:t>
        </w:r>
      </w:hyperlink>
      <w:r>
        <w:rPr>
          <w:rFonts w:cs="Arial"/>
        </w:rPr>
        <w:t xml:space="preserve"> </w:t>
      </w:r>
    </w:p>
  </w:footnote>
  <w:footnote w:id="40">
    <w:p w14:paraId="0A83314B"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2008, Service Specification: Home-based Support Services; </w:t>
      </w:r>
      <w:hyperlink r:id="rId28" w:history="1">
        <w:r w:rsidRPr="008D42CE">
          <w:rPr>
            <w:rStyle w:val="Hyperlink"/>
            <w:rFonts w:cs="Arial"/>
          </w:rPr>
          <w:t>http://www.moh.govt.nz/moh.nsf/Files/disability-servicespecs/$file/HCSS.pdf</w:t>
        </w:r>
      </w:hyperlink>
      <w:r>
        <w:rPr>
          <w:rFonts w:cs="Arial"/>
        </w:rPr>
        <w:t xml:space="preserve"> </w:t>
      </w:r>
    </w:p>
  </w:footnote>
  <w:footnote w:id="41">
    <w:p w14:paraId="6606CC42"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2004, Living with Disability in </w:t>
      </w:r>
      <w:smartTag w:uri="urn:schemas-microsoft-com:office:smarttags" w:element="place">
        <w:smartTag w:uri="urn:schemas-microsoft-com:office:smarttags" w:element="country-region">
          <w:r w:rsidRPr="00F23F2B">
            <w:rPr>
              <w:rFonts w:cs="Arial"/>
            </w:rPr>
            <w:t>New Zealand</w:t>
          </w:r>
        </w:smartTag>
      </w:smartTag>
    </w:p>
    <w:p w14:paraId="2DD6DACB" w14:textId="77777777" w:rsidR="007541A2" w:rsidRPr="00F23F2B" w:rsidRDefault="00000000" w:rsidP="00544D9F">
      <w:pPr>
        <w:pStyle w:val="FootnoteText"/>
        <w:rPr>
          <w:rFonts w:cs="Arial"/>
        </w:rPr>
      </w:pPr>
      <w:hyperlink r:id="rId29" w:anchor="respitecare" w:history="1">
        <w:r w:rsidR="007541A2" w:rsidRPr="008D42CE">
          <w:rPr>
            <w:rStyle w:val="Hyperlink"/>
            <w:rFonts w:cs="Arial"/>
          </w:rPr>
          <w:t>http://www.moh.govt.nz/moh.nsf/238fd5fb4fd051844c256669006aed57/61758c73aa8ade8fcc256f320005800d?OpenDocument#respitecare</w:t>
        </w:r>
      </w:hyperlink>
      <w:r w:rsidR="007541A2">
        <w:rPr>
          <w:rFonts w:cs="Arial"/>
        </w:rPr>
        <w:t xml:space="preserve"> </w:t>
      </w:r>
    </w:p>
  </w:footnote>
  <w:footnote w:id="42">
    <w:p w14:paraId="269456EB"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2004, Living with Disability in </w:t>
      </w:r>
      <w:smartTag w:uri="urn:schemas-microsoft-com:office:smarttags" w:element="place">
        <w:smartTag w:uri="urn:schemas-microsoft-com:office:smarttags" w:element="country-region">
          <w:r w:rsidRPr="00F23F2B">
            <w:rPr>
              <w:rFonts w:cs="Arial"/>
            </w:rPr>
            <w:t>New Zealand</w:t>
          </w:r>
        </w:smartTag>
      </w:smartTag>
    </w:p>
    <w:p w14:paraId="23D73F8D" w14:textId="77777777" w:rsidR="007541A2" w:rsidRPr="00F23F2B" w:rsidRDefault="00000000" w:rsidP="00544D9F">
      <w:pPr>
        <w:pStyle w:val="FootnoteText"/>
        <w:rPr>
          <w:rFonts w:cs="Arial"/>
        </w:rPr>
      </w:pPr>
      <w:hyperlink r:id="rId30" w:anchor="respitecare" w:history="1">
        <w:r w:rsidR="007541A2" w:rsidRPr="008D42CE">
          <w:rPr>
            <w:rStyle w:val="Hyperlink"/>
            <w:rFonts w:cs="Arial"/>
          </w:rPr>
          <w:t>http://www.moh.govt.nz/moh.nsf/238fd5fb4fd051844c256669006aed57/61758c73aa8ade8fcc256f320005800d?OpenDocument#respitecare</w:t>
        </w:r>
      </w:hyperlink>
      <w:r w:rsidR="007541A2">
        <w:rPr>
          <w:rFonts w:cs="Arial"/>
        </w:rPr>
        <w:t xml:space="preserve"> </w:t>
      </w:r>
    </w:p>
  </w:footnote>
  <w:footnote w:id="43">
    <w:p w14:paraId="13ADD752"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disability support Factsheet: Respite Support</w:t>
      </w:r>
    </w:p>
    <w:p w14:paraId="0F2A2921" w14:textId="77777777" w:rsidR="007541A2" w:rsidRPr="00F23F2B" w:rsidRDefault="00000000" w:rsidP="00544D9F">
      <w:pPr>
        <w:pStyle w:val="FootnoteText"/>
        <w:rPr>
          <w:rFonts w:cs="Arial"/>
        </w:rPr>
      </w:pPr>
      <w:hyperlink r:id="rId31" w:history="1">
        <w:r w:rsidR="007541A2" w:rsidRPr="008D42CE">
          <w:rPr>
            <w:rStyle w:val="Hyperlink"/>
            <w:rFonts w:cs="Arial"/>
          </w:rPr>
          <w:t>http://www.moh.govt.nz/moh.nsf/pagesmh/5241/$File/respite-factsheet-apr09.pdf</w:t>
        </w:r>
      </w:hyperlink>
      <w:r w:rsidR="007541A2">
        <w:rPr>
          <w:rFonts w:cs="Arial"/>
        </w:rPr>
        <w:t xml:space="preserve"> </w:t>
      </w:r>
    </w:p>
  </w:footnote>
  <w:footnote w:id="44">
    <w:p w14:paraId="5F787D46"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Out of Family Respite Service Specification </w:t>
      </w:r>
      <w:hyperlink r:id="rId32" w:history="1">
        <w:r w:rsidRPr="008D42CE">
          <w:rPr>
            <w:rStyle w:val="Hyperlink"/>
            <w:rFonts w:cs="Arial"/>
          </w:rPr>
          <w:t>http://www.moh.govt.nz/moh.nsf/pagesmh/5238/$File/disability-service-spec-out-of-family-respite-tier1.doc</w:t>
        </w:r>
      </w:hyperlink>
      <w:r>
        <w:rPr>
          <w:rFonts w:cs="Arial"/>
        </w:rPr>
        <w:t xml:space="preserve"> </w:t>
      </w:r>
    </w:p>
  </w:footnote>
  <w:footnote w:id="45">
    <w:p w14:paraId="2C6ADFAA"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disability support Factsheet: Carer Support; </w:t>
      </w:r>
      <w:hyperlink r:id="rId33" w:history="1">
        <w:r w:rsidRPr="008D42CE">
          <w:rPr>
            <w:rStyle w:val="Hyperlink"/>
            <w:rFonts w:cs="Arial"/>
          </w:rPr>
          <w:t>http://www.moh.govt.nz/moh.nsf/pagesmh/5241/$File/carer-support-factsheet-apr09.pdf</w:t>
        </w:r>
      </w:hyperlink>
      <w:r>
        <w:rPr>
          <w:rFonts w:cs="Arial"/>
        </w:rPr>
        <w:t xml:space="preserve"> </w:t>
      </w:r>
    </w:p>
  </w:footnote>
  <w:footnote w:id="46">
    <w:p w14:paraId="1B13528E"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2004, Living</w:t>
      </w:r>
      <w:r>
        <w:rPr>
          <w:rFonts w:cs="Arial"/>
        </w:rPr>
        <w:t xml:space="preserve"> with Disability in </w:t>
      </w:r>
      <w:smartTag w:uri="urn:schemas-microsoft-com:office:smarttags" w:element="place">
        <w:smartTag w:uri="urn:schemas-microsoft-com:office:smarttags" w:element="country-region">
          <w:r>
            <w:rPr>
              <w:rFonts w:cs="Arial"/>
            </w:rPr>
            <w:t>New Zealand</w:t>
          </w:r>
        </w:smartTag>
      </w:smartTag>
      <w:r w:rsidRPr="00F23F2B">
        <w:rPr>
          <w:rFonts w:cs="Arial"/>
        </w:rPr>
        <w:t>,</w:t>
      </w:r>
      <w:r>
        <w:rPr>
          <w:rFonts w:cs="Arial"/>
        </w:rPr>
        <w:t xml:space="preserve"> </w:t>
      </w:r>
      <w:hyperlink r:id="rId34" w:anchor="everdayactivities" w:history="1">
        <w:r w:rsidRPr="008D42CE">
          <w:rPr>
            <w:rStyle w:val="Hyperlink"/>
            <w:rFonts w:cs="Arial"/>
          </w:rPr>
          <w:t>http://www.moh.govt.nz/moh.nsf/238fd5fb4fd051844c256669006aed57/61758c73aa8ade8fcc256f320005800d?OpenDocument#everdayactivities</w:t>
        </w:r>
      </w:hyperlink>
      <w:r>
        <w:rPr>
          <w:rFonts w:cs="Arial"/>
        </w:rPr>
        <w:t xml:space="preserve">  </w:t>
      </w:r>
    </w:p>
  </w:footnote>
  <w:footnote w:id="47">
    <w:p w14:paraId="4F52C43D" w14:textId="77777777" w:rsidR="007541A2" w:rsidRPr="00F23F2B" w:rsidRDefault="007541A2" w:rsidP="00544D9F">
      <w:pPr>
        <w:pStyle w:val="Heading1"/>
        <w:spacing w:before="0"/>
        <w:ind w:left="0"/>
        <w:rPr>
          <w:b w:val="0"/>
          <w:sz w:val="20"/>
          <w:szCs w:val="20"/>
        </w:rPr>
      </w:pPr>
      <w:r w:rsidRPr="00F23F2B">
        <w:rPr>
          <w:rStyle w:val="FootnoteReference"/>
          <w:b w:val="0"/>
          <w:sz w:val="20"/>
          <w:szCs w:val="20"/>
        </w:rPr>
        <w:footnoteRef/>
      </w:r>
      <w:r w:rsidRPr="00F23F2B">
        <w:rPr>
          <w:b w:val="0"/>
          <w:sz w:val="20"/>
          <w:szCs w:val="20"/>
        </w:rPr>
        <w:t xml:space="preserve"> Ministry of Education, The Ongoing and Reviewable Resourcing Schemes; </w:t>
      </w:r>
      <w:hyperlink r:id="rId35" w:history="1">
        <w:r w:rsidRPr="00204E28">
          <w:rPr>
            <w:rStyle w:val="Hyperlink"/>
            <w:b w:val="0"/>
            <w:sz w:val="20"/>
            <w:szCs w:val="20"/>
          </w:rPr>
          <w:t>http://www.minedu.govt.nz/~/media/MinEdu/Files/RTF/EducationSectors/SpecialEducation/ORRS.rtfORRS</w:t>
        </w:r>
      </w:hyperlink>
      <w:r>
        <w:rPr>
          <w:b w:val="0"/>
          <w:sz w:val="20"/>
          <w:szCs w:val="20"/>
        </w:rPr>
        <w:t xml:space="preserve"> </w:t>
      </w:r>
      <w:r w:rsidRPr="00F23F2B">
        <w:rPr>
          <w:b w:val="0"/>
          <w:sz w:val="20"/>
          <w:szCs w:val="20"/>
        </w:rPr>
        <w:t xml:space="preserve"> is for children with intellectual, mobility or sensory high supports needs.</w:t>
      </w:r>
    </w:p>
  </w:footnote>
  <w:footnote w:id="48">
    <w:p w14:paraId="353F29E8"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It should be noted that key informants stated that children under 18 with a disability or health condition were assigned to a paediatrician who coordinated their service provision and that health outcomes for people under 18 with disabilities in </w:t>
      </w:r>
      <w:proofErr w:type="gramStart"/>
      <w:smartTag w:uri="urn:schemas-microsoft-com:office:smarttags" w:element="country-region">
        <w:smartTag w:uri="urn:schemas-microsoft-com:office:smarttags" w:element="place">
          <w:r w:rsidRPr="00F23F2B">
            <w:rPr>
              <w:rFonts w:cs="Arial"/>
            </w:rPr>
            <w:t>new Zealand</w:t>
          </w:r>
        </w:smartTag>
      </w:smartTag>
      <w:proofErr w:type="gramEnd"/>
      <w:r w:rsidRPr="00F23F2B">
        <w:rPr>
          <w:rFonts w:cs="Arial"/>
        </w:rPr>
        <w:t xml:space="preserve"> were good.</w:t>
      </w:r>
    </w:p>
  </w:footnote>
  <w:footnote w:id="49">
    <w:p w14:paraId="533789A3"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Education, Early Intervention Services and Support</w:t>
      </w:r>
    </w:p>
    <w:p w14:paraId="14A822AF" w14:textId="77777777" w:rsidR="007541A2" w:rsidRPr="00F23F2B" w:rsidRDefault="00000000" w:rsidP="00544D9F">
      <w:pPr>
        <w:pStyle w:val="FootnoteText"/>
        <w:rPr>
          <w:rFonts w:cs="Arial"/>
        </w:rPr>
      </w:pPr>
      <w:hyperlink r:id="rId36" w:history="1">
        <w:r w:rsidR="007541A2" w:rsidRPr="008D42CE">
          <w:rPr>
            <w:rStyle w:val="Hyperlink"/>
            <w:rFonts w:cs="Arial"/>
          </w:rPr>
          <w:t>http://www.minedu.govt.nz/Parents/YourChild/SupportForYourChild/ExtraSupport/EarlyInterventionServicesAndSupport.aspx</w:t>
        </w:r>
      </w:hyperlink>
      <w:r w:rsidR="007541A2">
        <w:rPr>
          <w:rFonts w:cs="Arial"/>
        </w:rPr>
        <w:t xml:space="preserve"> </w:t>
      </w:r>
    </w:p>
  </w:footnote>
  <w:footnote w:id="50">
    <w:p w14:paraId="11475FB4" w14:textId="77777777" w:rsidR="007541A2" w:rsidRPr="00F23F2B" w:rsidRDefault="007541A2" w:rsidP="00544D9F">
      <w:pPr>
        <w:pStyle w:val="FootnoteText"/>
        <w:rPr>
          <w:rFonts w:cs="Arial"/>
          <w:color w:val="000000"/>
          <w:lang w:val="en-NZ"/>
        </w:rPr>
      </w:pPr>
      <w:r w:rsidRPr="00F23F2B">
        <w:rPr>
          <w:rStyle w:val="FootnoteReference"/>
          <w:rFonts w:cs="Arial"/>
        </w:rPr>
        <w:footnoteRef/>
      </w:r>
      <w:r w:rsidRPr="00F23F2B">
        <w:rPr>
          <w:rFonts w:cs="Arial"/>
        </w:rPr>
        <w:t xml:space="preserve"> Ruth Dyson, Minister for Disability Issues </w:t>
      </w:r>
      <w:r w:rsidRPr="00F23F2B">
        <w:rPr>
          <w:rFonts w:cs="Arial"/>
          <w:color w:val="000000"/>
          <w:lang w:val="en-NZ"/>
        </w:rPr>
        <w:t xml:space="preserve">Getting Started on the Continuum of Care, 2002 </w:t>
      </w:r>
      <w:hyperlink r:id="rId37" w:history="1">
        <w:r w:rsidRPr="008D42CE">
          <w:rPr>
            <w:rStyle w:val="Hyperlink"/>
            <w:rFonts w:cs="Arial"/>
            <w:lang w:val="en-NZ"/>
          </w:rPr>
          <w:t>http://www.beehive.govt.nz/node/15851</w:t>
        </w:r>
      </w:hyperlink>
      <w:r>
        <w:rPr>
          <w:rFonts w:cs="Arial"/>
          <w:color w:val="000000"/>
          <w:lang w:val="en-NZ"/>
        </w:rPr>
        <w:t xml:space="preserve"> </w:t>
      </w:r>
    </w:p>
  </w:footnote>
  <w:footnote w:id="51">
    <w:p w14:paraId="7A2F44D8"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2005, National Travel Assistance Policy, </w:t>
      </w:r>
      <w:hyperlink r:id="rId38" w:history="1">
        <w:r w:rsidRPr="008D42CE">
          <w:rPr>
            <w:rStyle w:val="Hyperlink"/>
            <w:rFonts w:cs="Arial"/>
          </w:rPr>
          <w:t>http://www.moh.govt.nz/moh.nsf/fefd9e667cc713e9cc257011000678d8/189d9dcee0fa227fcc25705a001a2d18?OpenDocument</w:t>
        </w:r>
      </w:hyperlink>
      <w:r>
        <w:rPr>
          <w:rFonts w:cs="Arial"/>
        </w:rPr>
        <w:t xml:space="preserve"> </w:t>
      </w:r>
    </w:p>
  </w:footnote>
  <w:footnote w:id="52">
    <w:p w14:paraId="0271051D" w14:textId="77777777" w:rsidR="007541A2" w:rsidRPr="00F23F2B" w:rsidRDefault="007541A2" w:rsidP="00544D9F">
      <w:pPr>
        <w:pStyle w:val="FootnoteText"/>
        <w:rPr>
          <w:color w:val="000000"/>
        </w:rPr>
      </w:pPr>
      <w:r w:rsidRPr="00F23F2B">
        <w:rPr>
          <w:rStyle w:val="FootnoteReference"/>
          <w:rFonts w:cs="Arial"/>
        </w:rPr>
        <w:footnoteRef/>
      </w:r>
      <w:r w:rsidRPr="00F23F2B">
        <w:t xml:space="preserve"> Ministry of Transport, 2008, </w:t>
      </w:r>
      <w:smartTag w:uri="urn:schemas-microsoft-com:office:smarttags" w:element="country-region">
        <w:smartTag w:uri="urn:schemas-microsoft-com:office:smarttags" w:element="place">
          <w:r w:rsidRPr="00F23F2B">
            <w:t>New Zealand</w:t>
          </w:r>
        </w:smartTag>
      </w:smartTag>
      <w:r w:rsidRPr="00F23F2B">
        <w:t xml:space="preserve"> Transport Strategy 2008. It should be noted that complaints by people with disabilities regarding the accessibility of public transport to the Human Rights Commission (HRC) resulted in that body holding an enquiry and </w:t>
      </w:r>
      <w:r w:rsidRPr="00F23F2B">
        <w:rPr>
          <w:color w:val="000000"/>
        </w:rPr>
        <w:t xml:space="preserve">recommending policy, legislative and funding changes. The HRC will review progress on its recommendation in 2010. Human rights </w:t>
      </w:r>
      <w:proofErr w:type="gramStart"/>
      <w:r w:rsidRPr="00F23F2B">
        <w:rPr>
          <w:color w:val="000000"/>
        </w:rPr>
        <w:t>Commission ,</w:t>
      </w:r>
      <w:proofErr w:type="gramEnd"/>
      <w:r w:rsidRPr="00F23F2B">
        <w:rPr>
          <w:color w:val="000000"/>
        </w:rPr>
        <w:t xml:space="preserve"> 2005, The Accessible Journey: Report of the Inquiry into Accessible Public Land Transport, </w:t>
      </w:r>
      <w:hyperlink r:id="rId39" w:history="1">
        <w:r w:rsidRPr="008D42CE">
          <w:rPr>
            <w:rStyle w:val="Hyperlink"/>
          </w:rPr>
          <w:t>http://www.hrc.co.nz/report2/index.html</w:t>
        </w:r>
      </w:hyperlink>
      <w:r>
        <w:rPr>
          <w:color w:val="000000"/>
        </w:rPr>
        <w:t xml:space="preserve"> </w:t>
      </w:r>
    </w:p>
  </w:footnote>
  <w:footnote w:id="53">
    <w:p w14:paraId="44DDD9B7" w14:textId="77777777" w:rsidR="007541A2" w:rsidRPr="00F23F2B" w:rsidRDefault="007541A2" w:rsidP="00544D9F">
      <w:pPr>
        <w:pStyle w:val="FootnoteText"/>
        <w:rPr>
          <w:color w:val="000000"/>
        </w:rPr>
      </w:pPr>
      <w:r w:rsidRPr="00F23F2B">
        <w:rPr>
          <w:rStyle w:val="FootnoteReference"/>
          <w:rFonts w:cs="Arial"/>
          <w:color w:val="000000"/>
        </w:rPr>
        <w:footnoteRef/>
      </w:r>
      <w:r w:rsidRPr="00F23F2B">
        <w:rPr>
          <w:color w:val="000000"/>
        </w:rPr>
        <w:t xml:space="preserve"> Ministry of Transport, 2005, Total Mobility Scheme Review; </w:t>
      </w:r>
      <w:hyperlink r:id="rId40" w:history="1">
        <w:r w:rsidRPr="008D42CE">
          <w:rPr>
            <w:rStyle w:val="Hyperlink"/>
          </w:rPr>
          <w:t>http://www.transport.govt.nz/ourwork/Documents/total-mobility2.pdf</w:t>
        </w:r>
      </w:hyperlink>
      <w:r>
        <w:rPr>
          <w:color w:val="000000"/>
        </w:rPr>
        <w:t xml:space="preserve"> </w:t>
      </w:r>
    </w:p>
  </w:footnote>
  <w:footnote w:id="54">
    <w:p w14:paraId="0DF61375" w14:textId="77777777" w:rsidR="007541A2" w:rsidRPr="00F23F2B" w:rsidRDefault="007541A2" w:rsidP="00544D9F">
      <w:pPr>
        <w:pStyle w:val="FootnoteText"/>
        <w:rPr>
          <w:color w:val="000000"/>
        </w:rPr>
      </w:pPr>
      <w:r w:rsidRPr="00F23F2B">
        <w:rPr>
          <w:rStyle w:val="FootnoteReference"/>
          <w:rFonts w:cs="Arial"/>
          <w:color w:val="000000"/>
        </w:rPr>
        <w:footnoteRef/>
      </w:r>
      <w:r w:rsidRPr="00F23F2B">
        <w:rPr>
          <w:color w:val="000000"/>
        </w:rPr>
        <w:t xml:space="preserve"> Ruth Dyson, 2007, Disabled people to receive equal employment rights </w:t>
      </w:r>
      <w:hyperlink r:id="rId41" w:history="1">
        <w:r w:rsidRPr="008D42CE">
          <w:rPr>
            <w:rStyle w:val="Hyperlink"/>
          </w:rPr>
          <w:t>http://www.beehive.govt.nz/node/28729</w:t>
        </w:r>
      </w:hyperlink>
      <w:r>
        <w:rPr>
          <w:color w:val="000000"/>
        </w:rPr>
        <w:t xml:space="preserve"> </w:t>
      </w:r>
    </w:p>
  </w:footnote>
  <w:footnote w:id="55">
    <w:p w14:paraId="34552F0B" w14:textId="77777777" w:rsidR="007541A2" w:rsidRPr="00F23F2B" w:rsidRDefault="007541A2">
      <w:pPr>
        <w:pStyle w:val="FootnoteText"/>
      </w:pPr>
      <w:r w:rsidRPr="00F23F2B">
        <w:rPr>
          <w:rStyle w:val="FootnoteReference"/>
        </w:rPr>
        <w:footnoteRef/>
      </w:r>
      <w:r w:rsidRPr="00F23F2B">
        <w:t xml:space="preserve"> 83m NZD = € 46.2m on the 18 August 2010</w:t>
      </w:r>
    </w:p>
  </w:footnote>
  <w:footnote w:id="56">
    <w:p w14:paraId="42FA9409" w14:textId="77777777" w:rsidR="007541A2" w:rsidRPr="00F23F2B" w:rsidRDefault="007541A2" w:rsidP="00544D9F">
      <w:pPr>
        <w:pStyle w:val="FootnoteText"/>
        <w:rPr>
          <w:color w:val="000000"/>
        </w:rPr>
      </w:pPr>
      <w:r w:rsidRPr="00F23F2B">
        <w:rPr>
          <w:rStyle w:val="FootnoteReference"/>
          <w:rFonts w:cs="Arial"/>
          <w:color w:val="000000"/>
        </w:rPr>
        <w:footnoteRef/>
      </w:r>
      <w:r w:rsidRPr="00F23F2B">
        <w:rPr>
          <w:color w:val="000000"/>
        </w:rPr>
        <w:t xml:space="preserve"> Ministry of Social Development and Employment, 2007 2006/07 Non-Departmental Output Expense Report on selected services purchased through Vote Social Development</w:t>
      </w:r>
    </w:p>
    <w:p w14:paraId="220DEB59" w14:textId="77777777" w:rsidR="007541A2" w:rsidRPr="00F23F2B" w:rsidRDefault="00000000" w:rsidP="00544D9F">
      <w:pPr>
        <w:pStyle w:val="FootnoteText"/>
        <w:rPr>
          <w:color w:val="000000"/>
        </w:rPr>
      </w:pPr>
      <w:hyperlink r:id="rId42" w:history="1">
        <w:r w:rsidR="007541A2" w:rsidRPr="008D42CE">
          <w:rPr>
            <w:rStyle w:val="Hyperlink"/>
          </w:rPr>
          <w:t>http://www.msd.govt.nz/documents/about-msd-and-our-work/publications-resources/corporate/ndoc/msd-ndoe-2006-2007.pdf</w:t>
        </w:r>
      </w:hyperlink>
      <w:r w:rsidR="007541A2">
        <w:rPr>
          <w:color w:val="000000"/>
        </w:rPr>
        <w:t xml:space="preserve"> </w:t>
      </w:r>
    </w:p>
  </w:footnote>
  <w:footnote w:id="57">
    <w:p w14:paraId="0B0A7327" w14:textId="77777777" w:rsidR="007541A2" w:rsidRPr="00F23F2B" w:rsidRDefault="007541A2" w:rsidP="00544D9F">
      <w:pPr>
        <w:pStyle w:val="FootnoteText"/>
        <w:rPr>
          <w:color w:val="000000"/>
        </w:rPr>
      </w:pPr>
      <w:r w:rsidRPr="00F23F2B">
        <w:rPr>
          <w:rStyle w:val="FootnoteReference"/>
          <w:rFonts w:cs="Arial"/>
          <w:color w:val="000000"/>
        </w:rPr>
        <w:footnoteRef/>
      </w:r>
      <w:r w:rsidRPr="00F23F2B">
        <w:rPr>
          <w:color w:val="000000"/>
        </w:rPr>
        <w:t xml:space="preserve"> Ruth Dyson, 2008, </w:t>
      </w:r>
      <w:r w:rsidRPr="00F23F2B">
        <w:rPr>
          <w:color w:val="000000"/>
          <w:lang w:val="en-NZ"/>
        </w:rPr>
        <w:t>Day service funding change to benefit disabled people</w:t>
      </w:r>
      <w:r w:rsidRPr="00F23F2B">
        <w:rPr>
          <w:color w:val="000000"/>
        </w:rPr>
        <w:t xml:space="preserve"> </w:t>
      </w:r>
      <w:hyperlink r:id="rId43" w:history="1">
        <w:r w:rsidRPr="008D42CE">
          <w:rPr>
            <w:rStyle w:val="Hyperlink"/>
          </w:rPr>
          <w:t>http://www.beehive.govt.nz/release/day+service+funding+change+benefit+disabled+people</w:t>
        </w:r>
      </w:hyperlink>
      <w:r>
        <w:rPr>
          <w:color w:val="000000"/>
        </w:rPr>
        <w:t xml:space="preserve"> </w:t>
      </w:r>
      <w:r w:rsidRPr="00F23F2B">
        <w:rPr>
          <w:color w:val="000000"/>
        </w:rPr>
        <w:t xml:space="preserve"> </w:t>
      </w:r>
      <w:r>
        <w:rPr>
          <w:color w:val="000000"/>
        </w:rPr>
        <w:t xml:space="preserve"> </w:t>
      </w:r>
    </w:p>
  </w:footnote>
  <w:footnote w:id="58">
    <w:p w14:paraId="2AF04D07" w14:textId="77777777" w:rsidR="007541A2" w:rsidRPr="00F23F2B" w:rsidRDefault="007541A2" w:rsidP="00544D9F">
      <w:pPr>
        <w:pStyle w:val="FootnoteText"/>
      </w:pPr>
      <w:r w:rsidRPr="00F23F2B">
        <w:rPr>
          <w:rStyle w:val="FootnoteReference"/>
          <w:rFonts w:cs="Arial"/>
          <w:color w:val="000000"/>
        </w:rPr>
        <w:footnoteRef/>
      </w:r>
      <w:r w:rsidRPr="00F23F2B">
        <w:rPr>
          <w:color w:val="000000"/>
        </w:rPr>
        <w:t xml:space="preserve"> Ministry of Health, 2004, Living with a Disability in </w:t>
      </w:r>
      <w:smartTag w:uri="urn:schemas-microsoft-com:office:smarttags" w:element="place">
        <w:smartTag w:uri="urn:schemas-microsoft-com:office:smarttags" w:element="country-region">
          <w:r w:rsidRPr="00F23F2B">
            <w:rPr>
              <w:color w:val="000000"/>
            </w:rPr>
            <w:t>New Zealand</w:t>
          </w:r>
        </w:smartTag>
      </w:smartTag>
      <w:r w:rsidRPr="00F23F2B">
        <w:rPr>
          <w:color w:val="000000"/>
        </w:rPr>
        <w:t>: A descriptive analysis of results from the 2001 Household Disability Survey and the 2001 Disability Survey of Residential Facilities</w:t>
      </w:r>
      <w:r w:rsidRPr="00F23F2B">
        <w:t xml:space="preserve">  </w:t>
      </w:r>
    </w:p>
  </w:footnote>
  <w:footnote w:id="59">
    <w:p w14:paraId="5FC7BF50" w14:textId="77777777" w:rsidR="007541A2" w:rsidRPr="00F23F2B" w:rsidRDefault="007541A2" w:rsidP="00D1262B">
      <w:pPr>
        <w:spacing w:after="0"/>
        <w:rPr>
          <w:sz w:val="20"/>
          <w:szCs w:val="20"/>
        </w:rPr>
      </w:pPr>
      <w:r w:rsidRPr="00F23F2B">
        <w:rPr>
          <w:rStyle w:val="FootnoteReference"/>
          <w:rFonts w:cs="Arial"/>
          <w:sz w:val="20"/>
          <w:szCs w:val="20"/>
        </w:rPr>
        <w:footnoteRef/>
      </w:r>
      <w:r w:rsidRPr="00F23F2B">
        <w:rPr>
          <w:sz w:val="20"/>
          <w:szCs w:val="20"/>
        </w:rPr>
        <w:t xml:space="preserve"> Ministry of Social Development, 2008, Pathways to Inclusion Strategy Evaluation: </w:t>
      </w:r>
      <w:r w:rsidRPr="00F23F2B">
        <w:rPr>
          <w:sz w:val="20"/>
          <w:szCs w:val="20"/>
        </w:rPr>
        <w:br/>
        <w:t>Final Evaluation Report</w:t>
      </w:r>
    </w:p>
    <w:p w14:paraId="0D033BA1" w14:textId="77777777" w:rsidR="007541A2" w:rsidRPr="00F23F2B" w:rsidRDefault="00000000" w:rsidP="00D1262B">
      <w:pPr>
        <w:spacing w:after="0"/>
        <w:rPr>
          <w:sz w:val="20"/>
          <w:szCs w:val="20"/>
        </w:rPr>
      </w:pPr>
      <w:hyperlink r:id="rId44" w:history="1">
        <w:r w:rsidR="007541A2" w:rsidRPr="008D42CE">
          <w:rPr>
            <w:rStyle w:val="Hyperlink"/>
            <w:sz w:val="20"/>
            <w:szCs w:val="20"/>
          </w:rPr>
          <w:t>http://www.msd.govt.nz/documents/about-msd-and-our-work/publications-resources/evaluation/pathways-inclusion/pathways-inclusion.doc</w:t>
        </w:r>
      </w:hyperlink>
      <w:r w:rsidR="007541A2">
        <w:rPr>
          <w:sz w:val="20"/>
          <w:szCs w:val="20"/>
        </w:rPr>
        <w:t xml:space="preserve"> </w:t>
      </w:r>
    </w:p>
  </w:footnote>
  <w:footnote w:id="60">
    <w:p w14:paraId="5013419D"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Ruth Dyson, 2007, Disabled people to receive equal employment rights </w:t>
      </w:r>
      <w:hyperlink r:id="rId45" w:history="1">
        <w:r w:rsidRPr="008D42CE">
          <w:rPr>
            <w:rStyle w:val="Hyperlink"/>
            <w:rFonts w:cs="Arial"/>
          </w:rPr>
          <w:t>http://www.beehive.govt.nz/node/28729</w:t>
        </w:r>
      </w:hyperlink>
      <w:r>
        <w:rPr>
          <w:rFonts w:cs="Arial"/>
        </w:rPr>
        <w:t xml:space="preserve"> </w:t>
      </w:r>
    </w:p>
  </w:footnote>
  <w:footnote w:id="61">
    <w:p w14:paraId="0DC911BC" w14:textId="77777777" w:rsidR="007541A2" w:rsidRPr="00F23F2B" w:rsidRDefault="007541A2" w:rsidP="00BF2AE6">
      <w:pPr>
        <w:pStyle w:val="FootnoteText"/>
        <w:spacing w:after="0"/>
        <w:rPr>
          <w:rFonts w:cs="Arial"/>
        </w:rPr>
      </w:pPr>
      <w:r w:rsidRPr="00F23F2B">
        <w:rPr>
          <w:rStyle w:val="FootnoteReference"/>
          <w:rFonts w:cs="Arial"/>
        </w:rPr>
        <w:footnoteRef/>
      </w:r>
      <w:r w:rsidRPr="00F23F2B">
        <w:rPr>
          <w:rFonts w:cs="Arial"/>
        </w:rPr>
        <w:t xml:space="preserve"> For </w:t>
      </w:r>
      <w:proofErr w:type="gramStart"/>
      <w:r w:rsidRPr="00F23F2B">
        <w:rPr>
          <w:rFonts w:cs="Arial"/>
        </w:rPr>
        <w:t>example</w:t>
      </w:r>
      <w:proofErr w:type="gramEnd"/>
      <w:r w:rsidRPr="00F23F2B">
        <w:rPr>
          <w:rFonts w:cs="Arial"/>
        </w:rPr>
        <w:t xml:space="preserve"> the supported employment umbrella body ASENZ lists eight supported employment agencies for people with disabilities in </w:t>
      </w:r>
      <w:smartTag w:uri="urn:schemas-microsoft-com:office:smarttags" w:element="City">
        <w:smartTag w:uri="urn:schemas-microsoft-com:office:smarttags" w:element="place">
          <w:r w:rsidRPr="00F23F2B">
            <w:rPr>
              <w:rFonts w:cs="Arial"/>
            </w:rPr>
            <w:t>Dunedin</w:t>
          </w:r>
        </w:smartTag>
      </w:smartTag>
      <w:r w:rsidRPr="00F23F2B">
        <w:rPr>
          <w:rFonts w:cs="Arial"/>
        </w:rPr>
        <w:t>, which has a population of 122000</w:t>
      </w:r>
    </w:p>
  </w:footnote>
  <w:footnote w:id="62">
    <w:p w14:paraId="75BA09C6" w14:textId="77777777" w:rsidR="007541A2" w:rsidRPr="00F23F2B" w:rsidRDefault="007541A2" w:rsidP="00BF2AE6">
      <w:pPr>
        <w:pStyle w:val="FootnoteText"/>
        <w:spacing w:after="0"/>
        <w:rPr>
          <w:rFonts w:cs="Arial"/>
          <w:iCs/>
        </w:rPr>
      </w:pPr>
      <w:r w:rsidRPr="00F23F2B">
        <w:rPr>
          <w:rStyle w:val="FootnoteReference"/>
          <w:rFonts w:cs="Arial"/>
        </w:rPr>
        <w:footnoteRef/>
      </w:r>
      <w:r w:rsidRPr="00F23F2B">
        <w:rPr>
          <w:rFonts w:cs="Arial"/>
        </w:rPr>
        <w:t xml:space="preserve"> ASENZ (Association of Supported Employment New Zealand), 2004, Member Survey shows that agencies contract with </w:t>
      </w:r>
      <w:proofErr w:type="spellStart"/>
      <w:r w:rsidRPr="00F23F2B">
        <w:rPr>
          <w:rFonts w:cs="Arial"/>
        </w:rPr>
        <w:t>MoSD</w:t>
      </w:r>
      <w:proofErr w:type="spellEnd"/>
      <w:r w:rsidRPr="00F23F2B">
        <w:rPr>
          <w:rFonts w:cs="Arial"/>
        </w:rPr>
        <w:t xml:space="preserve"> on a price per outcome basis, which was </w:t>
      </w:r>
      <w:r w:rsidRPr="00F23F2B">
        <w:rPr>
          <w:rFonts w:cs="Arial"/>
          <w:iCs/>
        </w:rPr>
        <w:t xml:space="preserve">$NZ 3,252 in 2004 on average. </w:t>
      </w:r>
      <w:hyperlink r:id="rId46" w:history="1">
        <w:r w:rsidRPr="008D42CE">
          <w:rPr>
            <w:rStyle w:val="Hyperlink"/>
            <w:rFonts w:cs="Arial"/>
            <w:iCs/>
          </w:rPr>
          <w:t>http://www.asenz.org.nz/resources/MemberSurveyResult.doc</w:t>
        </w:r>
      </w:hyperlink>
      <w:r>
        <w:rPr>
          <w:rFonts w:cs="Arial"/>
          <w:iCs/>
        </w:rPr>
        <w:t xml:space="preserve"> </w:t>
      </w:r>
    </w:p>
  </w:footnote>
  <w:footnote w:id="63">
    <w:p w14:paraId="7D15DEC5" w14:textId="77777777" w:rsidR="007541A2" w:rsidRPr="00F23F2B" w:rsidRDefault="007541A2" w:rsidP="00BF2AE6">
      <w:pPr>
        <w:pStyle w:val="FootnoteText"/>
        <w:spacing w:after="0"/>
        <w:rPr>
          <w:rFonts w:cs="Arial"/>
        </w:rPr>
      </w:pPr>
      <w:r w:rsidRPr="00F23F2B">
        <w:rPr>
          <w:rStyle w:val="FootnoteReference"/>
          <w:rFonts w:cs="Arial"/>
        </w:rPr>
        <w:footnoteRef/>
      </w:r>
      <w:r w:rsidRPr="00F23F2B">
        <w:rPr>
          <w:rFonts w:cs="Arial"/>
        </w:rPr>
        <w:t xml:space="preserve"> </w:t>
      </w:r>
      <w:hyperlink r:id="rId47" w:history="1">
        <w:r w:rsidRPr="008D42CE">
          <w:rPr>
            <w:rStyle w:val="Hyperlink"/>
            <w:rFonts w:cs="Arial"/>
            <w:bCs/>
          </w:rPr>
          <w:t>http://www.incharge.org.nz</w:t>
        </w:r>
      </w:hyperlink>
      <w:r>
        <w:rPr>
          <w:rFonts w:cs="Arial"/>
          <w:bCs/>
          <w:color w:val="000000"/>
        </w:rPr>
        <w:t xml:space="preserve"> </w:t>
      </w:r>
    </w:p>
  </w:footnote>
  <w:footnote w:id="64">
    <w:p w14:paraId="4B1036DC" w14:textId="77777777" w:rsidR="007541A2" w:rsidRPr="00F23F2B" w:rsidRDefault="007541A2" w:rsidP="00BF2AE6">
      <w:pPr>
        <w:autoSpaceDE w:val="0"/>
        <w:autoSpaceDN w:val="0"/>
        <w:adjustRightInd w:val="0"/>
        <w:spacing w:after="0" w:line="240" w:lineRule="atLeast"/>
        <w:rPr>
          <w:rFonts w:cs="Arial"/>
          <w:sz w:val="20"/>
          <w:szCs w:val="20"/>
        </w:rPr>
      </w:pPr>
      <w:r w:rsidRPr="00F23F2B">
        <w:rPr>
          <w:rStyle w:val="FootnoteReference"/>
          <w:rFonts w:cs="Arial"/>
          <w:sz w:val="20"/>
          <w:szCs w:val="20"/>
        </w:rPr>
        <w:footnoteRef/>
      </w:r>
      <w:r w:rsidRPr="00F23F2B">
        <w:rPr>
          <w:rFonts w:cs="Arial"/>
          <w:sz w:val="20"/>
          <w:szCs w:val="20"/>
        </w:rPr>
        <w:t xml:space="preserve"> </w:t>
      </w:r>
      <w:proofErr w:type="spellStart"/>
      <w:r w:rsidRPr="00F23F2B">
        <w:rPr>
          <w:rFonts w:cs="Arial"/>
          <w:sz w:val="20"/>
          <w:szCs w:val="20"/>
        </w:rPr>
        <w:t>Bonardi</w:t>
      </w:r>
      <w:proofErr w:type="spellEnd"/>
      <w:r w:rsidRPr="00F23F2B">
        <w:rPr>
          <w:rFonts w:cs="Arial"/>
          <w:sz w:val="20"/>
          <w:szCs w:val="20"/>
        </w:rPr>
        <w:t xml:space="preserve">, 2009, The Balance between Choice and Control: Risk Management in </w:t>
      </w:r>
      <w:smartTag w:uri="urn:schemas-microsoft-com:office:smarttags" w:element="place">
        <w:smartTag w:uri="urn:schemas-microsoft-com:office:smarttags" w:element="country-region">
          <w:r w:rsidRPr="00F23F2B">
            <w:rPr>
              <w:rFonts w:cs="Arial"/>
              <w:sz w:val="20"/>
              <w:szCs w:val="20"/>
            </w:rPr>
            <w:t>New Zealand</w:t>
          </w:r>
        </w:smartTag>
      </w:smartTag>
      <w:r w:rsidRPr="00F23F2B">
        <w:rPr>
          <w:rFonts w:cs="Arial"/>
          <w:sz w:val="20"/>
          <w:szCs w:val="20"/>
        </w:rPr>
        <w:t xml:space="preserve"> Intellectual Disability Services</w:t>
      </w:r>
    </w:p>
  </w:footnote>
  <w:footnote w:id="65">
    <w:p w14:paraId="4815632C" w14:textId="77777777" w:rsidR="007541A2" w:rsidRPr="00F23F2B" w:rsidRDefault="007541A2" w:rsidP="00BF2AE6">
      <w:pPr>
        <w:pStyle w:val="FootnoteText"/>
        <w:spacing w:after="0"/>
      </w:pPr>
      <w:r w:rsidRPr="00F23F2B">
        <w:rPr>
          <w:rStyle w:val="FootnoteReference"/>
        </w:rPr>
        <w:footnoteRef/>
      </w:r>
      <w:r w:rsidRPr="00F23F2B">
        <w:t xml:space="preserve"> Ministry of Health, 2009, Ministry of Health’s Statement of Intent 2009–2012 </w:t>
      </w:r>
      <w:hyperlink r:id="rId48" w:history="1">
        <w:r w:rsidRPr="008D42CE">
          <w:rPr>
            <w:rStyle w:val="Hyperlink"/>
          </w:rPr>
          <w:t>http://www.moh.govt.nz/moh.nsf/indexmh/soi0912</w:t>
        </w:r>
      </w:hyperlink>
      <w:r>
        <w:t xml:space="preserve"> </w:t>
      </w:r>
    </w:p>
  </w:footnote>
  <w:footnote w:id="66">
    <w:p w14:paraId="778A733C" w14:textId="77777777" w:rsidR="007541A2" w:rsidRPr="00F23F2B" w:rsidRDefault="007541A2">
      <w:pPr>
        <w:pStyle w:val="FootnoteText"/>
      </w:pPr>
      <w:r w:rsidRPr="00F23F2B">
        <w:rPr>
          <w:rStyle w:val="FootnoteReference"/>
        </w:rPr>
        <w:footnoteRef/>
      </w:r>
      <w:r w:rsidRPr="00F23F2B">
        <w:t xml:space="preserve"> Ministry of Health, 2010, Individualized Funding Service Specification </w:t>
      </w:r>
      <w:hyperlink r:id="rId49" w:history="1">
        <w:r w:rsidRPr="008D42CE">
          <w:rPr>
            <w:rStyle w:val="Hyperlink"/>
          </w:rPr>
          <w:t>http://www.moh.govt.nz/moh.nsf/Files/disability/$file/ifa-v1.5-service-specs-reporting-templates-jun10.pdf</w:t>
        </w:r>
      </w:hyperlink>
      <w:r>
        <w:t xml:space="preserve"> </w:t>
      </w:r>
    </w:p>
  </w:footnote>
  <w:footnote w:id="67">
    <w:p w14:paraId="1573C65A"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w:t>
      </w:r>
      <w:hyperlink r:id="rId50" w:history="1">
        <w:r w:rsidRPr="008D42CE">
          <w:rPr>
            <w:rStyle w:val="Hyperlink"/>
            <w:rFonts w:cs="Arial"/>
          </w:rPr>
          <w:t>http://www.supportoptions.co.nz/support/service.aspx?id=300</w:t>
        </w:r>
      </w:hyperlink>
      <w:r>
        <w:rPr>
          <w:rFonts w:cs="Arial"/>
        </w:rPr>
        <w:t xml:space="preserve"> </w:t>
      </w:r>
    </w:p>
  </w:footnote>
  <w:footnote w:id="68">
    <w:p w14:paraId="158D206C" w14:textId="77777777" w:rsidR="007541A2" w:rsidRPr="00F23F2B" w:rsidRDefault="007541A2" w:rsidP="00544D9F">
      <w:pPr>
        <w:pStyle w:val="FootnoteText"/>
      </w:pPr>
      <w:r w:rsidRPr="00F23F2B">
        <w:rPr>
          <w:rStyle w:val="FootnoteReference"/>
          <w:rFonts w:cs="Arial"/>
        </w:rPr>
        <w:footnoteRef/>
      </w:r>
      <w:r w:rsidRPr="00F23F2B">
        <w:rPr>
          <w:rFonts w:cs="Arial"/>
        </w:rPr>
        <w:t xml:space="preserve"> </w:t>
      </w:r>
      <w:proofErr w:type="spellStart"/>
      <w:r w:rsidRPr="00F23F2B">
        <w:rPr>
          <w:rFonts w:cs="Arial"/>
        </w:rPr>
        <w:t>Bonardi</w:t>
      </w:r>
      <w:proofErr w:type="spellEnd"/>
      <w:r w:rsidRPr="00F23F2B">
        <w:rPr>
          <w:rFonts w:cs="Arial"/>
        </w:rPr>
        <w:t xml:space="preserve">, 2009, The Balance between Choice and Control: Risk Management in </w:t>
      </w:r>
      <w:smartTag w:uri="urn:schemas-microsoft-com:office:smarttags" w:element="place">
        <w:smartTag w:uri="urn:schemas-microsoft-com:office:smarttags" w:element="country-region">
          <w:r w:rsidRPr="00F23F2B">
            <w:rPr>
              <w:rFonts w:cs="Arial"/>
            </w:rPr>
            <w:t>New Zealand</w:t>
          </w:r>
        </w:smartTag>
      </w:smartTag>
      <w:r w:rsidRPr="00F23F2B">
        <w:rPr>
          <w:rFonts w:cs="Arial"/>
        </w:rPr>
        <w:t xml:space="preserve"> Intellectual Disability Services</w:t>
      </w:r>
    </w:p>
  </w:footnote>
  <w:footnote w:id="69">
    <w:p w14:paraId="62218BC6" w14:textId="77777777" w:rsidR="007541A2" w:rsidRPr="00F23F2B" w:rsidRDefault="007541A2" w:rsidP="009F033B">
      <w:pPr>
        <w:pStyle w:val="FootnoteText"/>
      </w:pPr>
      <w:r w:rsidRPr="00F23F2B">
        <w:rPr>
          <w:rStyle w:val="FootnoteReference"/>
        </w:rPr>
        <w:footnoteRef/>
      </w:r>
      <w:r w:rsidRPr="00F23F2B">
        <w:t xml:space="preserve"> Ministerial Committee on Disability Issues, 2009, Local Area Coordination.</w:t>
      </w:r>
    </w:p>
  </w:footnote>
  <w:footnote w:id="70">
    <w:p w14:paraId="3BFC2224"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Eligibility for Publicly Funded Health and Disability Services (page updated 4th of </w:t>
      </w:r>
      <w:proofErr w:type="gramStart"/>
      <w:r w:rsidRPr="00F23F2B">
        <w:rPr>
          <w:rFonts w:cs="Arial"/>
        </w:rPr>
        <w:t>march</w:t>
      </w:r>
      <w:proofErr w:type="gramEnd"/>
      <w:r w:rsidRPr="00F23F2B">
        <w:rPr>
          <w:rFonts w:cs="Arial"/>
        </w:rPr>
        <w:t xml:space="preserve"> 2009) </w:t>
      </w:r>
      <w:hyperlink r:id="rId51" w:history="1">
        <w:r w:rsidRPr="008D42CE">
          <w:rPr>
            <w:rStyle w:val="Hyperlink"/>
            <w:rFonts w:cs="Arial"/>
          </w:rPr>
          <w:t>http://www.moh.govt.nz/eligibility</w:t>
        </w:r>
      </w:hyperlink>
      <w:r>
        <w:rPr>
          <w:rFonts w:cs="Arial"/>
        </w:rPr>
        <w:t xml:space="preserve"> </w:t>
      </w:r>
    </w:p>
  </w:footnote>
  <w:footnote w:id="71">
    <w:p w14:paraId="52B6988B"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2004 Living with a Disability in </w:t>
      </w:r>
      <w:smartTag w:uri="urn:schemas-microsoft-com:office:smarttags" w:element="country-region">
        <w:smartTag w:uri="urn:schemas-microsoft-com:office:smarttags" w:element="place">
          <w:r w:rsidRPr="00F23F2B">
            <w:rPr>
              <w:rFonts w:cs="Arial"/>
            </w:rPr>
            <w:t>New Zealand</w:t>
          </w:r>
        </w:smartTag>
      </w:smartTag>
      <w:r w:rsidRPr="00F23F2B">
        <w:rPr>
          <w:rFonts w:cs="Arial"/>
        </w:rPr>
        <w:t xml:space="preserve"> </w:t>
      </w:r>
      <w:hyperlink r:id="rId52" w:history="1">
        <w:r w:rsidRPr="008D42CE">
          <w:rPr>
            <w:rStyle w:val="Hyperlink"/>
            <w:rFonts w:cs="Arial"/>
          </w:rPr>
          <w:t>http://www.moh.govt.nz/moh.nsf/238fd5fb4fd051844c256669006aed57/61758c73aa8ade8fcc256f320005800d?OpenDocument</w:t>
        </w:r>
      </w:hyperlink>
      <w:r>
        <w:rPr>
          <w:rFonts w:cs="Arial"/>
        </w:rPr>
        <w:t xml:space="preserve"> </w:t>
      </w:r>
    </w:p>
  </w:footnote>
  <w:footnote w:id="72">
    <w:p w14:paraId="4206E1B1"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2002, Disability Support Services Increasing participation and independence </w:t>
      </w:r>
      <w:hyperlink r:id="rId53" w:history="1">
        <w:r w:rsidRPr="008D42CE">
          <w:rPr>
            <w:rStyle w:val="Hyperlink"/>
            <w:rFonts w:cs="Arial"/>
          </w:rPr>
          <w:t>http://www.moh.govt.nz/moh.nsf/82f4780aa066f8d7cc2570bb006b5d4d/75f5a04fb626a985cc256c240079150d/$FILE/DisabilitySupportServices.pdf</w:t>
        </w:r>
      </w:hyperlink>
      <w:r>
        <w:rPr>
          <w:rFonts w:cs="Arial"/>
        </w:rPr>
        <w:t xml:space="preserve"> </w:t>
      </w:r>
    </w:p>
  </w:footnote>
  <w:footnote w:id="73">
    <w:p w14:paraId="1D0D0AEF"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Information for table supplied by Ministry of Health based on Disability Survey 2006 figures.</w:t>
      </w:r>
    </w:p>
  </w:footnote>
  <w:footnote w:id="74">
    <w:p w14:paraId="18693F2E" w14:textId="77777777" w:rsidR="007541A2" w:rsidRPr="00F23F2B" w:rsidRDefault="007541A2" w:rsidP="00544D9F">
      <w:pPr>
        <w:pStyle w:val="FootnoteText"/>
        <w:rPr>
          <w:highlight w:val="cyan"/>
        </w:rPr>
      </w:pPr>
      <w:r w:rsidRPr="00F23F2B">
        <w:rPr>
          <w:rStyle w:val="FootnoteReference"/>
          <w:rFonts w:cs="Arial"/>
        </w:rPr>
        <w:footnoteRef/>
      </w:r>
      <w:r w:rsidRPr="00F23F2B">
        <w:rPr>
          <w:rFonts w:cs="Arial"/>
        </w:rPr>
        <w:t xml:space="preserve"> </w:t>
      </w:r>
      <w:proofErr w:type="spellStart"/>
      <w:proofErr w:type="gramStart"/>
      <w:r w:rsidRPr="00F23F2B">
        <w:rPr>
          <w:rFonts w:cs="Arial"/>
          <w:bCs/>
          <w:color w:val="000000"/>
        </w:rPr>
        <w:t>Bonardi</w:t>
      </w:r>
      <w:proofErr w:type="spellEnd"/>
      <w:r w:rsidRPr="00F23F2B">
        <w:rPr>
          <w:rFonts w:cs="Arial"/>
          <w:bCs/>
          <w:color w:val="000000"/>
        </w:rPr>
        <w:t xml:space="preserve"> ,</w:t>
      </w:r>
      <w:proofErr w:type="gramEnd"/>
      <w:r w:rsidRPr="00F23F2B">
        <w:rPr>
          <w:rFonts w:cs="Arial"/>
          <w:bCs/>
          <w:color w:val="000000"/>
        </w:rPr>
        <w:t xml:space="preserve"> 2009, ibid</w:t>
      </w:r>
    </w:p>
  </w:footnote>
  <w:footnote w:id="75">
    <w:p w14:paraId="18A97EB6"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 </w:t>
      </w:r>
      <w:smartTag w:uri="urn:schemas-microsoft-com:office:smarttags" w:element="place">
        <w:smartTag w:uri="urn:schemas-microsoft-com:office:smarttags" w:element="PlaceType">
          <w:r w:rsidRPr="00F23F2B">
            <w:rPr>
              <w:rFonts w:cs="Arial"/>
            </w:rPr>
            <w:t>University</w:t>
          </w:r>
        </w:smartTag>
        <w:r w:rsidRPr="00F23F2B">
          <w:rPr>
            <w:rFonts w:cs="Arial"/>
          </w:rPr>
          <w:t xml:space="preserve"> of </w:t>
        </w:r>
        <w:smartTag w:uri="urn:schemas-microsoft-com:office:smarttags" w:element="PlaceName">
          <w:r w:rsidRPr="00F23F2B">
            <w:rPr>
              <w:rFonts w:cs="Arial"/>
            </w:rPr>
            <w:t>Auckland</w:t>
          </w:r>
        </w:smartTag>
      </w:smartTag>
      <w:r w:rsidRPr="00F23F2B">
        <w:rPr>
          <w:rFonts w:cs="Arial"/>
        </w:rPr>
        <w:t>, 2004, ibid</w:t>
      </w:r>
    </w:p>
  </w:footnote>
  <w:footnote w:id="76">
    <w:p w14:paraId="396ECC08"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of Health, 2006, SERVICE SPECIFICATION v1.1 DSS Needs Assessment and Service Co-ordination, including Discretionary Funding; </w:t>
      </w:r>
      <w:hyperlink r:id="rId54" w:history="1">
        <w:r w:rsidRPr="008D42CE">
          <w:rPr>
            <w:rStyle w:val="Hyperlink"/>
            <w:rFonts w:cs="Arial"/>
          </w:rPr>
          <w:t>http://www.moh.govt.nz/moh.nsf/pagesmh/5238/$File/disability-service-spec-nasc.doc</w:t>
        </w:r>
      </w:hyperlink>
      <w:r>
        <w:rPr>
          <w:rFonts w:cs="Arial"/>
        </w:rPr>
        <w:t xml:space="preserve"> </w:t>
      </w:r>
    </w:p>
  </w:footnote>
  <w:footnote w:id="77">
    <w:p w14:paraId="6A96266C" w14:textId="77777777" w:rsidR="007541A2" w:rsidRPr="00F23F2B" w:rsidRDefault="007541A2" w:rsidP="00544D9F">
      <w:pPr>
        <w:pStyle w:val="FootnoteText"/>
      </w:pPr>
      <w:r w:rsidRPr="00F23F2B">
        <w:rPr>
          <w:rStyle w:val="FootnoteReference"/>
          <w:rFonts w:cs="Arial"/>
        </w:rPr>
        <w:footnoteRef/>
      </w:r>
      <w:r w:rsidRPr="00F23F2B">
        <w:rPr>
          <w:rFonts w:cs="Arial"/>
        </w:rPr>
        <w:t xml:space="preserve"> National Health Committee 2003, To Have an Ordinary Life; </w:t>
      </w:r>
      <w:hyperlink r:id="rId55" w:history="1">
        <w:r w:rsidRPr="008D42CE">
          <w:rPr>
            <w:rStyle w:val="Hyperlink"/>
            <w:rFonts w:cs="Arial"/>
          </w:rPr>
          <w:t>http://www.nhc.health.govt.nz/moh.nsf/indexcm/nhc-ordinary-life</w:t>
        </w:r>
      </w:hyperlink>
      <w:r>
        <w:rPr>
          <w:rFonts w:cs="Arial"/>
        </w:rPr>
        <w:t xml:space="preserve"> </w:t>
      </w:r>
      <w:r w:rsidRPr="00F23F2B">
        <w:rPr>
          <w:rFonts w:cs="Arial"/>
        </w:rPr>
        <w:t xml:space="preserve">  </w:t>
      </w:r>
      <w:r>
        <w:rPr>
          <w:rFonts w:cs="Arial"/>
        </w:rPr>
        <w:t xml:space="preserve"> </w:t>
      </w:r>
    </w:p>
  </w:footnote>
  <w:footnote w:id="78">
    <w:p w14:paraId="1D4CDD12" w14:textId="77777777" w:rsidR="007541A2" w:rsidRPr="00F23F2B" w:rsidRDefault="007541A2" w:rsidP="00544D9F">
      <w:pPr>
        <w:pStyle w:val="FootnoteText"/>
      </w:pPr>
      <w:r w:rsidRPr="00F23F2B">
        <w:rPr>
          <w:rStyle w:val="FootnoteReference"/>
          <w:rFonts w:cs="Arial"/>
        </w:rPr>
        <w:footnoteRef/>
      </w:r>
      <w:r w:rsidRPr="00F23F2B">
        <w:rPr>
          <w:rFonts w:cs="Arial"/>
        </w:rPr>
        <w:t xml:space="preserve"> For more information see: </w:t>
      </w:r>
      <w:hyperlink r:id="rId56" w:history="1">
        <w:r w:rsidRPr="008D42CE">
          <w:rPr>
            <w:rStyle w:val="Hyperlink"/>
            <w:rFonts w:cs="Arial"/>
          </w:rPr>
          <w:t>http://www.moh.govt.nz/moh.nsf/indexmh/disability-keyprojects-consumerconsortium</w:t>
        </w:r>
      </w:hyperlink>
      <w:r>
        <w:rPr>
          <w:rFonts w:cs="Arial"/>
        </w:rPr>
        <w:t xml:space="preserve"> </w:t>
      </w:r>
    </w:p>
  </w:footnote>
  <w:footnote w:id="79">
    <w:p w14:paraId="28C9BB3B" w14:textId="77777777" w:rsidR="007541A2" w:rsidRPr="00F23F2B" w:rsidRDefault="007541A2" w:rsidP="00544D9F">
      <w:pPr>
        <w:pStyle w:val="FootnoteText"/>
        <w:rPr>
          <w:rFonts w:cs="Arial"/>
        </w:rPr>
      </w:pPr>
      <w:r w:rsidRPr="00F23F2B">
        <w:rPr>
          <w:rStyle w:val="FootnoteReference"/>
          <w:rFonts w:cs="Arial"/>
        </w:rPr>
        <w:footnoteRef/>
      </w:r>
      <w:r w:rsidRPr="00F23F2B">
        <w:rPr>
          <w:rFonts w:cs="Arial"/>
        </w:rPr>
        <w:t xml:space="preserve"> Ministry for Health, 2009, Consumer Forums Report. </w:t>
      </w:r>
      <w:hyperlink r:id="rId57" w:history="1">
        <w:r w:rsidRPr="008D42CE">
          <w:rPr>
            <w:rStyle w:val="Hyperlink"/>
            <w:rFonts w:cs="Arial"/>
          </w:rPr>
          <w:t>http://www.moh.govt.nz/moh.nsf/pagesmh/5244/$File/forums-summary-09+Final.pdf</w:t>
        </w:r>
      </w:hyperlink>
      <w:r>
        <w:rPr>
          <w:rFonts w:cs="Arial"/>
        </w:rPr>
        <w:t xml:space="preserve"> </w:t>
      </w:r>
    </w:p>
  </w:footnote>
  <w:footnote w:id="80">
    <w:p w14:paraId="5E20890B" w14:textId="77777777" w:rsidR="007541A2" w:rsidRPr="00F23F2B" w:rsidRDefault="007541A2">
      <w:pPr>
        <w:pStyle w:val="FootnoteText"/>
      </w:pPr>
      <w:r w:rsidRPr="00F23F2B">
        <w:rPr>
          <w:rStyle w:val="FootnoteReference"/>
        </w:rPr>
        <w:footnoteRef/>
      </w:r>
      <w:r w:rsidRPr="00F23F2B">
        <w:t xml:space="preserve"> As acknowledged in the </w:t>
      </w:r>
      <w:r w:rsidRPr="00F23F2B">
        <w:rPr>
          <w:rFonts w:cs="Arial"/>
        </w:rPr>
        <w:t xml:space="preserve">National Health Committee's </w:t>
      </w:r>
      <w:proofErr w:type="gramStart"/>
      <w:r w:rsidRPr="00F23F2B">
        <w:rPr>
          <w:rFonts w:cs="Arial"/>
        </w:rPr>
        <w:t>To</w:t>
      </w:r>
      <w:proofErr w:type="gramEnd"/>
      <w:r w:rsidRPr="00F23F2B">
        <w:rPr>
          <w:rFonts w:cs="Arial"/>
        </w:rPr>
        <w:t xml:space="preserve"> Have an Ordinary Life report which found that life in group homes was "custodial".</w:t>
      </w:r>
    </w:p>
  </w:footnote>
  <w:footnote w:id="81">
    <w:p w14:paraId="21365732" w14:textId="77777777" w:rsidR="007541A2" w:rsidRPr="00F23F2B" w:rsidRDefault="007541A2" w:rsidP="001F5965">
      <w:pPr>
        <w:spacing w:after="0"/>
        <w:rPr>
          <w:sz w:val="20"/>
        </w:rPr>
      </w:pPr>
      <w:r w:rsidRPr="00F23F2B">
        <w:rPr>
          <w:rStyle w:val="FootnoteReference"/>
          <w:rFonts w:cs="Arial"/>
          <w:sz w:val="20"/>
          <w:szCs w:val="20"/>
        </w:rPr>
        <w:footnoteRef/>
      </w:r>
      <w:r w:rsidRPr="00F23F2B">
        <w:rPr>
          <w:sz w:val="20"/>
        </w:rPr>
        <w:t xml:space="preserve"> "Rest homes are defined at: </w:t>
      </w:r>
    </w:p>
    <w:p w14:paraId="3CBBD7BB" w14:textId="77777777" w:rsidR="007541A2" w:rsidRPr="00F23F2B" w:rsidRDefault="00000000" w:rsidP="001F5965">
      <w:pPr>
        <w:spacing w:after="0"/>
        <w:rPr>
          <w:sz w:val="20"/>
        </w:rPr>
      </w:pPr>
      <w:hyperlink r:id="rId58" w:history="1">
        <w:r w:rsidR="007541A2" w:rsidRPr="008D42CE">
          <w:rPr>
            <w:rStyle w:val="Hyperlink"/>
            <w:sz w:val="20"/>
          </w:rPr>
          <w:t>http://www.everybody.co.nz/page-0cf9b494-cf93-4ee1-8db8-aa3b2e527fbd.aspx</w:t>
        </w:r>
      </w:hyperlink>
      <w:r w:rsidR="007541A2">
        <w:rPr>
          <w:sz w:val="20"/>
        </w:rPr>
        <w:t xml:space="preserve"> </w:t>
      </w:r>
    </w:p>
    <w:p w14:paraId="0D4FEE1D" w14:textId="77777777" w:rsidR="007541A2" w:rsidRPr="00F23F2B" w:rsidRDefault="007541A2" w:rsidP="001F5965">
      <w:pPr>
        <w:spacing w:after="0"/>
        <w:rPr>
          <w:sz w:val="20"/>
        </w:rPr>
      </w:pPr>
      <w:r w:rsidRPr="00F23F2B">
        <w:rPr>
          <w:sz w:val="20"/>
        </w:rPr>
        <w:t>as follows:</w:t>
      </w:r>
    </w:p>
    <w:p w14:paraId="4E6E8575" w14:textId="77777777" w:rsidR="007541A2" w:rsidRPr="00F23F2B" w:rsidRDefault="007541A2" w:rsidP="001F5965">
      <w:pPr>
        <w:pStyle w:val="ListBullet"/>
        <w:rPr>
          <w:sz w:val="20"/>
          <w:szCs w:val="20"/>
        </w:rPr>
      </w:pPr>
      <w:r w:rsidRPr="00F23F2B">
        <w:rPr>
          <w:b/>
          <w:sz w:val="20"/>
          <w:szCs w:val="20"/>
        </w:rPr>
        <w:t>Rest homes Rest homes</w:t>
      </w:r>
      <w:r w:rsidRPr="00F23F2B">
        <w:rPr>
          <w:sz w:val="20"/>
          <w:szCs w:val="20"/>
        </w:rPr>
        <w:t xml:space="preserve"> care for older people who cannot manage at home. They allow some independence and privacy in home-like surroundings. Access in and around the facility is geared towards people who have difficulty with mobility, </w:t>
      </w:r>
      <w:r w:rsidR="005D5DFA" w:rsidRPr="00F23F2B">
        <w:rPr>
          <w:sz w:val="20"/>
          <w:szCs w:val="20"/>
        </w:rPr>
        <w:t>e.g.</w:t>
      </w:r>
      <w:r w:rsidRPr="00F23F2B">
        <w:rPr>
          <w:sz w:val="20"/>
          <w:szCs w:val="20"/>
        </w:rPr>
        <w:t xml:space="preserve">, the person may need to use a walking frame. Rest homes have some mild to moderately dependent residents who may need help with things like dressing and showering, as well as some who need a lot of help and probably also night care. Most residents are women and are aged over 75 years. Rest homes </w:t>
      </w:r>
      <w:proofErr w:type="gramStart"/>
      <w:r w:rsidRPr="00F23F2B">
        <w:rPr>
          <w:sz w:val="20"/>
          <w:szCs w:val="20"/>
        </w:rPr>
        <w:t>have some registered nurse hours and at least one care staff member on duty at all times</w:t>
      </w:r>
      <w:proofErr w:type="gramEnd"/>
      <w:r w:rsidRPr="00F23F2B">
        <w:rPr>
          <w:sz w:val="20"/>
          <w:szCs w:val="20"/>
        </w:rPr>
        <w:t>.</w:t>
      </w:r>
    </w:p>
    <w:p w14:paraId="0102B8D1" w14:textId="77777777" w:rsidR="007541A2" w:rsidRPr="00F23F2B" w:rsidRDefault="007541A2" w:rsidP="001F5965">
      <w:pPr>
        <w:pStyle w:val="ListBullet"/>
        <w:rPr>
          <w:sz w:val="20"/>
          <w:szCs w:val="20"/>
        </w:rPr>
      </w:pPr>
      <w:r w:rsidRPr="00F23F2B">
        <w:rPr>
          <w:b/>
          <w:sz w:val="20"/>
          <w:szCs w:val="20"/>
        </w:rPr>
        <w:t>Specialist dementia rest homes</w:t>
      </w:r>
      <w:r w:rsidRPr="00F23F2B">
        <w:rPr>
          <w:sz w:val="20"/>
          <w:szCs w:val="20"/>
        </w:rPr>
        <w:t xml:space="preserve"> A person with dementia may not require care in a specialist dementia rest home. Rest home, dementia rest home or hospital care may be recommended. In specialist dementia rest homes, assessment by a psycho-geriatrician is required and dependency is usually high. Residents have advanced Alzheimer's disease or age-related dementia. They will usually be mobile but have challenging behaviour that requires specialist care in a secure and safe environment. Dementia rest homes provide higher staffing levels to ensure close monitoring, and enclosed garden areas with restricted access to the street for those with persistent wandering."</w:t>
      </w:r>
    </w:p>
    <w:p w14:paraId="6078DF33" w14:textId="77777777" w:rsidR="007541A2" w:rsidRPr="00F23F2B" w:rsidRDefault="007541A2" w:rsidP="00DE01AF">
      <w:pPr>
        <w:pStyle w:val="FootnoteText"/>
        <w:spacing w:after="0"/>
      </w:pPr>
    </w:p>
  </w:footnote>
  <w:footnote w:id="82">
    <w:p w14:paraId="181786FD" w14:textId="77777777" w:rsidR="007541A2" w:rsidRPr="00F23F2B" w:rsidRDefault="007541A2" w:rsidP="00DE01AF">
      <w:pPr>
        <w:pStyle w:val="FootnoteText"/>
        <w:rPr>
          <w:rFonts w:cs="Arial"/>
        </w:rPr>
      </w:pPr>
      <w:r w:rsidRPr="00F23F2B">
        <w:rPr>
          <w:rStyle w:val="FootnoteReference"/>
          <w:rFonts w:cs="Arial"/>
        </w:rPr>
        <w:footnoteRef/>
      </w:r>
      <w:r w:rsidRPr="00F23F2B">
        <w:rPr>
          <w:rFonts w:cs="Arial"/>
        </w:rPr>
        <w:t xml:space="preserve"> </w:t>
      </w:r>
      <w:r w:rsidRPr="00F23F2B">
        <w:rPr>
          <w:rFonts w:cs="Arial"/>
          <w:color w:val="000000"/>
          <w:lang w:eastAsia="en-IE"/>
        </w:rPr>
        <w:t>(</w:t>
      </w:r>
      <w:proofErr w:type="gramStart"/>
      <w:r w:rsidRPr="00F23F2B">
        <w:rPr>
          <w:rFonts w:cs="Arial"/>
          <w:color w:val="000000"/>
          <w:lang w:eastAsia="en-IE"/>
        </w:rPr>
        <w:t>these</w:t>
      </w:r>
      <w:proofErr w:type="gramEnd"/>
      <w:r w:rsidRPr="00F23F2B">
        <w:rPr>
          <w:rFonts w:cs="Arial"/>
          <w:color w:val="000000"/>
          <w:lang w:eastAsia="en-IE"/>
        </w:rPr>
        <w:t xml:space="preserve"> may be undertaken as part of ongoing, routine monitoring processes or in response to a particular complaint)</w:t>
      </w:r>
    </w:p>
  </w:footnote>
  <w:footnote w:id="83">
    <w:p w14:paraId="59A26695" w14:textId="77777777" w:rsidR="007541A2" w:rsidRPr="00F23F2B" w:rsidRDefault="007541A2" w:rsidP="008C7752">
      <w:pPr>
        <w:autoSpaceDE w:val="0"/>
        <w:autoSpaceDN w:val="0"/>
        <w:adjustRightInd w:val="0"/>
        <w:spacing w:line="240" w:lineRule="atLeast"/>
        <w:rPr>
          <w:rFonts w:ascii="Helv" w:hAnsi="Helv" w:cs="Helv"/>
          <w:color w:val="000000"/>
          <w:sz w:val="20"/>
          <w:szCs w:val="20"/>
        </w:rPr>
      </w:pPr>
      <w:r w:rsidRPr="00F23F2B">
        <w:rPr>
          <w:rStyle w:val="FootnoteReference"/>
        </w:rPr>
        <w:footnoteRef/>
      </w:r>
      <w:r w:rsidRPr="00F23F2B">
        <w:t xml:space="preserve"> Source: </w:t>
      </w:r>
      <w:r w:rsidRPr="00F23F2B">
        <w:rPr>
          <w:rFonts w:ascii="Helv" w:hAnsi="Helv" w:cs="Helv"/>
          <w:color w:val="000000"/>
          <w:sz w:val="20"/>
          <w:szCs w:val="20"/>
        </w:rPr>
        <w:t xml:space="preserve">Ministry of Health, 2002, Disability Support Services Increasing participation and independence. </w:t>
      </w:r>
      <w:hyperlink r:id="rId59" w:history="1">
        <w:r w:rsidRPr="008D42CE">
          <w:rPr>
            <w:rStyle w:val="Hyperlink"/>
            <w:rFonts w:ascii="Helv" w:hAnsi="Helv" w:cs="Helv"/>
            <w:sz w:val="20"/>
            <w:szCs w:val="20"/>
          </w:rPr>
          <w:t>http://www.moh.govt.nz/moh.nsf/f872666357c511eb4c25666d000c8888/75f5a04fb626a985cc256c240079150d/$FILE/Disability%20Support%20Services.doc</w:t>
        </w:r>
      </w:hyperlink>
      <w:r>
        <w:rPr>
          <w:rFonts w:ascii="Helv" w:hAnsi="Helv" w:cs="Helv"/>
          <w:color w:val="000000"/>
          <w:sz w:val="20"/>
          <w:szCs w:val="20"/>
        </w:rPr>
        <w:t xml:space="preserve"> </w:t>
      </w:r>
    </w:p>
    <w:p w14:paraId="464657B1" w14:textId="77777777" w:rsidR="007541A2" w:rsidRPr="00F23F2B" w:rsidRDefault="005D5DFA" w:rsidP="008C7752">
      <w:pPr>
        <w:autoSpaceDE w:val="0"/>
        <w:autoSpaceDN w:val="0"/>
        <w:adjustRightInd w:val="0"/>
        <w:spacing w:line="240" w:lineRule="atLeast"/>
        <w:rPr>
          <w:rFonts w:ascii="Helv" w:hAnsi="Helv" w:cs="Helv"/>
          <w:color w:val="000000"/>
          <w:sz w:val="20"/>
          <w:szCs w:val="20"/>
        </w:rPr>
      </w:pPr>
      <w:r w:rsidRPr="00F23F2B">
        <w:rPr>
          <w:rFonts w:ascii="Helv" w:hAnsi="Helv" w:cs="Helv"/>
          <w:color w:val="000000"/>
          <w:sz w:val="20"/>
          <w:szCs w:val="20"/>
        </w:rPr>
        <w:t xml:space="preserve">Please note that although the table is based on the above details have been updated as appropriate. </w:t>
      </w:r>
    </w:p>
    <w:p w14:paraId="139EFAEB" w14:textId="77777777" w:rsidR="007541A2" w:rsidRPr="00F23F2B" w:rsidRDefault="007541A2" w:rsidP="008C7752">
      <w:pPr>
        <w:pStyle w:val="FootnoteText"/>
      </w:pPr>
    </w:p>
  </w:footnote>
  <w:footnote w:id="84">
    <w:p w14:paraId="550CC623" w14:textId="77777777" w:rsidR="007541A2" w:rsidRPr="00F23F2B" w:rsidRDefault="007541A2" w:rsidP="008C7752">
      <w:pPr>
        <w:pStyle w:val="FootnoteText"/>
        <w:rPr>
          <w:rFonts w:cs="Arial"/>
          <w:bCs/>
          <w:color w:val="000000"/>
        </w:rPr>
      </w:pPr>
      <w:r w:rsidRPr="00F23F2B">
        <w:rPr>
          <w:rStyle w:val="FootnoteReference"/>
        </w:rPr>
        <w:footnoteRef/>
      </w:r>
      <w:r w:rsidRPr="00F23F2B">
        <w:t xml:space="preserve"> </w:t>
      </w:r>
      <w:r w:rsidRPr="00F23F2B">
        <w:rPr>
          <w:rFonts w:cs="Arial"/>
        </w:rPr>
        <w:t xml:space="preserve">Statistics </w:t>
      </w:r>
      <w:smartTag w:uri="urn:schemas-microsoft-com:office:smarttags" w:element="country-region">
        <w:smartTag w:uri="urn:schemas-microsoft-com:office:smarttags" w:element="place">
          <w:r w:rsidRPr="00F23F2B">
            <w:rPr>
              <w:rFonts w:cs="Arial"/>
            </w:rPr>
            <w:t>new Zealand</w:t>
          </w:r>
        </w:smartTag>
      </w:smartTag>
      <w:r w:rsidRPr="00F23F2B">
        <w:rPr>
          <w:rFonts w:cs="Arial"/>
        </w:rPr>
        <w:t xml:space="preserve">, Disability Survey 2006, </w:t>
      </w:r>
      <w:hyperlink r:id="rId60" w:history="1">
        <w:r w:rsidRPr="008D42CE">
          <w:rPr>
            <w:rStyle w:val="Hyperlink"/>
            <w:rFonts w:cs="Arial"/>
            <w:bCs/>
          </w:rPr>
          <w:t>http://www.stats.govt.nz/methods_and_services/tablebuilder/disability-survey-tables.aspx</w:t>
        </w:r>
      </w:hyperlink>
      <w:r>
        <w:rPr>
          <w:rFonts w:cs="Arial"/>
          <w:bCs/>
          <w:color w:val="000000"/>
        </w:rPr>
        <w:t xml:space="preserve"> </w:t>
      </w:r>
      <w:r w:rsidRPr="00F23F2B">
        <w:rPr>
          <w:rFonts w:cs="Arial"/>
          <w:bCs/>
          <w:color w:val="000000"/>
        </w:rPr>
        <w:t xml:space="preserve"> </w:t>
      </w:r>
    </w:p>
    <w:p w14:paraId="661A1277" w14:textId="77777777" w:rsidR="007541A2" w:rsidRPr="00757B58" w:rsidRDefault="007541A2" w:rsidP="008C7752">
      <w:pPr>
        <w:pStyle w:val="FootnoteText"/>
      </w:pPr>
      <w:r w:rsidRPr="00F23F2B">
        <w:rPr>
          <w:rFonts w:cs="Arial"/>
          <w:bCs/>
          <w:color w:val="000000"/>
        </w:rPr>
        <w:t>Please note: Only some headline statistics from the 2006 survey were available as this</w:t>
      </w:r>
      <w:r w:rsidRPr="00757B58">
        <w:rPr>
          <w:rFonts w:cs="Arial"/>
          <w:bCs/>
          <w:color w:val="000000"/>
        </w:rPr>
        <w:t xml:space="preserve"> report was being concluded.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1"/>
    <w:multiLevelType w:val="singleLevel"/>
    <w:tmpl w:val="3AFE816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4"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5"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7" w15:restartNumberingAfterBreak="0">
    <w:nsid w:val="07CA782A"/>
    <w:multiLevelType w:val="hybridMultilevel"/>
    <w:tmpl w:val="7C8CA3D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624E6E"/>
    <w:multiLevelType w:val="hybridMultilevel"/>
    <w:tmpl w:val="1938FFE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C2724"/>
    <w:multiLevelType w:val="hybridMultilevel"/>
    <w:tmpl w:val="7F7E6E3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FC7B46"/>
    <w:multiLevelType w:val="hybridMultilevel"/>
    <w:tmpl w:val="ECA4D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6740B"/>
    <w:multiLevelType w:val="hybridMultilevel"/>
    <w:tmpl w:val="12F47372"/>
    <w:lvl w:ilvl="0" w:tplc="3AFE8164">
      <w:start w:val="1"/>
      <w:numFmt w:val="bullet"/>
      <w:lvlText w:val=""/>
      <w:lvlJc w:val="left"/>
      <w:pPr>
        <w:tabs>
          <w:tab w:val="num" w:pos="1209"/>
        </w:tabs>
        <w:ind w:left="1209"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F0043"/>
    <w:multiLevelType w:val="hybridMultilevel"/>
    <w:tmpl w:val="65A4D7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BC7795"/>
    <w:multiLevelType w:val="hybridMultilevel"/>
    <w:tmpl w:val="DC0A23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2791E"/>
    <w:multiLevelType w:val="hybridMultilevel"/>
    <w:tmpl w:val="90FA627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F45C8"/>
    <w:multiLevelType w:val="hybridMultilevel"/>
    <w:tmpl w:val="6BF4D82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C4634"/>
    <w:multiLevelType w:val="multilevel"/>
    <w:tmpl w:val="F0C6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055DEC"/>
    <w:multiLevelType w:val="hybridMultilevel"/>
    <w:tmpl w:val="4BC4EC22"/>
    <w:lvl w:ilvl="0" w:tplc="89C6FADE">
      <w:start w:val="1"/>
      <w:numFmt w:val="bullet"/>
      <w:lvlText w:val=""/>
      <w:lvlJc w:val="left"/>
      <w:pPr>
        <w:tabs>
          <w:tab w:val="num" w:pos="360"/>
        </w:tabs>
        <w:ind w:left="360" w:hanging="360"/>
      </w:pPr>
      <w:rPr>
        <w:rFonts w:ascii="Symbol" w:hAnsi="Symbol" w:hint="default"/>
        <w:sz w:val="24"/>
        <w:szCs w:val="24"/>
      </w:rPr>
    </w:lvl>
    <w:lvl w:ilvl="1" w:tplc="F5D0C8D0">
      <w:start w:val="1"/>
      <w:numFmt w:val="bullet"/>
      <w:lvlText w:val="o"/>
      <w:lvlJc w:val="left"/>
      <w:pPr>
        <w:tabs>
          <w:tab w:val="num" w:pos="1440"/>
        </w:tabs>
        <w:ind w:left="1440" w:hanging="360"/>
      </w:pPr>
      <w:rPr>
        <w:rFonts w:ascii="Courier New" w:hAnsi="Courier New" w:hint="default"/>
        <w:sz w:val="24"/>
        <w:szCs w:val="24"/>
      </w:rPr>
    </w:lvl>
    <w:lvl w:ilvl="2" w:tplc="5A96A798">
      <w:numFmt w:val="bullet"/>
      <w:lvlText w:val="-"/>
      <w:lvlJc w:val="left"/>
      <w:pPr>
        <w:tabs>
          <w:tab w:val="num" w:pos="2160"/>
        </w:tabs>
        <w:ind w:left="2160" w:hanging="360"/>
      </w:pPr>
      <w:rPr>
        <w:rFonts w:ascii="Arial" w:eastAsia="Times New Roman" w:hAnsi="Arial" w:cs="Arial"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B217A"/>
    <w:multiLevelType w:val="hybridMultilevel"/>
    <w:tmpl w:val="E9FAD326"/>
    <w:lvl w:ilvl="0" w:tplc="2BFE1AE8">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3B15DD"/>
    <w:multiLevelType w:val="hybridMultilevel"/>
    <w:tmpl w:val="C87CB4DA"/>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0" w15:restartNumberingAfterBreak="0">
    <w:nsid w:val="6D6B76FE"/>
    <w:multiLevelType w:val="hybridMultilevel"/>
    <w:tmpl w:val="8342157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64D9E"/>
    <w:multiLevelType w:val="hybridMultilevel"/>
    <w:tmpl w:val="BDDE72DE"/>
    <w:lvl w:ilvl="0" w:tplc="07B88F8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D73C7D"/>
    <w:multiLevelType w:val="hybridMultilevel"/>
    <w:tmpl w:val="9A5EB1E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272A64"/>
    <w:multiLevelType w:val="hybridMultilevel"/>
    <w:tmpl w:val="B498AADC"/>
    <w:lvl w:ilvl="0" w:tplc="0A0273C8">
      <w:start w:val="1"/>
      <w:numFmt w:val="bullet"/>
      <w:lvlText w:val=""/>
      <w:lvlJc w:val="left"/>
      <w:pPr>
        <w:tabs>
          <w:tab w:val="num" w:pos="360"/>
        </w:tabs>
        <w:ind w:left="360" w:hanging="360"/>
      </w:pPr>
      <w:rPr>
        <w:rFonts w:ascii="Symbol" w:hAnsi="Symbol" w:hint="default"/>
        <w:sz w:val="24"/>
        <w:szCs w:val="24"/>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C1F3F"/>
    <w:multiLevelType w:val="hybridMultilevel"/>
    <w:tmpl w:val="DE6C63C8"/>
    <w:lvl w:ilvl="0" w:tplc="203E3C04">
      <w:start w:val="1"/>
      <w:numFmt w:val="bullet"/>
      <w:lvlText w:val=""/>
      <w:lvlJc w:val="left"/>
      <w:pPr>
        <w:tabs>
          <w:tab w:val="num" w:pos="360"/>
        </w:tabs>
        <w:ind w:left="360" w:hanging="360"/>
      </w:pPr>
      <w:rPr>
        <w:rFonts w:ascii="Symbol" w:hAnsi="Symbol" w:hint="default"/>
        <w:sz w:val="24"/>
        <w:szCs w:val="24"/>
      </w:rPr>
    </w:lvl>
    <w:lvl w:ilvl="1" w:tplc="BBD0AA9E" w:tentative="1">
      <w:start w:val="1"/>
      <w:numFmt w:val="bullet"/>
      <w:lvlText w:val="o"/>
      <w:lvlJc w:val="left"/>
      <w:pPr>
        <w:tabs>
          <w:tab w:val="num" w:pos="1440"/>
        </w:tabs>
        <w:ind w:left="1440" w:hanging="360"/>
      </w:pPr>
      <w:rPr>
        <w:rFonts w:ascii="Courier New" w:hAnsi="Courier New" w:cs="Courier New" w:hint="default"/>
      </w:rPr>
    </w:lvl>
    <w:lvl w:ilvl="2" w:tplc="DB8C3F74" w:tentative="1">
      <w:start w:val="1"/>
      <w:numFmt w:val="bullet"/>
      <w:lvlText w:val=""/>
      <w:lvlJc w:val="left"/>
      <w:pPr>
        <w:tabs>
          <w:tab w:val="num" w:pos="2160"/>
        </w:tabs>
        <w:ind w:left="2160" w:hanging="360"/>
      </w:pPr>
      <w:rPr>
        <w:rFonts w:ascii="Wingdings" w:hAnsi="Wingdings" w:hint="default"/>
      </w:rPr>
    </w:lvl>
    <w:lvl w:ilvl="3" w:tplc="B952F420" w:tentative="1">
      <w:start w:val="1"/>
      <w:numFmt w:val="bullet"/>
      <w:lvlText w:val=""/>
      <w:lvlJc w:val="left"/>
      <w:pPr>
        <w:tabs>
          <w:tab w:val="num" w:pos="2880"/>
        </w:tabs>
        <w:ind w:left="2880" w:hanging="360"/>
      </w:pPr>
      <w:rPr>
        <w:rFonts w:ascii="Symbol" w:hAnsi="Symbol" w:hint="default"/>
      </w:rPr>
    </w:lvl>
    <w:lvl w:ilvl="4" w:tplc="138C4304" w:tentative="1">
      <w:start w:val="1"/>
      <w:numFmt w:val="bullet"/>
      <w:lvlText w:val="o"/>
      <w:lvlJc w:val="left"/>
      <w:pPr>
        <w:tabs>
          <w:tab w:val="num" w:pos="3600"/>
        </w:tabs>
        <w:ind w:left="3600" w:hanging="360"/>
      </w:pPr>
      <w:rPr>
        <w:rFonts w:ascii="Courier New" w:hAnsi="Courier New" w:cs="Courier New" w:hint="default"/>
      </w:rPr>
    </w:lvl>
    <w:lvl w:ilvl="5" w:tplc="7948452A" w:tentative="1">
      <w:start w:val="1"/>
      <w:numFmt w:val="bullet"/>
      <w:lvlText w:val=""/>
      <w:lvlJc w:val="left"/>
      <w:pPr>
        <w:tabs>
          <w:tab w:val="num" w:pos="4320"/>
        </w:tabs>
        <w:ind w:left="4320" w:hanging="360"/>
      </w:pPr>
      <w:rPr>
        <w:rFonts w:ascii="Wingdings" w:hAnsi="Wingdings" w:hint="default"/>
      </w:rPr>
    </w:lvl>
    <w:lvl w:ilvl="6" w:tplc="E8BAB8F2" w:tentative="1">
      <w:start w:val="1"/>
      <w:numFmt w:val="bullet"/>
      <w:lvlText w:val=""/>
      <w:lvlJc w:val="left"/>
      <w:pPr>
        <w:tabs>
          <w:tab w:val="num" w:pos="5040"/>
        </w:tabs>
        <w:ind w:left="5040" w:hanging="360"/>
      </w:pPr>
      <w:rPr>
        <w:rFonts w:ascii="Symbol" w:hAnsi="Symbol" w:hint="default"/>
      </w:rPr>
    </w:lvl>
    <w:lvl w:ilvl="7" w:tplc="B63A6952" w:tentative="1">
      <w:start w:val="1"/>
      <w:numFmt w:val="bullet"/>
      <w:lvlText w:val="o"/>
      <w:lvlJc w:val="left"/>
      <w:pPr>
        <w:tabs>
          <w:tab w:val="num" w:pos="5760"/>
        </w:tabs>
        <w:ind w:left="5760" w:hanging="360"/>
      </w:pPr>
      <w:rPr>
        <w:rFonts w:ascii="Courier New" w:hAnsi="Courier New" w:cs="Courier New" w:hint="default"/>
      </w:rPr>
    </w:lvl>
    <w:lvl w:ilvl="8" w:tplc="062AEA18" w:tentative="1">
      <w:start w:val="1"/>
      <w:numFmt w:val="bullet"/>
      <w:lvlText w:val=""/>
      <w:lvlJc w:val="left"/>
      <w:pPr>
        <w:tabs>
          <w:tab w:val="num" w:pos="6480"/>
        </w:tabs>
        <w:ind w:left="6480" w:hanging="360"/>
      </w:pPr>
      <w:rPr>
        <w:rFonts w:ascii="Wingdings" w:hAnsi="Wingdings" w:hint="default"/>
      </w:rPr>
    </w:lvl>
  </w:abstractNum>
  <w:num w:numId="1" w16cid:durableId="373192647">
    <w:abstractNumId w:val="9"/>
  </w:num>
  <w:num w:numId="2" w16cid:durableId="774449171">
    <w:abstractNumId w:val="16"/>
  </w:num>
  <w:num w:numId="3" w16cid:durableId="1853177381">
    <w:abstractNumId w:val="7"/>
  </w:num>
  <w:num w:numId="4" w16cid:durableId="1899971136">
    <w:abstractNumId w:val="21"/>
  </w:num>
  <w:num w:numId="5" w16cid:durableId="289168057">
    <w:abstractNumId w:val="10"/>
  </w:num>
  <w:num w:numId="6" w16cid:durableId="1585066656">
    <w:abstractNumId w:val="20"/>
  </w:num>
  <w:num w:numId="7" w16cid:durableId="1505632760">
    <w:abstractNumId w:val="22"/>
  </w:num>
  <w:num w:numId="8" w16cid:durableId="972559448">
    <w:abstractNumId w:val="13"/>
  </w:num>
  <w:num w:numId="9" w16cid:durableId="677270131">
    <w:abstractNumId w:val="14"/>
  </w:num>
  <w:num w:numId="10" w16cid:durableId="2047950618">
    <w:abstractNumId w:val="23"/>
  </w:num>
  <w:num w:numId="11" w16cid:durableId="1147282744">
    <w:abstractNumId w:val="17"/>
  </w:num>
  <w:num w:numId="12" w16cid:durableId="1241908085">
    <w:abstractNumId w:val="19"/>
  </w:num>
  <w:num w:numId="13" w16cid:durableId="568464649">
    <w:abstractNumId w:val="24"/>
  </w:num>
  <w:num w:numId="14" w16cid:durableId="1659923491">
    <w:abstractNumId w:val="12"/>
  </w:num>
  <w:num w:numId="15" w16cid:durableId="386103324">
    <w:abstractNumId w:val="6"/>
  </w:num>
  <w:num w:numId="16" w16cid:durableId="30955286">
    <w:abstractNumId w:val="4"/>
  </w:num>
  <w:num w:numId="17" w16cid:durableId="1242300965">
    <w:abstractNumId w:val="3"/>
  </w:num>
  <w:num w:numId="18" w16cid:durableId="1458794274">
    <w:abstractNumId w:val="5"/>
  </w:num>
  <w:num w:numId="19" w16cid:durableId="538470575">
    <w:abstractNumId w:val="1"/>
  </w:num>
  <w:num w:numId="20" w16cid:durableId="1604874004">
    <w:abstractNumId w:val="0"/>
  </w:num>
  <w:num w:numId="21" w16cid:durableId="1907105674">
    <w:abstractNumId w:val="2"/>
  </w:num>
  <w:num w:numId="22" w16cid:durableId="1661425280">
    <w:abstractNumId w:val="11"/>
  </w:num>
  <w:num w:numId="23" w16cid:durableId="197596677">
    <w:abstractNumId w:val="18"/>
  </w:num>
  <w:num w:numId="24" w16cid:durableId="1233657966">
    <w:abstractNumId w:val="15"/>
  </w:num>
  <w:num w:numId="25" w16cid:durableId="10484573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77"/>
    <w:rsid w:val="000005F0"/>
    <w:rsid w:val="00001316"/>
    <w:rsid w:val="00003D94"/>
    <w:rsid w:val="000214A6"/>
    <w:rsid w:val="00022E27"/>
    <w:rsid w:val="00037DE4"/>
    <w:rsid w:val="00046914"/>
    <w:rsid w:val="00064418"/>
    <w:rsid w:val="0006709C"/>
    <w:rsid w:val="00087D9F"/>
    <w:rsid w:val="0009265A"/>
    <w:rsid w:val="000A2EF2"/>
    <w:rsid w:val="000A3AB3"/>
    <w:rsid w:val="000B2936"/>
    <w:rsid w:val="000C6E91"/>
    <w:rsid w:val="000C7859"/>
    <w:rsid w:val="000E4652"/>
    <w:rsid w:val="0010247D"/>
    <w:rsid w:val="0011118C"/>
    <w:rsid w:val="00111BFA"/>
    <w:rsid w:val="001275E3"/>
    <w:rsid w:val="00134F9E"/>
    <w:rsid w:val="00146F60"/>
    <w:rsid w:val="00147066"/>
    <w:rsid w:val="00153414"/>
    <w:rsid w:val="001702B0"/>
    <w:rsid w:val="00184981"/>
    <w:rsid w:val="001B0602"/>
    <w:rsid w:val="001B1D11"/>
    <w:rsid w:val="001C26FE"/>
    <w:rsid w:val="001C5BED"/>
    <w:rsid w:val="001E276F"/>
    <w:rsid w:val="001E330B"/>
    <w:rsid w:val="001E5ED1"/>
    <w:rsid w:val="001F5965"/>
    <w:rsid w:val="00204676"/>
    <w:rsid w:val="00204E28"/>
    <w:rsid w:val="00215100"/>
    <w:rsid w:val="00215165"/>
    <w:rsid w:val="002327D5"/>
    <w:rsid w:val="00242A2A"/>
    <w:rsid w:val="00261804"/>
    <w:rsid w:val="00263B00"/>
    <w:rsid w:val="00273DE4"/>
    <w:rsid w:val="00282AD1"/>
    <w:rsid w:val="002A2295"/>
    <w:rsid w:val="002B19A5"/>
    <w:rsid w:val="002B2EEE"/>
    <w:rsid w:val="002C4046"/>
    <w:rsid w:val="002C6BDF"/>
    <w:rsid w:val="002D5A77"/>
    <w:rsid w:val="00311317"/>
    <w:rsid w:val="00321C76"/>
    <w:rsid w:val="00332CE9"/>
    <w:rsid w:val="00340FFE"/>
    <w:rsid w:val="00342DC7"/>
    <w:rsid w:val="00343247"/>
    <w:rsid w:val="00347510"/>
    <w:rsid w:val="00352F24"/>
    <w:rsid w:val="00354FF7"/>
    <w:rsid w:val="00361C77"/>
    <w:rsid w:val="003652ED"/>
    <w:rsid w:val="00367B6C"/>
    <w:rsid w:val="00380CAC"/>
    <w:rsid w:val="00386B4A"/>
    <w:rsid w:val="00393EB1"/>
    <w:rsid w:val="003A05C0"/>
    <w:rsid w:val="003A570E"/>
    <w:rsid w:val="003B52B8"/>
    <w:rsid w:val="003D2DD9"/>
    <w:rsid w:val="003E18D4"/>
    <w:rsid w:val="003E6D64"/>
    <w:rsid w:val="003F60E5"/>
    <w:rsid w:val="003F625C"/>
    <w:rsid w:val="003F773D"/>
    <w:rsid w:val="0040265E"/>
    <w:rsid w:val="004237F7"/>
    <w:rsid w:val="0043080E"/>
    <w:rsid w:val="004328CC"/>
    <w:rsid w:val="00435624"/>
    <w:rsid w:val="004438E0"/>
    <w:rsid w:val="0044717D"/>
    <w:rsid w:val="00447AC2"/>
    <w:rsid w:val="004539B3"/>
    <w:rsid w:val="004605CA"/>
    <w:rsid w:val="00461384"/>
    <w:rsid w:val="00463086"/>
    <w:rsid w:val="00463093"/>
    <w:rsid w:val="004656CE"/>
    <w:rsid w:val="00486E1A"/>
    <w:rsid w:val="00494382"/>
    <w:rsid w:val="004977A3"/>
    <w:rsid w:val="004B3E5E"/>
    <w:rsid w:val="004E1BA8"/>
    <w:rsid w:val="004E3150"/>
    <w:rsid w:val="004E6D5B"/>
    <w:rsid w:val="004F5D4F"/>
    <w:rsid w:val="0050382F"/>
    <w:rsid w:val="00505555"/>
    <w:rsid w:val="0051245E"/>
    <w:rsid w:val="00512BD1"/>
    <w:rsid w:val="00512C26"/>
    <w:rsid w:val="00526189"/>
    <w:rsid w:val="005336DC"/>
    <w:rsid w:val="00536E2A"/>
    <w:rsid w:val="00543287"/>
    <w:rsid w:val="00544D9F"/>
    <w:rsid w:val="0055681F"/>
    <w:rsid w:val="00557839"/>
    <w:rsid w:val="00561FB0"/>
    <w:rsid w:val="005633A3"/>
    <w:rsid w:val="00570DFD"/>
    <w:rsid w:val="00574617"/>
    <w:rsid w:val="00575092"/>
    <w:rsid w:val="0058533D"/>
    <w:rsid w:val="00591029"/>
    <w:rsid w:val="005A2D47"/>
    <w:rsid w:val="005A7B0E"/>
    <w:rsid w:val="005C1CCE"/>
    <w:rsid w:val="005C2423"/>
    <w:rsid w:val="005C3DC7"/>
    <w:rsid w:val="005D4751"/>
    <w:rsid w:val="005D5DFA"/>
    <w:rsid w:val="005E0AF9"/>
    <w:rsid w:val="005E29FB"/>
    <w:rsid w:val="005E48DA"/>
    <w:rsid w:val="005F1CD2"/>
    <w:rsid w:val="00601841"/>
    <w:rsid w:val="00606BF5"/>
    <w:rsid w:val="00626B3E"/>
    <w:rsid w:val="00641B03"/>
    <w:rsid w:val="00643A19"/>
    <w:rsid w:val="00653256"/>
    <w:rsid w:val="00663CAD"/>
    <w:rsid w:val="00670292"/>
    <w:rsid w:val="00676A9C"/>
    <w:rsid w:val="00684D10"/>
    <w:rsid w:val="00687071"/>
    <w:rsid w:val="00692FCA"/>
    <w:rsid w:val="006B60B2"/>
    <w:rsid w:val="006B63AE"/>
    <w:rsid w:val="006B7D49"/>
    <w:rsid w:val="006C1F42"/>
    <w:rsid w:val="006C7900"/>
    <w:rsid w:val="006D5F84"/>
    <w:rsid w:val="006E437B"/>
    <w:rsid w:val="00720E98"/>
    <w:rsid w:val="0072494C"/>
    <w:rsid w:val="00733069"/>
    <w:rsid w:val="007435CE"/>
    <w:rsid w:val="00751D99"/>
    <w:rsid w:val="007541A2"/>
    <w:rsid w:val="00757ECB"/>
    <w:rsid w:val="007636BF"/>
    <w:rsid w:val="00765C00"/>
    <w:rsid w:val="00767A9B"/>
    <w:rsid w:val="00771ADB"/>
    <w:rsid w:val="0077370B"/>
    <w:rsid w:val="00782F0C"/>
    <w:rsid w:val="00797937"/>
    <w:rsid w:val="007B09CA"/>
    <w:rsid w:val="007B2D94"/>
    <w:rsid w:val="007B3E03"/>
    <w:rsid w:val="007B5AD9"/>
    <w:rsid w:val="007B5DC5"/>
    <w:rsid w:val="007D24A8"/>
    <w:rsid w:val="007D2B37"/>
    <w:rsid w:val="007D406E"/>
    <w:rsid w:val="007D6F5F"/>
    <w:rsid w:val="007E4574"/>
    <w:rsid w:val="007E6BD4"/>
    <w:rsid w:val="007E7722"/>
    <w:rsid w:val="007F264A"/>
    <w:rsid w:val="007F5855"/>
    <w:rsid w:val="007F6593"/>
    <w:rsid w:val="00802552"/>
    <w:rsid w:val="0081168E"/>
    <w:rsid w:val="00813C98"/>
    <w:rsid w:val="00821AD2"/>
    <w:rsid w:val="00826AE7"/>
    <w:rsid w:val="00844155"/>
    <w:rsid w:val="00853B98"/>
    <w:rsid w:val="00862BB4"/>
    <w:rsid w:val="00872536"/>
    <w:rsid w:val="008738AB"/>
    <w:rsid w:val="008A104B"/>
    <w:rsid w:val="008A1F65"/>
    <w:rsid w:val="008A501D"/>
    <w:rsid w:val="008B2536"/>
    <w:rsid w:val="008B31FB"/>
    <w:rsid w:val="008C1A3C"/>
    <w:rsid w:val="008C7752"/>
    <w:rsid w:val="008E053C"/>
    <w:rsid w:val="008E1E6C"/>
    <w:rsid w:val="008E3292"/>
    <w:rsid w:val="008F040C"/>
    <w:rsid w:val="008F139E"/>
    <w:rsid w:val="008F58BB"/>
    <w:rsid w:val="008F65EC"/>
    <w:rsid w:val="008F68A7"/>
    <w:rsid w:val="008F770D"/>
    <w:rsid w:val="008F7F17"/>
    <w:rsid w:val="009019EF"/>
    <w:rsid w:val="00903AA8"/>
    <w:rsid w:val="009044A1"/>
    <w:rsid w:val="00910823"/>
    <w:rsid w:val="0092628F"/>
    <w:rsid w:val="00926A10"/>
    <w:rsid w:val="00927773"/>
    <w:rsid w:val="009322BA"/>
    <w:rsid w:val="0093439B"/>
    <w:rsid w:val="009357BB"/>
    <w:rsid w:val="009455A5"/>
    <w:rsid w:val="00945CEC"/>
    <w:rsid w:val="00947844"/>
    <w:rsid w:val="009579B1"/>
    <w:rsid w:val="00962D62"/>
    <w:rsid w:val="0096328B"/>
    <w:rsid w:val="00972980"/>
    <w:rsid w:val="00975BA0"/>
    <w:rsid w:val="00980954"/>
    <w:rsid w:val="00982026"/>
    <w:rsid w:val="009825C3"/>
    <w:rsid w:val="00991DCC"/>
    <w:rsid w:val="009A7C12"/>
    <w:rsid w:val="009B75F9"/>
    <w:rsid w:val="009C09B8"/>
    <w:rsid w:val="009C0E7F"/>
    <w:rsid w:val="009C25E4"/>
    <w:rsid w:val="009C5F2B"/>
    <w:rsid w:val="009C7242"/>
    <w:rsid w:val="009E1F3C"/>
    <w:rsid w:val="009E7A3B"/>
    <w:rsid w:val="009F033B"/>
    <w:rsid w:val="009F4D3E"/>
    <w:rsid w:val="00A01570"/>
    <w:rsid w:val="00A03DCB"/>
    <w:rsid w:val="00A068CA"/>
    <w:rsid w:val="00A15257"/>
    <w:rsid w:val="00A212EA"/>
    <w:rsid w:val="00A320A1"/>
    <w:rsid w:val="00A36199"/>
    <w:rsid w:val="00A6028A"/>
    <w:rsid w:val="00A6263C"/>
    <w:rsid w:val="00A66272"/>
    <w:rsid w:val="00A8074E"/>
    <w:rsid w:val="00A81B71"/>
    <w:rsid w:val="00A87B63"/>
    <w:rsid w:val="00A94E59"/>
    <w:rsid w:val="00A974E4"/>
    <w:rsid w:val="00AA3FAE"/>
    <w:rsid w:val="00AB0D94"/>
    <w:rsid w:val="00AC3DC8"/>
    <w:rsid w:val="00AC63D8"/>
    <w:rsid w:val="00AD3136"/>
    <w:rsid w:val="00AE19B1"/>
    <w:rsid w:val="00AE5042"/>
    <w:rsid w:val="00AE63CF"/>
    <w:rsid w:val="00B100A4"/>
    <w:rsid w:val="00B15BB4"/>
    <w:rsid w:val="00B2116E"/>
    <w:rsid w:val="00B33EBC"/>
    <w:rsid w:val="00B423AF"/>
    <w:rsid w:val="00B43BDF"/>
    <w:rsid w:val="00B44BF5"/>
    <w:rsid w:val="00B5036A"/>
    <w:rsid w:val="00B55E02"/>
    <w:rsid w:val="00B64612"/>
    <w:rsid w:val="00B817B9"/>
    <w:rsid w:val="00B83864"/>
    <w:rsid w:val="00B85A64"/>
    <w:rsid w:val="00B86F7A"/>
    <w:rsid w:val="00BA1D63"/>
    <w:rsid w:val="00BB50E2"/>
    <w:rsid w:val="00BC59F6"/>
    <w:rsid w:val="00BC7EA2"/>
    <w:rsid w:val="00BD0094"/>
    <w:rsid w:val="00BD0B6F"/>
    <w:rsid w:val="00BD4162"/>
    <w:rsid w:val="00BD62CC"/>
    <w:rsid w:val="00BE7C68"/>
    <w:rsid w:val="00BF2AE6"/>
    <w:rsid w:val="00BF36C9"/>
    <w:rsid w:val="00BF6E87"/>
    <w:rsid w:val="00C0120D"/>
    <w:rsid w:val="00C02A1D"/>
    <w:rsid w:val="00C07641"/>
    <w:rsid w:val="00C13592"/>
    <w:rsid w:val="00C2292F"/>
    <w:rsid w:val="00C371AB"/>
    <w:rsid w:val="00C37A99"/>
    <w:rsid w:val="00C6258F"/>
    <w:rsid w:val="00C74CB3"/>
    <w:rsid w:val="00C83D40"/>
    <w:rsid w:val="00C90549"/>
    <w:rsid w:val="00C907BF"/>
    <w:rsid w:val="00CA14DC"/>
    <w:rsid w:val="00CB2C25"/>
    <w:rsid w:val="00CC1B5C"/>
    <w:rsid w:val="00CF7FF9"/>
    <w:rsid w:val="00D06453"/>
    <w:rsid w:val="00D072C9"/>
    <w:rsid w:val="00D1262B"/>
    <w:rsid w:val="00D15865"/>
    <w:rsid w:val="00D2713D"/>
    <w:rsid w:val="00D3776B"/>
    <w:rsid w:val="00D4017C"/>
    <w:rsid w:val="00D4285E"/>
    <w:rsid w:val="00D45A5B"/>
    <w:rsid w:val="00D545E7"/>
    <w:rsid w:val="00D56D3A"/>
    <w:rsid w:val="00D56D9B"/>
    <w:rsid w:val="00D64E01"/>
    <w:rsid w:val="00D66BC2"/>
    <w:rsid w:val="00D80BFC"/>
    <w:rsid w:val="00D90993"/>
    <w:rsid w:val="00D91412"/>
    <w:rsid w:val="00DA2297"/>
    <w:rsid w:val="00DA3757"/>
    <w:rsid w:val="00DA3CDF"/>
    <w:rsid w:val="00DB1E8C"/>
    <w:rsid w:val="00DD5E8D"/>
    <w:rsid w:val="00DE01AF"/>
    <w:rsid w:val="00DE767D"/>
    <w:rsid w:val="00DF4EA3"/>
    <w:rsid w:val="00DF6597"/>
    <w:rsid w:val="00E12D9F"/>
    <w:rsid w:val="00E20A5E"/>
    <w:rsid w:val="00E21B13"/>
    <w:rsid w:val="00E25194"/>
    <w:rsid w:val="00E25736"/>
    <w:rsid w:val="00E31B1E"/>
    <w:rsid w:val="00E35182"/>
    <w:rsid w:val="00E37C41"/>
    <w:rsid w:val="00E45B2A"/>
    <w:rsid w:val="00E538CC"/>
    <w:rsid w:val="00E62D5A"/>
    <w:rsid w:val="00E7408E"/>
    <w:rsid w:val="00E748F9"/>
    <w:rsid w:val="00E76149"/>
    <w:rsid w:val="00E8220F"/>
    <w:rsid w:val="00E85073"/>
    <w:rsid w:val="00E9147C"/>
    <w:rsid w:val="00E96B6A"/>
    <w:rsid w:val="00EA412B"/>
    <w:rsid w:val="00EA7FD5"/>
    <w:rsid w:val="00EB1266"/>
    <w:rsid w:val="00EC3054"/>
    <w:rsid w:val="00ED13EE"/>
    <w:rsid w:val="00ED21B1"/>
    <w:rsid w:val="00ED5595"/>
    <w:rsid w:val="00ED6E7F"/>
    <w:rsid w:val="00ED7C32"/>
    <w:rsid w:val="00F01A8C"/>
    <w:rsid w:val="00F122D1"/>
    <w:rsid w:val="00F13A33"/>
    <w:rsid w:val="00F23F2B"/>
    <w:rsid w:val="00F3124A"/>
    <w:rsid w:val="00F33758"/>
    <w:rsid w:val="00F458E1"/>
    <w:rsid w:val="00F4691E"/>
    <w:rsid w:val="00F8156B"/>
    <w:rsid w:val="00F91535"/>
    <w:rsid w:val="00FA6BBB"/>
    <w:rsid w:val="00FA7D48"/>
    <w:rsid w:val="00FB12A2"/>
    <w:rsid w:val="00FB65E8"/>
    <w:rsid w:val="00FC295B"/>
    <w:rsid w:val="00FC6B58"/>
    <w:rsid w:val="00FD1DF9"/>
    <w:rsid w:val="00FD2BCD"/>
    <w:rsid w:val="00FD7362"/>
    <w:rsid w:val="00FE1289"/>
    <w:rsid w:val="00FE6DA4"/>
    <w:rsid w:val="00FF0504"/>
    <w:rsid w:val="00FF3E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B1CB99"/>
  <w15:chartTrackingRefBased/>
  <w15:docId w15:val="{DA28A2FA-BA38-49C9-B323-5849CE9F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597"/>
    <w:pPr>
      <w:spacing w:after="300" w:line="294" w:lineRule="exact"/>
    </w:pPr>
    <w:rPr>
      <w:rFonts w:ascii="Arial" w:hAnsi="Arial"/>
      <w:sz w:val="24"/>
      <w:szCs w:val="24"/>
      <w:lang w:eastAsia="en-US"/>
    </w:rPr>
  </w:style>
  <w:style w:type="paragraph" w:styleId="Heading1">
    <w:name w:val="heading 1"/>
    <w:aliases w:val="Attribute Heading 1"/>
    <w:basedOn w:val="Normal"/>
    <w:next w:val="Normal"/>
    <w:qFormat/>
    <w:rsid w:val="00DF6597"/>
    <w:pPr>
      <w:keepNext/>
      <w:spacing w:before="360" w:after="60"/>
      <w:ind w:left="-284"/>
      <w:outlineLvl w:val="0"/>
    </w:pPr>
    <w:rPr>
      <w:rFonts w:cs="Arial"/>
      <w:b/>
      <w:bCs/>
      <w:kern w:val="32"/>
      <w:sz w:val="32"/>
      <w:szCs w:val="32"/>
    </w:rPr>
  </w:style>
  <w:style w:type="paragraph" w:styleId="Heading2">
    <w:name w:val="heading 2"/>
    <w:aliases w:val="Sanyo 2 Char,Heading 2 Char"/>
    <w:basedOn w:val="Normal"/>
    <w:next w:val="Normal"/>
    <w:qFormat/>
    <w:rsid w:val="00DF659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DF6597"/>
    <w:pPr>
      <w:keepNext/>
      <w:spacing w:before="240" w:after="0"/>
      <w:outlineLvl w:val="2"/>
    </w:pPr>
    <w:rPr>
      <w:rFonts w:ascii="Arial Bold" w:hAnsi="Arial Bold" w:cs="Arial"/>
      <w:b/>
      <w:bCs/>
    </w:rPr>
  </w:style>
  <w:style w:type="paragraph" w:styleId="Heading4">
    <w:name w:val="heading 4"/>
    <w:basedOn w:val="Normal"/>
    <w:next w:val="Normal"/>
    <w:qFormat/>
    <w:rsid w:val="00DF6597"/>
    <w:pPr>
      <w:keepNext/>
      <w:spacing w:before="240" w:after="60"/>
      <w:outlineLvl w:val="3"/>
    </w:pPr>
    <w:rPr>
      <w:rFonts w:ascii="Arial Bold" w:hAnsi="Arial Bold"/>
      <w:b/>
      <w:bCs/>
      <w:color w:val="333333"/>
    </w:rPr>
  </w:style>
  <w:style w:type="paragraph" w:styleId="Heading5">
    <w:name w:val="heading 5"/>
    <w:basedOn w:val="Normal"/>
    <w:next w:val="Normal"/>
    <w:qFormat/>
    <w:rsid w:val="00DF6597"/>
    <w:pPr>
      <w:spacing w:before="240"/>
      <w:outlineLvl w:val="4"/>
    </w:pPr>
    <w:rPr>
      <w:b/>
      <w:bCs/>
      <w:i/>
      <w:iCs/>
      <w:sz w:val="26"/>
      <w:szCs w:val="26"/>
    </w:rPr>
  </w:style>
  <w:style w:type="paragraph" w:styleId="Heading6">
    <w:name w:val="heading 6"/>
    <w:basedOn w:val="Normal"/>
    <w:next w:val="Normal"/>
    <w:qFormat/>
    <w:rsid w:val="00DF6597"/>
    <w:pPr>
      <w:spacing w:before="240"/>
      <w:outlineLvl w:val="5"/>
    </w:pPr>
    <w:rPr>
      <w:rFonts w:ascii="Times New Roman" w:hAnsi="Times New Roman"/>
      <w:b/>
      <w:bCs/>
      <w:sz w:val="22"/>
      <w:szCs w:val="22"/>
    </w:rPr>
  </w:style>
  <w:style w:type="paragraph" w:styleId="Heading7">
    <w:name w:val="heading 7"/>
    <w:basedOn w:val="Normal"/>
    <w:next w:val="Normal"/>
    <w:qFormat/>
    <w:rsid w:val="00DF6597"/>
    <w:pPr>
      <w:keepNext/>
      <w:spacing w:before="240"/>
      <w:jc w:val="center"/>
      <w:outlineLvl w:val="6"/>
    </w:pPr>
    <w:rPr>
      <w:rFonts w:cs="Arial"/>
      <w:b/>
      <w:sz w:val="48"/>
      <w:szCs w:val="40"/>
    </w:rPr>
  </w:style>
  <w:style w:type="paragraph" w:styleId="Heading8">
    <w:name w:val="heading 8"/>
    <w:basedOn w:val="Normal"/>
    <w:next w:val="Normal"/>
    <w:qFormat/>
    <w:rsid w:val="00DF6597"/>
    <w:pPr>
      <w:keepNext/>
      <w:outlineLvl w:val="7"/>
    </w:pPr>
    <w:rPr>
      <w:sz w:val="32"/>
    </w:rPr>
  </w:style>
  <w:style w:type="paragraph" w:styleId="Heading9">
    <w:name w:val="heading 9"/>
    <w:basedOn w:val="Normal"/>
    <w:next w:val="Normal"/>
    <w:qFormat/>
    <w:rsid w:val="00DF6597"/>
    <w:pPr>
      <w:keepNext/>
      <w:spacing w:before="240"/>
      <w:outlineLvl w:val="8"/>
    </w:pPr>
    <w:rPr>
      <w:rFonts w:cs="Arial"/>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FootnoteText">
    <w:name w:val="footnote text"/>
    <w:basedOn w:val="Normal"/>
    <w:semiHidden/>
    <w:rsid w:val="00DF6597"/>
    <w:pPr>
      <w:spacing w:after="60" w:line="240" w:lineRule="auto"/>
    </w:pPr>
    <w:rPr>
      <w:sz w:val="20"/>
      <w:szCs w:val="20"/>
    </w:rPr>
  </w:style>
  <w:style w:type="character" w:styleId="FootnoteReference">
    <w:name w:val="footnote reference"/>
    <w:basedOn w:val="DefaultParagraphFont"/>
    <w:semiHidden/>
    <w:rPr>
      <w:vertAlign w:val="superscript"/>
    </w:rPr>
  </w:style>
  <w:style w:type="paragraph" w:customStyle="1" w:styleId="TableText">
    <w:name w:val="TableText"/>
    <w:basedOn w:val="Normal"/>
    <w:pPr>
      <w:spacing w:before="100" w:after="100"/>
    </w:pPr>
    <w:rPr>
      <w:rFonts w:ascii="Arial Mäori" w:hAnsi="Arial Mäori"/>
      <w:sz w:val="20"/>
      <w:szCs w:val="20"/>
      <w:lang w:val="en-NZ"/>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DefaultParagraphFont"/>
    <w:rsid w:val="00DF6597"/>
    <w:rPr>
      <w:color w:val="0000FF"/>
      <w:u w:val="single"/>
    </w:rPr>
  </w:style>
  <w:style w:type="paragraph" w:styleId="BodyText">
    <w:name w:val="Body Text"/>
    <w:basedOn w:val="Normal"/>
    <w:rsid w:val="00DF6597"/>
    <w:pPr>
      <w:spacing w:after="120"/>
    </w:pPr>
  </w:style>
  <w:style w:type="paragraph" w:customStyle="1" w:styleId="DHSText10pt">
    <w:name w:val="DHS Text 10pt"/>
    <w:basedOn w:val="Normal"/>
    <w:pPr>
      <w:widowControl w:val="0"/>
      <w:overflowPunct w:val="0"/>
      <w:autoSpaceDE w:val="0"/>
      <w:autoSpaceDN w:val="0"/>
      <w:adjustRightInd w:val="0"/>
      <w:textAlignment w:val="baseline"/>
    </w:pPr>
    <w:rPr>
      <w:rFonts w:ascii="Verdana" w:hAnsi="Verdana"/>
      <w:sz w:val="20"/>
      <w:szCs w:val="20"/>
      <w:lang w:val="en-AU"/>
    </w:rPr>
  </w:style>
  <w:style w:type="paragraph" w:customStyle="1" w:styleId="CM87">
    <w:name w:val="CM87"/>
    <w:basedOn w:val="Default"/>
    <w:next w:val="Default"/>
    <w:rPr>
      <w:rFonts w:cs="Times New Roman"/>
      <w:color w:val="auto"/>
    </w:rPr>
  </w:style>
  <w:style w:type="paragraph" w:styleId="Footer">
    <w:name w:val="footer"/>
    <w:basedOn w:val="Normal"/>
    <w:rsid w:val="00DF6597"/>
    <w:pPr>
      <w:tabs>
        <w:tab w:val="center" w:pos="4153"/>
        <w:tab w:val="right" w:pos="8306"/>
      </w:tabs>
      <w:spacing w:before="60" w:after="60" w:line="240" w:lineRule="auto"/>
    </w:pPr>
    <w:rPr>
      <w:color w:val="323232"/>
      <w:sz w:val="20"/>
      <w:szCs w:val="20"/>
    </w:rPr>
  </w:style>
  <w:style w:type="character" w:styleId="PageNumber">
    <w:name w:val="page number"/>
    <w:basedOn w:val="DefaultParagraphFont"/>
    <w:rsid w:val="00DF6597"/>
  </w:style>
  <w:style w:type="paragraph" w:customStyle="1" w:styleId="tabletext0">
    <w:name w:val="table_text"/>
    <w:basedOn w:val="Normal"/>
    <w:pPr>
      <w:widowControl w:val="0"/>
      <w:suppressAutoHyphens/>
      <w:autoSpaceDE w:val="0"/>
      <w:autoSpaceDN w:val="0"/>
      <w:adjustRightInd w:val="0"/>
      <w:spacing w:after="113" w:line="210" w:lineRule="atLeast"/>
      <w:textAlignment w:val="center"/>
    </w:pPr>
    <w:rPr>
      <w:rFonts w:ascii="CorporateSBQ-Light" w:hAnsi="CorporateSBQ-Light" w:cs="CorporateSBQ-Light"/>
      <w:color w:val="000000"/>
      <w:spacing w:val="-1"/>
      <w:sz w:val="17"/>
      <w:szCs w:val="17"/>
      <w:lang w:val="en-GB" w:bidi="ta-IN"/>
    </w:rPr>
  </w:style>
  <w:style w:type="character" w:styleId="HTMLAcronym">
    <w:name w:val="HTML Acronym"/>
    <w:basedOn w:val="DefaultParagraphFont"/>
  </w:style>
  <w:style w:type="character" w:styleId="FollowedHyperlink">
    <w:name w:val="FollowedHyperlink"/>
    <w:basedOn w:val="DefaultParagraphFont"/>
    <w:rsid w:val="00DF6597"/>
    <w:rPr>
      <w:color w:val="800080"/>
      <w:u w:val="single"/>
    </w:rPr>
  </w:style>
  <w:style w:type="paragraph" w:customStyle="1" w:styleId="headinga">
    <w:name w:val="heading_a"/>
    <w:basedOn w:val="Normal"/>
    <w:rsid w:val="000A2EF2"/>
    <w:pPr>
      <w:widowControl w:val="0"/>
      <w:suppressAutoHyphens/>
      <w:autoSpaceDE w:val="0"/>
      <w:autoSpaceDN w:val="0"/>
      <w:adjustRightInd w:val="0"/>
      <w:spacing w:after="170" w:line="400" w:lineRule="atLeast"/>
      <w:textAlignment w:val="center"/>
    </w:pPr>
    <w:rPr>
      <w:rFonts w:ascii="CorporateSBQ-Med" w:hAnsi="CorporateSBQ-Med" w:cs="CorporateSBQ-Med"/>
      <w:color w:val="008AB0"/>
      <w:spacing w:val="-2"/>
      <w:sz w:val="32"/>
      <w:szCs w:val="32"/>
      <w:lang w:val="en-GB" w:bidi="ta-IN"/>
    </w:rPr>
  </w:style>
  <w:style w:type="table" w:styleId="TableGrid">
    <w:name w:val="Table Grid"/>
    <w:basedOn w:val="TableNormal"/>
    <w:rsid w:val="00170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702B0"/>
    <w:pPr>
      <w:spacing w:after="120"/>
    </w:pPr>
    <w:rPr>
      <w:sz w:val="16"/>
      <w:szCs w:val="16"/>
    </w:rPr>
  </w:style>
  <w:style w:type="paragraph" w:customStyle="1" w:styleId="DHSTOCHeading">
    <w:name w:val="DHS TOC Heading"/>
    <w:basedOn w:val="Normal"/>
    <w:rsid w:val="001702B0"/>
    <w:pPr>
      <w:spacing w:after="160"/>
    </w:pPr>
    <w:rPr>
      <w:rFonts w:ascii="Verdana" w:hAnsi="Verdana"/>
      <w:sz w:val="28"/>
      <w:szCs w:val="20"/>
      <w:lang w:val="en-AU"/>
    </w:rPr>
  </w:style>
  <w:style w:type="paragraph" w:styleId="Title">
    <w:name w:val="Title"/>
    <w:basedOn w:val="Normal"/>
    <w:next w:val="Normal"/>
    <w:qFormat/>
    <w:rsid w:val="00DF6597"/>
    <w:pPr>
      <w:spacing w:before="240" w:after="60"/>
      <w:jc w:val="center"/>
      <w:outlineLvl w:val="0"/>
    </w:pPr>
    <w:rPr>
      <w:rFonts w:ascii="Arial Bold" w:hAnsi="Arial Bold" w:cs="Arial"/>
      <w:b/>
      <w:bCs/>
      <w:kern w:val="28"/>
      <w:sz w:val="32"/>
      <w:szCs w:val="32"/>
    </w:rPr>
  </w:style>
  <w:style w:type="paragraph" w:styleId="NormalWeb">
    <w:name w:val="Normal (Web)"/>
    <w:basedOn w:val="Normal"/>
    <w:rsid w:val="00543287"/>
    <w:pPr>
      <w:spacing w:before="100" w:beforeAutospacing="1" w:after="100" w:afterAutospacing="1"/>
    </w:pPr>
    <w:rPr>
      <w:rFonts w:ascii="Verdana" w:hAnsi="Verdana"/>
    </w:rPr>
  </w:style>
  <w:style w:type="paragraph" w:customStyle="1" w:styleId="DraftHeading2">
    <w:name w:val="Draft Heading 2"/>
    <w:basedOn w:val="Normal"/>
    <w:next w:val="Normal"/>
    <w:rsid w:val="00543287"/>
    <w:pPr>
      <w:overflowPunct w:val="0"/>
      <w:autoSpaceDE w:val="0"/>
      <w:autoSpaceDN w:val="0"/>
      <w:adjustRightInd w:val="0"/>
      <w:spacing w:before="120"/>
      <w:textAlignment w:val="baseline"/>
    </w:pPr>
    <w:rPr>
      <w:szCs w:val="20"/>
      <w:lang w:val="en-AU"/>
    </w:rPr>
  </w:style>
  <w:style w:type="paragraph" w:customStyle="1" w:styleId="DraftHeading3">
    <w:name w:val="Draft Heading 3"/>
    <w:basedOn w:val="Normal"/>
    <w:next w:val="Normal"/>
    <w:rsid w:val="00543287"/>
    <w:pPr>
      <w:overflowPunct w:val="0"/>
      <w:autoSpaceDE w:val="0"/>
      <w:autoSpaceDN w:val="0"/>
      <w:adjustRightInd w:val="0"/>
      <w:spacing w:before="120"/>
      <w:textAlignment w:val="baseline"/>
    </w:pPr>
    <w:rPr>
      <w:szCs w:val="20"/>
      <w:lang w:val="en-AU"/>
    </w:rPr>
  </w:style>
  <w:style w:type="paragraph" w:customStyle="1" w:styleId="BodySectionSub">
    <w:name w:val="Body Section (Sub)"/>
    <w:next w:val="Normal"/>
    <w:rsid w:val="00543287"/>
    <w:pPr>
      <w:overflowPunct w:val="0"/>
      <w:autoSpaceDE w:val="0"/>
      <w:autoSpaceDN w:val="0"/>
      <w:adjustRightInd w:val="0"/>
      <w:spacing w:before="120"/>
      <w:ind w:left="1361"/>
      <w:textAlignment w:val="baseline"/>
    </w:pPr>
    <w:rPr>
      <w:sz w:val="24"/>
      <w:lang w:val="en-AU" w:eastAsia="en-US"/>
    </w:rPr>
  </w:style>
  <w:style w:type="paragraph" w:customStyle="1" w:styleId="DHSSubHeading">
    <w:name w:val="DHS Sub Heading"/>
    <w:basedOn w:val="Normal"/>
    <w:next w:val="Normal"/>
    <w:rsid w:val="00543287"/>
    <w:pPr>
      <w:widowControl w:val="0"/>
      <w:overflowPunct w:val="0"/>
      <w:autoSpaceDE w:val="0"/>
      <w:autoSpaceDN w:val="0"/>
      <w:adjustRightInd w:val="0"/>
      <w:spacing w:after="120"/>
      <w:textAlignment w:val="baseline"/>
    </w:pPr>
    <w:rPr>
      <w:rFonts w:ascii="Verdana" w:hAnsi="Verdana"/>
      <w:b/>
      <w:sz w:val="28"/>
      <w:szCs w:val="20"/>
      <w:lang w:val="en-AU"/>
    </w:rPr>
  </w:style>
  <w:style w:type="paragraph" w:styleId="TOC2">
    <w:name w:val="toc 2"/>
    <w:basedOn w:val="Normal"/>
    <w:next w:val="Normal"/>
    <w:autoRedefine/>
    <w:semiHidden/>
    <w:rsid w:val="000E4652"/>
    <w:pPr>
      <w:ind w:left="240"/>
    </w:pPr>
  </w:style>
  <w:style w:type="paragraph" w:styleId="TOC1">
    <w:name w:val="toc 1"/>
    <w:basedOn w:val="Normal"/>
    <w:next w:val="Normal"/>
    <w:autoRedefine/>
    <w:semiHidden/>
    <w:rsid w:val="000E4652"/>
  </w:style>
  <w:style w:type="character" w:customStyle="1" w:styleId="attribute-value">
    <w:name w:val="attribute-value"/>
    <w:basedOn w:val="DefaultParagraphFont"/>
    <w:rsid w:val="00DF6597"/>
  </w:style>
  <w:style w:type="paragraph" w:styleId="CommentText">
    <w:name w:val="annotation text"/>
    <w:basedOn w:val="Normal"/>
    <w:semiHidden/>
    <w:rsid w:val="00DF6597"/>
    <w:rPr>
      <w:sz w:val="20"/>
    </w:rPr>
  </w:style>
  <w:style w:type="paragraph" w:customStyle="1" w:styleId="BlockQuote">
    <w:name w:val="Block Quote"/>
    <w:basedOn w:val="CommentText"/>
    <w:rsid w:val="00DF6597"/>
    <w:pPr>
      <w:ind w:left="1134"/>
    </w:pPr>
    <w:rPr>
      <w:sz w:val="24"/>
    </w:rPr>
  </w:style>
  <w:style w:type="paragraph" w:styleId="BlockText">
    <w:name w:val="Block Text"/>
    <w:basedOn w:val="Normal"/>
    <w:rsid w:val="00DF6597"/>
    <w:pPr>
      <w:spacing w:after="120"/>
      <w:ind w:left="1440" w:right="1440"/>
    </w:pPr>
  </w:style>
  <w:style w:type="paragraph" w:styleId="BodyTextIndent">
    <w:name w:val="Body Text Indent"/>
    <w:basedOn w:val="Normal"/>
    <w:rsid w:val="00DF6597"/>
    <w:pPr>
      <w:spacing w:after="120"/>
      <w:ind w:left="283"/>
    </w:pPr>
  </w:style>
  <w:style w:type="paragraph" w:customStyle="1" w:styleId="Byline">
    <w:name w:val="Byline"/>
    <w:basedOn w:val="Normal"/>
    <w:next w:val="Normal"/>
    <w:rsid w:val="00DF6597"/>
    <w:pPr>
      <w:spacing w:after="0"/>
    </w:pPr>
    <w:rPr>
      <w:rFonts w:ascii="Times New Roman" w:hAnsi="Times New Roman"/>
      <w:i/>
      <w:iCs/>
      <w:lang w:val="en-GB" w:eastAsia="en-GB"/>
    </w:rPr>
  </w:style>
  <w:style w:type="paragraph" w:styleId="Caption">
    <w:name w:val="caption"/>
    <w:basedOn w:val="Normal"/>
    <w:next w:val="Normal"/>
    <w:qFormat/>
    <w:rsid w:val="00DF6597"/>
    <w:pPr>
      <w:spacing w:after="120" w:line="240" w:lineRule="auto"/>
      <w:jc w:val="center"/>
    </w:pPr>
    <w:rPr>
      <w:b/>
      <w:bCs/>
    </w:rPr>
  </w:style>
  <w:style w:type="paragraph" w:styleId="Date">
    <w:name w:val="Date"/>
    <w:basedOn w:val="Normal"/>
    <w:next w:val="Normal"/>
    <w:rsid w:val="00DF6597"/>
    <w:rPr>
      <w:i/>
    </w:rPr>
  </w:style>
  <w:style w:type="paragraph" w:customStyle="1" w:styleId="DefinitionDescription">
    <w:name w:val="Definition Description"/>
    <w:basedOn w:val="Normal"/>
    <w:next w:val="Normal"/>
    <w:rsid w:val="00DF6597"/>
    <w:pPr>
      <w:ind w:left="1077"/>
    </w:pPr>
  </w:style>
  <w:style w:type="paragraph" w:customStyle="1" w:styleId="DefinitionTerm">
    <w:name w:val="Definition Term"/>
    <w:basedOn w:val="Normal"/>
    <w:next w:val="DefinitionDescription"/>
    <w:rsid w:val="00DF6597"/>
    <w:rPr>
      <w:b/>
    </w:rPr>
  </w:style>
  <w:style w:type="paragraph" w:styleId="DocumentMap">
    <w:name w:val="Document Map"/>
    <w:basedOn w:val="Normal"/>
    <w:semiHidden/>
    <w:rsid w:val="00DF6597"/>
    <w:pPr>
      <w:shd w:val="clear" w:color="auto" w:fill="000080"/>
    </w:pPr>
    <w:rPr>
      <w:rFonts w:ascii="Tahoma" w:hAnsi="Tahoma" w:cs="Tahoma"/>
      <w:sz w:val="20"/>
    </w:rPr>
  </w:style>
  <w:style w:type="character" w:styleId="Emphasis">
    <w:name w:val="Emphasis"/>
    <w:basedOn w:val="DefaultParagraphFont"/>
    <w:qFormat/>
    <w:rsid w:val="00DF6597"/>
    <w:rPr>
      <w:i/>
    </w:rPr>
  </w:style>
  <w:style w:type="paragraph" w:customStyle="1" w:styleId="GraphCaption">
    <w:name w:val="GraphCaption"/>
    <w:basedOn w:val="Normal"/>
    <w:rsid w:val="00DF6597"/>
    <w:pPr>
      <w:keepNext/>
      <w:spacing w:after="120" w:line="240" w:lineRule="auto"/>
      <w:jc w:val="center"/>
    </w:pPr>
    <w:rPr>
      <w:rFonts w:ascii="Arial Bold" w:hAnsi="Arial Bold"/>
      <w:b/>
    </w:rPr>
  </w:style>
  <w:style w:type="paragraph" w:styleId="Header">
    <w:name w:val="header"/>
    <w:basedOn w:val="Normal"/>
    <w:rsid w:val="00DF6597"/>
    <w:pPr>
      <w:tabs>
        <w:tab w:val="center" w:pos="4320"/>
        <w:tab w:val="right" w:pos="8640"/>
      </w:tabs>
      <w:spacing w:after="0" w:line="240" w:lineRule="auto"/>
    </w:pPr>
    <w:rPr>
      <w:color w:val="333333"/>
      <w:sz w:val="20"/>
      <w:szCs w:val="20"/>
    </w:rPr>
  </w:style>
  <w:style w:type="paragraph" w:styleId="ListBullet">
    <w:name w:val="List Bullet"/>
    <w:basedOn w:val="Normal"/>
    <w:rsid w:val="00DF6597"/>
    <w:pPr>
      <w:numPr>
        <w:numId w:val="15"/>
      </w:numPr>
      <w:spacing w:before="120" w:after="120" w:line="240" w:lineRule="auto"/>
    </w:pPr>
  </w:style>
  <w:style w:type="paragraph" w:styleId="ListBullet2">
    <w:name w:val="List Bullet 2"/>
    <w:basedOn w:val="Normal"/>
    <w:rsid w:val="00DF6597"/>
    <w:pPr>
      <w:numPr>
        <w:numId w:val="16"/>
      </w:numPr>
      <w:spacing w:before="60" w:after="60"/>
    </w:pPr>
  </w:style>
  <w:style w:type="paragraph" w:styleId="ListBullet3">
    <w:name w:val="List Bullet 3"/>
    <w:basedOn w:val="Normal"/>
    <w:rsid w:val="00DF6597"/>
    <w:pPr>
      <w:numPr>
        <w:numId w:val="17"/>
      </w:numPr>
      <w:spacing w:before="60" w:after="60"/>
    </w:pPr>
  </w:style>
  <w:style w:type="paragraph" w:styleId="ListContinue">
    <w:name w:val="List Continue"/>
    <w:basedOn w:val="Normal"/>
    <w:rsid w:val="00DF6597"/>
    <w:pPr>
      <w:spacing w:before="120" w:after="120"/>
      <w:ind w:left="357"/>
    </w:pPr>
  </w:style>
  <w:style w:type="paragraph" w:styleId="ListContinue2">
    <w:name w:val="List Continue 2"/>
    <w:basedOn w:val="Normal"/>
    <w:rsid w:val="00DF6597"/>
    <w:pPr>
      <w:spacing w:before="60" w:after="60"/>
      <w:ind w:left="641"/>
    </w:pPr>
  </w:style>
  <w:style w:type="paragraph" w:styleId="ListContinue3">
    <w:name w:val="List Continue 3"/>
    <w:basedOn w:val="Normal"/>
    <w:rsid w:val="00DF6597"/>
    <w:pPr>
      <w:spacing w:before="60" w:after="60"/>
      <w:ind w:left="924"/>
    </w:pPr>
  </w:style>
  <w:style w:type="paragraph" w:styleId="ListNumber">
    <w:name w:val="List Number"/>
    <w:basedOn w:val="Normal"/>
    <w:rsid w:val="00DF6597"/>
    <w:pPr>
      <w:numPr>
        <w:numId w:val="18"/>
      </w:numPr>
      <w:tabs>
        <w:tab w:val="clear" w:pos="360"/>
      </w:tabs>
      <w:spacing w:after="120" w:line="240" w:lineRule="auto"/>
    </w:pPr>
  </w:style>
  <w:style w:type="paragraph" w:styleId="ListNumber2">
    <w:name w:val="List Number 2"/>
    <w:basedOn w:val="Normal"/>
    <w:rsid w:val="00DF6597"/>
    <w:pPr>
      <w:numPr>
        <w:numId w:val="19"/>
      </w:numPr>
      <w:tabs>
        <w:tab w:val="clear" w:pos="641"/>
        <w:tab w:val="num" w:pos="643"/>
      </w:tabs>
      <w:spacing w:before="60" w:after="60"/>
    </w:pPr>
  </w:style>
  <w:style w:type="paragraph" w:styleId="ListNumber3">
    <w:name w:val="List Number 3"/>
    <w:basedOn w:val="Normal"/>
    <w:rsid w:val="00DF6597"/>
    <w:pPr>
      <w:numPr>
        <w:numId w:val="20"/>
      </w:numPr>
      <w:tabs>
        <w:tab w:val="clear" w:pos="926"/>
        <w:tab w:val="num" w:pos="360"/>
      </w:tabs>
      <w:spacing w:before="60" w:after="60"/>
      <w:ind w:left="357" w:hanging="357"/>
    </w:pPr>
  </w:style>
  <w:style w:type="paragraph" w:styleId="MacroText">
    <w:name w:val="macro"/>
    <w:semiHidden/>
    <w:rsid w:val="00DF6597"/>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lang w:eastAsia="en-US"/>
    </w:rPr>
  </w:style>
  <w:style w:type="paragraph" w:styleId="NormalIndent">
    <w:name w:val="Normal Indent"/>
    <w:basedOn w:val="Normal"/>
    <w:rsid w:val="00DF6597"/>
    <w:pPr>
      <w:ind w:left="720"/>
    </w:pPr>
  </w:style>
  <w:style w:type="paragraph" w:customStyle="1" w:styleId="Note">
    <w:name w:val="Note"/>
    <w:basedOn w:val="BodyText"/>
    <w:rsid w:val="00DF6597"/>
    <w:pPr>
      <w:pBdr>
        <w:top w:val="single" w:sz="12" w:space="1" w:color="808080"/>
        <w:bottom w:val="single" w:sz="12" w:space="1" w:color="808080"/>
      </w:pBdr>
    </w:pPr>
    <w:rPr>
      <w:rFonts w:ascii="Charlotte Sans" w:hAnsi="Charlotte Sans"/>
      <w:lang w:val="en-GB"/>
    </w:rPr>
  </w:style>
  <w:style w:type="character" w:customStyle="1" w:styleId="Quote1">
    <w:name w:val="Quote1"/>
    <w:basedOn w:val="DefaultParagraphFont"/>
    <w:rsid w:val="00DF6597"/>
    <w:rPr>
      <w:i/>
    </w:rPr>
  </w:style>
  <w:style w:type="paragraph" w:styleId="Subtitle">
    <w:name w:val="Subtitle"/>
    <w:basedOn w:val="Normal"/>
    <w:next w:val="Normal"/>
    <w:qFormat/>
    <w:rsid w:val="00DF6597"/>
    <w:pPr>
      <w:jc w:val="center"/>
      <w:outlineLvl w:val="1"/>
    </w:pPr>
    <w:rPr>
      <w:sz w:val="28"/>
    </w:rPr>
  </w:style>
  <w:style w:type="paragraph" w:customStyle="1" w:styleId="TableCell">
    <w:name w:val="Table Cell"/>
    <w:basedOn w:val="Normal"/>
    <w:rsid w:val="00DF6597"/>
    <w:pPr>
      <w:spacing w:after="0" w:line="240" w:lineRule="auto"/>
    </w:pPr>
  </w:style>
  <w:style w:type="paragraph" w:customStyle="1" w:styleId="TableHead">
    <w:name w:val="Table Head"/>
    <w:basedOn w:val="Normal"/>
    <w:next w:val="Normal"/>
    <w:rsid w:val="00DF6597"/>
    <w:pPr>
      <w:spacing w:after="0"/>
    </w:pPr>
    <w:rPr>
      <w:b/>
    </w:rPr>
  </w:style>
  <w:style w:type="paragraph" w:customStyle="1" w:styleId="TableNote">
    <w:name w:val="Table Note"/>
    <w:basedOn w:val="Normal"/>
    <w:next w:val="Normal"/>
    <w:rsid w:val="00DF6597"/>
    <w:pPr>
      <w:spacing w:before="120"/>
      <w:jc w:val="center"/>
    </w:pPr>
    <w:rPr>
      <w:sz w:val="20"/>
      <w:szCs w:val="20"/>
    </w:rPr>
  </w:style>
  <w:style w:type="paragraph" w:customStyle="1" w:styleId="TableRowHead">
    <w:name w:val="Table Row Head"/>
    <w:basedOn w:val="Normal"/>
    <w:rsid w:val="00DF6597"/>
    <w:pPr>
      <w:keepNext/>
      <w:spacing w:after="0" w:line="240" w:lineRule="auto"/>
    </w:pPr>
    <w:rPr>
      <w:rFonts w:ascii="Arial Bold" w:hAnsi="Arial Bold"/>
      <w:b/>
    </w:rPr>
  </w:style>
  <w:style w:type="paragraph" w:customStyle="1" w:styleId="TableSummary">
    <w:name w:val="Table Summary"/>
    <w:basedOn w:val="Normal"/>
    <w:next w:val="TableHead"/>
    <w:rsid w:val="00DF6597"/>
    <w:pPr>
      <w:ind w:left="567" w:right="567"/>
      <w:jc w:val="center"/>
    </w:pPr>
    <w:rPr>
      <w:i/>
    </w:rPr>
  </w:style>
  <w:style w:type="paragraph" w:customStyle="1" w:styleId="TableTitle">
    <w:name w:val="Table Title"/>
    <w:basedOn w:val="Normal"/>
    <w:next w:val="TableSummary"/>
    <w:link w:val="TableTitleChar"/>
    <w:rsid w:val="00DF6597"/>
    <w:pPr>
      <w:keepNext/>
      <w:spacing w:before="240"/>
      <w:jc w:val="center"/>
    </w:pPr>
    <w:rPr>
      <w:b/>
    </w:rPr>
  </w:style>
  <w:style w:type="character" w:customStyle="1" w:styleId="TableTitleChar">
    <w:name w:val="Table Title Char"/>
    <w:basedOn w:val="DefaultParagraphFont"/>
    <w:link w:val="TableTitle"/>
    <w:rsid w:val="00261804"/>
    <w:rPr>
      <w:rFonts w:ascii="Arial" w:hAnsi="Arial"/>
      <w:b/>
      <w:sz w:val="24"/>
      <w:szCs w:val="24"/>
      <w:lang w:eastAsia="en-US"/>
    </w:rPr>
  </w:style>
  <w:style w:type="paragraph" w:customStyle="1" w:styleId="TaggedText">
    <w:name w:val="Tagged Text"/>
    <w:basedOn w:val="Normal"/>
    <w:rsid w:val="00DF6597"/>
    <w:pPr>
      <w:suppressAutoHyphens/>
      <w:spacing w:after="0"/>
    </w:pPr>
    <w:rPr>
      <w:rFonts w:ascii="Courier New" w:hAnsi="Courier New"/>
      <w:color w:val="FF0000"/>
    </w:rPr>
  </w:style>
  <w:style w:type="paragraph" w:customStyle="1" w:styleId="TableHeadRight">
    <w:name w:val="Table Head Right"/>
    <w:basedOn w:val="TableHead"/>
    <w:rsid w:val="00DF6597"/>
    <w:pPr>
      <w:spacing w:line="240" w:lineRule="auto"/>
      <w:jc w:val="right"/>
    </w:pPr>
  </w:style>
  <w:style w:type="paragraph" w:customStyle="1" w:styleId="TableCellLeft">
    <w:name w:val="Table Cell Left"/>
    <w:basedOn w:val="TableCell"/>
    <w:rsid w:val="00DF6597"/>
  </w:style>
  <w:style w:type="paragraph" w:styleId="TOC3">
    <w:name w:val="toc 3"/>
    <w:basedOn w:val="Normal"/>
    <w:next w:val="Normal"/>
    <w:autoRedefine/>
    <w:semiHidden/>
    <w:rsid w:val="000C7859"/>
    <w:pPr>
      <w:ind w:left="480"/>
    </w:pPr>
  </w:style>
  <w:style w:type="paragraph" w:styleId="BalloonText">
    <w:name w:val="Balloon Text"/>
    <w:basedOn w:val="Normal"/>
    <w:semiHidden/>
    <w:rsid w:val="00E76149"/>
    <w:rPr>
      <w:rFonts w:ascii="Tahoma" w:hAnsi="Tahoma" w:cs="Tahoma"/>
      <w:sz w:val="16"/>
      <w:szCs w:val="16"/>
    </w:rPr>
  </w:style>
  <w:style w:type="paragraph" w:styleId="HTMLPreformatted">
    <w:name w:val="HTML Preformatted"/>
    <w:basedOn w:val="Normal"/>
    <w:rsid w:val="00DE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IE"/>
    </w:rPr>
  </w:style>
  <w:style w:type="character" w:customStyle="1" w:styleId="Abbreviation">
    <w:name w:val="Abbreviation"/>
    <w:basedOn w:val="DefaultParagraphFont"/>
    <w:rsid w:val="00DF6597"/>
    <w:rPr>
      <w:u w:val="dottedHeavy"/>
    </w:rPr>
  </w:style>
  <w:style w:type="character" w:customStyle="1" w:styleId="Acronym">
    <w:name w:val="Acronym"/>
    <w:basedOn w:val="DefaultParagraphFont"/>
    <w:rsid w:val="00DF6597"/>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886022">
      <w:bodyDiv w:val="1"/>
      <w:marLeft w:val="0"/>
      <w:marRight w:val="0"/>
      <w:marTop w:val="0"/>
      <w:marBottom w:val="0"/>
      <w:divBdr>
        <w:top w:val="none" w:sz="0" w:space="0" w:color="auto"/>
        <w:left w:val="none" w:sz="0" w:space="0" w:color="auto"/>
        <w:bottom w:val="none" w:sz="0" w:space="0" w:color="auto"/>
        <w:right w:val="none" w:sz="0" w:space="0" w:color="auto"/>
      </w:divBdr>
    </w:div>
    <w:div w:id="21423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ulbright.org.nz/voices/axford/docs/axford2009_bonardi.pdf" TargetMode="External"/><Relationship Id="rId18" Type="http://schemas.openxmlformats.org/officeDocument/2006/relationships/hyperlink" Target="http://www.hrc.co.nz/report2/index.html" TargetMode="External"/><Relationship Id="rId26" Type="http://schemas.openxmlformats.org/officeDocument/2006/relationships/hyperlink" Target="http://www.moh.govt.nz/moh.nsf/Files/disability-servicespecs/$file/HCSS.pdf" TargetMode="External"/><Relationship Id="rId39" Type="http://schemas.openxmlformats.org/officeDocument/2006/relationships/hyperlink" Target="http://www.moh.govt.nz/moh.nsf/f872666357c511eb4c25666d000c8888/75f5a04fb626a985cc256c240079150d/$FILE/Disability%20Support%20Services.doc" TargetMode="External"/><Relationship Id="rId21" Type="http://schemas.openxmlformats.org/officeDocument/2006/relationships/hyperlink" Target="http://www.moh.govt.nz/moh.nsf/Files/disability/$file/ifa-v1.5-service-specs-reporting-templates-jun10.pdf" TargetMode="External"/><Relationship Id="rId34" Type="http://schemas.openxmlformats.org/officeDocument/2006/relationships/hyperlink" Target="http://www.moh.govt.nz/moh.nsf/238fd5fb4fd051844c256669006aed57/61758c73aa8ade8fcc256f320005800d?OpenDocument" TargetMode="External"/><Relationship Id="rId42" Type="http://schemas.openxmlformats.org/officeDocument/2006/relationships/hyperlink" Target="http://www.moh.govt.nz/moh.nsf/pagesmh/5238/$File/disability-service-spec-out-of-family-respite-tier1.doc" TargetMode="External"/><Relationship Id="rId47" Type="http://schemas.openxmlformats.org/officeDocument/2006/relationships/hyperlink" Target="http://www.transport.govt.nz/ourwork/Documents/total-mobility2.pdf" TargetMode="External"/><Relationship Id="rId50" Type="http://schemas.openxmlformats.org/officeDocument/2006/relationships/hyperlink" Target="http://www.beehive.govt.nz/node/28729" TargetMode="External"/><Relationship Id="rId55" Type="http://schemas.openxmlformats.org/officeDocument/2006/relationships/hyperlink" Target="http://www.parliament.nz/NR/rdonlyres/06259D2F-780B-40A0-9170-005C8C046E72/93089/DBSCH_SCR_4194_6219.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arliament.nz/NR/rdonlyres/8A7D9F6E-E272-41E4-BB27-63A3C4557F07/99832/DBHOH_PAP_17698_6462.pdf" TargetMode="External"/><Relationship Id="rId20" Type="http://schemas.openxmlformats.org/officeDocument/2006/relationships/hyperlink" Target="http://www.minedu.govt.nz/NZEducation/EducationPolicies/SpecialEducation/ForParents/EarlyInterventionServicesAndSupport.aspx" TargetMode="External"/><Relationship Id="rId29" Type="http://schemas.openxmlformats.org/officeDocument/2006/relationships/hyperlink" Target="http://www.moh.govt.nz/moh.nsf/indexmh/annual-report-0506" TargetMode="External"/><Relationship Id="rId41" Type="http://schemas.openxmlformats.org/officeDocument/2006/relationships/hyperlink" Target="http://www.moh.govt.nz/moh.nsf/Files/Dss/$file/Dss.pdf" TargetMode="External"/><Relationship Id="rId54" Type="http://schemas.openxmlformats.org/officeDocument/2006/relationships/hyperlink" Target="http://www.supportoptions.co.nz/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co.nz/PRD_EXT_CSMP/groups/external_communications/documents/papers_plans/dis_ctrb093142.pdf" TargetMode="External"/><Relationship Id="rId24" Type="http://schemas.openxmlformats.org/officeDocument/2006/relationships/hyperlink" Target="http://www.moh.govt.nz/moh.nsf/pagesmh/5241/$File/carer-support-factsheet-apr09.pdf" TargetMode="External"/><Relationship Id="rId32" Type="http://schemas.openxmlformats.org/officeDocument/2006/relationships/hyperlink" Target="http://www.moh.govt.nz/moh.nsf/fefd9e667cc713e9cc257011000678d8/189d9dcee0fa227fcc25705a001a2d18?OpenDocument" TargetMode="External"/><Relationship Id="rId37" Type="http://schemas.openxmlformats.org/officeDocument/2006/relationships/hyperlink" Target="http://www.moh.govt.nz/moh.nsf/0/65461551FA649C5CCC256F6B00782B1B/$File/healthandindependence2004.pdf" TargetMode="External"/><Relationship Id="rId40" Type="http://schemas.openxmlformats.org/officeDocument/2006/relationships/hyperlink" Target="http://www.moh.govt.nz/moh.nsf/82f4780aa066f8d7cc2570bb006b5d4d/75f5a04fb626a985cc256c240079150d/$FILE/DisabilitySupportServices.pdf" TargetMode="External"/><Relationship Id="rId45" Type="http://schemas.openxmlformats.org/officeDocument/2006/relationships/hyperlink" Target="http://www.msd.govt.nz/documents/about-msd-and-our-work/publications-resources/corporate/ndoc/msd-ndoe-2006-2007.pdf" TargetMode="External"/><Relationship Id="rId53" Type="http://schemas.openxmlformats.org/officeDocument/2006/relationships/hyperlink" Target="http://www.stats.govt.nz/methods_and_services/tablebuilder/disability-survey-tables.aspx" TargetMode="Externa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hranz.co.nz/pdfs/housing-choices-for-disabled-new-zealanders.pdf" TargetMode="External"/><Relationship Id="rId23" Type="http://schemas.openxmlformats.org/officeDocument/2006/relationships/hyperlink" Target="http://www.moh.govt.nz/moh.nsf/pagesmh/5244/$File/forums-summary-09+Final.pdf" TargetMode="External"/><Relationship Id="rId28" Type="http://schemas.openxmlformats.org/officeDocument/2006/relationships/hyperlink" Target="http://www.moh.govt.nz/moh.nsf/pagesmh/5238/$File/disability-service-spec-hbss-sept07.pdf" TargetMode="External"/><Relationship Id="rId36" Type="http://schemas.openxmlformats.org/officeDocument/2006/relationships/hyperlink" Target="http://www.moh.govt.nz/moh.nsf/0/8FD2A69286CD6715CC256F33007AADE4/$File/livingwithdisability.pdf" TargetMode="External"/><Relationship Id="rId49" Type="http://schemas.openxmlformats.org/officeDocument/2006/relationships/hyperlink" Target="http://www.beehive.govt.nz/release/day+service+funding+change+benefit+disabled+people" TargetMode="External"/><Relationship Id="rId57" Type="http://schemas.openxmlformats.org/officeDocument/2006/relationships/hyperlink" Target="http://cert.moh.govt.nz/certification/review.nsf/default?OpenForm" TargetMode="External"/><Relationship Id="rId61" Type="http://schemas.openxmlformats.org/officeDocument/2006/relationships/theme" Target="theme/theme1.xml"/><Relationship Id="rId10" Type="http://schemas.openxmlformats.org/officeDocument/2006/relationships/hyperlink" Target="http://www.nda.ie" TargetMode="External"/><Relationship Id="rId19" Type="http://schemas.openxmlformats.org/officeDocument/2006/relationships/hyperlink" Target="http://www.minedu.govt.nz/~/media/MinEdu/Files/RTF/EducationSectors/SpecialEducation/ORRS.rtf" TargetMode="External"/><Relationship Id="rId31" Type="http://schemas.openxmlformats.org/officeDocument/2006/relationships/hyperlink" Target="http://www.moh.govt.nz/moh.nsf/pagesmh/5238/$File/disability-service-spec-nasc.doc" TargetMode="External"/><Relationship Id="rId44" Type="http://schemas.openxmlformats.org/officeDocument/2006/relationships/hyperlink" Target="http://www.moh.govt.nz/moh.nsf/0/69A15ED7BE0F32FCCC256F6C000836FC/$File/dss-serviceusersurvey-largefont.pdf" TargetMode="External"/><Relationship Id="rId52" Type="http://schemas.openxmlformats.org/officeDocument/2006/relationships/hyperlink" Target="http://www.stats.govt.nz/methods_and_services/tablebuilder/disability-survey-tables.asp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zgg.org.nz/guidelines/0030/Brays_report.pdf" TargetMode="External"/><Relationship Id="rId22" Type="http://schemas.openxmlformats.org/officeDocument/2006/relationships/hyperlink" Target="http://www.moh.govt.nz/moh.nsf/indexmh/soi0912" TargetMode="External"/><Relationship Id="rId27" Type="http://schemas.openxmlformats.org/officeDocument/2006/relationships/hyperlink" Target="http://www.moh.govt.nz/moh.nsf/pagesmh/8573/$File/health-independence-2008.pdf" TargetMode="External"/><Relationship Id="rId30" Type="http://schemas.openxmlformats.org/officeDocument/2006/relationships/hyperlink" Target="http://www.moh.govt.nz/moh.nsf/pagesmh/5238/$File/disability-service-spec-nasc.doc" TargetMode="External"/><Relationship Id="rId35" Type="http://schemas.openxmlformats.org/officeDocument/2006/relationships/hyperlink" Target="http://www.moh.govt.nz/moh.nsf/238fd5fb4fd051844c256669006aed57/61758c73aa8ade8fcc256f320005800d?OpenDocument" TargetMode="External"/><Relationship Id="rId43" Type="http://schemas.openxmlformats.org/officeDocument/2006/relationships/hyperlink" Target="http://www.moh.govt.nz/eligibility" TargetMode="External"/><Relationship Id="rId48" Type="http://schemas.openxmlformats.org/officeDocument/2006/relationships/hyperlink" Target="http://www.nhc.health.govt.nz/moh.nsf/indexcm/nhc-ordinary-life" TargetMode="External"/><Relationship Id="rId56" Type="http://schemas.openxmlformats.org/officeDocument/2006/relationships/hyperlink" Target="http://www.wpro.who.int/NR/rdonlyres/B7DB4D58-7E19-4884-BD63-6F90D2DC1C47/0/Contracting_for_health.pdf" TargetMode="External"/><Relationship Id="rId8" Type="http://schemas.openxmlformats.org/officeDocument/2006/relationships/footer" Target="footer1.xml"/><Relationship Id="rId51" Type="http://schemas.openxmlformats.org/officeDocument/2006/relationships/hyperlink" Target="http://www.beehive.govt.nz/node/15851" TargetMode="External"/><Relationship Id="rId3" Type="http://schemas.openxmlformats.org/officeDocument/2006/relationships/settings" Target="settings.xml"/><Relationship Id="rId12" Type="http://schemas.openxmlformats.org/officeDocument/2006/relationships/hyperlink" Target="http://www.asenz.org.nz/resources/MemberSurveyResult.doc" TargetMode="External"/><Relationship Id="rId17" Type="http://schemas.openxmlformats.org/officeDocument/2006/relationships/hyperlink" Target="http://www.hdc.org.nz/files/hdc/code-leaflet.pdf" TargetMode="External"/><Relationship Id="rId25" Type="http://schemas.openxmlformats.org/officeDocument/2006/relationships/hyperlink" Target="http://www.moh.govt.nz/moh.nsf/pagesmh/5241/$File/respite-factsheet-apr09.pdf" TargetMode="External"/><Relationship Id="rId33" Type="http://schemas.openxmlformats.org/officeDocument/2006/relationships/hyperlink" Target="http://www.moh.govt.nz/moh.nsf/238fd5fb4fd051844c256669006aed57/61758c73aa8ade8fcc256f320005800d?OpenDocument" TargetMode="External"/><Relationship Id="rId38" Type="http://schemas.openxmlformats.org/officeDocument/2006/relationships/hyperlink" Target="http://www.moh.govt.nz/moh.nsf/82f4780aa066f8d7cc2570bb006b5d4d/75f5a04fb626a985cc256c240079150d/$FILE/DisabilitySupportServices.pdf" TargetMode="External"/><Relationship Id="rId46" Type="http://schemas.openxmlformats.org/officeDocument/2006/relationships/hyperlink" Target="http://www.msd.govt.nz/documents/about-msd-and-our-work/publications-resources/evaluation/pathways-inclusion/pathways-inclusion.doc" TargetMode="External"/><Relationship Id="rId59" Type="http://schemas.openxmlformats.org/officeDocument/2006/relationships/footer" Target="footer4.xml"/></Relationships>
</file>

<file path=word/_rels/footnotes.xml.rels><?xml version="1.0" encoding="UTF-8" standalone="yes"?>
<Relationships xmlns="http://schemas.openxmlformats.org/package/2006/relationships"><Relationship Id="rId13" Type="http://schemas.openxmlformats.org/officeDocument/2006/relationships/hyperlink" Target="http://www.moh.govt.nz/moh.nsf/indexmh/annual-report-0506" TargetMode="External"/><Relationship Id="rId18" Type="http://schemas.openxmlformats.org/officeDocument/2006/relationships/hyperlink" Target="http://www.moh.govt.nz/moh.nsf/0/69A15ED7BE0F32FCCC256F6C000836FC/$File/dss-serviceusersurvey-largefont.pdf" TargetMode="External"/><Relationship Id="rId26" Type="http://schemas.openxmlformats.org/officeDocument/2006/relationships/hyperlink" Target="http://www.moh.govt.nz/moh.nsf/238fd5fb4fd051844c256669006aed57/61758c73aa8ade8fcc256f320005800d?OpenDocument" TargetMode="External"/><Relationship Id="rId39" Type="http://schemas.openxmlformats.org/officeDocument/2006/relationships/hyperlink" Target="http://www.hrc.co.nz/report2/index.html" TargetMode="External"/><Relationship Id="rId21" Type="http://schemas.openxmlformats.org/officeDocument/2006/relationships/hyperlink" Target="http://www.parliament.nz/NR/rdonlyres/8A7D9F6E-E272-41E4-BB27-63A3C4557F07/99832/DBHOH_PAP_17698_6462.pdf" TargetMode="External"/><Relationship Id="rId34" Type="http://schemas.openxmlformats.org/officeDocument/2006/relationships/hyperlink" Target="http://www.moh.govt.nz/moh.nsf/238fd5fb4fd051844c256669006aed57/61758c73aa8ade8fcc256f320005800d?OpenDocument" TargetMode="External"/><Relationship Id="rId42" Type="http://schemas.openxmlformats.org/officeDocument/2006/relationships/hyperlink" Target="http://www.msd.govt.nz/documents/about-msd-and-our-work/publications-resources/corporate/ndoc/msd-ndoe-2006-2007.pdf" TargetMode="External"/><Relationship Id="rId47" Type="http://schemas.openxmlformats.org/officeDocument/2006/relationships/hyperlink" Target="http://www.incharge.org.nz" TargetMode="External"/><Relationship Id="rId50" Type="http://schemas.openxmlformats.org/officeDocument/2006/relationships/hyperlink" Target="http://www.supportoptions.co.nz/support/service.aspx?id=300" TargetMode="External"/><Relationship Id="rId55" Type="http://schemas.openxmlformats.org/officeDocument/2006/relationships/hyperlink" Target="http://www.nhc.health.govt.nz/moh.nsf/indexcm/nhc-ordinary-life" TargetMode="External"/><Relationship Id="rId7" Type="http://schemas.openxmlformats.org/officeDocument/2006/relationships/hyperlink" Target="http://www.stats.govt.nz/browse_for_stats/population/estimates_and_projections/NationalPopulationEstimates_HOTPJun09qtr.aspx" TargetMode="External"/><Relationship Id="rId12" Type="http://schemas.openxmlformats.org/officeDocument/2006/relationships/hyperlink" Target="http://www.moh.govt.nz/moh.nsf/82f4780aa066f8d7cc2570bb006b5d4d/75f5a04fb626a985cc256c240079150d/$FILE/DisabilitySupportServices.pdf" TargetMode="External"/><Relationship Id="rId17" Type="http://schemas.openxmlformats.org/officeDocument/2006/relationships/hyperlink" Target="http://www.fulbright.org.nz/voices/axford/docs/axford2009_bonardi.pdf" TargetMode="External"/><Relationship Id="rId25" Type="http://schemas.openxmlformats.org/officeDocument/2006/relationships/hyperlink" Target="http://www.nzgg.org.nz/guidelines/0030/Brays_report.pdf" TargetMode="External"/><Relationship Id="rId33" Type="http://schemas.openxmlformats.org/officeDocument/2006/relationships/hyperlink" Target="http://www.moh.govt.nz/moh.nsf/pagesmh/5241/$File/carer-support-factsheet-apr09.pdf" TargetMode="External"/><Relationship Id="rId38" Type="http://schemas.openxmlformats.org/officeDocument/2006/relationships/hyperlink" Target="http://www.moh.govt.nz/moh.nsf/fefd9e667cc713e9cc257011000678d8/189d9dcee0fa227fcc25705a001a2d18?OpenDocument" TargetMode="External"/><Relationship Id="rId46" Type="http://schemas.openxmlformats.org/officeDocument/2006/relationships/hyperlink" Target="http://www.asenz.org.nz/resources/MemberSurveyResult.doc" TargetMode="External"/><Relationship Id="rId59" Type="http://schemas.openxmlformats.org/officeDocument/2006/relationships/hyperlink" Target="http://www.moh.govt.nz/moh.nsf/f872666357c511eb4c25666d000c8888/75f5a04fb626a985cc256c240079150d/$FILE/Disability%20Support%20Services.doc" TargetMode="External"/><Relationship Id="rId2" Type="http://schemas.openxmlformats.org/officeDocument/2006/relationships/hyperlink" Target="http://www.statistics.gov.uk/pdfdir/pop0610.pdf" TargetMode="External"/><Relationship Id="rId16" Type="http://schemas.openxmlformats.org/officeDocument/2006/relationships/hyperlink" Target="http://www.hdc.org.nz/theact/theact-thecodedetail" TargetMode="External"/><Relationship Id="rId20" Type="http://schemas.openxmlformats.org/officeDocument/2006/relationships/hyperlink" Target="http://www.parliament.nz/NR/rdonlyres/06259D2F-780B-40A0-9170-005C8C046E72/93089/DBSCH_SCR_4194_6219.pdf" TargetMode="External"/><Relationship Id="rId29" Type="http://schemas.openxmlformats.org/officeDocument/2006/relationships/hyperlink" Target="http://www.moh.govt.nz/moh.nsf/238fd5fb4fd051844c256669006aed57/61758c73aa8ade8fcc256f320005800d?OpenDocument" TargetMode="External"/><Relationship Id="rId41" Type="http://schemas.openxmlformats.org/officeDocument/2006/relationships/hyperlink" Target="http://www.beehive.govt.nz/node/28729" TargetMode="External"/><Relationship Id="rId54" Type="http://schemas.openxmlformats.org/officeDocument/2006/relationships/hyperlink" Target="http://www.moh.govt.nz/moh.nsf/pagesmh/5238/$File/disability-service-spec-nasc.doc" TargetMode="External"/><Relationship Id="rId1" Type="http://schemas.openxmlformats.org/officeDocument/2006/relationships/hyperlink" Target="http://www.cso.ie" TargetMode="External"/><Relationship Id="rId6" Type="http://schemas.openxmlformats.org/officeDocument/2006/relationships/hyperlink" Target="http://www.ausstats.abs.gov.au/Ausstats/subscriber.nsf/0/4B3D2204865A8CCCCA25772900202261/$File/13672do002_201003.xls" TargetMode="External"/><Relationship Id="rId11" Type="http://schemas.openxmlformats.org/officeDocument/2006/relationships/hyperlink" Target="http://www.parliament.nz/NR/rdonlyres/06259D2F-780B-40A0-9170-005C8C046E72/93089/DBSCH_SCR_4194_6219.pdf" TargetMode="External"/><Relationship Id="rId24" Type="http://schemas.openxmlformats.org/officeDocument/2006/relationships/hyperlink" Target="http://www.moh.govt.nz/moh.nsf/pagesmh/5238/$File/disability-service-spec-nasc.doc" TargetMode="External"/><Relationship Id="rId32" Type="http://schemas.openxmlformats.org/officeDocument/2006/relationships/hyperlink" Target="http://www.moh.govt.nz/moh.nsf/pagesmh/5238/$File/disability-service-spec-out-of-family-respite-tier1.doc" TargetMode="External"/><Relationship Id="rId37" Type="http://schemas.openxmlformats.org/officeDocument/2006/relationships/hyperlink" Target="http://www.beehive.govt.nz/node/15851" TargetMode="External"/><Relationship Id="rId40" Type="http://schemas.openxmlformats.org/officeDocument/2006/relationships/hyperlink" Target="http://www.transport.govt.nz/ourwork/Documents/total-mobility2.pdf" TargetMode="External"/><Relationship Id="rId45" Type="http://schemas.openxmlformats.org/officeDocument/2006/relationships/hyperlink" Target="http://www.beehive.govt.nz/node/28729" TargetMode="External"/><Relationship Id="rId53" Type="http://schemas.openxmlformats.org/officeDocument/2006/relationships/hyperlink" Target="http://www.moh.govt.nz/moh.nsf/82f4780aa066f8d7cc2570bb006b5d4d/75f5a04fb626a985cc256c240079150d/$FILE/DisabilitySupportServices.pdf" TargetMode="External"/><Relationship Id="rId58" Type="http://schemas.openxmlformats.org/officeDocument/2006/relationships/hyperlink" Target="http://www.everybody.co.nz/page-0cf9b494-cf93-4ee1-8db8-aa3b2e527fbd.aspx" TargetMode="External"/><Relationship Id="rId5" Type="http://schemas.openxmlformats.org/officeDocument/2006/relationships/hyperlink" Target="http://www.ssb.no/folkber_en/tab-2009-12-17-01-en.html" TargetMode="External"/><Relationship Id="rId15" Type="http://schemas.openxmlformats.org/officeDocument/2006/relationships/hyperlink" Target="http://www.hdc.org.nz/aboutus" TargetMode="External"/><Relationship Id="rId23" Type="http://schemas.openxmlformats.org/officeDocument/2006/relationships/hyperlink" Target="http://www.chranz.co.nz/pdfs/housing-choices-for-disabled-new-zealanders.pdf" TargetMode="External"/><Relationship Id="rId28" Type="http://schemas.openxmlformats.org/officeDocument/2006/relationships/hyperlink" Target="http://www.moh.govt.nz/moh.nsf/Files/disability-servicespecs/$file/HCSS.pdf" TargetMode="External"/><Relationship Id="rId36" Type="http://schemas.openxmlformats.org/officeDocument/2006/relationships/hyperlink" Target="http://www.minedu.govt.nz/Parents/YourChild/SupportForYourChild/ExtraSupport/EarlyInterventionServicesAndSupport.aspx" TargetMode="External"/><Relationship Id="rId49" Type="http://schemas.openxmlformats.org/officeDocument/2006/relationships/hyperlink" Target="http://www.moh.govt.nz/moh.nsf/Files/disability/$file/ifa-v1.5-service-specs-reporting-templates-jun10.pdf" TargetMode="External"/><Relationship Id="rId57" Type="http://schemas.openxmlformats.org/officeDocument/2006/relationships/hyperlink" Target="http://www.moh.govt.nz/moh.nsf/pagesmh/5244/$File/forums-summary-09+Final.pdf" TargetMode="External"/><Relationship Id="rId10" Type="http://schemas.openxmlformats.org/officeDocument/2006/relationships/hyperlink" Target="http://www.supportoptions.co.nz/default.aspx" TargetMode="External"/><Relationship Id="rId19" Type="http://schemas.openxmlformats.org/officeDocument/2006/relationships/hyperlink" Target="http://www.moh.govt.nz/moh.nsf/0/65461551FA649C5CCC256F6B00782B1B/$File/healthandindependence2004.pdf" TargetMode="External"/><Relationship Id="rId31" Type="http://schemas.openxmlformats.org/officeDocument/2006/relationships/hyperlink" Target="http://www.moh.govt.nz/moh.nsf/pagesmh/5241/$File/respite-factsheet-apr09.pdf" TargetMode="External"/><Relationship Id="rId44" Type="http://schemas.openxmlformats.org/officeDocument/2006/relationships/hyperlink" Target="http://www.msd.govt.nz/documents/about-msd-and-our-work/publications-resources/evaluation/pathways-inclusion/pathways-inclusion.doc" TargetMode="External"/><Relationship Id="rId52" Type="http://schemas.openxmlformats.org/officeDocument/2006/relationships/hyperlink" Target="http://www.moh.govt.nz/moh.nsf/238fd5fb4fd051844c256669006aed57/61758c73aa8ade8fcc256f320005800d?OpenDocument" TargetMode="External"/><Relationship Id="rId60" Type="http://schemas.openxmlformats.org/officeDocument/2006/relationships/hyperlink" Target="http://www.stats.govt.nz/methods_and_services/tablebuilder/disability-survey-tables.aspx" TargetMode="External"/><Relationship Id="rId4" Type="http://schemas.openxmlformats.org/officeDocument/2006/relationships/hyperlink" Target="http://statline.cbs.nl/StatWeb/publication/?DM=SLEN&amp;PA=37296eng&amp;D1=0-51,56-68&amp;D2=56&amp;LA=EN&amp;VW=T" TargetMode="External"/><Relationship Id="rId9" Type="http://schemas.openxmlformats.org/officeDocument/2006/relationships/hyperlink" Target="http://www.stats.govt.nz/methods_and_services/tablebuilder/disability-survey-tables.aspx" TargetMode="External"/><Relationship Id="rId14" Type="http://schemas.openxmlformats.org/officeDocument/2006/relationships/hyperlink" Target="http://www.moh.govt.nz/moh.nsf/Files/Dss/$file/Dss.pdf" TargetMode="External"/><Relationship Id="rId22" Type="http://schemas.openxmlformats.org/officeDocument/2006/relationships/hyperlink" Target="http://www.wpro.who.int/NR/rdonlyres/B7DB4D58-7E19-4884-BD63-6F90D2DC1C47/0/Contracting_for_health.pdf" TargetMode="External"/><Relationship Id="rId27" Type="http://schemas.openxmlformats.org/officeDocument/2006/relationships/hyperlink" Target="http://www.moh.govt.nz/moh.nsf/Files/disability-servicespecs/$file/HCSS.pdf" TargetMode="External"/><Relationship Id="rId30" Type="http://schemas.openxmlformats.org/officeDocument/2006/relationships/hyperlink" Target="http://www.moh.govt.nz/moh.nsf/238fd5fb4fd051844c256669006aed57/61758c73aa8ade8fcc256f320005800d?OpenDocument" TargetMode="External"/><Relationship Id="rId35" Type="http://schemas.openxmlformats.org/officeDocument/2006/relationships/hyperlink" Target="http://www.minedu.govt.nz/~/media/MinEdu/Files/RTF/EducationSectors/SpecialEducation/ORRS.rtfORRS" TargetMode="External"/><Relationship Id="rId43" Type="http://schemas.openxmlformats.org/officeDocument/2006/relationships/hyperlink" Target="http://www.beehive.govt.nz/release/day+service+funding+change+benefit+disabled+people" TargetMode="External"/><Relationship Id="rId48" Type="http://schemas.openxmlformats.org/officeDocument/2006/relationships/hyperlink" Target="http://www.moh.govt.nz/moh.nsf/indexmh/soi0912" TargetMode="External"/><Relationship Id="rId56" Type="http://schemas.openxmlformats.org/officeDocument/2006/relationships/hyperlink" Target="http://www.moh.govt.nz/moh.nsf/indexmh/disability-keyprojects-consumerconsortium" TargetMode="External"/><Relationship Id="rId8" Type="http://schemas.openxmlformats.org/officeDocument/2006/relationships/hyperlink" Target="http://www.moh.govt.nz/moh.nsf/0/8FD2A69286CD6715CC256F33007AADE4/$File/livingwithdisability.pdf" TargetMode="External"/><Relationship Id="rId51" Type="http://schemas.openxmlformats.org/officeDocument/2006/relationships/hyperlink" Target="http://www.moh.govt.nz/eligibility" TargetMode="External"/><Relationship Id="rId3" Type="http://schemas.openxmlformats.org/officeDocument/2006/relationships/hyperlink" Target="http://www.statistics.gov.uk/pdfdir/pop06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hollandc\Application%20Data\Microsoft\Templates\NDA%20Style%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2008</Template>
  <TotalTime>0</TotalTime>
  <Pages>56</Pages>
  <Words>12864</Words>
  <Characters>73329</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Table X </vt:lpstr>
    </vt:vector>
  </TitlesOfParts>
  <Company>DOJELR</Company>
  <LinksUpToDate>false</LinksUpToDate>
  <CharactersWithSpaces>86021</CharactersWithSpaces>
  <SharedDoc>false</SharedDoc>
  <HLinks>
    <vt:vector size="876" baseType="variant">
      <vt:variant>
        <vt:i4>4259866</vt:i4>
      </vt:variant>
      <vt:variant>
        <vt:i4>372</vt:i4>
      </vt:variant>
      <vt:variant>
        <vt:i4>0</vt:i4>
      </vt:variant>
      <vt:variant>
        <vt:i4>5</vt:i4>
      </vt:variant>
      <vt:variant>
        <vt:lpwstr>http://cert.moh.govt.nz/certification/review.nsf/default?OpenForm</vt:lpwstr>
      </vt:variant>
      <vt:variant>
        <vt:lpwstr/>
      </vt:variant>
      <vt:variant>
        <vt:i4>7798839</vt:i4>
      </vt:variant>
      <vt:variant>
        <vt:i4>369</vt:i4>
      </vt:variant>
      <vt:variant>
        <vt:i4>0</vt:i4>
      </vt:variant>
      <vt:variant>
        <vt:i4>5</vt:i4>
      </vt:variant>
      <vt:variant>
        <vt:lpwstr>http://www.wpro.who.int/NR/rdonlyres/B7DB4D58-7E19-4884-BD63-6F90D2DC1C47/0/Contracting_for_health.pdf</vt:lpwstr>
      </vt:variant>
      <vt:variant>
        <vt:lpwstr/>
      </vt:variant>
      <vt:variant>
        <vt:i4>3473476</vt:i4>
      </vt:variant>
      <vt:variant>
        <vt:i4>366</vt:i4>
      </vt:variant>
      <vt:variant>
        <vt:i4>0</vt:i4>
      </vt:variant>
      <vt:variant>
        <vt:i4>5</vt:i4>
      </vt:variant>
      <vt:variant>
        <vt:lpwstr>http://www.parliament.nz/NR/rdonlyres/06259D2F-780B-40A0-9170-005C8C046E72/93089/DBSCH_SCR_4194_6219.pdf</vt:lpwstr>
      </vt:variant>
      <vt:variant>
        <vt:lpwstr/>
      </vt:variant>
      <vt:variant>
        <vt:i4>589829</vt:i4>
      </vt:variant>
      <vt:variant>
        <vt:i4>363</vt:i4>
      </vt:variant>
      <vt:variant>
        <vt:i4>0</vt:i4>
      </vt:variant>
      <vt:variant>
        <vt:i4>5</vt:i4>
      </vt:variant>
      <vt:variant>
        <vt:lpwstr>http://www.supportoptions.co.nz/default.aspx</vt:lpwstr>
      </vt:variant>
      <vt:variant>
        <vt:lpwstr/>
      </vt:variant>
      <vt:variant>
        <vt:i4>5308503</vt:i4>
      </vt:variant>
      <vt:variant>
        <vt:i4>360</vt:i4>
      </vt:variant>
      <vt:variant>
        <vt:i4>0</vt:i4>
      </vt:variant>
      <vt:variant>
        <vt:i4>5</vt:i4>
      </vt:variant>
      <vt:variant>
        <vt:lpwstr>http://www.stats.govt.nz/methods_and_services/tablebuilder/disability-survey-tables.aspx</vt:lpwstr>
      </vt:variant>
      <vt:variant>
        <vt:lpwstr/>
      </vt:variant>
      <vt:variant>
        <vt:i4>5308503</vt:i4>
      </vt:variant>
      <vt:variant>
        <vt:i4>357</vt:i4>
      </vt:variant>
      <vt:variant>
        <vt:i4>0</vt:i4>
      </vt:variant>
      <vt:variant>
        <vt:i4>5</vt:i4>
      </vt:variant>
      <vt:variant>
        <vt:lpwstr>http://www.stats.govt.nz/methods_and_services/tablebuilder/disability-survey-tables.aspx</vt:lpwstr>
      </vt:variant>
      <vt:variant>
        <vt:lpwstr/>
      </vt:variant>
      <vt:variant>
        <vt:i4>4194396</vt:i4>
      </vt:variant>
      <vt:variant>
        <vt:i4>354</vt:i4>
      </vt:variant>
      <vt:variant>
        <vt:i4>0</vt:i4>
      </vt:variant>
      <vt:variant>
        <vt:i4>5</vt:i4>
      </vt:variant>
      <vt:variant>
        <vt:lpwstr>http://www.beehive.govt.nz/node/15851</vt:lpwstr>
      </vt:variant>
      <vt:variant>
        <vt:lpwstr/>
      </vt:variant>
      <vt:variant>
        <vt:i4>4849744</vt:i4>
      </vt:variant>
      <vt:variant>
        <vt:i4>351</vt:i4>
      </vt:variant>
      <vt:variant>
        <vt:i4>0</vt:i4>
      </vt:variant>
      <vt:variant>
        <vt:i4>5</vt:i4>
      </vt:variant>
      <vt:variant>
        <vt:lpwstr>http://www.beehive.govt.nz/node/28729</vt:lpwstr>
      </vt:variant>
      <vt:variant>
        <vt:lpwstr/>
      </vt:variant>
      <vt:variant>
        <vt:i4>1441813</vt:i4>
      </vt:variant>
      <vt:variant>
        <vt:i4>348</vt:i4>
      </vt:variant>
      <vt:variant>
        <vt:i4>0</vt:i4>
      </vt:variant>
      <vt:variant>
        <vt:i4>5</vt:i4>
      </vt:variant>
      <vt:variant>
        <vt:lpwstr>http://www.beehive.govt.nz/release/day+service+funding+change+benefit+disabled+people</vt:lpwstr>
      </vt:variant>
      <vt:variant>
        <vt:lpwstr/>
      </vt:variant>
      <vt:variant>
        <vt:i4>3735673</vt:i4>
      </vt:variant>
      <vt:variant>
        <vt:i4>345</vt:i4>
      </vt:variant>
      <vt:variant>
        <vt:i4>0</vt:i4>
      </vt:variant>
      <vt:variant>
        <vt:i4>5</vt:i4>
      </vt:variant>
      <vt:variant>
        <vt:lpwstr>http://www.nhc.health.govt.nz/moh.nsf/indexcm/nhc-ordinary-life</vt:lpwstr>
      </vt:variant>
      <vt:variant>
        <vt:lpwstr/>
      </vt:variant>
      <vt:variant>
        <vt:i4>2228286</vt:i4>
      </vt:variant>
      <vt:variant>
        <vt:i4>342</vt:i4>
      </vt:variant>
      <vt:variant>
        <vt:i4>0</vt:i4>
      </vt:variant>
      <vt:variant>
        <vt:i4>5</vt:i4>
      </vt:variant>
      <vt:variant>
        <vt:lpwstr>http://www.transport.govt.nz/ourwork/Documents/total-mobility2.pdf</vt:lpwstr>
      </vt:variant>
      <vt:variant>
        <vt:lpwstr/>
      </vt:variant>
      <vt:variant>
        <vt:i4>7929959</vt:i4>
      </vt:variant>
      <vt:variant>
        <vt:i4>339</vt:i4>
      </vt:variant>
      <vt:variant>
        <vt:i4>0</vt:i4>
      </vt:variant>
      <vt:variant>
        <vt:i4>5</vt:i4>
      </vt:variant>
      <vt:variant>
        <vt:lpwstr>http://www.msd.govt.nz/documents/about-msd-and-our-work/publications-resources/evaluation/pathways-inclusion/pathways-inclusion.doc</vt:lpwstr>
      </vt:variant>
      <vt:variant>
        <vt:lpwstr/>
      </vt:variant>
      <vt:variant>
        <vt:i4>1179728</vt:i4>
      </vt:variant>
      <vt:variant>
        <vt:i4>336</vt:i4>
      </vt:variant>
      <vt:variant>
        <vt:i4>0</vt:i4>
      </vt:variant>
      <vt:variant>
        <vt:i4>5</vt:i4>
      </vt:variant>
      <vt:variant>
        <vt:lpwstr>http://www.msd.govt.nz/documents/about-msd-and-our-work/publications-resources/corporate/ndoc/msd-ndoe-2006-2007.pdf</vt:lpwstr>
      </vt:variant>
      <vt:variant>
        <vt:lpwstr/>
      </vt:variant>
      <vt:variant>
        <vt:i4>6946854</vt:i4>
      </vt:variant>
      <vt:variant>
        <vt:i4>333</vt:i4>
      </vt:variant>
      <vt:variant>
        <vt:i4>0</vt:i4>
      </vt:variant>
      <vt:variant>
        <vt:i4>5</vt:i4>
      </vt:variant>
      <vt:variant>
        <vt:lpwstr>http://www.moh.govt.nz/moh.nsf/0/69A15ED7BE0F32FCCC256F6C000836FC/$File/dss-serviceusersurvey-largefont.pdf</vt:lpwstr>
      </vt:variant>
      <vt:variant>
        <vt:lpwstr/>
      </vt:variant>
      <vt:variant>
        <vt:i4>7798842</vt:i4>
      </vt:variant>
      <vt:variant>
        <vt:i4>330</vt:i4>
      </vt:variant>
      <vt:variant>
        <vt:i4>0</vt:i4>
      </vt:variant>
      <vt:variant>
        <vt:i4>5</vt:i4>
      </vt:variant>
      <vt:variant>
        <vt:lpwstr>http://www.moh.govt.nz/eligibility</vt:lpwstr>
      </vt:variant>
      <vt:variant>
        <vt:lpwstr/>
      </vt:variant>
      <vt:variant>
        <vt:i4>4391005</vt:i4>
      </vt:variant>
      <vt:variant>
        <vt:i4>327</vt:i4>
      </vt:variant>
      <vt:variant>
        <vt:i4>0</vt:i4>
      </vt:variant>
      <vt:variant>
        <vt:i4>5</vt:i4>
      </vt:variant>
      <vt:variant>
        <vt:lpwstr>http://www.moh.govt.nz/moh.nsf/pagesmh/5238/$File/disability-service-spec-out-of-family-respite-tier1.doc</vt:lpwstr>
      </vt:variant>
      <vt:variant>
        <vt:lpwstr/>
      </vt:variant>
      <vt:variant>
        <vt:i4>2162741</vt:i4>
      </vt:variant>
      <vt:variant>
        <vt:i4>324</vt:i4>
      </vt:variant>
      <vt:variant>
        <vt:i4>0</vt:i4>
      </vt:variant>
      <vt:variant>
        <vt:i4>5</vt:i4>
      </vt:variant>
      <vt:variant>
        <vt:lpwstr>http://www.moh.govt.nz/moh.nsf/Files/Dss/$file/Dss.pdf</vt:lpwstr>
      </vt:variant>
      <vt:variant>
        <vt:lpwstr/>
      </vt:variant>
      <vt:variant>
        <vt:i4>852035</vt:i4>
      </vt:variant>
      <vt:variant>
        <vt:i4>321</vt:i4>
      </vt:variant>
      <vt:variant>
        <vt:i4>0</vt:i4>
      </vt:variant>
      <vt:variant>
        <vt:i4>5</vt:i4>
      </vt:variant>
      <vt:variant>
        <vt:lpwstr>http://www.moh.govt.nz/moh.nsf/82f4780aa066f8d7cc2570bb006b5d4d/75f5a04fb626a985cc256c240079150d/$FILE/DisabilitySupportServices.pdf</vt:lpwstr>
      </vt:variant>
      <vt:variant>
        <vt:lpwstr/>
      </vt:variant>
      <vt:variant>
        <vt:i4>2687022</vt:i4>
      </vt:variant>
      <vt:variant>
        <vt:i4>318</vt:i4>
      </vt:variant>
      <vt:variant>
        <vt:i4>0</vt:i4>
      </vt:variant>
      <vt:variant>
        <vt:i4>5</vt:i4>
      </vt:variant>
      <vt:variant>
        <vt:lpwstr>http://www.moh.govt.nz/moh.nsf/f872666357c511eb4c25666d000c8888/75f5a04fb626a985cc256c240079150d/$FILE/Disability Support Services.doc</vt:lpwstr>
      </vt:variant>
      <vt:variant>
        <vt:lpwstr/>
      </vt:variant>
      <vt:variant>
        <vt:i4>852035</vt:i4>
      </vt:variant>
      <vt:variant>
        <vt:i4>315</vt:i4>
      </vt:variant>
      <vt:variant>
        <vt:i4>0</vt:i4>
      </vt:variant>
      <vt:variant>
        <vt:i4>5</vt:i4>
      </vt:variant>
      <vt:variant>
        <vt:lpwstr>http://www.moh.govt.nz/moh.nsf/82f4780aa066f8d7cc2570bb006b5d4d/75f5a04fb626a985cc256c240079150d/$FILE/DisabilitySupportServices.pdf</vt:lpwstr>
      </vt:variant>
      <vt:variant>
        <vt:lpwstr/>
      </vt:variant>
      <vt:variant>
        <vt:i4>65620</vt:i4>
      </vt:variant>
      <vt:variant>
        <vt:i4>312</vt:i4>
      </vt:variant>
      <vt:variant>
        <vt:i4>0</vt:i4>
      </vt:variant>
      <vt:variant>
        <vt:i4>5</vt:i4>
      </vt:variant>
      <vt:variant>
        <vt:lpwstr>http://www.moh.govt.nz/moh.nsf/0/65461551FA649C5CCC256F6B00782B1B/$File/healthandindependence2004.pdf</vt:lpwstr>
      </vt:variant>
      <vt:variant>
        <vt:lpwstr/>
      </vt:variant>
      <vt:variant>
        <vt:i4>5373955</vt:i4>
      </vt:variant>
      <vt:variant>
        <vt:i4>309</vt:i4>
      </vt:variant>
      <vt:variant>
        <vt:i4>0</vt:i4>
      </vt:variant>
      <vt:variant>
        <vt:i4>5</vt:i4>
      </vt:variant>
      <vt:variant>
        <vt:lpwstr>http://www.moh.govt.nz/moh.nsf/0/8FD2A69286CD6715CC256F33007AADE4/$File/livingwithdisability.pdf</vt:lpwstr>
      </vt:variant>
      <vt:variant>
        <vt:lpwstr/>
      </vt:variant>
      <vt:variant>
        <vt:i4>3539001</vt:i4>
      </vt:variant>
      <vt:variant>
        <vt:i4>306</vt:i4>
      </vt:variant>
      <vt:variant>
        <vt:i4>0</vt:i4>
      </vt:variant>
      <vt:variant>
        <vt:i4>5</vt:i4>
      </vt:variant>
      <vt:variant>
        <vt:lpwstr>http://www.moh.govt.nz/moh.nsf/238fd5fb4fd051844c256669006aed57/61758c73aa8ade8fcc256f320005800d?OpenDocument</vt:lpwstr>
      </vt:variant>
      <vt:variant>
        <vt:lpwstr>respitecare</vt:lpwstr>
      </vt:variant>
      <vt:variant>
        <vt:i4>3539001</vt:i4>
      </vt:variant>
      <vt:variant>
        <vt:i4>303</vt:i4>
      </vt:variant>
      <vt:variant>
        <vt:i4>0</vt:i4>
      </vt:variant>
      <vt:variant>
        <vt:i4>5</vt:i4>
      </vt:variant>
      <vt:variant>
        <vt:lpwstr>http://www.moh.govt.nz/moh.nsf/238fd5fb4fd051844c256669006aed57/61758c73aa8ade8fcc256f320005800d?OpenDocument</vt:lpwstr>
      </vt:variant>
      <vt:variant>
        <vt:lpwstr>respitecare</vt:lpwstr>
      </vt:variant>
      <vt:variant>
        <vt:i4>5308482</vt:i4>
      </vt:variant>
      <vt:variant>
        <vt:i4>300</vt:i4>
      </vt:variant>
      <vt:variant>
        <vt:i4>0</vt:i4>
      </vt:variant>
      <vt:variant>
        <vt:i4>5</vt:i4>
      </vt:variant>
      <vt:variant>
        <vt:lpwstr>http://www.moh.govt.nz/moh.nsf/238fd5fb4fd051844c256669006aed57/61758c73aa8ade8fcc256f320005800d?OpenDocument</vt:lpwstr>
      </vt:variant>
      <vt:variant>
        <vt:lpwstr>everdayactivities</vt:lpwstr>
      </vt:variant>
      <vt:variant>
        <vt:i4>1966160</vt:i4>
      </vt:variant>
      <vt:variant>
        <vt:i4>297</vt:i4>
      </vt:variant>
      <vt:variant>
        <vt:i4>0</vt:i4>
      </vt:variant>
      <vt:variant>
        <vt:i4>5</vt:i4>
      </vt:variant>
      <vt:variant>
        <vt:lpwstr>http://www.moh.govt.nz/moh.nsf/fefd9e667cc713e9cc257011000678d8/189d9dcee0fa227fcc25705a001a2d18?OpenDocument</vt:lpwstr>
      </vt:variant>
      <vt:variant>
        <vt:lpwstr/>
      </vt:variant>
      <vt:variant>
        <vt:i4>2359392</vt:i4>
      </vt:variant>
      <vt:variant>
        <vt:i4>294</vt:i4>
      </vt:variant>
      <vt:variant>
        <vt:i4>0</vt:i4>
      </vt:variant>
      <vt:variant>
        <vt:i4>5</vt:i4>
      </vt:variant>
      <vt:variant>
        <vt:lpwstr>http://www.moh.govt.nz/moh.nsf/pagesmh/5238/$File/disability-service-spec-nasc.doc</vt:lpwstr>
      </vt:variant>
      <vt:variant>
        <vt:lpwstr/>
      </vt:variant>
      <vt:variant>
        <vt:i4>2359392</vt:i4>
      </vt:variant>
      <vt:variant>
        <vt:i4>291</vt:i4>
      </vt:variant>
      <vt:variant>
        <vt:i4>0</vt:i4>
      </vt:variant>
      <vt:variant>
        <vt:i4>5</vt:i4>
      </vt:variant>
      <vt:variant>
        <vt:lpwstr>http://www.moh.govt.nz/moh.nsf/pagesmh/5238/$File/disability-service-spec-nasc.doc</vt:lpwstr>
      </vt:variant>
      <vt:variant>
        <vt:lpwstr/>
      </vt:variant>
      <vt:variant>
        <vt:i4>4587520</vt:i4>
      </vt:variant>
      <vt:variant>
        <vt:i4>288</vt:i4>
      </vt:variant>
      <vt:variant>
        <vt:i4>0</vt:i4>
      </vt:variant>
      <vt:variant>
        <vt:i4>5</vt:i4>
      </vt:variant>
      <vt:variant>
        <vt:lpwstr>http://www.moh.govt.nz/moh.nsf/indexmh/annual-report-0506</vt:lpwstr>
      </vt:variant>
      <vt:variant>
        <vt:lpwstr/>
      </vt:variant>
      <vt:variant>
        <vt:i4>4784220</vt:i4>
      </vt:variant>
      <vt:variant>
        <vt:i4>285</vt:i4>
      </vt:variant>
      <vt:variant>
        <vt:i4>0</vt:i4>
      </vt:variant>
      <vt:variant>
        <vt:i4>5</vt:i4>
      </vt:variant>
      <vt:variant>
        <vt:lpwstr>http://www.moh.govt.nz/moh.nsf/pagesmh/5238/$File/disability-service-spec-hbss-sept07.pdf</vt:lpwstr>
      </vt:variant>
      <vt:variant>
        <vt:lpwstr/>
      </vt:variant>
      <vt:variant>
        <vt:i4>2621479</vt:i4>
      </vt:variant>
      <vt:variant>
        <vt:i4>282</vt:i4>
      </vt:variant>
      <vt:variant>
        <vt:i4>0</vt:i4>
      </vt:variant>
      <vt:variant>
        <vt:i4>5</vt:i4>
      </vt:variant>
      <vt:variant>
        <vt:lpwstr>http://www.moh.govt.nz/moh.nsf/pagesmh/8573/$File/health-independence-2008.pdf</vt:lpwstr>
      </vt:variant>
      <vt:variant>
        <vt:lpwstr/>
      </vt:variant>
      <vt:variant>
        <vt:i4>3342448</vt:i4>
      </vt:variant>
      <vt:variant>
        <vt:i4>279</vt:i4>
      </vt:variant>
      <vt:variant>
        <vt:i4>0</vt:i4>
      </vt:variant>
      <vt:variant>
        <vt:i4>5</vt:i4>
      </vt:variant>
      <vt:variant>
        <vt:lpwstr>http://www.moh.govt.nz/moh.nsf/Files/disability-servicespecs/$file/HCSS.pdf</vt:lpwstr>
      </vt:variant>
      <vt:variant>
        <vt:lpwstr/>
      </vt:variant>
      <vt:variant>
        <vt:i4>1179659</vt:i4>
      </vt:variant>
      <vt:variant>
        <vt:i4>276</vt:i4>
      </vt:variant>
      <vt:variant>
        <vt:i4>0</vt:i4>
      </vt:variant>
      <vt:variant>
        <vt:i4>5</vt:i4>
      </vt:variant>
      <vt:variant>
        <vt:lpwstr>http://www.moh.govt.nz/moh.nsf/pagesmh/5241/$File/respite-factsheet-apr09.pdf</vt:lpwstr>
      </vt:variant>
      <vt:variant>
        <vt:lpwstr/>
      </vt:variant>
      <vt:variant>
        <vt:i4>2949245</vt:i4>
      </vt:variant>
      <vt:variant>
        <vt:i4>273</vt:i4>
      </vt:variant>
      <vt:variant>
        <vt:i4>0</vt:i4>
      </vt:variant>
      <vt:variant>
        <vt:i4>5</vt:i4>
      </vt:variant>
      <vt:variant>
        <vt:lpwstr>http://www.moh.govt.nz/moh.nsf/pagesmh/5241/$File/carer-support-factsheet-apr09.pdf</vt:lpwstr>
      </vt:variant>
      <vt:variant>
        <vt:lpwstr/>
      </vt:variant>
      <vt:variant>
        <vt:i4>5701632</vt:i4>
      </vt:variant>
      <vt:variant>
        <vt:i4>270</vt:i4>
      </vt:variant>
      <vt:variant>
        <vt:i4>0</vt:i4>
      </vt:variant>
      <vt:variant>
        <vt:i4>5</vt:i4>
      </vt:variant>
      <vt:variant>
        <vt:lpwstr>http://www.moh.govt.nz/moh.nsf/pagesmh/5244/$File/forums-summary-09+Final.pdf</vt:lpwstr>
      </vt:variant>
      <vt:variant>
        <vt:lpwstr/>
      </vt:variant>
      <vt:variant>
        <vt:i4>6946929</vt:i4>
      </vt:variant>
      <vt:variant>
        <vt:i4>267</vt:i4>
      </vt:variant>
      <vt:variant>
        <vt:i4>0</vt:i4>
      </vt:variant>
      <vt:variant>
        <vt:i4>5</vt:i4>
      </vt:variant>
      <vt:variant>
        <vt:lpwstr>http://www.moh.govt.nz/moh.nsf/indexmh/soi0912</vt:lpwstr>
      </vt:variant>
      <vt:variant>
        <vt:lpwstr/>
      </vt:variant>
      <vt:variant>
        <vt:i4>7405629</vt:i4>
      </vt:variant>
      <vt:variant>
        <vt:i4>264</vt:i4>
      </vt:variant>
      <vt:variant>
        <vt:i4>0</vt:i4>
      </vt:variant>
      <vt:variant>
        <vt:i4>5</vt:i4>
      </vt:variant>
      <vt:variant>
        <vt:lpwstr>http://www.moh.govt.nz/moh.nsf/Files/disability/$file/ifa-v1.5-service-specs-reporting-templates-jun10.pdf</vt:lpwstr>
      </vt:variant>
      <vt:variant>
        <vt:lpwstr/>
      </vt:variant>
      <vt:variant>
        <vt:i4>5308496</vt:i4>
      </vt:variant>
      <vt:variant>
        <vt:i4>261</vt:i4>
      </vt:variant>
      <vt:variant>
        <vt:i4>0</vt:i4>
      </vt:variant>
      <vt:variant>
        <vt:i4>5</vt:i4>
      </vt:variant>
      <vt:variant>
        <vt:lpwstr>http://www.minedu.govt.nz/NZEducation/EducationPolicies/SpecialEducation/ForParents/EarlyInterventionServicesAndSupport.aspx</vt:lpwstr>
      </vt:variant>
      <vt:variant>
        <vt:lpwstr/>
      </vt:variant>
      <vt:variant>
        <vt:i4>5832713</vt:i4>
      </vt:variant>
      <vt:variant>
        <vt:i4>258</vt:i4>
      </vt:variant>
      <vt:variant>
        <vt:i4>0</vt:i4>
      </vt:variant>
      <vt:variant>
        <vt:i4>5</vt:i4>
      </vt:variant>
      <vt:variant>
        <vt:lpwstr>http://www.minedu.govt.nz/~/media/MinEdu/Files/RTF/EducationSectors/SpecialEducation/ORRS.rtf</vt:lpwstr>
      </vt:variant>
      <vt:variant>
        <vt:lpwstr/>
      </vt:variant>
      <vt:variant>
        <vt:i4>2424866</vt:i4>
      </vt:variant>
      <vt:variant>
        <vt:i4>255</vt:i4>
      </vt:variant>
      <vt:variant>
        <vt:i4>0</vt:i4>
      </vt:variant>
      <vt:variant>
        <vt:i4>5</vt:i4>
      </vt:variant>
      <vt:variant>
        <vt:lpwstr>http://www.hrc.co.nz/report2/index.html</vt:lpwstr>
      </vt:variant>
      <vt:variant>
        <vt:lpwstr/>
      </vt:variant>
      <vt:variant>
        <vt:i4>524360</vt:i4>
      </vt:variant>
      <vt:variant>
        <vt:i4>252</vt:i4>
      </vt:variant>
      <vt:variant>
        <vt:i4>0</vt:i4>
      </vt:variant>
      <vt:variant>
        <vt:i4>5</vt:i4>
      </vt:variant>
      <vt:variant>
        <vt:lpwstr>http://www.hdc.org.nz/files/hdc/code-leaflet.pdf</vt:lpwstr>
      </vt:variant>
      <vt:variant>
        <vt:lpwstr/>
      </vt:variant>
      <vt:variant>
        <vt:i4>1835053</vt:i4>
      </vt:variant>
      <vt:variant>
        <vt:i4>249</vt:i4>
      </vt:variant>
      <vt:variant>
        <vt:i4>0</vt:i4>
      </vt:variant>
      <vt:variant>
        <vt:i4>5</vt:i4>
      </vt:variant>
      <vt:variant>
        <vt:lpwstr>http://www.parliament.nz/NR/rdonlyres/8A7D9F6E-E272-41E4-BB27-63A3C4557F07/99832/DBHOH_PAP_17698_6462.pdf</vt:lpwstr>
      </vt:variant>
      <vt:variant>
        <vt:lpwstr/>
      </vt:variant>
      <vt:variant>
        <vt:i4>4849734</vt:i4>
      </vt:variant>
      <vt:variant>
        <vt:i4>246</vt:i4>
      </vt:variant>
      <vt:variant>
        <vt:i4>0</vt:i4>
      </vt:variant>
      <vt:variant>
        <vt:i4>5</vt:i4>
      </vt:variant>
      <vt:variant>
        <vt:lpwstr>http://www.chranz.co.nz/pdfs/housing-choices-for-disabled-new-zealanders.pdf</vt:lpwstr>
      </vt:variant>
      <vt:variant>
        <vt:lpwstr/>
      </vt:variant>
      <vt:variant>
        <vt:i4>2621458</vt:i4>
      </vt:variant>
      <vt:variant>
        <vt:i4>243</vt:i4>
      </vt:variant>
      <vt:variant>
        <vt:i4>0</vt:i4>
      </vt:variant>
      <vt:variant>
        <vt:i4>5</vt:i4>
      </vt:variant>
      <vt:variant>
        <vt:lpwstr>http://www.nzgg.org.nz/guidelines/0030/Brays_report.pdf</vt:lpwstr>
      </vt:variant>
      <vt:variant>
        <vt:lpwstr/>
      </vt:variant>
      <vt:variant>
        <vt:i4>3670109</vt:i4>
      </vt:variant>
      <vt:variant>
        <vt:i4>240</vt:i4>
      </vt:variant>
      <vt:variant>
        <vt:i4>0</vt:i4>
      </vt:variant>
      <vt:variant>
        <vt:i4>5</vt:i4>
      </vt:variant>
      <vt:variant>
        <vt:lpwstr>http://www.fulbright.org.nz/voices/axford/docs/axford2009_bonardi.pdf</vt:lpwstr>
      </vt:variant>
      <vt:variant>
        <vt:lpwstr/>
      </vt:variant>
      <vt:variant>
        <vt:i4>4325388</vt:i4>
      </vt:variant>
      <vt:variant>
        <vt:i4>237</vt:i4>
      </vt:variant>
      <vt:variant>
        <vt:i4>0</vt:i4>
      </vt:variant>
      <vt:variant>
        <vt:i4>5</vt:i4>
      </vt:variant>
      <vt:variant>
        <vt:lpwstr>http://www.asenz.org.nz/resources/MemberSurveyResult.doc</vt:lpwstr>
      </vt:variant>
      <vt:variant>
        <vt:lpwstr/>
      </vt:variant>
      <vt:variant>
        <vt:i4>983139</vt:i4>
      </vt:variant>
      <vt:variant>
        <vt:i4>234</vt:i4>
      </vt:variant>
      <vt:variant>
        <vt:i4>0</vt:i4>
      </vt:variant>
      <vt:variant>
        <vt:i4>5</vt:i4>
      </vt:variant>
      <vt:variant>
        <vt:lpwstr>http://www.acc.co.nz/PRD_EXT_CSMP/groups/external_communications/documents/papers_plans/dis_ctrb093142.pdf</vt:lpwstr>
      </vt:variant>
      <vt:variant>
        <vt:lpwstr/>
      </vt:variant>
      <vt:variant>
        <vt:i4>6422655</vt:i4>
      </vt:variant>
      <vt:variant>
        <vt:i4>231</vt:i4>
      </vt:variant>
      <vt:variant>
        <vt:i4>0</vt:i4>
      </vt:variant>
      <vt:variant>
        <vt:i4>5</vt:i4>
      </vt:variant>
      <vt:variant>
        <vt:lpwstr>http://www.nda.ie/</vt:lpwstr>
      </vt:variant>
      <vt:variant>
        <vt:lpwstr/>
      </vt:variant>
      <vt:variant>
        <vt:i4>1376316</vt:i4>
      </vt:variant>
      <vt:variant>
        <vt:i4>224</vt:i4>
      </vt:variant>
      <vt:variant>
        <vt:i4>0</vt:i4>
      </vt:variant>
      <vt:variant>
        <vt:i4>5</vt:i4>
      </vt:variant>
      <vt:variant>
        <vt:lpwstr/>
      </vt:variant>
      <vt:variant>
        <vt:lpwstr>_Toc290886651</vt:lpwstr>
      </vt:variant>
      <vt:variant>
        <vt:i4>1376316</vt:i4>
      </vt:variant>
      <vt:variant>
        <vt:i4>218</vt:i4>
      </vt:variant>
      <vt:variant>
        <vt:i4>0</vt:i4>
      </vt:variant>
      <vt:variant>
        <vt:i4>5</vt:i4>
      </vt:variant>
      <vt:variant>
        <vt:lpwstr/>
      </vt:variant>
      <vt:variant>
        <vt:lpwstr>_Toc290886650</vt:lpwstr>
      </vt:variant>
      <vt:variant>
        <vt:i4>1310780</vt:i4>
      </vt:variant>
      <vt:variant>
        <vt:i4>212</vt:i4>
      </vt:variant>
      <vt:variant>
        <vt:i4>0</vt:i4>
      </vt:variant>
      <vt:variant>
        <vt:i4>5</vt:i4>
      </vt:variant>
      <vt:variant>
        <vt:lpwstr/>
      </vt:variant>
      <vt:variant>
        <vt:lpwstr>_Toc290886642</vt:lpwstr>
      </vt:variant>
      <vt:variant>
        <vt:i4>1310780</vt:i4>
      </vt:variant>
      <vt:variant>
        <vt:i4>206</vt:i4>
      </vt:variant>
      <vt:variant>
        <vt:i4>0</vt:i4>
      </vt:variant>
      <vt:variant>
        <vt:i4>5</vt:i4>
      </vt:variant>
      <vt:variant>
        <vt:lpwstr/>
      </vt:variant>
      <vt:variant>
        <vt:lpwstr>_Toc290886641</vt:lpwstr>
      </vt:variant>
      <vt:variant>
        <vt:i4>1310780</vt:i4>
      </vt:variant>
      <vt:variant>
        <vt:i4>200</vt:i4>
      </vt:variant>
      <vt:variant>
        <vt:i4>0</vt:i4>
      </vt:variant>
      <vt:variant>
        <vt:i4>5</vt:i4>
      </vt:variant>
      <vt:variant>
        <vt:lpwstr/>
      </vt:variant>
      <vt:variant>
        <vt:lpwstr>_Toc290886640</vt:lpwstr>
      </vt:variant>
      <vt:variant>
        <vt:i4>1245244</vt:i4>
      </vt:variant>
      <vt:variant>
        <vt:i4>194</vt:i4>
      </vt:variant>
      <vt:variant>
        <vt:i4>0</vt:i4>
      </vt:variant>
      <vt:variant>
        <vt:i4>5</vt:i4>
      </vt:variant>
      <vt:variant>
        <vt:lpwstr/>
      </vt:variant>
      <vt:variant>
        <vt:lpwstr>_Toc290886639</vt:lpwstr>
      </vt:variant>
      <vt:variant>
        <vt:i4>1245244</vt:i4>
      </vt:variant>
      <vt:variant>
        <vt:i4>188</vt:i4>
      </vt:variant>
      <vt:variant>
        <vt:i4>0</vt:i4>
      </vt:variant>
      <vt:variant>
        <vt:i4>5</vt:i4>
      </vt:variant>
      <vt:variant>
        <vt:lpwstr/>
      </vt:variant>
      <vt:variant>
        <vt:lpwstr>_Toc290886638</vt:lpwstr>
      </vt:variant>
      <vt:variant>
        <vt:i4>1245244</vt:i4>
      </vt:variant>
      <vt:variant>
        <vt:i4>182</vt:i4>
      </vt:variant>
      <vt:variant>
        <vt:i4>0</vt:i4>
      </vt:variant>
      <vt:variant>
        <vt:i4>5</vt:i4>
      </vt:variant>
      <vt:variant>
        <vt:lpwstr/>
      </vt:variant>
      <vt:variant>
        <vt:lpwstr>_Toc290886637</vt:lpwstr>
      </vt:variant>
      <vt:variant>
        <vt:i4>1245244</vt:i4>
      </vt:variant>
      <vt:variant>
        <vt:i4>176</vt:i4>
      </vt:variant>
      <vt:variant>
        <vt:i4>0</vt:i4>
      </vt:variant>
      <vt:variant>
        <vt:i4>5</vt:i4>
      </vt:variant>
      <vt:variant>
        <vt:lpwstr/>
      </vt:variant>
      <vt:variant>
        <vt:lpwstr>_Toc290886636</vt:lpwstr>
      </vt:variant>
      <vt:variant>
        <vt:i4>1245244</vt:i4>
      </vt:variant>
      <vt:variant>
        <vt:i4>170</vt:i4>
      </vt:variant>
      <vt:variant>
        <vt:i4>0</vt:i4>
      </vt:variant>
      <vt:variant>
        <vt:i4>5</vt:i4>
      </vt:variant>
      <vt:variant>
        <vt:lpwstr/>
      </vt:variant>
      <vt:variant>
        <vt:lpwstr>_Toc290886635</vt:lpwstr>
      </vt:variant>
      <vt:variant>
        <vt:i4>1245244</vt:i4>
      </vt:variant>
      <vt:variant>
        <vt:i4>164</vt:i4>
      </vt:variant>
      <vt:variant>
        <vt:i4>0</vt:i4>
      </vt:variant>
      <vt:variant>
        <vt:i4>5</vt:i4>
      </vt:variant>
      <vt:variant>
        <vt:lpwstr/>
      </vt:variant>
      <vt:variant>
        <vt:lpwstr>_Toc290886634</vt:lpwstr>
      </vt:variant>
      <vt:variant>
        <vt:i4>1245244</vt:i4>
      </vt:variant>
      <vt:variant>
        <vt:i4>158</vt:i4>
      </vt:variant>
      <vt:variant>
        <vt:i4>0</vt:i4>
      </vt:variant>
      <vt:variant>
        <vt:i4>5</vt:i4>
      </vt:variant>
      <vt:variant>
        <vt:lpwstr/>
      </vt:variant>
      <vt:variant>
        <vt:lpwstr>_Toc290886633</vt:lpwstr>
      </vt:variant>
      <vt:variant>
        <vt:i4>1245244</vt:i4>
      </vt:variant>
      <vt:variant>
        <vt:i4>152</vt:i4>
      </vt:variant>
      <vt:variant>
        <vt:i4>0</vt:i4>
      </vt:variant>
      <vt:variant>
        <vt:i4>5</vt:i4>
      </vt:variant>
      <vt:variant>
        <vt:lpwstr/>
      </vt:variant>
      <vt:variant>
        <vt:lpwstr>_Toc290886632</vt:lpwstr>
      </vt:variant>
      <vt:variant>
        <vt:i4>1245244</vt:i4>
      </vt:variant>
      <vt:variant>
        <vt:i4>146</vt:i4>
      </vt:variant>
      <vt:variant>
        <vt:i4>0</vt:i4>
      </vt:variant>
      <vt:variant>
        <vt:i4>5</vt:i4>
      </vt:variant>
      <vt:variant>
        <vt:lpwstr/>
      </vt:variant>
      <vt:variant>
        <vt:lpwstr>_Toc290886631</vt:lpwstr>
      </vt:variant>
      <vt:variant>
        <vt:i4>1245244</vt:i4>
      </vt:variant>
      <vt:variant>
        <vt:i4>140</vt:i4>
      </vt:variant>
      <vt:variant>
        <vt:i4>0</vt:i4>
      </vt:variant>
      <vt:variant>
        <vt:i4>5</vt:i4>
      </vt:variant>
      <vt:variant>
        <vt:lpwstr/>
      </vt:variant>
      <vt:variant>
        <vt:lpwstr>_Toc290886630</vt:lpwstr>
      </vt:variant>
      <vt:variant>
        <vt:i4>1179708</vt:i4>
      </vt:variant>
      <vt:variant>
        <vt:i4>134</vt:i4>
      </vt:variant>
      <vt:variant>
        <vt:i4>0</vt:i4>
      </vt:variant>
      <vt:variant>
        <vt:i4>5</vt:i4>
      </vt:variant>
      <vt:variant>
        <vt:lpwstr/>
      </vt:variant>
      <vt:variant>
        <vt:lpwstr>_Toc290886629</vt:lpwstr>
      </vt:variant>
      <vt:variant>
        <vt:i4>1179708</vt:i4>
      </vt:variant>
      <vt:variant>
        <vt:i4>128</vt:i4>
      </vt:variant>
      <vt:variant>
        <vt:i4>0</vt:i4>
      </vt:variant>
      <vt:variant>
        <vt:i4>5</vt:i4>
      </vt:variant>
      <vt:variant>
        <vt:lpwstr/>
      </vt:variant>
      <vt:variant>
        <vt:lpwstr>_Toc290886628</vt:lpwstr>
      </vt:variant>
      <vt:variant>
        <vt:i4>1179708</vt:i4>
      </vt:variant>
      <vt:variant>
        <vt:i4>122</vt:i4>
      </vt:variant>
      <vt:variant>
        <vt:i4>0</vt:i4>
      </vt:variant>
      <vt:variant>
        <vt:i4>5</vt:i4>
      </vt:variant>
      <vt:variant>
        <vt:lpwstr/>
      </vt:variant>
      <vt:variant>
        <vt:lpwstr>_Toc290886627</vt:lpwstr>
      </vt:variant>
      <vt:variant>
        <vt:i4>1179708</vt:i4>
      </vt:variant>
      <vt:variant>
        <vt:i4>116</vt:i4>
      </vt:variant>
      <vt:variant>
        <vt:i4>0</vt:i4>
      </vt:variant>
      <vt:variant>
        <vt:i4>5</vt:i4>
      </vt:variant>
      <vt:variant>
        <vt:lpwstr/>
      </vt:variant>
      <vt:variant>
        <vt:lpwstr>_Toc290886626</vt:lpwstr>
      </vt:variant>
      <vt:variant>
        <vt:i4>1179708</vt:i4>
      </vt:variant>
      <vt:variant>
        <vt:i4>110</vt:i4>
      </vt:variant>
      <vt:variant>
        <vt:i4>0</vt:i4>
      </vt:variant>
      <vt:variant>
        <vt:i4>5</vt:i4>
      </vt:variant>
      <vt:variant>
        <vt:lpwstr/>
      </vt:variant>
      <vt:variant>
        <vt:lpwstr>_Toc290886625</vt:lpwstr>
      </vt:variant>
      <vt:variant>
        <vt:i4>1179708</vt:i4>
      </vt:variant>
      <vt:variant>
        <vt:i4>104</vt:i4>
      </vt:variant>
      <vt:variant>
        <vt:i4>0</vt:i4>
      </vt:variant>
      <vt:variant>
        <vt:i4>5</vt:i4>
      </vt:variant>
      <vt:variant>
        <vt:lpwstr/>
      </vt:variant>
      <vt:variant>
        <vt:lpwstr>_Toc290886624</vt:lpwstr>
      </vt:variant>
      <vt:variant>
        <vt:i4>1179708</vt:i4>
      </vt:variant>
      <vt:variant>
        <vt:i4>98</vt:i4>
      </vt:variant>
      <vt:variant>
        <vt:i4>0</vt:i4>
      </vt:variant>
      <vt:variant>
        <vt:i4>5</vt:i4>
      </vt:variant>
      <vt:variant>
        <vt:lpwstr/>
      </vt:variant>
      <vt:variant>
        <vt:lpwstr>_Toc290886623</vt:lpwstr>
      </vt:variant>
      <vt:variant>
        <vt:i4>1179708</vt:i4>
      </vt:variant>
      <vt:variant>
        <vt:i4>92</vt:i4>
      </vt:variant>
      <vt:variant>
        <vt:i4>0</vt:i4>
      </vt:variant>
      <vt:variant>
        <vt:i4>5</vt:i4>
      </vt:variant>
      <vt:variant>
        <vt:lpwstr/>
      </vt:variant>
      <vt:variant>
        <vt:lpwstr>_Toc290886622</vt:lpwstr>
      </vt:variant>
      <vt:variant>
        <vt:i4>1179708</vt:i4>
      </vt:variant>
      <vt:variant>
        <vt:i4>86</vt:i4>
      </vt:variant>
      <vt:variant>
        <vt:i4>0</vt:i4>
      </vt:variant>
      <vt:variant>
        <vt:i4>5</vt:i4>
      </vt:variant>
      <vt:variant>
        <vt:lpwstr/>
      </vt:variant>
      <vt:variant>
        <vt:lpwstr>_Toc290886621</vt:lpwstr>
      </vt:variant>
      <vt:variant>
        <vt:i4>1179708</vt:i4>
      </vt:variant>
      <vt:variant>
        <vt:i4>80</vt:i4>
      </vt:variant>
      <vt:variant>
        <vt:i4>0</vt:i4>
      </vt:variant>
      <vt:variant>
        <vt:i4>5</vt:i4>
      </vt:variant>
      <vt:variant>
        <vt:lpwstr/>
      </vt:variant>
      <vt:variant>
        <vt:lpwstr>_Toc290886620</vt:lpwstr>
      </vt:variant>
      <vt:variant>
        <vt:i4>1114172</vt:i4>
      </vt:variant>
      <vt:variant>
        <vt:i4>74</vt:i4>
      </vt:variant>
      <vt:variant>
        <vt:i4>0</vt:i4>
      </vt:variant>
      <vt:variant>
        <vt:i4>5</vt:i4>
      </vt:variant>
      <vt:variant>
        <vt:lpwstr/>
      </vt:variant>
      <vt:variant>
        <vt:lpwstr>_Toc290886619</vt:lpwstr>
      </vt:variant>
      <vt:variant>
        <vt:i4>1114172</vt:i4>
      </vt:variant>
      <vt:variant>
        <vt:i4>68</vt:i4>
      </vt:variant>
      <vt:variant>
        <vt:i4>0</vt:i4>
      </vt:variant>
      <vt:variant>
        <vt:i4>5</vt:i4>
      </vt:variant>
      <vt:variant>
        <vt:lpwstr/>
      </vt:variant>
      <vt:variant>
        <vt:lpwstr>_Toc290886618</vt:lpwstr>
      </vt:variant>
      <vt:variant>
        <vt:i4>1114172</vt:i4>
      </vt:variant>
      <vt:variant>
        <vt:i4>62</vt:i4>
      </vt:variant>
      <vt:variant>
        <vt:i4>0</vt:i4>
      </vt:variant>
      <vt:variant>
        <vt:i4>5</vt:i4>
      </vt:variant>
      <vt:variant>
        <vt:lpwstr/>
      </vt:variant>
      <vt:variant>
        <vt:lpwstr>_Toc290886617</vt:lpwstr>
      </vt:variant>
      <vt:variant>
        <vt:i4>1114172</vt:i4>
      </vt:variant>
      <vt:variant>
        <vt:i4>56</vt:i4>
      </vt:variant>
      <vt:variant>
        <vt:i4>0</vt:i4>
      </vt:variant>
      <vt:variant>
        <vt:i4>5</vt:i4>
      </vt:variant>
      <vt:variant>
        <vt:lpwstr/>
      </vt:variant>
      <vt:variant>
        <vt:lpwstr>_Toc290886616</vt:lpwstr>
      </vt:variant>
      <vt:variant>
        <vt:i4>1114172</vt:i4>
      </vt:variant>
      <vt:variant>
        <vt:i4>50</vt:i4>
      </vt:variant>
      <vt:variant>
        <vt:i4>0</vt:i4>
      </vt:variant>
      <vt:variant>
        <vt:i4>5</vt:i4>
      </vt:variant>
      <vt:variant>
        <vt:lpwstr/>
      </vt:variant>
      <vt:variant>
        <vt:lpwstr>_Toc290886615</vt:lpwstr>
      </vt:variant>
      <vt:variant>
        <vt:i4>1114172</vt:i4>
      </vt:variant>
      <vt:variant>
        <vt:i4>44</vt:i4>
      </vt:variant>
      <vt:variant>
        <vt:i4>0</vt:i4>
      </vt:variant>
      <vt:variant>
        <vt:i4>5</vt:i4>
      </vt:variant>
      <vt:variant>
        <vt:lpwstr/>
      </vt:variant>
      <vt:variant>
        <vt:lpwstr>_Toc290886614</vt:lpwstr>
      </vt:variant>
      <vt:variant>
        <vt:i4>1114172</vt:i4>
      </vt:variant>
      <vt:variant>
        <vt:i4>38</vt:i4>
      </vt:variant>
      <vt:variant>
        <vt:i4>0</vt:i4>
      </vt:variant>
      <vt:variant>
        <vt:i4>5</vt:i4>
      </vt:variant>
      <vt:variant>
        <vt:lpwstr/>
      </vt:variant>
      <vt:variant>
        <vt:lpwstr>_Toc290886613</vt:lpwstr>
      </vt:variant>
      <vt:variant>
        <vt:i4>1114172</vt:i4>
      </vt:variant>
      <vt:variant>
        <vt:i4>32</vt:i4>
      </vt:variant>
      <vt:variant>
        <vt:i4>0</vt:i4>
      </vt:variant>
      <vt:variant>
        <vt:i4>5</vt:i4>
      </vt:variant>
      <vt:variant>
        <vt:lpwstr/>
      </vt:variant>
      <vt:variant>
        <vt:lpwstr>_Toc290886612</vt:lpwstr>
      </vt:variant>
      <vt:variant>
        <vt:i4>1114172</vt:i4>
      </vt:variant>
      <vt:variant>
        <vt:i4>26</vt:i4>
      </vt:variant>
      <vt:variant>
        <vt:i4>0</vt:i4>
      </vt:variant>
      <vt:variant>
        <vt:i4>5</vt:i4>
      </vt:variant>
      <vt:variant>
        <vt:lpwstr/>
      </vt:variant>
      <vt:variant>
        <vt:lpwstr>_Toc290886611</vt:lpwstr>
      </vt:variant>
      <vt:variant>
        <vt:i4>1114172</vt:i4>
      </vt:variant>
      <vt:variant>
        <vt:i4>20</vt:i4>
      </vt:variant>
      <vt:variant>
        <vt:i4>0</vt:i4>
      </vt:variant>
      <vt:variant>
        <vt:i4>5</vt:i4>
      </vt:variant>
      <vt:variant>
        <vt:lpwstr/>
      </vt:variant>
      <vt:variant>
        <vt:lpwstr>_Toc290886610</vt:lpwstr>
      </vt:variant>
      <vt:variant>
        <vt:i4>1048636</vt:i4>
      </vt:variant>
      <vt:variant>
        <vt:i4>14</vt:i4>
      </vt:variant>
      <vt:variant>
        <vt:i4>0</vt:i4>
      </vt:variant>
      <vt:variant>
        <vt:i4>5</vt:i4>
      </vt:variant>
      <vt:variant>
        <vt:lpwstr/>
      </vt:variant>
      <vt:variant>
        <vt:lpwstr>_Toc290886609</vt:lpwstr>
      </vt:variant>
      <vt:variant>
        <vt:i4>1048636</vt:i4>
      </vt:variant>
      <vt:variant>
        <vt:i4>8</vt:i4>
      </vt:variant>
      <vt:variant>
        <vt:i4>0</vt:i4>
      </vt:variant>
      <vt:variant>
        <vt:i4>5</vt:i4>
      </vt:variant>
      <vt:variant>
        <vt:lpwstr/>
      </vt:variant>
      <vt:variant>
        <vt:lpwstr>_Toc290886608</vt:lpwstr>
      </vt:variant>
      <vt:variant>
        <vt:i4>1048636</vt:i4>
      </vt:variant>
      <vt:variant>
        <vt:i4>2</vt:i4>
      </vt:variant>
      <vt:variant>
        <vt:i4>0</vt:i4>
      </vt:variant>
      <vt:variant>
        <vt:i4>5</vt:i4>
      </vt:variant>
      <vt:variant>
        <vt:lpwstr/>
      </vt:variant>
      <vt:variant>
        <vt:lpwstr>_Toc290886607</vt:lpwstr>
      </vt:variant>
      <vt:variant>
        <vt:i4>5308503</vt:i4>
      </vt:variant>
      <vt:variant>
        <vt:i4>177</vt:i4>
      </vt:variant>
      <vt:variant>
        <vt:i4>0</vt:i4>
      </vt:variant>
      <vt:variant>
        <vt:i4>5</vt:i4>
      </vt:variant>
      <vt:variant>
        <vt:lpwstr>http://www.stats.govt.nz/methods_and_services/tablebuilder/disability-survey-tables.aspx</vt:lpwstr>
      </vt:variant>
      <vt:variant>
        <vt:lpwstr/>
      </vt:variant>
      <vt:variant>
        <vt:i4>2687022</vt:i4>
      </vt:variant>
      <vt:variant>
        <vt:i4>174</vt:i4>
      </vt:variant>
      <vt:variant>
        <vt:i4>0</vt:i4>
      </vt:variant>
      <vt:variant>
        <vt:i4>5</vt:i4>
      </vt:variant>
      <vt:variant>
        <vt:lpwstr>http://www.moh.govt.nz/moh.nsf/f872666357c511eb4c25666d000c8888/75f5a04fb626a985cc256c240079150d/$FILE/Disability Support Services.doc</vt:lpwstr>
      </vt:variant>
      <vt:variant>
        <vt:lpwstr/>
      </vt:variant>
      <vt:variant>
        <vt:i4>94</vt:i4>
      </vt:variant>
      <vt:variant>
        <vt:i4>171</vt:i4>
      </vt:variant>
      <vt:variant>
        <vt:i4>0</vt:i4>
      </vt:variant>
      <vt:variant>
        <vt:i4>5</vt:i4>
      </vt:variant>
      <vt:variant>
        <vt:lpwstr>http://www.everybody.co.nz/page-0cf9b494-cf93-4ee1-8db8-aa3b2e527fbd.aspx</vt:lpwstr>
      </vt:variant>
      <vt:variant>
        <vt:lpwstr/>
      </vt:variant>
      <vt:variant>
        <vt:i4>5701632</vt:i4>
      </vt:variant>
      <vt:variant>
        <vt:i4>168</vt:i4>
      </vt:variant>
      <vt:variant>
        <vt:i4>0</vt:i4>
      </vt:variant>
      <vt:variant>
        <vt:i4>5</vt:i4>
      </vt:variant>
      <vt:variant>
        <vt:lpwstr>http://www.moh.govt.nz/moh.nsf/pagesmh/5244/$File/forums-summary-09+Final.pdf</vt:lpwstr>
      </vt:variant>
      <vt:variant>
        <vt:lpwstr/>
      </vt:variant>
      <vt:variant>
        <vt:i4>1310730</vt:i4>
      </vt:variant>
      <vt:variant>
        <vt:i4>165</vt:i4>
      </vt:variant>
      <vt:variant>
        <vt:i4>0</vt:i4>
      </vt:variant>
      <vt:variant>
        <vt:i4>5</vt:i4>
      </vt:variant>
      <vt:variant>
        <vt:lpwstr>http://www.moh.govt.nz/moh.nsf/indexmh/disability-keyprojects-consumerconsortium</vt:lpwstr>
      </vt:variant>
      <vt:variant>
        <vt:lpwstr/>
      </vt:variant>
      <vt:variant>
        <vt:i4>3735673</vt:i4>
      </vt:variant>
      <vt:variant>
        <vt:i4>162</vt:i4>
      </vt:variant>
      <vt:variant>
        <vt:i4>0</vt:i4>
      </vt:variant>
      <vt:variant>
        <vt:i4>5</vt:i4>
      </vt:variant>
      <vt:variant>
        <vt:lpwstr>http://www.nhc.health.govt.nz/moh.nsf/indexcm/nhc-ordinary-life</vt:lpwstr>
      </vt:variant>
      <vt:variant>
        <vt:lpwstr/>
      </vt:variant>
      <vt:variant>
        <vt:i4>2359392</vt:i4>
      </vt:variant>
      <vt:variant>
        <vt:i4>159</vt:i4>
      </vt:variant>
      <vt:variant>
        <vt:i4>0</vt:i4>
      </vt:variant>
      <vt:variant>
        <vt:i4>5</vt:i4>
      </vt:variant>
      <vt:variant>
        <vt:lpwstr>http://www.moh.govt.nz/moh.nsf/pagesmh/5238/$File/disability-service-spec-nasc.doc</vt:lpwstr>
      </vt:variant>
      <vt:variant>
        <vt:lpwstr/>
      </vt:variant>
      <vt:variant>
        <vt:i4>852035</vt:i4>
      </vt:variant>
      <vt:variant>
        <vt:i4>156</vt:i4>
      </vt:variant>
      <vt:variant>
        <vt:i4>0</vt:i4>
      </vt:variant>
      <vt:variant>
        <vt:i4>5</vt:i4>
      </vt:variant>
      <vt:variant>
        <vt:lpwstr>http://www.moh.govt.nz/moh.nsf/82f4780aa066f8d7cc2570bb006b5d4d/75f5a04fb626a985cc256c240079150d/$FILE/DisabilitySupportServices.pdf</vt:lpwstr>
      </vt:variant>
      <vt:variant>
        <vt:lpwstr/>
      </vt:variant>
      <vt:variant>
        <vt:i4>4587605</vt:i4>
      </vt:variant>
      <vt:variant>
        <vt:i4>153</vt:i4>
      </vt:variant>
      <vt:variant>
        <vt:i4>0</vt:i4>
      </vt:variant>
      <vt:variant>
        <vt:i4>5</vt:i4>
      </vt:variant>
      <vt:variant>
        <vt:lpwstr>http://www.moh.govt.nz/moh.nsf/238fd5fb4fd051844c256669006aed57/61758c73aa8ade8fcc256f320005800d?OpenDocument</vt:lpwstr>
      </vt:variant>
      <vt:variant>
        <vt:lpwstr/>
      </vt:variant>
      <vt:variant>
        <vt:i4>7798842</vt:i4>
      </vt:variant>
      <vt:variant>
        <vt:i4>150</vt:i4>
      </vt:variant>
      <vt:variant>
        <vt:i4>0</vt:i4>
      </vt:variant>
      <vt:variant>
        <vt:i4>5</vt:i4>
      </vt:variant>
      <vt:variant>
        <vt:lpwstr>http://www.moh.govt.nz/eligibility</vt:lpwstr>
      </vt:variant>
      <vt:variant>
        <vt:lpwstr/>
      </vt:variant>
      <vt:variant>
        <vt:i4>2949243</vt:i4>
      </vt:variant>
      <vt:variant>
        <vt:i4>147</vt:i4>
      </vt:variant>
      <vt:variant>
        <vt:i4>0</vt:i4>
      </vt:variant>
      <vt:variant>
        <vt:i4>5</vt:i4>
      </vt:variant>
      <vt:variant>
        <vt:lpwstr>http://www.supportoptions.co.nz/support/service.aspx?id=300</vt:lpwstr>
      </vt:variant>
      <vt:variant>
        <vt:lpwstr/>
      </vt:variant>
      <vt:variant>
        <vt:i4>7405629</vt:i4>
      </vt:variant>
      <vt:variant>
        <vt:i4>144</vt:i4>
      </vt:variant>
      <vt:variant>
        <vt:i4>0</vt:i4>
      </vt:variant>
      <vt:variant>
        <vt:i4>5</vt:i4>
      </vt:variant>
      <vt:variant>
        <vt:lpwstr>http://www.moh.govt.nz/moh.nsf/Files/disability/$file/ifa-v1.5-service-specs-reporting-templates-jun10.pdf</vt:lpwstr>
      </vt:variant>
      <vt:variant>
        <vt:lpwstr/>
      </vt:variant>
      <vt:variant>
        <vt:i4>6946929</vt:i4>
      </vt:variant>
      <vt:variant>
        <vt:i4>141</vt:i4>
      </vt:variant>
      <vt:variant>
        <vt:i4>0</vt:i4>
      </vt:variant>
      <vt:variant>
        <vt:i4>5</vt:i4>
      </vt:variant>
      <vt:variant>
        <vt:lpwstr>http://www.moh.govt.nz/moh.nsf/indexmh/soi0912</vt:lpwstr>
      </vt:variant>
      <vt:variant>
        <vt:lpwstr/>
      </vt:variant>
      <vt:variant>
        <vt:i4>3080231</vt:i4>
      </vt:variant>
      <vt:variant>
        <vt:i4>138</vt:i4>
      </vt:variant>
      <vt:variant>
        <vt:i4>0</vt:i4>
      </vt:variant>
      <vt:variant>
        <vt:i4>5</vt:i4>
      </vt:variant>
      <vt:variant>
        <vt:lpwstr>http://www.incharge.org.nz/</vt:lpwstr>
      </vt:variant>
      <vt:variant>
        <vt:lpwstr/>
      </vt:variant>
      <vt:variant>
        <vt:i4>4325388</vt:i4>
      </vt:variant>
      <vt:variant>
        <vt:i4>135</vt:i4>
      </vt:variant>
      <vt:variant>
        <vt:i4>0</vt:i4>
      </vt:variant>
      <vt:variant>
        <vt:i4>5</vt:i4>
      </vt:variant>
      <vt:variant>
        <vt:lpwstr>http://www.asenz.org.nz/resources/MemberSurveyResult.doc</vt:lpwstr>
      </vt:variant>
      <vt:variant>
        <vt:lpwstr/>
      </vt:variant>
      <vt:variant>
        <vt:i4>4849744</vt:i4>
      </vt:variant>
      <vt:variant>
        <vt:i4>132</vt:i4>
      </vt:variant>
      <vt:variant>
        <vt:i4>0</vt:i4>
      </vt:variant>
      <vt:variant>
        <vt:i4>5</vt:i4>
      </vt:variant>
      <vt:variant>
        <vt:lpwstr>http://www.beehive.govt.nz/node/28729</vt:lpwstr>
      </vt:variant>
      <vt:variant>
        <vt:lpwstr/>
      </vt:variant>
      <vt:variant>
        <vt:i4>7929959</vt:i4>
      </vt:variant>
      <vt:variant>
        <vt:i4>129</vt:i4>
      </vt:variant>
      <vt:variant>
        <vt:i4>0</vt:i4>
      </vt:variant>
      <vt:variant>
        <vt:i4>5</vt:i4>
      </vt:variant>
      <vt:variant>
        <vt:lpwstr>http://www.msd.govt.nz/documents/about-msd-and-our-work/publications-resources/evaluation/pathways-inclusion/pathways-inclusion.doc</vt:lpwstr>
      </vt:variant>
      <vt:variant>
        <vt:lpwstr/>
      </vt:variant>
      <vt:variant>
        <vt:i4>1441813</vt:i4>
      </vt:variant>
      <vt:variant>
        <vt:i4>126</vt:i4>
      </vt:variant>
      <vt:variant>
        <vt:i4>0</vt:i4>
      </vt:variant>
      <vt:variant>
        <vt:i4>5</vt:i4>
      </vt:variant>
      <vt:variant>
        <vt:lpwstr>http://www.beehive.govt.nz/release/day+service+funding+change+benefit+disabled+people</vt:lpwstr>
      </vt:variant>
      <vt:variant>
        <vt:lpwstr/>
      </vt:variant>
      <vt:variant>
        <vt:i4>1179728</vt:i4>
      </vt:variant>
      <vt:variant>
        <vt:i4>123</vt:i4>
      </vt:variant>
      <vt:variant>
        <vt:i4>0</vt:i4>
      </vt:variant>
      <vt:variant>
        <vt:i4>5</vt:i4>
      </vt:variant>
      <vt:variant>
        <vt:lpwstr>http://www.msd.govt.nz/documents/about-msd-and-our-work/publications-resources/corporate/ndoc/msd-ndoe-2006-2007.pdf</vt:lpwstr>
      </vt:variant>
      <vt:variant>
        <vt:lpwstr/>
      </vt:variant>
      <vt:variant>
        <vt:i4>4849744</vt:i4>
      </vt:variant>
      <vt:variant>
        <vt:i4>120</vt:i4>
      </vt:variant>
      <vt:variant>
        <vt:i4>0</vt:i4>
      </vt:variant>
      <vt:variant>
        <vt:i4>5</vt:i4>
      </vt:variant>
      <vt:variant>
        <vt:lpwstr>http://www.beehive.govt.nz/node/28729</vt:lpwstr>
      </vt:variant>
      <vt:variant>
        <vt:lpwstr/>
      </vt:variant>
      <vt:variant>
        <vt:i4>2228286</vt:i4>
      </vt:variant>
      <vt:variant>
        <vt:i4>117</vt:i4>
      </vt:variant>
      <vt:variant>
        <vt:i4>0</vt:i4>
      </vt:variant>
      <vt:variant>
        <vt:i4>5</vt:i4>
      </vt:variant>
      <vt:variant>
        <vt:lpwstr>http://www.transport.govt.nz/ourwork/Documents/total-mobility2.pdf</vt:lpwstr>
      </vt:variant>
      <vt:variant>
        <vt:lpwstr/>
      </vt:variant>
      <vt:variant>
        <vt:i4>2424866</vt:i4>
      </vt:variant>
      <vt:variant>
        <vt:i4>114</vt:i4>
      </vt:variant>
      <vt:variant>
        <vt:i4>0</vt:i4>
      </vt:variant>
      <vt:variant>
        <vt:i4>5</vt:i4>
      </vt:variant>
      <vt:variant>
        <vt:lpwstr>http://www.hrc.co.nz/report2/index.html</vt:lpwstr>
      </vt:variant>
      <vt:variant>
        <vt:lpwstr/>
      </vt:variant>
      <vt:variant>
        <vt:i4>1966160</vt:i4>
      </vt:variant>
      <vt:variant>
        <vt:i4>111</vt:i4>
      </vt:variant>
      <vt:variant>
        <vt:i4>0</vt:i4>
      </vt:variant>
      <vt:variant>
        <vt:i4>5</vt:i4>
      </vt:variant>
      <vt:variant>
        <vt:lpwstr>http://www.moh.govt.nz/moh.nsf/fefd9e667cc713e9cc257011000678d8/189d9dcee0fa227fcc25705a001a2d18?OpenDocument</vt:lpwstr>
      </vt:variant>
      <vt:variant>
        <vt:lpwstr/>
      </vt:variant>
      <vt:variant>
        <vt:i4>4194396</vt:i4>
      </vt:variant>
      <vt:variant>
        <vt:i4>108</vt:i4>
      </vt:variant>
      <vt:variant>
        <vt:i4>0</vt:i4>
      </vt:variant>
      <vt:variant>
        <vt:i4>5</vt:i4>
      </vt:variant>
      <vt:variant>
        <vt:lpwstr>http://www.beehive.govt.nz/node/15851</vt:lpwstr>
      </vt:variant>
      <vt:variant>
        <vt:lpwstr/>
      </vt:variant>
      <vt:variant>
        <vt:i4>524306</vt:i4>
      </vt:variant>
      <vt:variant>
        <vt:i4>105</vt:i4>
      </vt:variant>
      <vt:variant>
        <vt:i4>0</vt:i4>
      </vt:variant>
      <vt:variant>
        <vt:i4>5</vt:i4>
      </vt:variant>
      <vt:variant>
        <vt:lpwstr>http://www.minedu.govt.nz/Parents/YourChild/SupportForYourChild/ExtraSupport/EarlyInterventionServicesAndSupport.aspx</vt:lpwstr>
      </vt:variant>
      <vt:variant>
        <vt:lpwstr/>
      </vt:variant>
      <vt:variant>
        <vt:i4>4456477</vt:i4>
      </vt:variant>
      <vt:variant>
        <vt:i4>102</vt:i4>
      </vt:variant>
      <vt:variant>
        <vt:i4>0</vt:i4>
      </vt:variant>
      <vt:variant>
        <vt:i4>5</vt:i4>
      </vt:variant>
      <vt:variant>
        <vt:lpwstr>http://www.minedu.govt.nz/~/media/MinEdu/Files/RTF/EducationSectors/SpecialEducation/ORRS.rtfORRS</vt:lpwstr>
      </vt:variant>
      <vt:variant>
        <vt:lpwstr/>
      </vt:variant>
      <vt:variant>
        <vt:i4>5308482</vt:i4>
      </vt:variant>
      <vt:variant>
        <vt:i4>99</vt:i4>
      </vt:variant>
      <vt:variant>
        <vt:i4>0</vt:i4>
      </vt:variant>
      <vt:variant>
        <vt:i4>5</vt:i4>
      </vt:variant>
      <vt:variant>
        <vt:lpwstr>http://www.moh.govt.nz/moh.nsf/238fd5fb4fd051844c256669006aed57/61758c73aa8ade8fcc256f320005800d?OpenDocument</vt:lpwstr>
      </vt:variant>
      <vt:variant>
        <vt:lpwstr>everdayactivities</vt:lpwstr>
      </vt:variant>
      <vt:variant>
        <vt:i4>2949245</vt:i4>
      </vt:variant>
      <vt:variant>
        <vt:i4>96</vt:i4>
      </vt:variant>
      <vt:variant>
        <vt:i4>0</vt:i4>
      </vt:variant>
      <vt:variant>
        <vt:i4>5</vt:i4>
      </vt:variant>
      <vt:variant>
        <vt:lpwstr>http://www.moh.govt.nz/moh.nsf/pagesmh/5241/$File/carer-support-factsheet-apr09.pdf</vt:lpwstr>
      </vt:variant>
      <vt:variant>
        <vt:lpwstr/>
      </vt:variant>
      <vt:variant>
        <vt:i4>4391005</vt:i4>
      </vt:variant>
      <vt:variant>
        <vt:i4>93</vt:i4>
      </vt:variant>
      <vt:variant>
        <vt:i4>0</vt:i4>
      </vt:variant>
      <vt:variant>
        <vt:i4>5</vt:i4>
      </vt:variant>
      <vt:variant>
        <vt:lpwstr>http://www.moh.govt.nz/moh.nsf/pagesmh/5238/$File/disability-service-spec-out-of-family-respite-tier1.doc</vt:lpwstr>
      </vt:variant>
      <vt:variant>
        <vt:lpwstr/>
      </vt:variant>
      <vt:variant>
        <vt:i4>1179659</vt:i4>
      </vt:variant>
      <vt:variant>
        <vt:i4>90</vt:i4>
      </vt:variant>
      <vt:variant>
        <vt:i4>0</vt:i4>
      </vt:variant>
      <vt:variant>
        <vt:i4>5</vt:i4>
      </vt:variant>
      <vt:variant>
        <vt:lpwstr>http://www.moh.govt.nz/moh.nsf/pagesmh/5241/$File/respite-factsheet-apr09.pdf</vt:lpwstr>
      </vt:variant>
      <vt:variant>
        <vt:lpwstr/>
      </vt:variant>
      <vt:variant>
        <vt:i4>3539001</vt:i4>
      </vt:variant>
      <vt:variant>
        <vt:i4>87</vt:i4>
      </vt:variant>
      <vt:variant>
        <vt:i4>0</vt:i4>
      </vt:variant>
      <vt:variant>
        <vt:i4>5</vt:i4>
      </vt:variant>
      <vt:variant>
        <vt:lpwstr>http://www.moh.govt.nz/moh.nsf/238fd5fb4fd051844c256669006aed57/61758c73aa8ade8fcc256f320005800d?OpenDocument</vt:lpwstr>
      </vt:variant>
      <vt:variant>
        <vt:lpwstr>respitecare</vt:lpwstr>
      </vt:variant>
      <vt:variant>
        <vt:i4>3539001</vt:i4>
      </vt:variant>
      <vt:variant>
        <vt:i4>84</vt:i4>
      </vt:variant>
      <vt:variant>
        <vt:i4>0</vt:i4>
      </vt:variant>
      <vt:variant>
        <vt:i4>5</vt:i4>
      </vt:variant>
      <vt:variant>
        <vt:lpwstr>http://www.moh.govt.nz/moh.nsf/238fd5fb4fd051844c256669006aed57/61758c73aa8ade8fcc256f320005800d?OpenDocument</vt:lpwstr>
      </vt:variant>
      <vt:variant>
        <vt:lpwstr>respitecare</vt:lpwstr>
      </vt:variant>
      <vt:variant>
        <vt:i4>3342448</vt:i4>
      </vt:variant>
      <vt:variant>
        <vt:i4>81</vt:i4>
      </vt:variant>
      <vt:variant>
        <vt:i4>0</vt:i4>
      </vt:variant>
      <vt:variant>
        <vt:i4>5</vt:i4>
      </vt:variant>
      <vt:variant>
        <vt:lpwstr>http://www.moh.govt.nz/moh.nsf/Files/disability-servicespecs/$file/HCSS.pdf</vt:lpwstr>
      </vt:variant>
      <vt:variant>
        <vt:lpwstr/>
      </vt:variant>
      <vt:variant>
        <vt:i4>3342448</vt:i4>
      </vt:variant>
      <vt:variant>
        <vt:i4>78</vt:i4>
      </vt:variant>
      <vt:variant>
        <vt:i4>0</vt:i4>
      </vt:variant>
      <vt:variant>
        <vt:i4>5</vt:i4>
      </vt:variant>
      <vt:variant>
        <vt:lpwstr>http://www.moh.govt.nz/moh.nsf/Files/disability-servicespecs/$file/HCSS.pdf</vt:lpwstr>
      </vt:variant>
      <vt:variant>
        <vt:lpwstr/>
      </vt:variant>
      <vt:variant>
        <vt:i4>5308482</vt:i4>
      </vt:variant>
      <vt:variant>
        <vt:i4>75</vt:i4>
      </vt:variant>
      <vt:variant>
        <vt:i4>0</vt:i4>
      </vt:variant>
      <vt:variant>
        <vt:i4>5</vt:i4>
      </vt:variant>
      <vt:variant>
        <vt:lpwstr>http://www.moh.govt.nz/moh.nsf/238fd5fb4fd051844c256669006aed57/61758c73aa8ade8fcc256f320005800d?OpenDocument</vt:lpwstr>
      </vt:variant>
      <vt:variant>
        <vt:lpwstr>everdayactivities</vt:lpwstr>
      </vt:variant>
      <vt:variant>
        <vt:i4>2621458</vt:i4>
      </vt:variant>
      <vt:variant>
        <vt:i4>72</vt:i4>
      </vt:variant>
      <vt:variant>
        <vt:i4>0</vt:i4>
      </vt:variant>
      <vt:variant>
        <vt:i4>5</vt:i4>
      </vt:variant>
      <vt:variant>
        <vt:lpwstr>http://www.nzgg.org.nz/guidelines/0030/Brays_report.pdf</vt:lpwstr>
      </vt:variant>
      <vt:variant>
        <vt:lpwstr/>
      </vt:variant>
      <vt:variant>
        <vt:i4>2359392</vt:i4>
      </vt:variant>
      <vt:variant>
        <vt:i4>69</vt:i4>
      </vt:variant>
      <vt:variant>
        <vt:i4>0</vt:i4>
      </vt:variant>
      <vt:variant>
        <vt:i4>5</vt:i4>
      </vt:variant>
      <vt:variant>
        <vt:lpwstr>http://www.moh.govt.nz/moh.nsf/pagesmh/5238/$File/disability-service-spec-nasc.doc</vt:lpwstr>
      </vt:variant>
      <vt:variant>
        <vt:lpwstr/>
      </vt:variant>
      <vt:variant>
        <vt:i4>4849734</vt:i4>
      </vt:variant>
      <vt:variant>
        <vt:i4>66</vt:i4>
      </vt:variant>
      <vt:variant>
        <vt:i4>0</vt:i4>
      </vt:variant>
      <vt:variant>
        <vt:i4>5</vt:i4>
      </vt:variant>
      <vt:variant>
        <vt:lpwstr>http://www.chranz.co.nz/pdfs/housing-choices-for-disabled-new-zealanders.pdf</vt:lpwstr>
      </vt:variant>
      <vt:variant>
        <vt:lpwstr/>
      </vt:variant>
      <vt:variant>
        <vt:i4>7798839</vt:i4>
      </vt:variant>
      <vt:variant>
        <vt:i4>63</vt:i4>
      </vt:variant>
      <vt:variant>
        <vt:i4>0</vt:i4>
      </vt:variant>
      <vt:variant>
        <vt:i4>5</vt:i4>
      </vt:variant>
      <vt:variant>
        <vt:lpwstr>http://www.wpro.who.int/NR/rdonlyres/B7DB4D58-7E19-4884-BD63-6F90D2DC1C47/0/Contracting_for_health.pdf</vt:lpwstr>
      </vt:variant>
      <vt:variant>
        <vt:lpwstr/>
      </vt:variant>
      <vt:variant>
        <vt:i4>1835053</vt:i4>
      </vt:variant>
      <vt:variant>
        <vt:i4>60</vt:i4>
      </vt:variant>
      <vt:variant>
        <vt:i4>0</vt:i4>
      </vt:variant>
      <vt:variant>
        <vt:i4>5</vt:i4>
      </vt:variant>
      <vt:variant>
        <vt:lpwstr>http://www.parliament.nz/NR/rdonlyres/8A7D9F6E-E272-41E4-BB27-63A3C4557F07/99832/DBHOH_PAP_17698_6462.pdf</vt:lpwstr>
      </vt:variant>
      <vt:variant>
        <vt:lpwstr/>
      </vt:variant>
      <vt:variant>
        <vt:i4>3473476</vt:i4>
      </vt:variant>
      <vt:variant>
        <vt:i4>57</vt:i4>
      </vt:variant>
      <vt:variant>
        <vt:i4>0</vt:i4>
      </vt:variant>
      <vt:variant>
        <vt:i4>5</vt:i4>
      </vt:variant>
      <vt:variant>
        <vt:lpwstr>http://www.parliament.nz/NR/rdonlyres/06259D2F-780B-40A0-9170-005C8C046E72/93089/DBSCH_SCR_4194_6219.pdf</vt:lpwstr>
      </vt:variant>
      <vt:variant>
        <vt:lpwstr/>
      </vt:variant>
      <vt:variant>
        <vt:i4>65620</vt:i4>
      </vt:variant>
      <vt:variant>
        <vt:i4>54</vt:i4>
      </vt:variant>
      <vt:variant>
        <vt:i4>0</vt:i4>
      </vt:variant>
      <vt:variant>
        <vt:i4>5</vt:i4>
      </vt:variant>
      <vt:variant>
        <vt:lpwstr>http://www.moh.govt.nz/moh.nsf/0/65461551FA649C5CCC256F6B00782B1B/$File/healthandindependence2004.pdf</vt:lpwstr>
      </vt:variant>
      <vt:variant>
        <vt:lpwstr/>
      </vt:variant>
      <vt:variant>
        <vt:i4>6946854</vt:i4>
      </vt:variant>
      <vt:variant>
        <vt:i4>51</vt:i4>
      </vt:variant>
      <vt:variant>
        <vt:i4>0</vt:i4>
      </vt:variant>
      <vt:variant>
        <vt:i4>5</vt:i4>
      </vt:variant>
      <vt:variant>
        <vt:lpwstr>http://www.moh.govt.nz/moh.nsf/0/69A15ED7BE0F32FCCC256F6C000836FC/$File/dss-serviceusersurvey-largefont.pdf</vt:lpwstr>
      </vt:variant>
      <vt:variant>
        <vt:lpwstr/>
      </vt:variant>
      <vt:variant>
        <vt:i4>3670109</vt:i4>
      </vt:variant>
      <vt:variant>
        <vt:i4>48</vt:i4>
      </vt:variant>
      <vt:variant>
        <vt:i4>0</vt:i4>
      </vt:variant>
      <vt:variant>
        <vt:i4>5</vt:i4>
      </vt:variant>
      <vt:variant>
        <vt:lpwstr>http://www.fulbright.org.nz/voices/axford/docs/axford2009_bonardi.pdf</vt:lpwstr>
      </vt:variant>
      <vt:variant>
        <vt:lpwstr/>
      </vt:variant>
      <vt:variant>
        <vt:i4>6094851</vt:i4>
      </vt:variant>
      <vt:variant>
        <vt:i4>45</vt:i4>
      </vt:variant>
      <vt:variant>
        <vt:i4>0</vt:i4>
      </vt:variant>
      <vt:variant>
        <vt:i4>5</vt:i4>
      </vt:variant>
      <vt:variant>
        <vt:lpwstr>http://www.hdc.org.nz/theact/theact-thecodedetail</vt:lpwstr>
      </vt:variant>
      <vt:variant>
        <vt:lpwstr/>
      </vt:variant>
      <vt:variant>
        <vt:i4>720966</vt:i4>
      </vt:variant>
      <vt:variant>
        <vt:i4>42</vt:i4>
      </vt:variant>
      <vt:variant>
        <vt:i4>0</vt:i4>
      </vt:variant>
      <vt:variant>
        <vt:i4>5</vt:i4>
      </vt:variant>
      <vt:variant>
        <vt:lpwstr>http://www.hdc.org.nz/aboutus</vt:lpwstr>
      </vt:variant>
      <vt:variant>
        <vt:lpwstr/>
      </vt:variant>
      <vt:variant>
        <vt:i4>2162741</vt:i4>
      </vt:variant>
      <vt:variant>
        <vt:i4>39</vt:i4>
      </vt:variant>
      <vt:variant>
        <vt:i4>0</vt:i4>
      </vt:variant>
      <vt:variant>
        <vt:i4>5</vt:i4>
      </vt:variant>
      <vt:variant>
        <vt:lpwstr>http://www.moh.govt.nz/moh.nsf/Files/Dss/$file/Dss.pdf</vt:lpwstr>
      </vt:variant>
      <vt:variant>
        <vt:lpwstr/>
      </vt:variant>
      <vt:variant>
        <vt:i4>4587520</vt:i4>
      </vt:variant>
      <vt:variant>
        <vt:i4>36</vt:i4>
      </vt:variant>
      <vt:variant>
        <vt:i4>0</vt:i4>
      </vt:variant>
      <vt:variant>
        <vt:i4>5</vt:i4>
      </vt:variant>
      <vt:variant>
        <vt:lpwstr>http://www.moh.govt.nz/moh.nsf/indexmh/annual-report-0506</vt:lpwstr>
      </vt:variant>
      <vt:variant>
        <vt:lpwstr/>
      </vt:variant>
      <vt:variant>
        <vt:i4>852035</vt:i4>
      </vt:variant>
      <vt:variant>
        <vt:i4>33</vt:i4>
      </vt:variant>
      <vt:variant>
        <vt:i4>0</vt:i4>
      </vt:variant>
      <vt:variant>
        <vt:i4>5</vt:i4>
      </vt:variant>
      <vt:variant>
        <vt:lpwstr>http://www.moh.govt.nz/moh.nsf/82f4780aa066f8d7cc2570bb006b5d4d/75f5a04fb626a985cc256c240079150d/$FILE/DisabilitySupportServices.pdf</vt:lpwstr>
      </vt:variant>
      <vt:variant>
        <vt:lpwstr/>
      </vt:variant>
      <vt:variant>
        <vt:i4>3473476</vt:i4>
      </vt:variant>
      <vt:variant>
        <vt:i4>30</vt:i4>
      </vt:variant>
      <vt:variant>
        <vt:i4>0</vt:i4>
      </vt:variant>
      <vt:variant>
        <vt:i4>5</vt:i4>
      </vt:variant>
      <vt:variant>
        <vt:lpwstr>http://www.parliament.nz/NR/rdonlyres/06259D2F-780B-40A0-9170-005C8C046E72/93089/DBSCH_SCR_4194_6219.pdf</vt:lpwstr>
      </vt:variant>
      <vt:variant>
        <vt:lpwstr/>
      </vt:variant>
      <vt:variant>
        <vt:i4>589829</vt:i4>
      </vt:variant>
      <vt:variant>
        <vt:i4>27</vt:i4>
      </vt:variant>
      <vt:variant>
        <vt:i4>0</vt:i4>
      </vt:variant>
      <vt:variant>
        <vt:i4>5</vt:i4>
      </vt:variant>
      <vt:variant>
        <vt:lpwstr>http://www.supportoptions.co.nz/default.aspx</vt:lpwstr>
      </vt:variant>
      <vt:variant>
        <vt:lpwstr/>
      </vt:variant>
      <vt:variant>
        <vt:i4>5308503</vt:i4>
      </vt:variant>
      <vt:variant>
        <vt:i4>24</vt:i4>
      </vt:variant>
      <vt:variant>
        <vt:i4>0</vt:i4>
      </vt:variant>
      <vt:variant>
        <vt:i4>5</vt:i4>
      </vt:variant>
      <vt:variant>
        <vt:lpwstr>http://www.stats.govt.nz/methods_and_services/tablebuilder/disability-survey-tables.aspx</vt:lpwstr>
      </vt:variant>
      <vt:variant>
        <vt:lpwstr/>
      </vt:variant>
      <vt:variant>
        <vt:i4>5373955</vt:i4>
      </vt:variant>
      <vt:variant>
        <vt:i4>21</vt:i4>
      </vt:variant>
      <vt:variant>
        <vt:i4>0</vt:i4>
      </vt:variant>
      <vt:variant>
        <vt:i4>5</vt:i4>
      </vt:variant>
      <vt:variant>
        <vt:lpwstr>http://www.moh.govt.nz/moh.nsf/0/8FD2A69286CD6715CC256F33007AADE4/$File/livingwithdisability.pdf</vt:lpwstr>
      </vt:variant>
      <vt:variant>
        <vt:lpwstr/>
      </vt:variant>
      <vt:variant>
        <vt:i4>4784181</vt:i4>
      </vt:variant>
      <vt:variant>
        <vt:i4>18</vt:i4>
      </vt:variant>
      <vt:variant>
        <vt:i4>0</vt:i4>
      </vt:variant>
      <vt:variant>
        <vt:i4>5</vt:i4>
      </vt:variant>
      <vt:variant>
        <vt:lpwstr>http://www.stats.govt.nz/browse_for_stats/population/estimates_and_projections/NationalPopulationEstimates_HOTPJun09qtr.aspx</vt:lpwstr>
      </vt:variant>
      <vt:variant>
        <vt:lpwstr/>
      </vt:variant>
      <vt:variant>
        <vt:i4>1441894</vt:i4>
      </vt:variant>
      <vt:variant>
        <vt:i4>15</vt:i4>
      </vt:variant>
      <vt:variant>
        <vt:i4>0</vt:i4>
      </vt:variant>
      <vt:variant>
        <vt:i4>5</vt:i4>
      </vt:variant>
      <vt:variant>
        <vt:lpwstr>http://www.ausstats.abs.gov.au/Ausstats/subscriber.nsf/0/4B3D2204865A8CCCCA25772900202261/$File/13672do002_201003.xls</vt:lpwstr>
      </vt:variant>
      <vt:variant>
        <vt:lpwstr/>
      </vt:variant>
      <vt:variant>
        <vt:i4>6160426</vt:i4>
      </vt:variant>
      <vt:variant>
        <vt:i4>12</vt:i4>
      </vt:variant>
      <vt:variant>
        <vt:i4>0</vt:i4>
      </vt:variant>
      <vt:variant>
        <vt:i4>5</vt:i4>
      </vt:variant>
      <vt:variant>
        <vt:lpwstr>http://www.ssb.no/folkber_en/tab-2009-12-17-01-en.html</vt:lpwstr>
      </vt:variant>
      <vt:variant>
        <vt:lpwstr/>
      </vt:variant>
      <vt:variant>
        <vt:i4>7143476</vt:i4>
      </vt:variant>
      <vt:variant>
        <vt:i4>9</vt:i4>
      </vt:variant>
      <vt:variant>
        <vt:i4>0</vt:i4>
      </vt:variant>
      <vt:variant>
        <vt:i4>5</vt:i4>
      </vt:variant>
      <vt:variant>
        <vt:lpwstr>http://statline.cbs.nl/StatWeb/publication/?DM=SLEN&amp;PA=37296eng&amp;D1=0-51,56-68&amp;D2=56&amp;LA=EN&amp;VW=T</vt:lpwstr>
      </vt:variant>
      <vt:variant>
        <vt:lpwstr/>
      </vt:variant>
      <vt:variant>
        <vt:i4>3604598</vt:i4>
      </vt:variant>
      <vt:variant>
        <vt:i4>6</vt:i4>
      </vt:variant>
      <vt:variant>
        <vt:i4>0</vt:i4>
      </vt:variant>
      <vt:variant>
        <vt:i4>5</vt:i4>
      </vt:variant>
      <vt:variant>
        <vt:lpwstr>http://www.statistics.gov.uk/pdfdir/pop0610.pdf</vt:lpwstr>
      </vt:variant>
      <vt:variant>
        <vt:lpwstr/>
      </vt:variant>
      <vt:variant>
        <vt:i4>3604598</vt:i4>
      </vt:variant>
      <vt:variant>
        <vt:i4>3</vt:i4>
      </vt:variant>
      <vt:variant>
        <vt:i4>0</vt:i4>
      </vt:variant>
      <vt:variant>
        <vt:i4>5</vt:i4>
      </vt:variant>
      <vt:variant>
        <vt:lpwstr>http://www.statistics.gov.uk/pdfdir/pop0610.pdf</vt:lpwstr>
      </vt:variant>
      <vt:variant>
        <vt:lpwstr/>
      </vt:variant>
      <vt:variant>
        <vt:i4>6357096</vt:i4>
      </vt:variant>
      <vt:variant>
        <vt:i4>0</vt:i4>
      </vt:variant>
      <vt:variant>
        <vt:i4>0</vt:i4>
      </vt:variant>
      <vt:variant>
        <vt:i4>5</vt:i4>
      </vt:variant>
      <vt:variant>
        <vt:lpwstr>http://www.cso.ie/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X</dc:title>
  <dc:subject/>
  <dc:creator>Dharragh P. Hunt</dc:creator>
  <cp:keywords/>
  <cp:lastModifiedBy>Heather O'Leary (NDA)</cp:lastModifiedBy>
  <cp:revision>2</cp:revision>
  <cp:lastPrinted>2010-01-29T09:08:00Z</cp:lastPrinted>
  <dcterms:created xsi:type="dcterms:W3CDTF">2023-07-10T14:35:00Z</dcterms:created>
  <dcterms:modified xsi:type="dcterms:W3CDTF">2023-07-10T14:35:00Z</dcterms:modified>
</cp:coreProperties>
</file>