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C4D855" w14:textId="1FF69F69" w:rsidR="00817B19" w:rsidRDefault="00817B19" w:rsidP="00245879">
      <w:pPr>
        <w:pStyle w:val="Title"/>
        <w:spacing w:before="960" w:after="5760"/>
        <w:rPr>
          <w:sz w:val="96"/>
          <w:szCs w:val="96"/>
        </w:rPr>
      </w:pPr>
      <w:r w:rsidRPr="00817B19">
        <w:rPr>
          <w:sz w:val="96"/>
          <w:szCs w:val="96"/>
        </w:rPr>
        <w:t>NDA Factsheet 1: Disability Statistics</w:t>
      </w:r>
    </w:p>
    <w:p w14:paraId="534E34D4" w14:textId="3DB16B54" w:rsidR="00245879" w:rsidRPr="00245879" w:rsidRDefault="000142B1" w:rsidP="00245879">
      <w:pPr>
        <w:spacing w:after="600"/>
        <w:rPr>
          <w:b/>
          <w:sz w:val="32"/>
          <w:szCs w:val="32"/>
        </w:rPr>
      </w:pPr>
      <w:r>
        <w:rPr>
          <w:b/>
          <w:sz w:val="32"/>
          <w:szCs w:val="32"/>
        </w:rPr>
        <w:t>October</w:t>
      </w:r>
      <w:r w:rsidR="00245879" w:rsidRPr="00245879">
        <w:rPr>
          <w:b/>
          <w:sz w:val="32"/>
          <w:szCs w:val="32"/>
        </w:rPr>
        <w:t xml:space="preserve"> 2018</w:t>
      </w:r>
    </w:p>
    <w:p w14:paraId="7B6D8977" w14:textId="048F32F9" w:rsidR="00817B19" w:rsidRPr="000142B1" w:rsidRDefault="00817B19" w:rsidP="000142B1">
      <w:pPr>
        <w:pStyle w:val="Title"/>
        <w:jc w:val="left"/>
      </w:pPr>
      <w:r>
        <w:rPr>
          <w:noProof/>
          <w:lang w:eastAsia="en-IE"/>
        </w:rPr>
        <w:drawing>
          <wp:inline distT="0" distB="0" distL="0" distR="0" wp14:anchorId="53D0A18C" wp14:editId="73FFD61D">
            <wp:extent cx="2520696" cy="1801368"/>
            <wp:effectExtent l="0" t="0" r="0" b="8890"/>
            <wp:docPr id="5" name="Picture 5" descr="NDA Logo" title="N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DA_LOGO_2010_COLOU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20696" cy="1801368"/>
                    </a:xfrm>
                    <a:prstGeom prst="rect">
                      <a:avLst/>
                    </a:prstGeom>
                  </pic:spPr>
                </pic:pic>
              </a:graphicData>
            </a:graphic>
          </wp:inline>
        </w:drawing>
      </w:r>
      <w:bookmarkStart w:id="0" w:name="_GoBack"/>
      <w:bookmarkEnd w:id="0"/>
      <w:r>
        <w:br w:type="page"/>
      </w:r>
    </w:p>
    <w:p w14:paraId="485D29C3" w14:textId="77777777" w:rsidR="009C3BD7" w:rsidRDefault="00821DB3" w:rsidP="009C3BD7">
      <w:pPr>
        <w:pStyle w:val="Heading1"/>
      </w:pPr>
      <w:r>
        <w:lastRenderedPageBreak/>
        <w:t>Introduction</w:t>
      </w:r>
    </w:p>
    <w:p w14:paraId="3917E9E5" w14:textId="1613A089" w:rsidR="00865A9F" w:rsidRPr="00865A9F" w:rsidRDefault="00865A9F" w:rsidP="00865A9F">
      <w:r w:rsidRPr="00865A9F">
        <w:t>This is the first of a series of factsheets that will look at different aspects of the lives of people with disabilities in Ireland. This factsheet looks at the number of people with a disability and some of their characteristics</w:t>
      </w:r>
      <w:r w:rsidR="009F04D8">
        <w:t xml:space="preserve">. </w:t>
      </w:r>
      <w:r w:rsidRPr="00865A9F">
        <w:t>In Ireland, the most common source of data on disability comes from the Central Statistics Office (CSO)</w:t>
      </w:r>
      <w:r w:rsidR="009F04D8">
        <w:t xml:space="preserve">. </w:t>
      </w:r>
      <w:r w:rsidRPr="00865A9F">
        <w:t xml:space="preserve">The CSO carries out many surveys and is the most authoritative source for lots of information. </w:t>
      </w:r>
    </w:p>
    <w:p w14:paraId="6574B7AD" w14:textId="77777777" w:rsidR="00865A9F" w:rsidRPr="00865A9F" w:rsidRDefault="00865A9F" w:rsidP="00865A9F">
      <w:r w:rsidRPr="00865A9F">
        <w:t>In many of their surveys, the CSO asks respondents if they have ‘any long-lasting conditions or difficulties’. These are usually chosen from a list of common illnesses and disabilities. Next, they ask the person if they have any difficulty in doing certain activities. In this way, the respondents report whether or not they have a disability. This is known as self-reporting.</w:t>
      </w:r>
    </w:p>
    <w:p w14:paraId="49B75E9C" w14:textId="77777777" w:rsidR="00865A9F" w:rsidRPr="00865A9F" w:rsidRDefault="00865A9F" w:rsidP="00865A9F">
      <w:r w:rsidRPr="00865A9F">
        <w:t>There are many other sources of data on people with disabilities and sometimes these sources define disability in different ways. The way that disability is defined can affect how researchers count the number of people with a disability.</w:t>
      </w:r>
      <w:r w:rsidRPr="00865A9F">
        <w:rPr>
          <w:vertAlign w:val="superscript"/>
        </w:rPr>
        <w:footnoteReference w:id="1"/>
      </w:r>
      <w:r w:rsidRPr="00865A9F">
        <w:t xml:space="preserve"> For example, surveys by the National Disability Authority or the Health Research Board sometimes measure different aspects of disability. </w:t>
      </w:r>
    </w:p>
    <w:p w14:paraId="1AB55CB1" w14:textId="77777777" w:rsidR="00865A9F" w:rsidRPr="00865A9F" w:rsidRDefault="00865A9F" w:rsidP="00865A9F">
      <w:r w:rsidRPr="00865A9F">
        <w:t>The information in this data brief comes from the CSO 2016 Census</w:t>
      </w:r>
      <w:r w:rsidRPr="00865A9F">
        <w:rPr>
          <w:vertAlign w:val="superscript"/>
        </w:rPr>
        <w:footnoteReference w:id="2"/>
      </w:r>
      <w:r w:rsidRPr="00865A9F">
        <w:t xml:space="preserve"> and work done as part of the Department of Health and HSE’s Transforming Lives programme to consider the future of disability services.</w:t>
      </w:r>
      <w:r w:rsidRPr="00865A9F">
        <w:rPr>
          <w:vertAlign w:val="superscript"/>
        </w:rPr>
        <w:footnoteReference w:id="3"/>
      </w:r>
      <w:r w:rsidRPr="00865A9F">
        <w:t xml:space="preserve"> </w:t>
      </w:r>
    </w:p>
    <w:p w14:paraId="3AB1B9DC" w14:textId="77777777" w:rsidR="00B14618" w:rsidRDefault="00865A9F" w:rsidP="00865A9F">
      <w:pPr>
        <w:pStyle w:val="Heading1"/>
        <w:rPr>
          <w:iCs/>
        </w:rPr>
      </w:pPr>
      <w:r w:rsidRPr="00865A9F">
        <w:rPr>
          <w:iCs/>
        </w:rPr>
        <w:t>How many people have a disability?</w:t>
      </w:r>
    </w:p>
    <w:p w14:paraId="4F33F24E" w14:textId="18116A73" w:rsidR="00865A9F" w:rsidRPr="00865A9F" w:rsidRDefault="00865A9F" w:rsidP="00865A9F">
      <w:r w:rsidRPr="00865A9F">
        <w:t>The 2016 Census tells us that 643,131 people had a disability</w:t>
      </w:r>
      <w:r w:rsidR="009F04D8">
        <w:t xml:space="preserve">. </w:t>
      </w:r>
      <w:r w:rsidRPr="00865A9F">
        <w:t>That is 13.5 per cent, or 1 in 7 of the population in Ireland has a disability. This was a small increase on 2011</w:t>
      </w:r>
      <w:r>
        <w:t>,</w:t>
      </w:r>
      <w:r w:rsidRPr="00865A9F">
        <w:t xml:space="preserve"> where 13 per cent of the population self-reported as having a disability. </w:t>
      </w:r>
    </w:p>
    <w:p w14:paraId="2202F4FC" w14:textId="43D7331F" w:rsidR="005027BE" w:rsidRDefault="00865A9F" w:rsidP="005027BE">
      <w:r w:rsidRPr="00865A9F">
        <w:lastRenderedPageBreak/>
        <w:t>Slightly more females (13.8 per cent) than males (13.2 per cent) had a disability. This is probably accounted for by the fact that</w:t>
      </w:r>
      <w:r>
        <w:t>,</w:t>
      </w:r>
      <w:r w:rsidRPr="00865A9F">
        <w:t xml:space="preserve"> on average</w:t>
      </w:r>
      <w:r>
        <w:t>,</w:t>
      </w:r>
      <w:r w:rsidRPr="00865A9F">
        <w:t xml:space="preserve"> women live longer than men. </w:t>
      </w:r>
    </w:p>
    <w:p w14:paraId="3011E6D4" w14:textId="4255AEA5" w:rsidR="00B867D6" w:rsidRPr="00B867D6" w:rsidRDefault="00FC4031" w:rsidP="005027BE">
      <w:pPr>
        <w:pStyle w:val="Heading1"/>
      </w:pPr>
      <w:r>
        <w:rPr>
          <w:noProof/>
          <w:lang w:eastAsia="en-IE"/>
        </w:rPr>
        <w:t>Common</w:t>
      </w:r>
      <w:r>
        <w:t xml:space="preserve"> types of disability</w:t>
      </w:r>
    </w:p>
    <w:p w14:paraId="28E09D2A" w14:textId="4A6A1CCE" w:rsidR="00865A9F" w:rsidRDefault="00600C40" w:rsidP="00B867D6">
      <w:pPr>
        <w:spacing w:after="360"/>
      </w:pPr>
      <w:r w:rsidRPr="00600C40">
        <w:t>The most common type of disability is ‘other disability, including chronic illness’. This might include, for example, asthma, diabetes or heart disease. The next most common is ‘a condition that substantially limits one or more basic physical activities’, like arthritis or a spinal injury. However, people can</w:t>
      </w:r>
      <w:r>
        <w:t xml:space="preserve"> have more than one disability (So the numbers in Figure 1 </w:t>
      </w:r>
      <w:r w:rsidRPr="00600C40">
        <w:t>do not add u</w:t>
      </w:r>
      <w:r>
        <w:t>p to the 643,131 reported above</w:t>
      </w:r>
      <w:r w:rsidRPr="00600C40">
        <w:t>)</w:t>
      </w:r>
      <w:r>
        <w:t>.</w:t>
      </w:r>
    </w:p>
    <w:p w14:paraId="63DFEB44" w14:textId="1296A5ED" w:rsidR="005027BE" w:rsidRDefault="005027BE" w:rsidP="00B867D6">
      <w:pPr>
        <w:spacing w:after="360"/>
      </w:pPr>
      <w:r>
        <w:rPr>
          <w:noProof/>
          <w:lang w:eastAsia="en-IE"/>
        </w:rPr>
        <w:drawing>
          <wp:inline distT="0" distB="0" distL="0" distR="0" wp14:anchorId="26C1BF43" wp14:editId="71D33E1C">
            <wp:extent cx="5429250" cy="3400425"/>
            <wp:effectExtent l="0" t="0" r="0" b="9525"/>
            <wp:docPr id="2" name="Object 2" descr="Figure 1: Common types of disability.&#10;1. Other disability, including chronic illness - 296,783&#10;2. A condition that susbstantially limits one or more basic physical activities - 262,818&#10;3. Difficulty in learning, remembering or concentrating - 156,968&#10;4. Psychological or emotional condition - 123,515&#10;5. Deafness or a serious hearing impariment - 103,676&#10;6. An intellectual disability - 66,611&#10;7. Blindness or a serious vision impairment - 54,8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8682188" w14:textId="2DBDCBE2" w:rsidR="005027BE" w:rsidRDefault="005027BE" w:rsidP="005027BE">
      <w:pPr>
        <w:pStyle w:val="TableNote"/>
      </w:pPr>
      <w:r>
        <w:t>Source: Census</w:t>
      </w:r>
      <w:r w:rsidRPr="00D32C75">
        <w:t xml:space="preserve"> 2016</w:t>
      </w:r>
    </w:p>
    <w:p w14:paraId="4BFA1213" w14:textId="77777777" w:rsidR="0000199E" w:rsidRDefault="00FC4031" w:rsidP="0000199E">
      <w:pPr>
        <w:pStyle w:val="Heading1"/>
      </w:pPr>
      <w:r>
        <w:t>Age and disability</w:t>
      </w:r>
    </w:p>
    <w:p w14:paraId="5394371F" w14:textId="092BBE5C" w:rsidR="0000199E" w:rsidRDefault="0000199E" w:rsidP="0000199E">
      <w:r w:rsidRPr="0000199E">
        <w:t>Most people who have a disability were not born with that disability</w:t>
      </w:r>
      <w:r>
        <w:t>,</w:t>
      </w:r>
      <w:r w:rsidRPr="0000199E">
        <w:t xml:space="preserve"> as most disability is acquired. Acquired disability</w:t>
      </w:r>
      <w:r>
        <w:t>,</w:t>
      </w:r>
      <w:r w:rsidRPr="0000199E">
        <w:t xml:space="preserve"> is a disability that has developed during the person's lifetime – that is as a result of an accident or illness rather than a </w:t>
      </w:r>
      <w:r w:rsidRPr="0000199E">
        <w:lastRenderedPageBreak/>
        <w:t>disa</w:t>
      </w:r>
      <w:r>
        <w:t>bility the person was born with;</w:t>
      </w:r>
      <w:r w:rsidRPr="0000199E">
        <w:t xml:space="preserve"> </w:t>
      </w:r>
      <w:r>
        <w:t>s</w:t>
      </w:r>
      <w:r w:rsidRPr="0000199E">
        <w:t xml:space="preserve">o the rate of disability increases with age. </w:t>
      </w:r>
      <w:r w:rsidR="00164B25">
        <w:rPr>
          <w:noProof/>
          <w:lang w:eastAsia="en-IE"/>
        </w:rPr>
        <w:drawing>
          <wp:anchor distT="0" distB="0" distL="114300" distR="114300" simplePos="0" relativeHeight="251660288" behindDoc="0" locked="0" layoutInCell="1" allowOverlap="0" wp14:anchorId="22EAA736" wp14:editId="752F52D9">
            <wp:simplePos x="0" y="0"/>
            <wp:positionH relativeFrom="column">
              <wp:posOffset>-47625</wp:posOffset>
            </wp:positionH>
            <wp:positionV relativeFrom="page">
              <wp:posOffset>1722120</wp:posOffset>
            </wp:positionV>
            <wp:extent cx="5364000" cy="2743200"/>
            <wp:effectExtent l="0" t="0" r="8255" b="0"/>
            <wp:wrapTopAndBottom/>
            <wp:docPr id="6" name="Chart 6" descr="This figure shows the percentage of the population with a disability at each year of age and the total persons with a disability at each year of age. &#10;The majority of people aged over 80 have a disability. By the age of 85, 60 per cent of people have a disability. This rises to 80 per cent by the age of 93." title="Figure 2: Age and Disabil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anchor>
        </w:drawing>
      </w:r>
      <w:r w:rsidRPr="0000199E">
        <w:t xml:space="preserve">The majority of people aged over 80 have a disability (figure 2). </w:t>
      </w:r>
    </w:p>
    <w:p w14:paraId="78138064" w14:textId="3F53B3F6" w:rsidR="0000199E" w:rsidRPr="0000199E" w:rsidRDefault="0000199E" w:rsidP="0000199E">
      <w:pPr>
        <w:pStyle w:val="TableNote"/>
      </w:pPr>
      <w:r>
        <w:t>Source: Census</w:t>
      </w:r>
      <w:r w:rsidRPr="00D32C75">
        <w:t xml:space="preserve"> 2016</w:t>
      </w:r>
    </w:p>
    <w:p w14:paraId="1F317E42" w14:textId="3DD476FC" w:rsidR="00357D98" w:rsidRDefault="00357D98" w:rsidP="00357D98">
      <w:r>
        <w:t>By the age of 85, 60 per cent of people have a disability. This rises to 80 per cent by the age of 93. At the same time because the number of people aged 80 and older is a very small part of the total Irish population, the majority of people with a disability are of working age (defined as aged between 18 and 65 years of age). These demographic effects can be seen in figure 2, which has two lines</w:t>
      </w:r>
      <w:r w:rsidR="009F04D8">
        <w:t xml:space="preserve">. </w:t>
      </w:r>
      <w:r>
        <w:t xml:space="preserve">The total number of people with a disability at each year of age (the labels for this are on the right hand side of the figure) and then the percentage of people with a disability at each year of age (who are labelled on the left hand side of the figure). </w:t>
      </w:r>
    </w:p>
    <w:p w14:paraId="48C55C41" w14:textId="6E59F20D" w:rsidR="0000199E" w:rsidRDefault="00357D98" w:rsidP="00357D98">
      <w:r>
        <w:rPr>
          <w:noProof/>
          <w:lang w:eastAsia="en-IE"/>
        </w:rPr>
        <w:lastRenderedPageBreak/>
        <w:drawing>
          <wp:anchor distT="0" distB="0" distL="114300" distR="114300" simplePos="0" relativeHeight="251661312" behindDoc="0" locked="0" layoutInCell="1" allowOverlap="0" wp14:anchorId="1D43FD1D" wp14:editId="37D0E333">
            <wp:simplePos x="0" y="0"/>
            <wp:positionH relativeFrom="column">
              <wp:posOffset>-85725</wp:posOffset>
            </wp:positionH>
            <wp:positionV relativeFrom="paragraph">
              <wp:posOffset>847725</wp:posOffset>
            </wp:positionV>
            <wp:extent cx="5572125" cy="2819400"/>
            <wp:effectExtent l="0" t="0" r="9525" b="0"/>
            <wp:wrapTopAndBottom/>
            <wp:docPr id="8" name="Chart 8" descr="This chart shows the number of disabilities a person has by age (as people can also acquire more than one disability as they age).&#10;At 18, about half of people who have a disability have more than one disability. By 85, 4 out of 5 people who have a disability have more than one disability and 55 per cent have four or more disabilities." title="Figure 3: Number of disabilities by 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t>People can also acquire more than one disability as they age</w:t>
      </w:r>
      <w:r w:rsidR="009F04D8">
        <w:t xml:space="preserve">. </w:t>
      </w:r>
      <w:r>
        <w:t>At 18</w:t>
      </w:r>
      <w:r w:rsidR="000A4C98">
        <w:t>,</w:t>
      </w:r>
      <w:r>
        <w:t xml:space="preserve"> about half of people who have a disability have more than one disability. By 85, 4 out of 5 people who have a disability have more than one disability and 55 per cent have four or more disabilities (figure 3).</w:t>
      </w:r>
    </w:p>
    <w:p w14:paraId="5670FEE1" w14:textId="77777777" w:rsidR="00357D98" w:rsidRDefault="00357D98" w:rsidP="00357D98">
      <w:pPr>
        <w:pStyle w:val="TableNote"/>
      </w:pPr>
      <w:r w:rsidRPr="00D32C75">
        <w:t xml:space="preserve">Source: </w:t>
      </w:r>
      <w:r>
        <w:t>Census</w:t>
      </w:r>
      <w:r w:rsidRPr="00D32C75">
        <w:t xml:space="preserve"> 2016</w:t>
      </w:r>
    </w:p>
    <w:p w14:paraId="47EEF2B4" w14:textId="77777777" w:rsidR="00357D98" w:rsidRDefault="00357D98" w:rsidP="00FC4031">
      <w:pPr>
        <w:pStyle w:val="Heading1"/>
      </w:pPr>
      <w:r>
        <w:t>Disability rates by area</w:t>
      </w:r>
    </w:p>
    <w:p w14:paraId="34E1AB9F" w14:textId="15B3AC66" w:rsidR="00357D98" w:rsidRDefault="00357D98" w:rsidP="00357D98">
      <w:r>
        <w:t>Because disability is so</w:t>
      </w:r>
      <w:r w:rsidR="00931116">
        <w:t xml:space="preserve"> strongly</w:t>
      </w:r>
      <w:r>
        <w:t xml:space="preserve"> related to age</w:t>
      </w:r>
      <w:r w:rsidR="00FC4031">
        <w:t>,</w:t>
      </w:r>
      <w:r>
        <w:t xml:space="preserve"> this has a big knock-on effect on the percentage of people in an area with a disability</w:t>
      </w:r>
      <w:r w:rsidR="009F04D8">
        <w:t xml:space="preserve">. </w:t>
      </w:r>
      <w:r>
        <w:t xml:space="preserve">For </w:t>
      </w:r>
      <w:r w:rsidR="00FC4031">
        <w:t>instance,</w:t>
      </w:r>
      <w:r>
        <w:t xml:space="preserve"> Cork City has relatively high rates of disability because it has relatively high numbers of older people</w:t>
      </w:r>
      <w:r w:rsidR="009F04D8">
        <w:t xml:space="preserve">. </w:t>
      </w:r>
      <w:r>
        <w:t>Fingal on the other hand has many young families so therefore fewer people with a disability (figure 4).</w:t>
      </w:r>
    </w:p>
    <w:p w14:paraId="5081D07F" w14:textId="77777777" w:rsidR="00FC4031" w:rsidRDefault="00FC4031" w:rsidP="00FC4031">
      <w:pPr>
        <w:pStyle w:val="TableNote"/>
      </w:pPr>
      <w:r>
        <w:rPr>
          <w:noProof/>
          <w:lang w:eastAsia="en-IE"/>
        </w:rPr>
        <w:lastRenderedPageBreak/>
        <w:drawing>
          <wp:anchor distT="0" distB="0" distL="114300" distR="114300" simplePos="0" relativeHeight="251662336" behindDoc="0" locked="0" layoutInCell="1" allowOverlap="0" wp14:anchorId="48B76739" wp14:editId="3EFFC07C">
            <wp:simplePos x="0" y="0"/>
            <wp:positionH relativeFrom="column">
              <wp:posOffset>0</wp:posOffset>
            </wp:positionH>
            <wp:positionV relativeFrom="paragraph">
              <wp:posOffset>0</wp:posOffset>
            </wp:positionV>
            <wp:extent cx="5723890" cy="6838950"/>
            <wp:effectExtent l="0" t="0" r="10160" b="0"/>
            <wp:wrapTopAndBottom/>
            <wp:docPr id="1" name="Chart 1" descr="This chart shows the percentage or people with a disability by region of the country.&#10;Cork City 18.1%&#10;Wexford 15.1 %&#10;Limerick City &amp; County 15%&#10;Tipperary 14.8%&#10;Dublin City 14.7%&#10;Sligo 14.6%&#10;Longford 14.5%&#10;Carlow 14.5%&#10;Donegal 14.4%&#10;Roscommon 14.4%&#10;Waterford City &amp; County 14.4%&#10;Offaly 14.3%&#10;Leitrim 14%&#10;Louth 13.9%&#10;Mayo 13.8%&#10;Kerry 13.5%&#10;Wicklow 13.5%&#10;Laois 13.5%&#10;Westmeath 13.4%&#10;Kilkenny 13.4%&#10;South Dublin 13.1%&#10;Galway City 12.9%&#10;Clare 12.9%&#10;Galway County 12.6$&#10;Cork County 12.6%&#10;Cavan 12.5%&#10;Kildare 12.5%&#10;Dún Laoghaire-Rathdown 12.5%&#10;Monaghan 11.8%&#10;Meath 11.6%&#10;Fingal 10.8%&#10;" title="Figure 4: Percentage of people with a disability by reg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t>Source: Census 2016</w:t>
      </w:r>
    </w:p>
    <w:p w14:paraId="1F287AE5" w14:textId="77777777" w:rsidR="00FC4031" w:rsidRDefault="00FC4031" w:rsidP="00FC4031">
      <w:pPr>
        <w:pStyle w:val="Heading1"/>
      </w:pPr>
      <w:r>
        <w:t>Disability and Employment</w:t>
      </w:r>
    </w:p>
    <w:p w14:paraId="6EFF661A" w14:textId="77777777" w:rsidR="00FC4031" w:rsidRDefault="00FC4031" w:rsidP="00FC4031">
      <w:r>
        <w:t xml:space="preserve">People with a disability are less likely to be working. Looking just at the population aged between 20 and 64, we see from the CSO 2016 Census that 73 </w:t>
      </w:r>
      <w:r>
        <w:lastRenderedPageBreak/>
        <w:t xml:space="preserve">per cent of people who do not have a disability are working. However, for people with a disability of the same age, only 36 per cent are working. </w:t>
      </w:r>
    </w:p>
    <w:p w14:paraId="56FCD527" w14:textId="77777777" w:rsidR="00FC4031" w:rsidRDefault="00FC4031" w:rsidP="00FC4031">
      <w:r>
        <w:t>Looking at those at work – only 6.3 percent of all workers have a disability (that is 120,775 of the people at work have a disability).</w:t>
      </w:r>
    </w:p>
    <w:p w14:paraId="3C8A0D9D" w14:textId="77777777" w:rsidR="00FC4031" w:rsidRDefault="00FC4031" w:rsidP="000A4C98">
      <w:pPr>
        <w:pStyle w:val="Heading2"/>
      </w:pPr>
      <w:r>
        <w:t>People with a disability are less likely to be professionals or managerial workers.</w:t>
      </w:r>
    </w:p>
    <w:p w14:paraId="58DD8AF1" w14:textId="77777777" w:rsidR="00931116" w:rsidRDefault="00FC4031" w:rsidP="00FC4031">
      <w:r>
        <w:t>The</w:t>
      </w:r>
      <w:r w:rsidR="000A4C98">
        <w:t>re are two ways to look at this;</w:t>
      </w:r>
      <w:r>
        <w:t xml:space="preserve"> the percentage of each </w:t>
      </w:r>
      <w:r w:rsidR="00931116">
        <w:t xml:space="preserve">social class </w:t>
      </w:r>
      <w:r>
        <w:t>group that is disabled and compare this to the number of people with a disability in the total population</w:t>
      </w:r>
      <w:r w:rsidR="000A4C98">
        <w:t>;</w:t>
      </w:r>
      <w:r>
        <w:t xml:space="preserve"> or look across</w:t>
      </w:r>
      <w:r w:rsidR="00117824">
        <w:t xml:space="preserve"> all</w:t>
      </w:r>
      <w:r>
        <w:t xml:space="preserve"> p</w:t>
      </w:r>
      <w:r w:rsidR="00931116">
        <w:t xml:space="preserve">eople with a disability and see </w:t>
      </w:r>
      <w:r w:rsidR="000A4C98">
        <w:t xml:space="preserve">what social class they </w:t>
      </w:r>
      <w:r w:rsidR="00931116">
        <w:t>belong to</w:t>
      </w:r>
      <w:r w:rsidR="000A4C98">
        <w:t xml:space="preserve">. </w:t>
      </w:r>
    </w:p>
    <w:p w14:paraId="17390EB6" w14:textId="0A2C1991" w:rsidR="00FC4031" w:rsidRDefault="00FC4031" w:rsidP="00FC4031">
      <w:r>
        <w:t>On the first method</w:t>
      </w:r>
      <w:r w:rsidR="00931116">
        <w:t xml:space="preserve"> (Figure 5)</w:t>
      </w:r>
      <w:r>
        <w:t>, overall</w:t>
      </w:r>
      <w:r w:rsidR="00117824">
        <w:t xml:space="preserve"> we know that</w:t>
      </w:r>
      <w:r>
        <w:t xml:space="preserve"> 13.5 per cent of the population has a disability but </w:t>
      </w:r>
      <w:r w:rsidR="00117824">
        <w:t xml:space="preserve">only </w:t>
      </w:r>
      <w:r>
        <w:t xml:space="preserve">9 per cent of professionals and managers </w:t>
      </w:r>
      <w:r w:rsidR="00117824">
        <w:t>have a disability.  On the other hand</w:t>
      </w:r>
      <w:r w:rsidR="00931116">
        <w:t>,</w:t>
      </w:r>
      <w:r w:rsidR="00117824">
        <w:t xml:space="preserve"> </w:t>
      </w:r>
      <w:r>
        <w:t>23 per cent of the unsk</w:t>
      </w:r>
      <w:r w:rsidR="00117824">
        <w:t>illed/other and unknown group has a disability</w:t>
      </w:r>
      <w:r>
        <w:t>.</w:t>
      </w:r>
    </w:p>
    <w:p w14:paraId="02F62B52" w14:textId="5850131E" w:rsidR="000A4C98" w:rsidRDefault="000A4C98" w:rsidP="00D529B4">
      <w:pPr>
        <w:pStyle w:val="TableTitle"/>
      </w:pPr>
      <w:r>
        <w:t xml:space="preserve">Figure 5: </w:t>
      </w:r>
      <w:r w:rsidR="00117824">
        <w:t>% of each s</w:t>
      </w:r>
      <w:r>
        <w:t xml:space="preserve">ocial class </w:t>
      </w:r>
      <w:r w:rsidR="00117824">
        <w:t>who have a</w:t>
      </w:r>
      <w:r>
        <w:t xml:space="preserve"> </w:t>
      </w:r>
      <w:r w:rsidR="00117824">
        <w:t>disability</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igure 5: Social Class by disability %"/>
        <w:tblDescription w:val="This chart shows the percentage of people with a disability by social class. As follows: All social classes 13.5%; Professional and managerial 8.9%; Non-manual 11.3%; Skilled manual 12.9%; Semi-skilled 13.7%; Unskilled/other/unknown 23.3%."/>
      </w:tblPr>
      <w:tblGrid>
        <w:gridCol w:w="1366"/>
        <w:gridCol w:w="1014"/>
        <w:gridCol w:w="1584"/>
        <w:gridCol w:w="1123"/>
        <w:gridCol w:w="1213"/>
        <w:gridCol w:w="919"/>
        <w:gridCol w:w="1324"/>
      </w:tblGrid>
      <w:tr w:rsidR="000A4C98" w:rsidRPr="00431DD5" w14:paraId="28E665BD" w14:textId="77777777" w:rsidTr="00150FC2">
        <w:trPr>
          <w:trHeight w:val="1200"/>
          <w:tblHeader/>
        </w:trPr>
        <w:tc>
          <w:tcPr>
            <w:tcW w:w="1366" w:type="dxa"/>
            <w:noWrap/>
            <w:hideMark/>
          </w:tcPr>
          <w:p w14:paraId="38E89C0A" w14:textId="77777777" w:rsidR="000A4C98" w:rsidRPr="002620AA" w:rsidRDefault="000A4C98" w:rsidP="00B14E76">
            <w:pPr>
              <w:rPr>
                <w:b/>
                <w:sz w:val="24"/>
              </w:rPr>
            </w:pPr>
          </w:p>
        </w:tc>
        <w:tc>
          <w:tcPr>
            <w:tcW w:w="1014" w:type="dxa"/>
            <w:hideMark/>
          </w:tcPr>
          <w:p w14:paraId="4EB70EC4" w14:textId="77777777" w:rsidR="000A4C98" w:rsidRPr="002620AA" w:rsidRDefault="000A4C98" w:rsidP="00B14E76">
            <w:pPr>
              <w:spacing w:after="0"/>
              <w:rPr>
                <w:b/>
                <w:sz w:val="24"/>
              </w:rPr>
            </w:pPr>
            <w:r w:rsidRPr="002620AA">
              <w:rPr>
                <w:b/>
                <w:sz w:val="24"/>
              </w:rPr>
              <w:t>All social classes</w:t>
            </w:r>
          </w:p>
        </w:tc>
        <w:tc>
          <w:tcPr>
            <w:tcW w:w="1584" w:type="dxa"/>
            <w:hideMark/>
          </w:tcPr>
          <w:p w14:paraId="5FBE4B98" w14:textId="77777777" w:rsidR="000A4C98" w:rsidRPr="002620AA" w:rsidRDefault="000A4C98" w:rsidP="00B14E76">
            <w:pPr>
              <w:spacing w:after="0"/>
              <w:rPr>
                <w:b/>
                <w:sz w:val="24"/>
              </w:rPr>
            </w:pPr>
            <w:r w:rsidRPr="002620AA">
              <w:rPr>
                <w:b/>
                <w:sz w:val="24"/>
              </w:rPr>
              <w:t>Professional and managerial</w:t>
            </w:r>
          </w:p>
        </w:tc>
        <w:tc>
          <w:tcPr>
            <w:tcW w:w="1123" w:type="dxa"/>
            <w:hideMark/>
          </w:tcPr>
          <w:p w14:paraId="2266F09E" w14:textId="77777777" w:rsidR="000A4C98" w:rsidRPr="002620AA" w:rsidRDefault="000A4C98" w:rsidP="00B14E76">
            <w:pPr>
              <w:spacing w:after="0"/>
              <w:rPr>
                <w:b/>
                <w:sz w:val="24"/>
              </w:rPr>
            </w:pPr>
            <w:r w:rsidRPr="002620AA">
              <w:rPr>
                <w:b/>
                <w:sz w:val="24"/>
              </w:rPr>
              <w:t>Non-manual</w:t>
            </w:r>
          </w:p>
        </w:tc>
        <w:tc>
          <w:tcPr>
            <w:tcW w:w="1213" w:type="dxa"/>
            <w:hideMark/>
          </w:tcPr>
          <w:p w14:paraId="6229B48A" w14:textId="77777777" w:rsidR="000A4C98" w:rsidRPr="002620AA" w:rsidRDefault="000A4C98" w:rsidP="00B14E76">
            <w:pPr>
              <w:spacing w:after="0"/>
              <w:rPr>
                <w:b/>
                <w:sz w:val="24"/>
              </w:rPr>
            </w:pPr>
            <w:r w:rsidRPr="002620AA">
              <w:rPr>
                <w:b/>
                <w:sz w:val="24"/>
              </w:rPr>
              <w:t>Skilled manual</w:t>
            </w:r>
          </w:p>
        </w:tc>
        <w:tc>
          <w:tcPr>
            <w:tcW w:w="917" w:type="dxa"/>
            <w:hideMark/>
          </w:tcPr>
          <w:p w14:paraId="74FFF57C" w14:textId="77777777" w:rsidR="000A4C98" w:rsidRPr="002620AA" w:rsidRDefault="000A4C98" w:rsidP="00B14E76">
            <w:pPr>
              <w:spacing w:after="0"/>
              <w:rPr>
                <w:b/>
                <w:sz w:val="24"/>
              </w:rPr>
            </w:pPr>
            <w:r w:rsidRPr="002620AA">
              <w:rPr>
                <w:b/>
                <w:sz w:val="24"/>
              </w:rPr>
              <w:t>Semi-skilled</w:t>
            </w:r>
          </w:p>
        </w:tc>
        <w:tc>
          <w:tcPr>
            <w:tcW w:w="1321" w:type="dxa"/>
            <w:hideMark/>
          </w:tcPr>
          <w:p w14:paraId="1A7990B5" w14:textId="77777777" w:rsidR="000A4C98" w:rsidRPr="002620AA" w:rsidRDefault="000A4C98" w:rsidP="00B14E76">
            <w:pPr>
              <w:spacing w:after="0"/>
              <w:rPr>
                <w:b/>
                <w:sz w:val="24"/>
              </w:rPr>
            </w:pPr>
            <w:r w:rsidRPr="002620AA">
              <w:rPr>
                <w:b/>
                <w:sz w:val="24"/>
              </w:rPr>
              <w:t>Unskilled/</w:t>
            </w:r>
          </w:p>
          <w:p w14:paraId="44B13091" w14:textId="77777777" w:rsidR="000A4C98" w:rsidRPr="002620AA" w:rsidRDefault="000A4C98" w:rsidP="00B14E76">
            <w:pPr>
              <w:spacing w:after="0"/>
              <w:rPr>
                <w:b/>
                <w:sz w:val="24"/>
              </w:rPr>
            </w:pPr>
            <w:r w:rsidRPr="002620AA">
              <w:rPr>
                <w:b/>
                <w:sz w:val="24"/>
              </w:rPr>
              <w:t>other/</w:t>
            </w:r>
          </w:p>
          <w:p w14:paraId="5CA10916" w14:textId="77777777" w:rsidR="000A4C98" w:rsidRPr="002620AA" w:rsidRDefault="000A4C98" w:rsidP="00B14E76">
            <w:pPr>
              <w:spacing w:after="0"/>
              <w:rPr>
                <w:b/>
                <w:sz w:val="24"/>
              </w:rPr>
            </w:pPr>
            <w:r w:rsidRPr="002620AA">
              <w:rPr>
                <w:b/>
                <w:sz w:val="24"/>
              </w:rPr>
              <w:t>unknown</w:t>
            </w:r>
          </w:p>
        </w:tc>
      </w:tr>
      <w:tr w:rsidR="000A4C98" w:rsidRPr="00431DD5" w14:paraId="0777A222" w14:textId="77777777" w:rsidTr="00B14E76">
        <w:trPr>
          <w:trHeight w:val="300"/>
        </w:trPr>
        <w:tc>
          <w:tcPr>
            <w:tcW w:w="1366" w:type="dxa"/>
            <w:noWrap/>
            <w:hideMark/>
          </w:tcPr>
          <w:p w14:paraId="29D9C7D9" w14:textId="77777777" w:rsidR="000A4C98" w:rsidRPr="002620AA" w:rsidRDefault="000A4C98" w:rsidP="00B14E76">
            <w:pPr>
              <w:rPr>
                <w:b/>
                <w:sz w:val="24"/>
              </w:rPr>
            </w:pPr>
            <w:r w:rsidRPr="002620AA">
              <w:rPr>
                <w:b/>
                <w:sz w:val="24"/>
              </w:rPr>
              <w:t xml:space="preserve">% </w:t>
            </w:r>
            <w:r>
              <w:rPr>
                <w:b/>
                <w:sz w:val="24"/>
              </w:rPr>
              <w:t xml:space="preserve">of social class with a disability </w:t>
            </w:r>
          </w:p>
        </w:tc>
        <w:tc>
          <w:tcPr>
            <w:tcW w:w="1014" w:type="dxa"/>
            <w:noWrap/>
            <w:hideMark/>
          </w:tcPr>
          <w:p w14:paraId="22D48E8D" w14:textId="77777777" w:rsidR="000A4C98" w:rsidRPr="002620AA" w:rsidRDefault="000A4C98" w:rsidP="00B14E76">
            <w:pPr>
              <w:jc w:val="right"/>
              <w:rPr>
                <w:b/>
                <w:sz w:val="24"/>
              </w:rPr>
            </w:pPr>
            <w:r w:rsidRPr="002620AA">
              <w:rPr>
                <w:b/>
                <w:sz w:val="24"/>
              </w:rPr>
              <w:t>13.5</w:t>
            </w:r>
          </w:p>
        </w:tc>
        <w:tc>
          <w:tcPr>
            <w:tcW w:w="1584" w:type="dxa"/>
            <w:noWrap/>
            <w:hideMark/>
          </w:tcPr>
          <w:p w14:paraId="4F6D6BF9" w14:textId="77777777" w:rsidR="000A4C98" w:rsidRPr="002620AA" w:rsidRDefault="000A4C98" w:rsidP="00B14E76">
            <w:pPr>
              <w:jc w:val="right"/>
              <w:rPr>
                <w:b/>
                <w:sz w:val="24"/>
              </w:rPr>
            </w:pPr>
            <w:r w:rsidRPr="002620AA">
              <w:rPr>
                <w:b/>
                <w:sz w:val="24"/>
              </w:rPr>
              <w:t>8.9</w:t>
            </w:r>
          </w:p>
        </w:tc>
        <w:tc>
          <w:tcPr>
            <w:tcW w:w="1123" w:type="dxa"/>
            <w:noWrap/>
            <w:hideMark/>
          </w:tcPr>
          <w:p w14:paraId="33D40480" w14:textId="77777777" w:rsidR="000A4C98" w:rsidRPr="002620AA" w:rsidRDefault="000A4C98" w:rsidP="00B14E76">
            <w:pPr>
              <w:jc w:val="right"/>
              <w:rPr>
                <w:b/>
                <w:sz w:val="24"/>
              </w:rPr>
            </w:pPr>
            <w:r w:rsidRPr="002620AA">
              <w:rPr>
                <w:b/>
                <w:sz w:val="24"/>
              </w:rPr>
              <w:t>11.3</w:t>
            </w:r>
          </w:p>
        </w:tc>
        <w:tc>
          <w:tcPr>
            <w:tcW w:w="1213" w:type="dxa"/>
            <w:noWrap/>
            <w:hideMark/>
          </w:tcPr>
          <w:p w14:paraId="67BD828E" w14:textId="77777777" w:rsidR="000A4C98" w:rsidRPr="002620AA" w:rsidRDefault="000A4C98" w:rsidP="00B14E76">
            <w:pPr>
              <w:jc w:val="right"/>
              <w:rPr>
                <w:b/>
                <w:sz w:val="24"/>
              </w:rPr>
            </w:pPr>
            <w:r w:rsidRPr="002620AA">
              <w:rPr>
                <w:b/>
                <w:sz w:val="24"/>
              </w:rPr>
              <w:t>12.9</w:t>
            </w:r>
          </w:p>
        </w:tc>
        <w:tc>
          <w:tcPr>
            <w:tcW w:w="917" w:type="dxa"/>
            <w:noWrap/>
            <w:hideMark/>
          </w:tcPr>
          <w:p w14:paraId="6C467C8A" w14:textId="77777777" w:rsidR="000A4C98" w:rsidRPr="002620AA" w:rsidRDefault="000A4C98" w:rsidP="00B14E76">
            <w:pPr>
              <w:jc w:val="right"/>
              <w:rPr>
                <w:b/>
                <w:sz w:val="24"/>
              </w:rPr>
            </w:pPr>
            <w:r w:rsidRPr="002620AA">
              <w:rPr>
                <w:b/>
                <w:sz w:val="24"/>
              </w:rPr>
              <w:t>13.7</w:t>
            </w:r>
          </w:p>
        </w:tc>
        <w:tc>
          <w:tcPr>
            <w:tcW w:w="1321" w:type="dxa"/>
            <w:noWrap/>
            <w:hideMark/>
          </w:tcPr>
          <w:p w14:paraId="6724BD1B" w14:textId="77777777" w:rsidR="000A4C98" w:rsidRPr="002620AA" w:rsidRDefault="000A4C98" w:rsidP="00B14E76">
            <w:pPr>
              <w:jc w:val="right"/>
              <w:rPr>
                <w:b/>
                <w:sz w:val="24"/>
              </w:rPr>
            </w:pPr>
            <w:r w:rsidRPr="002620AA">
              <w:rPr>
                <w:b/>
                <w:sz w:val="24"/>
              </w:rPr>
              <w:t>23.3</w:t>
            </w:r>
          </w:p>
        </w:tc>
      </w:tr>
    </w:tbl>
    <w:p w14:paraId="1393A65B" w14:textId="77777777" w:rsidR="000A4C98" w:rsidRDefault="000A4C98" w:rsidP="000A4C98">
      <w:pPr>
        <w:pStyle w:val="TableNote"/>
      </w:pPr>
      <w:r>
        <w:t>Source: Census 2016 – note some categories are combined</w:t>
      </w:r>
    </w:p>
    <w:p w14:paraId="773B22C2" w14:textId="5DC4539C" w:rsidR="00117824" w:rsidRDefault="008222E5" w:rsidP="00FC4031">
      <w:r w:rsidRPr="008222E5">
        <w:t>Using the second method</w:t>
      </w:r>
      <w:r w:rsidR="00117824">
        <w:t xml:space="preserve"> </w:t>
      </w:r>
      <w:r w:rsidR="00931116">
        <w:t xml:space="preserve">(Figure 6), </w:t>
      </w:r>
      <w:r w:rsidR="00117824">
        <w:t xml:space="preserve">we look at all people with a </w:t>
      </w:r>
      <w:r w:rsidR="00931116">
        <w:t>disability, see what social class they are in, and compare that to the social class of people without a disability. W</w:t>
      </w:r>
      <w:r w:rsidRPr="008222E5">
        <w:t xml:space="preserve">e can see </w:t>
      </w:r>
      <w:r w:rsidR="00117824">
        <w:t>in figure 6</w:t>
      </w:r>
      <w:r w:rsidR="00931116">
        <w:t xml:space="preserve"> that</w:t>
      </w:r>
      <w:r w:rsidR="00117824">
        <w:t>:</w:t>
      </w:r>
    </w:p>
    <w:p w14:paraId="4BBA48E5" w14:textId="77777777" w:rsidR="00117824" w:rsidRDefault="008222E5" w:rsidP="00117824">
      <w:pPr>
        <w:pStyle w:val="ListParagraph"/>
        <w:numPr>
          <w:ilvl w:val="0"/>
          <w:numId w:val="17"/>
        </w:numPr>
      </w:pPr>
      <w:r w:rsidRPr="008222E5">
        <w:t xml:space="preserve">38 per cent of people </w:t>
      </w:r>
      <w:r w:rsidR="009723AE" w:rsidRPr="008222E5">
        <w:t>without</w:t>
      </w:r>
      <w:r w:rsidRPr="008222E5">
        <w:t xml:space="preserve"> a disability are classed as professi</w:t>
      </w:r>
      <w:r w:rsidR="009723AE">
        <w:t xml:space="preserve">onal and managerial occupations; </w:t>
      </w:r>
    </w:p>
    <w:p w14:paraId="73710BBF" w14:textId="77777777" w:rsidR="00117824" w:rsidRDefault="009723AE" w:rsidP="00117824">
      <w:pPr>
        <w:pStyle w:val="ListParagraph"/>
        <w:numPr>
          <w:ilvl w:val="0"/>
          <w:numId w:val="17"/>
        </w:numPr>
      </w:pPr>
      <w:r>
        <w:t>18 per cent are in non-</w:t>
      </w:r>
      <w:r w:rsidR="008222E5" w:rsidRPr="008222E5">
        <w:t>manual occupations</w:t>
      </w:r>
      <w:r>
        <w:t>;</w:t>
      </w:r>
      <w:r w:rsidR="008222E5" w:rsidRPr="008222E5">
        <w:t xml:space="preserve"> </w:t>
      </w:r>
    </w:p>
    <w:p w14:paraId="78B31148" w14:textId="77777777" w:rsidR="00117824" w:rsidRDefault="008222E5" w:rsidP="00117824">
      <w:pPr>
        <w:pStyle w:val="ListParagraph"/>
        <w:numPr>
          <w:ilvl w:val="0"/>
          <w:numId w:val="17"/>
        </w:numPr>
      </w:pPr>
      <w:r w:rsidRPr="008222E5">
        <w:t>14 per c</w:t>
      </w:r>
      <w:r w:rsidR="009723AE">
        <w:t>ent are in skilled occupations;</w:t>
      </w:r>
      <w:r w:rsidRPr="008222E5">
        <w:t xml:space="preserve"> </w:t>
      </w:r>
    </w:p>
    <w:p w14:paraId="1AA79A13" w14:textId="37C340B1" w:rsidR="00117824" w:rsidRDefault="008222E5" w:rsidP="00117824">
      <w:pPr>
        <w:pStyle w:val="ListParagraph"/>
        <w:numPr>
          <w:ilvl w:val="0"/>
          <w:numId w:val="17"/>
        </w:numPr>
      </w:pPr>
      <w:r w:rsidRPr="008222E5">
        <w:t>10 per cent are semi skilled and 19 per cent are in unskilled, other or unknown occupations</w:t>
      </w:r>
    </w:p>
    <w:p w14:paraId="6E5F23EF" w14:textId="77777777" w:rsidR="00117824" w:rsidRDefault="008222E5" w:rsidP="00117824">
      <w:pPr>
        <w:ind w:left="360"/>
      </w:pPr>
      <w:r w:rsidRPr="008222E5">
        <w:t>For people with a disability</w:t>
      </w:r>
      <w:r w:rsidR="009723AE">
        <w:t>,</w:t>
      </w:r>
      <w:r w:rsidRPr="008222E5">
        <w:t xml:space="preserve"> these numbers are </w:t>
      </w:r>
    </w:p>
    <w:p w14:paraId="34C162B2" w14:textId="77777777" w:rsidR="00117824" w:rsidRDefault="008222E5" w:rsidP="00117824">
      <w:pPr>
        <w:pStyle w:val="ListParagraph"/>
        <w:numPr>
          <w:ilvl w:val="0"/>
          <w:numId w:val="18"/>
        </w:numPr>
      </w:pPr>
      <w:r w:rsidRPr="008222E5">
        <w:lastRenderedPageBreak/>
        <w:t>24 per cent of people are classed as professi</w:t>
      </w:r>
      <w:r w:rsidR="009723AE">
        <w:t>onal and managerial occupations;</w:t>
      </w:r>
      <w:r w:rsidRPr="008222E5">
        <w:t xml:space="preserve"> </w:t>
      </w:r>
    </w:p>
    <w:p w14:paraId="3ADCD3D5" w14:textId="77777777" w:rsidR="00117824" w:rsidRDefault="008222E5" w:rsidP="00117824">
      <w:pPr>
        <w:pStyle w:val="ListParagraph"/>
        <w:numPr>
          <w:ilvl w:val="0"/>
          <w:numId w:val="18"/>
        </w:numPr>
      </w:pPr>
      <w:r w:rsidRPr="008222E5">
        <w:t>15 per cent are in non manual occupations</w:t>
      </w:r>
      <w:r w:rsidR="009723AE">
        <w:t>;</w:t>
      </w:r>
      <w:r w:rsidRPr="008222E5">
        <w:t xml:space="preserve"> </w:t>
      </w:r>
    </w:p>
    <w:p w14:paraId="7D13DDD6" w14:textId="77777777" w:rsidR="00117824" w:rsidRDefault="008222E5" w:rsidP="00117824">
      <w:pPr>
        <w:pStyle w:val="ListParagraph"/>
        <w:numPr>
          <w:ilvl w:val="0"/>
          <w:numId w:val="18"/>
        </w:numPr>
      </w:pPr>
      <w:r w:rsidRPr="008222E5">
        <w:t>14 per cent are in skilled occ</w:t>
      </w:r>
      <w:r w:rsidR="009723AE">
        <w:t>upations;</w:t>
      </w:r>
      <w:r w:rsidRPr="008222E5">
        <w:t xml:space="preserve"> </w:t>
      </w:r>
    </w:p>
    <w:p w14:paraId="29C58D34" w14:textId="77777777" w:rsidR="00117824" w:rsidRDefault="008222E5" w:rsidP="00117824">
      <w:pPr>
        <w:pStyle w:val="ListParagraph"/>
        <w:numPr>
          <w:ilvl w:val="0"/>
          <w:numId w:val="18"/>
        </w:numPr>
      </w:pPr>
      <w:r w:rsidRPr="008222E5">
        <w:t>11 per cent are in semi skilled and</w:t>
      </w:r>
    </w:p>
    <w:p w14:paraId="2261A6C9" w14:textId="78B09809" w:rsidR="000A4C98" w:rsidRPr="00FC4031" w:rsidRDefault="008222E5" w:rsidP="00117824">
      <w:pPr>
        <w:pStyle w:val="ListParagraph"/>
        <w:numPr>
          <w:ilvl w:val="0"/>
          <w:numId w:val="18"/>
        </w:numPr>
      </w:pPr>
      <w:r w:rsidRPr="008222E5">
        <w:t xml:space="preserve"> 37 per cent are in unskilled, other or u</w:t>
      </w:r>
      <w:r w:rsidR="009723AE">
        <w:t xml:space="preserve">nknown occupations (figure 6). </w:t>
      </w:r>
    </w:p>
    <w:p w14:paraId="17482990" w14:textId="77777777" w:rsidR="00D529B4" w:rsidRDefault="00D529B4" w:rsidP="00D529B4">
      <w:pPr>
        <w:pStyle w:val="TableTitle"/>
      </w:pPr>
      <w:r w:rsidRPr="0083644D">
        <w:t xml:space="preserve">Figure </w:t>
      </w:r>
      <w:r>
        <w:t>6</w:t>
      </w:r>
      <w:r w:rsidRPr="0083644D">
        <w:t>: Social class by disability %</w:t>
      </w:r>
    </w:p>
    <w:tbl>
      <w:tblPr>
        <w:tblStyle w:val="TableGrid"/>
        <w:tblW w:w="0" w:type="auto"/>
        <w:tblLook w:val="04A0" w:firstRow="1" w:lastRow="0" w:firstColumn="1" w:lastColumn="0" w:noHBand="0" w:noVBand="1"/>
        <w:tblCaption w:val="Figure 6: Social class by disability %"/>
        <w:tblDescription w:val="This table shows the percentage of people with and without a disability by social class. People without a disabilty: Professional and Managerial 38%, Non-manual 18%, Skilled Manual 14%, Semi-skilled 10%, Unskilled/ other/ unknown 19%. People with a disability; Professional and Managerial 24%, Non-manual 15%, Skilled Manual 14%, Semi-skilled 11%, Unskilled/ other/ unknown 37%. "/>
      </w:tblPr>
      <w:tblGrid>
        <w:gridCol w:w="1720"/>
        <w:gridCol w:w="2043"/>
        <w:gridCol w:w="1194"/>
        <w:gridCol w:w="1259"/>
        <w:gridCol w:w="1090"/>
        <w:gridCol w:w="1324"/>
      </w:tblGrid>
      <w:tr w:rsidR="00D529B4" w:rsidRPr="004315DE" w14:paraId="3495F360" w14:textId="77777777" w:rsidTr="00150FC2">
        <w:trPr>
          <w:trHeight w:val="1200"/>
          <w:tblHeader/>
        </w:trPr>
        <w:tc>
          <w:tcPr>
            <w:tcW w:w="0" w:type="auto"/>
            <w:noWrap/>
            <w:hideMark/>
          </w:tcPr>
          <w:p w14:paraId="466F4A29" w14:textId="77777777" w:rsidR="00D529B4" w:rsidRPr="0083644D" w:rsidRDefault="00D529B4" w:rsidP="00B14E76">
            <w:pPr>
              <w:rPr>
                <w:b/>
                <w:sz w:val="24"/>
              </w:rPr>
            </w:pPr>
            <w:r w:rsidRPr="0083644D">
              <w:rPr>
                <w:b/>
                <w:sz w:val="24"/>
              </w:rPr>
              <w:t> </w:t>
            </w:r>
          </w:p>
        </w:tc>
        <w:tc>
          <w:tcPr>
            <w:tcW w:w="0" w:type="auto"/>
            <w:hideMark/>
          </w:tcPr>
          <w:p w14:paraId="367CE05C" w14:textId="77777777" w:rsidR="00D529B4" w:rsidRPr="0083644D" w:rsidRDefault="00D529B4" w:rsidP="00B14E76">
            <w:pPr>
              <w:rPr>
                <w:b/>
                <w:sz w:val="24"/>
              </w:rPr>
            </w:pPr>
            <w:r w:rsidRPr="0083644D">
              <w:rPr>
                <w:b/>
                <w:sz w:val="24"/>
              </w:rPr>
              <w:t>Professional and managerial</w:t>
            </w:r>
          </w:p>
        </w:tc>
        <w:tc>
          <w:tcPr>
            <w:tcW w:w="0" w:type="auto"/>
            <w:hideMark/>
          </w:tcPr>
          <w:p w14:paraId="6FB7FE9D" w14:textId="77777777" w:rsidR="00D529B4" w:rsidRPr="0083644D" w:rsidRDefault="00D529B4" w:rsidP="00B14E76">
            <w:pPr>
              <w:rPr>
                <w:b/>
                <w:sz w:val="24"/>
              </w:rPr>
            </w:pPr>
            <w:r w:rsidRPr="0083644D">
              <w:rPr>
                <w:b/>
                <w:sz w:val="24"/>
              </w:rPr>
              <w:t>Non-manual</w:t>
            </w:r>
          </w:p>
        </w:tc>
        <w:tc>
          <w:tcPr>
            <w:tcW w:w="0" w:type="auto"/>
            <w:hideMark/>
          </w:tcPr>
          <w:p w14:paraId="00AFBB09" w14:textId="77777777" w:rsidR="00D529B4" w:rsidRPr="0083644D" w:rsidRDefault="00D529B4" w:rsidP="00B14E76">
            <w:pPr>
              <w:rPr>
                <w:b/>
                <w:sz w:val="24"/>
              </w:rPr>
            </w:pPr>
            <w:r w:rsidRPr="0083644D">
              <w:rPr>
                <w:b/>
                <w:sz w:val="24"/>
              </w:rPr>
              <w:t>Skilled manual</w:t>
            </w:r>
          </w:p>
        </w:tc>
        <w:tc>
          <w:tcPr>
            <w:tcW w:w="0" w:type="auto"/>
            <w:hideMark/>
          </w:tcPr>
          <w:p w14:paraId="70A6EE41" w14:textId="77777777" w:rsidR="00D529B4" w:rsidRPr="0083644D" w:rsidRDefault="00D529B4" w:rsidP="00B14E76">
            <w:pPr>
              <w:rPr>
                <w:b/>
                <w:sz w:val="24"/>
              </w:rPr>
            </w:pPr>
            <w:r w:rsidRPr="0083644D">
              <w:rPr>
                <w:b/>
                <w:sz w:val="24"/>
              </w:rPr>
              <w:t>Semi-skilled</w:t>
            </w:r>
          </w:p>
        </w:tc>
        <w:tc>
          <w:tcPr>
            <w:tcW w:w="0" w:type="auto"/>
            <w:hideMark/>
          </w:tcPr>
          <w:p w14:paraId="4F0F3756" w14:textId="77777777" w:rsidR="00D529B4" w:rsidRDefault="00D529B4" w:rsidP="00B14E76">
            <w:pPr>
              <w:spacing w:after="0"/>
              <w:rPr>
                <w:b/>
                <w:sz w:val="24"/>
              </w:rPr>
            </w:pPr>
            <w:r w:rsidRPr="0083644D">
              <w:rPr>
                <w:b/>
                <w:sz w:val="24"/>
              </w:rPr>
              <w:t>Unskilled/</w:t>
            </w:r>
          </w:p>
          <w:p w14:paraId="15CAD010" w14:textId="77777777" w:rsidR="00D529B4" w:rsidRDefault="00D529B4" w:rsidP="00B14E76">
            <w:pPr>
              <w:spacing w:after="0"/>
              <w:rPr>
                <w:b/>
                <w:sz w:val="24"/>
              </w:rPr>
            </w:pPr>
            <w:r w:rsidRPr="0083644D">
              <w:rPr>
                <w:b/>
                <w:sz w:val="24"/>
              </w:rPr>
              <w:t>other/</w:t>
            </w:r>
          </w:p>
          <w:p w14:paraId="209CA5EB" w14:textId="77777777" w:rsidR="00D529B4" w:rsidRPr="0083644D" w:rsidRDefault="00D529B4" w:rsidP="00B14E76">
            <w:pPr>
              <w:spacing w:after="0"/>
              <w:rPr>
                <w:b/>
                <w:sz w:val="24"/>
              </w:rPr>
            </w:pPr>
            <w:r w:rsidRPr="0083644D">
              <w:rPr>
                <w:b/>
                <w:sz w:val="24"/>
              </w:rPr>
              <w:t>unknown</w:t>
            </w:r>
          </w:p>
        </w:tc>
      </w:tr>
      <w:tr w:rsidR="00D529B4" w:rsidRPr="004315DE" w14:paraId="2E6E1E6E" w14:textId="77777777" w:rsidTr="00B14E76">
        <w:trPr>
          <w:trHeight w:val="600"/>
        </w:trPr>
        <w:tc>
          <w:tcPr>
            <w:tcW w:w="0" w:type="auto"/>
            <w:hideMark/>
          </w:tcPr>
          <w:p w14:paraId="77A67CE4" w14:textId="77777777" w:rsidR="00D529B4" w:rsidRPr="0083644D" w:rsidRDefault="00D529B4" w:rsidP="00B14E76">
            <w:pPr>
              <w:rPr>
                <w:b/>
                <w:sz w:val="24"/>
              </w:rPr>
            </w:pPr>
            <w:r w:rsidRPr="0083644D">
              <w:rPr>
                <w:b/>
                <w:sz w:val="24"/>
              </w:rPr>
              <w:t>People without a disability</w:t>
            </w:r>
          </w:p>
        </w:tc>
        <w:tc>
          <w:tcPr>
            <w:tcW w:w="0" w:type="auto"/>
            <w:noWrap/>
            <w:hideMark/>
          </w:tcPr>
          <w:p w14:paraId="491240EC" w14:textId="77777777" w:rsidR="00D529B4" w:rsidRPr="004315DE" w:rsidRDefault="00D529B4" w:rsidP="00B14E76">
            <w:pPr>
              <w:rPr>
                <w:b/>
                <w:bCs/>
              </w:rPr>
            </w:pPr>
            <w:r w:rsidRPr="004315DE">
              <w:rPr>
                <w:b/>
                <w:bCs/>
              </w:rPr>
              <w:t>38</w:t>
            </w:r>
          </w:p>
        </w:tc>
        <w:tc>
          <w:tcPr>
            <w:tcW w:w="0" w:type="auto"/>
            <w:noWrap/>
            <w:hideMark/>
          </w:tcPr>
          <w:p w14:paraId="5C516E95" w14:textId="77777777" w:rsidR="00D529B4" w:rsidRPr="004315DE" w:rsidRDefault="00D529B4" w:rsidP="00B14E76">
            <w:pPr>
              <w:rPr>
                <w:b/>
                <w:bCs/>
              </w:rPr>
            </w:pPr>
            <w:r w:rsidRPr="004315DE">
              <w:rPr>
                <w:b/>
                <w:bCs/>
              </w:rPr>
              <w:t>18</w:t>
            </w:r>
          </w:p>
        </w:tc>
        <w:tc>
          <w:tcPr>
            <w:tcW w:w="0" w:type="auto"/>
            <w:noWrap/>
            <w:hideMark/>
          </w:tcPr>
          <w:p w14:paraId="3B0C2398" w14:textId="77777777" w:rsidR="00D529B4" w:rsidRPr="004315DE" w:rsidRDefault="00D529B4" w:rsidP="00B14E76">
            <w:pPr>
              <w:rPr>
                <w:b/>
                <w:bCs/>
              </w:rPr>
            </w:pPr>
            <w:r w:rsidRPr="004315DE">
              <w:rPr>
                <w:b/>
                <w:bCs/>
              </w:rPr>
              <w:t>14</w:t>
            </w:r>
          </w:p>
        </w:tc>
        <w:tc>
          <w:tcPr>
            <w:tcW w:w="0" w:type="auto"/>
            <w:noWrap/>
            <w:hideMark/>
          </w:tcPr>
          <w:p w14:paraId="5BBE5369" w14:textId="77777777" w:rsidR="00D529B4" w:rsidRPr="004315DE" w:rsidRDefault="00D529B4" w:rsidP="00B14E76">
            <w:pPr>
              <w:rPr>
                <w:b/>
                <w:bCs/>
              </w:rPr>
            </w:pPr>
            <w:r w:rsidRPr="004315DE">
              <w:rPr>
                <w:b/>
                <w:bCs/>
              </w:rPr>
              <w:t>10</w:t>
            </w:r>
          </w:p>
        </w:tc>
        <w:tc>
          <w:tcPr>
            <w:tcW w:w="0" w:type="auto"/>
            <w:noWrap/>
            <w:hideMark/>
          </w:tcPr>
          <w:p w14:paraId="2F92D124" w14:textId="77777777" w:rsidR="00D529B4" w:rsidRPr="004315DE" w:rsidRDefault="00D529B4" w:rsidP="00B14E76">
            <w:pPr>
              <w:rPr>
                <w:b/>
                <w:bCs/>
              </w:rPr>
            </w:pPr>
            <w:r w:rsidRPr="004315DE">
              <w:rPr>
                <w:b/>
                <w:bCs/>
              </w:rPr>
              <w:t>19</w:t>
            </w:r>
          </w:p>
        </w:tc>
      </w:tr>
      <w:tr w:rsidR="00D529B4" w:rsidRPr="004315DE" w14:paraId="7A01B685" w14:textId="77777777" w:rsidTr="00B14E76">
        <w:trPr>
          <w:trHeight w:val="600"/>
        </w:trPr>
        <w:tc>
          <w:tcPr>
            <w:tcW w:w="0" w:type="auto"/>
            <w:hideMark/>
          </w:tcPr>
          <w:p w14:paraId="51923F52" w14:textId="77777777" w:rsidR="00D529B4" w:rsidRPr="0083644D" w:rsidRDefault="00D529B4" w:rsidP="00B14E76">
            <w:pPr>
              <w:rPr>
                <w:b/>
                <w:sz w:val="24"/>
              </w:rPr>
            </w:pPr>
            <w:r w:rsidRPr="0083644D">
              <w:rPr>
                <w:b/>
                <w:sz w:val="24"/>
              </w:rPr>
              <w:t xml:space="preserve">People with a disability </w:t>
            </w:r>
          </w:p>
        </w:tc>
        <w:tc>
          <w:tcPr>
            <w:tcW w:w="0" w:type="auto"/>
            <w:noWrap/>
            <w:hideMark/>
          </w:tcPr>
          <w:p w14:paraId="72941310" w14:textId="77777777" w:rsidR="00D529B4" w:rsidRPr="004315DE" w:rsidRDefault="00D529B4" w:rsidP="00B14E76">
            <w:pPr>
              <w:rPr>
                <w:b/>
              </w:rPr>
            </w:pPr>
            <w:r w:rsidRPr="004315DE">
              <w:rPr>
                <w:b/>
              </w:rPr>
              <w:t>24</w:t>
            </w:r>
          </w:p>
        </w:tc>
        <w:tc>
          <w:tcPr>
            <w:tcW w:w="0" w:type="auto"/>
            <w:noWrap/>
            <w:hideMark/>
          </w:tcPr>
          <w:p w14:paraId="35AC4AB1" w14:textId="77777777" w:rsidR="00D529B4" w:rsidRPr="004315DE" w:rsidRDefault="00D529B4" w:rsidP="00B14E76">
            <w:pPr>
              <w:rPr>
                <w:b/>
              </w:rPr>
            </w:pPr>
            <w:r w:rsidRPr="004315DE">
              <w:rPr>
                <w:b/>
              </w:rPr>
              <w:t>15</w:t>
            </w:r>
          </w:p>
        </w:tc>
        <w:tc>
          <w:tcPr>
            <w:tcW w:w="0" w:type="auto"/>
            <w:noWrap/>
            <w:hideMark/>
          </w:tcPr>
          <w:p w14:paraId="2DBA4823" w14:textId="77777777" w:rsidR="00D529B4" w:rsidRPr="004315DE" w:rsidRDefault="00D529B4" w:rsidP="00B14E76">
            <w:pPr>
              <w:rPr>
                <w:b/>
              </w:rPr>
            </w:pPr>
            <w:r w:rsidRPr="004315DE">
              <w:rPr>
                <w:b/>
              </w:rPr>
              <w:t>14</w:t>
            </w:r>
          </w:p>
        </w:tc>
        <w:tc>
          <w:tcPr>
            <w:tcW w:w="0" w:type="auto"/>
            <w:noWrap/>
            <w:hideMark/>
          </w:tcPr>
          <w:p w14:paraId="5E6E2667" w14:textId="77777777" w:rsidR="00D529B4" w:rsidRPr="004315DE" w:rsidRDefault="00D529B4" w:rsidP="00B14E76">
            <w:pPr>
              <w:rPr>
                <w:b/>
              </w:rPr>
            </w:pPr>
            <w:r w:rsidRPr="004315DE">
              <w:rPr>
                <w:b/>
              </w:rPr>
              <w:t>11</w:t>
            </w:r>
          </w:p>
        </w:tc>
        <w:tc>
          <w:tcPr>
            <w:tcW w:w="0" w:type="auto"/>
            <w:noWrap/>
            <w:hideMark/>
          </w:tcPr>
          <w:p w14:paraId="42C42665" w14:textId="77777777" w:rsidR="00D529B4" w:rsidRPr="004315DE" w:rsidRDefault="00D529B4" w:rsidP="00B14E76">
            <w:pPr>
              <w:rPr>
                <w:b/>
              </w:rPr>
            </w:pPr>
            <w:r w:rsidRPr="004315DE">
              <w:rPr>
                <w:b/>
              </w:rPr>
              <w:t>37</w:t>
            </w:r>
          </w:p>
        </w:tc>
      </w:tr>
    </w:tbl>
    <w:p w14:paraId="2EC4179C" w14:textId="77777777" w:rsidR="00D529B4" w:rsidRDefault="00D529B4" w:rsidP="00D529B4">
      <w:pPr>
        <w:pStyle w:val="TableNote"/>
      </w:pPr>
      <w:r>
        <w:t xml:space="preserve">Source: Census 2016 </w:t>
      </w:r>
      <w:r w:rsidRPr="00FE5C23">
        <w:t>– note some categories are combined</w:t>
      </w:r>
    </w:p>
    <w:p w14:paraId="33CA88ED" w14:textId="77777777" w:rsidR="00D529B4" w:rsidRDefault="00D529B4" w:rsidP="00D529B4">
      <w:r w:rsidRPr="00D529B4">
        <w:t>This means that people without a disability are 50 per cent more likely to be a professional or managerial worker than a person with a disability and half as likely to be unskilled/other/unknown as a person with a disability.</w:t>
      </w:r>
    </w:p>
    <w:p w14:paraId="7BF3A9FC" w14:textId="1F98AF99" w:rsidR="00B002B5" w:rsidRDefault="00B002B5" w:rsidP="00B002B5">
      <w:pPr>
        <w:pStyle w:val="Heading1"/>
      </w:pPr>
      <w:r w:rsidRPr="00835C59">
        <w:lastRenderedPageBreak/>
        <w:t>Education</w:t>
      </w:r>
      <w:r>
        <w:t xml:space="preserve"> </w:t>
      </w:r>
    </w:p>
    <w:p w14:paraId="52D4DD2B" w14:textId="7135F468" w:rsidR="00B002B5" w:rsidRDefault="00295DC0" w:rsidP="00B002B5">
      <w:r>
        <w:rPr>
          <w:noProof/>
          <w:lang w:eastAsia="en-IE"/>
        </w:rPr>
        <w:drawing>
          <wp:anchor distT="0" distB="0" distL="114300" distR="114300" simplePos="0" relativeHeight="251663360" behindDoc="0" locked="0" layoutInCell="1" allowOverlap="0" wp14:anchorId="025777E3" wp14:editId="378F7690">
            <wp:simplePos x="0" y="0"/>
            <wp:positionH relativeFrom="column">
              <wp:posOffset>47625</wp:posOffset>
            </wp:positionH>
            <wp:positionV relativeFrom="paragraph">
              <wp:posOffset>481330</wp:posOffset>
            </wp:positionV>
            <wp:extent cx="5457600" cy="2894400"/>
            <wp:effectExtent l="0" t="0" r="10160" b="1270"/>
            <wp:wrapTopAndBottom/>
            <wp:docPr id="3" name="Chart 3" descr="This chart shows the age at which people with and without a disability left education. &#10;People with a disability finish school earlier than people without a disability finish school. " title="Figure 7: Age education ceased"/>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B002B5">
        <w:t>People with a disability finish school earlier than people without a disability finish school (figure 7).</w:t>
      </w:r>
      <w:r>
        <w:t xml:space="preserve"> </w:t>
      </w:r>
    </w:p>
    <w:p w14:paraId="4B359D87" w14:textId="77777777" w:rsidR="00B002B5" w:rsidRDefault="00B002B5" w:rsidP="00B002B5">
      <w:pPr>
        <w:pStyle w:val="TableNote"/>
      </w:pPr>
      <w:r>
        <w:t>Source: Census 2016</w:t>
      </w:r>
    </w:p>
    <w:p w14:paraId="22D3484B" w14:textId="51DC7A28" w:rsidR="00DA33F9" w:rsidRDefault="00295DC0" w:rsidP="00DA33F9">
      <w:r>
        <w:rPr>
          <w:noProof/>
          <w:lang w:eastAsia="en-IE"/>
        </w:rPr>
        <w:drawing>
          <wp:anchor distT="0" distB="0" distL="114300" distR="114300" simplePos="0" relativeHeight="251664384" behindDoc="0" locked="0" layoutInCell="1" allowOverlap="0" wp14:anchorId="746E84A2" wp14:editId="60850D18">
            <wp:simplePos x="0" y="0"/>
            <wp:positionH relativeFrom="column">
              <wp:posOffset>0</wp:posOffset>
            </wp:positionH>
            <wp:positionV relativeFrom="paragraph">
              <wp:posOffset>619125</wp:posOffset>
            </wp:positionV>
            <wp:extent cx="5362575" cy="2809875"/>
            <wp:effectExtent l="0" t="0" r="9525" b="9525"/>
            <wp:wrapTopAndBottom/>
            <wp:docPr id="4" name="Chart 4" descr="This chart shows the age at which people with a disability finishe full-time education (in percentages), comparing 2011 and 2016 Census figures (people with a disability were more likely to be still in education in 2016)." title="Figure 8: Age full time education finished for people with a disability %"/>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B002B5">
        <w:t>However, this is changing. Comparing Census 2011 and Census 2016, people with a disability were more likely to be still in education in 2016 (figure 8) and the average age education finished has increased.</w:t>
      </w:r>
    </w:p>
    <w:p w14:paraId="1E893A71" w14:textId="77777777" w:rsidR="00DA33F9" w:rsidRDefault="00DA33F9" w:rsidP="00DA33F9">
      <w:pPr>
        <w:pStyle w:val="TableNote"/>
      </w:pPr>
      <w:r>
        <w:t>Source: Census 2016 and Census 2011</w:t>
      </w:r>
    </w:p>
    <w:p w14:paraId="1193C8AF" w14:textId="790F23B6" w:rsidR="00B002B5" w:rsidRDefault="001F2813" w:rsidP="00B002B5">
      <w:r w:rsidRPr="001F2813">
        <w:lastRenderedPageBreak/>
        <w:t>Because people with a disability have tended to leave school earlier</w:t>
      </w:r>
      <w:r>
        <w:t>,</w:t>
      </w:r>
      <w:r w:rsidRPr="001F2813">
        <w:t xml:space="preserve"> their qualifications are less than for people without a disability (figure 9).</w:t>
      </w:r>
      <w:r>
        <w:t xml:space="preserve"> </w:t>
      </w:r>
    </w:p>
    <w:p w14:paraId="59CB3D4D" w14:textId="565544D9" w:rsidR="001F2813" w:rsidRDefault="001F2813" w:rsidP="00295DC0">
      <w:pPr>
        <w:pStyle w:val="TableNote"/>
      </w:pPr>
      <w:r>
        <w:rPr>
          <w:noProof/>
          <w:lang w:eastAsia="en-IE"/>
        </w:rPr>
        <w:drawing>
          <wp:anchor distT="0" distB="0" distL="114300" distR="114300" simplePos="0" relativeHeight="251665408" behindDoc="0" locked="0" layoutInCell="1" allowOverlap="0" wp14:anchorId="5940B17F" wp14:editId="4066DD3F">
            <wp:simplePos x="0" y="0"/>
            <wp:positionH relativeFrom="column">
              <wp:posOffset>0</wp:posOffset>
            </wp:positionH>
            <wp:positionV relativeFrom="paragraph">
              <wp:posOffset>3175</wp:posOffset>
            </wp:positionV>
            <wp:extent cx="5364000" cy="2887200"/>
            <wp:effectExtent l="0" t="0" r="8255" b="8890"/>
            <wp:wrapTopAndBottom/>
            <wp:docPr id="7" name="Chart 7" descr="This chart shows the highest level of education completed for total persons and for total persons with a disability." title="Figure 9: Highest level of education completed %"/>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6365B1">
        <w:t xml:space="preserve">Source: </w:t>
      </w:r>
      <w:r>
        <w:t>Census</w:t>
      </w:r>
      <w:r w:rsidRPr="006365B1">
        <w:t xml:space="preserve"> 2016</w:t>
      </w:r>
    </w:p>
    <w:p w14:paraId="6958C125" w14:textId="77777777" w:rsidR="001F2813" w:rsidRPr="006365B1" w:rsidRDefault="001F2813" w:rsidP="001F2813">
      <w:r>
        <w:t xml:space="preserve">Again, this is changing and between 2011 and 2016 we can see an increase in the number of people with a disability who have higher qualifications (figure 10). For instance, the percentage of people with a disability with a postgraduate diploma or degree has gone from 3 per cent to 3.8 per cent between 2011 and 2016. </w:t>
      </w:r>
    </w:p>
    <w:p w14:paraId="329DB9CB" w14:textId="07A53A4C" w:rsidR="001F2813" w:rsidRDefault="001F2813" w:rsidP="001F2813">
      <w:pPr>
        <w:pStyle w:val="TableTitle"/>
      </w:pPr>
      <w:r w:rsidRPr="00B40B85">
        <w:t>Figure 10: Population Aged 15 Years and Over 2011 to 2016 (</w:t>
      </w:r>
      <w:r w:rsidR="00117824">
        <w:t>%</w:t>
      </w:r>
      <w:r w:rsidRPr="00B40B85">
        <w:t xml:space="preserve">) </w:t>
      </w:r>
      <w:r w:rsidR="00117824">
        <w:t>with a Disability by H</w:t>
      </w:r>
      <w:r w:rsidRPr="00B40B85">
        <w:t xml:space="preserve">ighest Level of Education Completed and </w:t>
      </w:r>
      <w:r>
        <w:t>Census</w:t>
      </w:r>
      <w:r w:rsidRPr="00B40B85">
        <w:t xml:space="preserve"> Year</w:t>
      </w:r>
    </w:p>
    <w:tbl>
      <w:tblPr>
        <w:tblW w:w="5000" w:type="pct"/>
        <w:tblCellMar>
          <w:left w:w="0" w:type="dxa"/>
          <w:right w:w="0" w:type="dxa"/>
        </w:tblCellMar>
        <w:tblLook w:val="04A0" w:firstRow="1" w:lastRow="0" w:firstColumn="1" w:lastColumn="0" w:noHBand="0" w:noVBand="1"/>
        <w:tblCaption w:val="Figure 10: Population Aged 15 Years and Over 2011 to 2016 (Number) by Disability, Highest Level of Education Completed and Census Year"/>
        <w:tblDescription w:val="This table shows the highest level of education completed by the population aged 15 years and over, over both the 2011 and 2016 Census."/>
      </w:tblPr>
      <w:tblGrid>
        <w:gridCol w:w="6610"/>
        <w:gridCol w:w="1005"/>
        <w:gridCol w:w="1005"/>
      </w:tblGrid>
      <w:tr w:rsidR="001F2813" w:rsidRPr="00B40B85" w14:paraId="5D7586D0" w14:textId="77777777" w:rsidTr="00295DC0">
        <w:trPr>
          <w:trHeight w:val="435"/>
        </w:trPr>
        <w:tc>
          <w:tcPr>
            <w:tcW w:w="3834" w:type="pct"/>
            <w:tcBorders>
              <w:top w:val="single" w:sz="8" w:space="0" w:color="auto"/>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7ED7CE8" w14:textId="77777777" w:rsidR="001F2813" w:rsidRPr="00B40B85" w:rsidRDefault="001F2813" w:rsidP="00B14E76">
            <w:pPr>
              <w:rPr>
                <w:b/>
              </w:rPr>
            </w:pPr>
            <w:r>
              <w:rPr>
                <w:b/>
              </w:rPr>
              <w:t>H</w:t>
            </w:r>
            <w:r w:rsidRPr="00B40B85">
              <w:rPr>
                <w:b/>
              </w:rPr>
              <w:t>ighest level of education</w:t>
            </w:r>
          </w:p>
        </w:tc>
        <w:tc>
          <w:tcPr>
            <w:tcW w:w="583" w:type="pct"/>
            <w:tcBorders>
              <w:top w:val="single" w:sz="8" w:space="0" w:color="auto"/>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CDDBA28" w14:textId="77777777" w:rsidR="001F2813" w:rsidRPr="00B40B85" w:rsidRDefault="001F2813" w:rsidP="00B14E76">
            <w:pPr>
              <w:rPr>
                <w:b/>
              </w:rPr>
            </w:pPr>
            <w:r w:rsidRPr="00B40B85">
              <w:rPr>
                <w:b/>
              </w:rPr>
              <w:t>2011</w:t>
            </w:r>
          </w:p>
        </w:tc>
        <w:tc>
          <w:tcPr>
            <w:tcW w:w="583" w:type="pct"/>
            <w:tcBorders>
              <w:top w:val="single" w:sz="8" w:space="0" w:color="auto"/>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13B5D43" w14:textId="77777777" w:rsidR="001F2813" w:rsidRPr="00B40B85" w:rsidRDefault="001F2813" w:rsidP="00B14E76">
            <w:pPr>
              <w:rPr>
                <w:b/>
              </w:rPr>
            </w:pPr>
            <w:r w:rsidRPr="00B40B85">
              <w:rPr>
                <w:b/>
              </w:rPr>
              <w:t>2016</w:t>
            </w:r>
          </w:p>
        </w:tc>
      </w:tr>
      <w:tr w:rsidR="001F2813" w:rsidRPr="00B40B85" w14:paraId="793ACB19" w14:textId="77777777" w:rsidTr="00295DC0">
        <w:trPr>
          <w:trHeight w:val="435"/>
        </w:trPr>
        <w:tc>
          <w:tcPr>
            <w:tcW w:w="3834"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0C1D19A" w14:textId="77777777" w:rsidR="001F2813" w:rsidRPr="00B40B85" w:rsidRDefault="001F2813" w:rsidP="00B14E76">
            <w:pPr>
              <w:spacing w:after="0"/>
            </w:pPr>
            <w:r w:rsidRPr="00B40B85">
              <w:t>No formal education</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692BF70" w14:textId="77777777" w:rsidR="001F2813" w:rsidRPr="00B40B85" w:rsidRDefault="001F2813" w:rsidP="00B14E76">
            <w:pPr>
              <w:spacing w:after="0"/>
            </w:pPr>
            <w:r w:rsidRPr="00B40B85">
              <w:t>3.8</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6C6F1E5" w14:textId="77777777" w:rsidR="001F2813" w:rsidRPr="00B40B85" w:rsidRDefault="001F2813" w:rsidP="00B14E76">
            <w:pPr>
              <w:spacing w:after="0"/>
            </w:pPr>
            <w:r w:rsidRPr="00B40B85">
              <w:t>5</w:t>
            </w:r>
          </w:p>
        </w:tc>
      </w:tr>
      <w:tr w:rsidR="001F2813" w:rsidRPr="00B40B85" w14:paraId="301C8C78" w14:textId="77777777" w:rsidTr="00295DC0">
        <w:trPr>
          <w:trHeight w:val="435"/>
        </w:trPr>
        <w:tc>
          <w:tcPr>
            <w:tcW w:w="3834"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F8E6BA0" w14:textId="77777777" w:rsidR="001F2813" w:rsidRPr="00B40B85" w:rsidRDefault="001F2813" w:rsidP="00B14E76">
            <w:pPr>
              <w:spacing w:after="0"/>
            </w:pPr>
            <w:r w:rsidRPr="00B40B85">
              <w:t>Primary</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5C3C88A" w14:textId="77777777" w:rsidR="001F2813" w:rsidRPr="00B40B85" w:rsidRDefault="001F2813" w:rsidP="00B14E76">
            <w:pPr>
              <w:spacing w:after="0"/>
            </w:pPr>
            <w:r w:rsidRPr="00B40B85">
              <w:t>27.1</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2F15A27" w14:textId="77777777" w:rsidR="001F2813" w:rsidRPr="00B40B85" w:rsidRDefault="001F2813" w:rsidP="00B14E76">
            <w:pPr>
              <w:spacing w:after="0"/>
            </w:pPr>
            <w:r w:rsidRPr="00B40B85">
              <w:t>20.8</w:t>
            </w:r>
          </w:p>
        </w:tc>
      </w:tr>
      <w:tr w:rsidR="001F2813" w:rsidRPr="00B40B85" w14:paraId="03915DCC" w14:textId="77777777" w:rsidTr="00295DC0">
        <w:trPr>
          <w:trHeight w:val="435"/>
        </w:trPr>
        <w:tc>
          <w:tcPr>
            <w:tcW w:w="3834"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245ACA3" w14:textId="77777777" w:rsidR="001F2813" w:rsidRPr="00B40B85" w:rsidRDefault="001F2813" w:rsidP="00B14E76">
            <w:pPr>
              <w:spacing w:after="0"/>
            </w:pPr>
            <w:r w:rsidRPr="00B40B85">
              <w:t>Lower secondary</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5FCC946" w14:textId="77777777" w:rsidR="001F2813" w:rsidRPr="00B40B85" w:rsidRDefault="001F2813" w:rsidP="00B14E76">
            <w:pPr>
              <w:spacing w:after="0"/>
            </w:pPr>
            <w:r w:rsidRPr="00B40B85">
              <w:t>17.1</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DC25706" w14:textId="77777777" w:rsidR="001F2813" w:rsidRPr="00B40B85" w:rsidRDefault="001F2813" w:rsidP="00B14E76">
            <w:pPr>
              <w:spacing w:after="0"/>
            </w:pPr>
            <w:r w:rsidRPr="00B40B85">
              <w:t>16.3</w:t>
            </w:r>
          </w:p>
        </w:tc>
      </w:tr>
      <w:tr w:rsidR="001F2813" w:rsidRPr="00B40B85" w14:paraId="5603812C" w14:textId="77777777" w:rsidTr="00295DC0">
        <w:trPr>
          <w:trHeight w:val="435"/>
        </w:trPr>
        <w:tc>
          <w:tcPr>
            <w:tcW w:w="3834"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AC7FBB3" w14:textId="77777777" w:rsidR="001F2813" w:rsidRPr="00B40B85" w:rsidRDefault="001F2813" w:rsidP="00B14E76">
            <w:pPr>
              <w:spacing w:after="0"/>
            </w:pPr>
            <w:r w:rsidRPr="00B40B85">
              <w:t>Upper secondary</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51002C1" w14:textId="77777777" w:rsidR="001F2813" w:rsidRPr="00B40B85" w:rsidRDefault="001F2813" w:rsidP="00B14E76">
            <w:pPr>
              <w:spacing w:after="0"/>
            </w:pPr>
            <w:r w:rsidRPr="00B40B85">
              <w:t>13.3</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246825A" w14:textId="77777777" w:rsidR="001F2813" w:rsidRPr="00B40B85" w:rsidRDefault="001F2813" w:rsidP="00B14E76">
            <w:pPr>
              <w:spacing w:after="0"/>
            </w:pPr>
            <w:r w:rsidRPr="00B40B85">
              <w:t>13.5</w:t>
            </w:r>
          </w:p>
        </w:tc>
      </w:tr>
      <w:tr w:rsidR="001F2813" w:rsidRPr="00B40B85" w14:paraId="2737F6E7" w14:textId="77777777" w:rsidTr="00295DC0">
        <w:trPr>
          <w:trHeight w:val="435"/>
        </w:trPr>
        <w:tc>
          <w:tcPr>
            <w:tcW w:w="3834"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F7F63F4" w14:textId="77777777" w:rsidR="001F2813" w:rsidRPr="00B40B85" w:rsidRDefault="001F2813" w:rsidP="00B14E76">
            <w:pPr>
              <w:spacing w:after="0"/>
            </w:pPr>
            <w:r w:rsidRPr="00B40B85">
              <w:t>Technical/vocational</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52A61DB" w14:textId="77777777" w:rsidR="001F2813" w:rsidRPr="00B40B85" w:rsidRDefault="001F2813" w:rsidP="00B14E76">
            <w:pPr>
              <w:spacing w:after="0"/>
            </w:pPr>
            <w:r w:rsidRPr="00B40B85">
              <w:t>6.2</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5F8DCB6" w14:textId="77777777" w:rsidR="001F2813" w:rsidRPr="00B40B85" w:rsidRDefault="001F2813" w:rsidP="00B14E76">
            <w:pPr>
              <w:spacing w:after="0"/>
            </w:pPr>
            <w:r w:rsidRPr="00B40B85">
              <w:t>6.9</w:t>
            </w:r>
          </w:p>
        </w:tc>
      </w:tr>
      <w:tr w:rsidR="001F2813" w:rsidRPr="00B40B85" w14:paraId="5C793E07" w14:textId="77777777" w:rsidTr="00295DC0">
        <w:trPr>
          <w:trHeight w:val="435"/>
        </w:trPr>
        <w:tc>
          <w:tcPr>
            <w:tcW w:w="3834"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907CC05" w14:textId="77777777" w:rsidR="001F2813" w:rsidRPr="00B40B85" w:rsidRDefault="001F2813" w:rsidP="00B14E76">
            <w:pPr>
              <w:spacing w:after="0"/>
            </w:pPr>
            <w:r w:rsidRPr="00B40B85">
              <w:t>Advanced certificate/completed apprenticeship</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B2A95F6" w14:textId="77777777" w:rsidR="001F2813" w:rsidRPr="00B40B85" w:rsidRDefault="001F2813" w:rsidP="00B14E76">
            <w:pPr>
              <w:spacing w:after="0"/>
            </w:pPr>
            <w:r w:rsidRPr="00B40B85">
              <w:t>3.2</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BC7D669" w14:textId="77777777" w:rsidR="001F2813" w:rsidRPr="00B40B85" w:rsidRDefault="001F2813" w:rsidP="00B14E76">
            <w:pPr>
              <w:spacing w:after="0"/>
            </w:pPr>
            <w:r w:rsidRPr="00B40B85">
              <w:t>3.6</w:t>
            </w:r>
          </w:p>
        </w:tc>
      </w:tr>
      <w:tr w:rsidR="001F2813" w:rsidRPr="00B40B85" w14:paraId="7795C450" w14:textId="77777777" w:rsidTr="00295DC0">
        <w:trPr>
          <w:trHeight w:val="435"/>
        </w:trPr>
        <w:tc>
          <w:tcPr>
            <w:tcW w:w="3834"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24D821D" w14:textId="77777777" w:rsidR="001F2813" w:rsidRPr="00B40B85" w:rsidRDefault="001F2813" w:rsidP="00B14E76">
            <w:pPr>
              <w:spacing w:after="0"/>
            </w:pPr>
            <w:r w:rsidRPr="00B40B85">
              <w:t>Higher certificate</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28557C4" w14:textId="77777777" w:rsidR="001F2813" w:rsidRPr="00B40B85" w:rsidRDefault="001F2813" w:rsidP="00B14E76">
            <w:pPr>
              <w:spacing w:after="0"/>
            </w:pPr>
            <w:r w:rsidRPr="00B40B85">
              <w:t>2.6</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084F41D" w14:textId="77777777" w:rsidR="001F2813" w:rsidRPr="00B40B85" w:rsidRDefault="001F2813" w:rsidP="00B14E76">
            <w:pPr>
              <w:spacing w:after="0"/>
            </w:pPr>
            <w:r w:rsidRPr="00B40B85">
              <w:t>3.1</w:t>
            </w:r>
          </w:p>
        </w:tc>
      </w:tr>
      <w:tr w:rsidR="001F2813" w:rsidRPr="00B40B85" w14:paraId="37C49D09" w14:textId="77777777" w:rsidTr="00295DC0">
        <w:trPr>
          <w:trHeight w:val="435"/>
        </w:trPr>
        <w:tc>
          <w:tcPr>
            <w:tcW w:w="3834"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79931B7" w14:textId="77777777" w:rsidR="001F2813" w:rsidRPr="00B40B85" w:rsidRDefault="001F2813" w:rsidP="00B14E76">
            <w:pPr>
              <w:spacing w:after="0"/>
            </w:pPr>
            <w:r w:rsidRPr="00B40B85">
              <w:t>Ordinary bachelor degree/professional qualification or both</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B150EAC" w14:textId="77777777" w:rsidR="001F2813" w:rsidRPr="00B40B85" w:rsidRDefault="001F2813" w:rsidP="00B14E76">
            <w:pPr>
              <w:spacing w:after="0"/>
            </w:pPr>
            <w:r w:rsidRPr="00B40B85">
              <w:t>4</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1E0CA7A" w14:textId="77777777" w:rsidR="001F2813" w:rsidRPr="00B40B85" w:rsidRDefault="001F2813" w:rsidP="00B14E76">
            <w:pPr>
              <w:spacing w:after="0"/>
            </w:pPr>
            <w:r w:rsidRPr="00B40B85">
              <w:t>4.4</w:t>
            </w:r>
          </w:p>
        </w:tc>
      </w:tr>
      <w:tr w:rsidR="001F2813" w:rsidRPr="00B40B85" w14:paraId="432801AD" w14:textId="77777777" w:rsidTr="00295DC0">
        <w:trPr>
          <w:trHeight w:val="435"/>
        </w:trPr>
        <w:tc>
          <w:tcPr>
            <w:tcW w:w="3834"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CC93FA2" w14:textId="77777777" w:rsidR="001F2813" w:rsidRPr="00B40B85" w:rsidRDefault="001F2813" w:rsidP="00B14E76">
            <w:pPr>
              <w:spacing w:after="0"/>
            </w:pPr>
            <w:r w:rsidRPr="00B40B85">
              <w:t>Honours bachelor degree/professional qualification or both</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F9AE9C5" w14:textId="77777777" w:rsidR="001F2813" w:rsidRPr="00B40B85" w:rsidRDefault="001F2813" w:rsidP="00B14E76">
            <w:pPr>
              <w:spacing w:after="0"/>
            </w:pPr>
            <w:r w:rsidRPr="00B40B85">
              <w:t>3.4</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506DBB9" w14:textId="77777777" w:rsidR="001F2813" w:rsidRPr="00B40B85" w:rsidRDefault="001F2813" w:rsidP="00B14E76">
            <w:pPr>
              <w:spacing w:after="0"/>
            </w:pPr>
            <w:r w:rsidRPr="00B40B85">
              <w:t>4.5</w:t>
            </w:r>
          </w:p>
        </w:tc>
      </w:tr>
      <w:tr w:rsidR="001F2813" w:rsidRPr="00B40B85" w14:paraId="51E25EF5" w14:textId="77777777" w:rsidTr="00295DC0">
        <w:trPr>
          <w:trHeight w:val="435"/>
        </w:trPr>
        <w:tc>
          <w:tcPr>
            <w:tcW w:w="3834"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0D52FE6" w14:textId="77777777" w:rsidR="001F2813" w:rsidRPr="00B40B85" w:rsidRDefault="001F2813" w:rsidP="00B14E76">
            <w:pPr>
              <w:spacing w:after="0"/>
            </w:pPr>
            <w:r w:rsidRPr="00B40B85">
              <w:lastRenderedPageBreak/>
              <w:t>Postgraduate diploma or degree</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D9B7388" w14:textId="77777777" w:rsidR="001F2813" w:rsidRPr="00B40B85" w:rsidRDefault="001F2813" w:rsidP="00B14E76">
            <w:pPr>
              <w:spacing w:after="0"/>
            </w:pPr>
            <w:r w:rsidRPr="00B40B85">
              <w:t>3</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FABEE51" w14:textId="77777777" w:rsidR="001F2813" w:rsidRPr="00B40B85" w:rsidRDefault="001F2813" w:rsidP="00B14E76">
            <w:pPr>
              <w:spacing w:after="0"/>
            </w:pPr>
            <w:r w:rsidRPr="00B40B85">
              <w:t>3.8</w:t>
            </w:r>
          </w:p>
        </w:tc>
      </w:tr>
      <w:tr w:rsidR="001F2813" w:rsidRPr="00B40B85" w14:paraId="7CD687F4" w14:textId="77777777" w:rsidTr="00295DC0">
        <w:trPr>
          <w:trHeight w:val="435"/>
        </w:trPr>
        <w:tc>
          <w:tcPr>
            <w:tcW w:w="3834"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461CC6B" w14:textId="77777777" w:rsidR="001F2813" w:rsidRPr="00B40B85" w:rsidRDefault="001F2813" w:rsidP="00B14E76">
            <w:pPr>
              <w:spacing w:after="0"/>
            </w:pPr>
            <w:r w:rsidRPr="00B40B85">
              <w:t>Doctorate (Ph.D.)</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6EC28E5" w14:textId="77777777" w:rsidR="001F2813" w:rsidRPr="00B40B85" w:rsidRDefault="001F2813" w:rsidP="00B14E76">
            <w:pPr>
              <w:spacing w:after="0"/>
            </w:pPr>
            <w:r w:rsidRPr="00B40B85">
              <w:t>0.4</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CE9B522" w14:textId="77777777" w:rsidR="001F2813" w:rsidRPr="00B40B85" w:rsidRDefault="001F2813" w:rsidP="00B14E76">
            <w:pPr>
              <w:spacing w:after="0"/>
            </w:pPr>
            <w:r w:rsidRPr="00B40B85">
              <w:t>0.5</w:t>
            </w:r>
          </w:p>
        </w:tc>
      </w:tr>
      <w:tr w:rsidR="001F2813" w:rsidRPr="00B40B85" w14:paraId="02164EB0" w14:textId="77777777" w:rsidTr="00295DC0">
        <w:trPr>
          <w:trHeight w:val="435"/>
        </w:trPr>
        <w:tc>
          <w:tcPr>
            <w:tcW w:w="3834"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D2A9B18" w14:textId="77777777" w:rsidR="001F2813" w:rsidRPr="00B40B85" w:rsidRDefault="001F2813" w:rsidP="00B14E76">
            <w:pPr>
              <w:spacing w:after="0"/>
            </w:pPr>
            <w:r w:rsidRPr="00B40B85">
              <w:t>Not stated</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68CC081" w14:textId="77777777" w:rsidR="001F2813" w:rsidRPr="00B40B85" w:rsidRDefault="001F2813" w:rsidP="00B14E76">
            <w:pPr>
              <w:spacing w:after="0"/>
            </w:pPr>
            <w:r w:rsidRPr="00B40B85">
              <w:t>5.4</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0C21E6F" w14:textId="77777777" w:rsidR="001F2813" w:rsidRPr="00B40B85" w:rsidRDefault="001F2813" w:rsidP="00B14E76">
            <w:pPr>
              <w:spacing w:after="0"/>
            </w:pPr>
            <w:r w:rsidRPr="00B40B85">
              <w:t>5.5</w:t>
            </w:r>
          </w:p>
        </w:tc>
      </w:tr>
      <w:tr w:rsidR="001F2813" w:rsidRPr="00B40B85" w14:paraId="68711558" w14:textId="77777777" w:rsidTr="00295DC0">
        <w:trPr>
          <w:trHeight w:val="435"/>
        </w:trPr>
        <w:tc>
          <w:tcPr>
            <w:tcW w:w="3834"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CD5588E" w14:textId="77777777" w:rsidR="001F2813" w:rsidRPr="00B40B85" w:rsidRDefault="001F2813" w:rsidP="00B14E76">
            <w:pPr>
              <w:spacing w:after="0"/>
            </w:pPr>
            <w:r w:rsidRPr="00B40B85">
              <w:t>Economic status - total at school, university, etc.</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FB31649" w14:textId="77777777" w:rsidR="001F2813" w:rsidRPr="00B40B85" w:rsidRDefault="001F2813" w:rsidP="00B14E76">
            <w:pPr>
              <w:spacing w:after="0"/>
            </w:pPr>
            <w:r w:rsidRPr="00B40B85">
              <w:t>5.8</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46A98B4" w14:textId="77777777" w:rsidR="001F2813" w:rsidRPr="00B40B85" w:rsidRDefault="001F2813" w:rsidP="00B14E76">
            <w:pPr>
              <w:spacing w:after="0"/>
            </w:pPr>
            <w:r w:rsidRPr="00B40B85">
              <w:t>6.8</w:t>
            </w:r>
          </w:p>
        </w:tc>
      </w:tr>
      <w:tr w:rsidR="001F2813" w:rsidRPr="00B40B85" w14:paraId="6BD4C9C1" w14:textId="77777777" w:rsidTr="00295DC0">
        <w:trPr>
          <w:trHeight w:val="435"/>
        </w:trPr>
        <w:tc>
          <w:tcPr>
            <w:tcW w:w="3834"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54CB6A5" w14:textId="77777777" w:rsidR="001F2813" w:rsidRPr="00B40B85" w:rsidRDefault="001F2813" w:rsidP="00B14E76">
            <w:pPr>
              <w:spacing w:after="0"/>
            </w:pPr>
            <w:r w:rsidRPr="00B40B85">
              <w:t>Economic status - other</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B07C46F" w14:textId="77777777" w:rsidR="001F2813" w:rsidRPr="00B40B85" w:rsidRDefault="001F2813" w:rsidP="00B14E76">
            <w:pPr>
              <w:spacing w:after="0"/>
            </w:pPr>
            <w:r w:rsidRPr="00B40B85">
              <w:t>4.7</w:t>
            </w:r>
          </w:p>
        </w:tc>
        <w:tc>
          <w:tcPr>
            <w:tcW w:w="58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407D720" w14:textId="77777777" w:rsidR="001F2813" w:rsidRPr="00B40B85" w:rsidRDefault="001F2813" w:rsidP="00B14E76">
            <w:pPr>
              <w:spacing w:after="0"/>
            </w:pPr>
            <w:r w:rsidRPr="00B40B85">
              <w:t>5.4</w:t>
            </w:r>
          </w:p>
        </w:tc>
      </w:tr>
    </w:tbl>
    <w:p w14:paraId="5D4CD6F0" w14:textId="455419E8" w:rsidR="001F2813" w:rsidRPr="00B40B85" w:rsidRDefault="001F2813" w:rsidP="00117824">
      <w:pPr>
        <w:pStyle w:val="TableNote"/>
      </w:pPr>
      <w:r>
        <w:t xml:space="preserve">Source: </w:t>
      </w:r>
      <w:r w:rsidR="00117824">
        <w:t>Census 2011 and 2016?.</w:t>
      </w:r>
    </w:p>
    <w:p w14:paraId="0DF1EE9E" w14:textId="77777777" w:rsidR="001F2813" w:rsidRDefault="001F2813" w:rsidP="001F2813">
      <w:pPr>
        <w:pStyle w:val="Heading1"/>
      </w:pPr>
      <w:r>
        <w:t>What will happen in the future?</w:t>
      </w:r>
    </w:p>
    <w:p w14:paraId="155BE1E4" w14:textId="1533D724" w:rsidR="001F2813" w:rsidRDefault="001F2813" w:rsidP="001F2813">
      <w:r>
        <w:t>The Irish population was 4.7 million in 2016, but the CSO expects this</w:t>
      </w:r>
      <w:r w:rsidR="009B1B4D">
        <w:t xml:space="preserve"> to grow to 5.8 million by 2036</w:t>
      </w:r>
      <w:r w:rsidR="009F04D8">
        <w:t xml:space="preserve">. </w:t>
      </w:r>
    </w:p>
    <w:p w14:paraId="5BF54A93" w14:textId="07A4226D" w:rsidR="001F2813" w:rsidRDefault="001F2813" w:rsidP="001F2813">
      <w:r>
        <w:t>By 2026, it is expected that the population with a disability will increase by roughly 20 per cent. One-third of this increase is due to the increased size of the population and two-thirds of the increase is due to the ageing of the population.</w:t>
      </w:r>
      <w:r w:rsidR="009B1B4D">
        <w:t xml:space="preserve"> </w:t>
      </w:r>
    </w:p>
    <w:p w14:paraId="139CCDBE" w14:textId="77777777" w:rsidR="009B1B4D" w:rsidRPr="003B06E4" w:rsidRDefault="009B1B4D" w:rsidP="009B1B4D">
      <w:r>
        <w:t xml:space="preserve">The HSE’s budget for disability services in 2018 is </w:t>
      </w:r>
      <w:r w:rsidRPr="003B06E4">
        <w:t>1</w:t>
      </w:r>
      <w:r>
        <w:t>.8 billion.</w:t>
      </w:r>
      <w:r>
        <w:rPr>
          <w:rStyle w:val="FootnoteReference"/>
        </w:rPr>
        <w:footnoteReference w:id="4"/>
      </w:r>
    </w:p>
    <w:p w14:paraId="018DBC6E" w14:textId="4DC74270" w:rsidR="009B1B4D" w:rsidRDefault="009B1B4D" w:rsidP="009B1B4D">
      <w:r>
        <w:t>Research by the NDA for the HSE estimates that by 2026 Ireland will need to increase the HSE health and social care budget by a third to cover the increased population living with a disability.</w:t>
      </w:r>
      <w:r>
        <w:rPr>
          <w:rStyle w:val="FootnoteReference"/>
        </w:rPr>
        <w:footnoteReference w:id="5"/>
      </w:r>
    </w:p>
    <w:p w14:paraId="0214A02F" w14:textId="77777777" w:rsidR="009B1B4D" w:rsidRDefault="009B1B4D" w:rsidP="009B1B4D">
      <w:pPr>
        <w:pStyle w:val="Heading2"/>
      </w:pPr>
      <w:r>
        <w:t>Note on statistics used</w:t>
      </w:r>
    </w:p>
    <w:p w14:paraId="6C51EAFC" w14:textId="1DB24863" w:rsidR="009B1B4D" w:rsidRDefault="009B1B4D" w:rsidP="009B1B4D">
      <w:r>
        <w:t xml:space="preserve">All Census statistics used in this factsheet can be found at </w:t>
      </w:r>
      <w:r w:rsidR="0089742D" w:rsidRPr="0089742D">
        <w:rPr>
          <w:rStyle w:val="Hyperlink"/>
        </w:rPr>
        <w:t xml:space="preserve">the Health, Disability and Carers profile of Census 2016, on </w:t>
      </w:r>
      <w:hyperlink r:id="rId15" w:history="1">
        <w:r w:rsidR="0089742D" w:rsidRPr="0089742D">
          <w:rPr>
            <w:rStyle w:val="Hyperlink"/>
          </w:rPr>
          <w:t>the website of the Central Statistics Office.</w:t>
        </w:r>
      </w:hyperlink>
      <w:r w:rsidR="009F04D8">
        <w:t xml:space="preserve"> </w:t>
      </w:r>
      <w:r>
        <w:t>In particular, the link to the tables.</w:t>
      </w:r>
    </w:p>
    <w:p w14:paraId="1DB0C36E" w14:textId="20BDDD48" w:rsidR="009B1B4D" w:rsidRDefault="009B1B4D" w:rsidP="009B1B4D">
      <w:r>
        <w:t>Future population projections are available under</w:t>
      </w:r>
      <w:r w:rsidR="0089742D">
        <w:t xml:space="preserve"> the </w:t>
      </w:r>
      <w:hyperlink r:id="rId16" w:history="1">
        <w:r w:rsidR="0089742D" w:rsidRPr="0089742D">
          <w:rPr>
            <w:rStyle w:val="Hyperlink"/>
          </w:rPr>
          <w:t>population projections</w:t>
        </w:r>
      </w:hyperlink>
      <w:r w:rsidR="0089742D">
        <w:t xml:space="preserve"> section</w:t>
      </w:r>
      <w:r>
        <w:t xml:space="preserve"> at the CSO. </w:t>
      </w:r>
    </w:p>
    <w:p w14:paraId="62CB3A75" w14:textId="33D60A4C" w:rsidR="00D529B4" w:rsidRPr="00D529B4" w:rsidRDefault="009B1B4D" w:rsidP="00D529B4">
      <w:r>
        <w:t>The future projection on the number of people with a disability in the future and the need for increasing disability spending were calculated as part of the Transforming Lives working group</w:t>
      </w:r>
      <w:r w:rsidR="009F04D8">
        <w:t xml:space="preserve">. </w:t>
      </w:r>
      <w:r>
        <w:t>In particular</w:t>
      </w:r>
      <w:r w:rsidR="0089742D">
        <w:t>,</w:t>
      </w:r>
      <w:r>
        <w:t xml:space="preserve"> working group 1 and </w:t>
      </w:r>
      <w:hyperlink r:id="rId17" w:history="1">
        <w:r w:rsidRPr="0089742D">
          <w:rPr>
            <w:rStyle w:val="Hyperlink"/>
          </w:rPr>
          <w:t>the report from this working group</w:t>
        </w:r>
      </w:hyperlink>
      <w:r w:rsidR="0089742D">
        <w:t>.</w:t>
      </w:r>
      <w:r>
        <w:t xml:space="preserve"> </w:t>
      </w:r>
    </w:p>
    <w:p w14:paraId="298E80EF" w14:textId="77777777" w:rsidR="00FC4031" w:rsidRPr="0000199E" w:rsidRDefault="00FC4031" w:rsidP="00357D98"/>
    <w:sectPr w:rsidR="00FC4031" w:rsidRPr="0000199E">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B92E67" w14:textId="77777777" w:rsidR="00865A9F" w:rsidRDefault="00865A9F">
      <w:r>
        <w:separator/>
      </w:r>
    </w:p>
  </w:endnote>
  <w:endnote w:type="continuationSeparator" w:id="0">
    <w:p w14:paraId="7F2A1431" w14:textId="77777777" w:rsidR="00865A9F" w:rsidRDefault="00865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ll Sans">
    <w:altName w:val="Gill Sans MT"/>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367621" w14:textId="77777777" w:rsidR="00865A9F" w:rsidRDefault="00865A9F">
      <w:r>
        <w:separator/>
      </w:r>
    </w:p>
  </w:footnote>
  <w:footnote w:type="continuationSeparator" w:id="0">
    <w:p w14:paraId="79F6CF15" w14:textId="77777777" w:rsidR="00865A9F" w:rsidRDefault="00865A9F">
      <w:r>
        <w:continuationSeparator/>
      </w:r>
    </w:p>
  </w:footnote>
  <w:footnote w:id="1">
    <w:p w14:paraId="0084B4CC" w14:textId="3B52CC63" w:rsidR="00865A9F" w:rsidRDefault="00865A9F" w:rsidP="00865A9F">
      <w:pPr>
        <w:pStyle w:val="FootnoteText"/>
      </w:pPr>
      <w:r>
        <w:rPr>
          <w:rStyle w:val="FootnoteReference"/>
        </w:rPr>
        <w:footnoteRef/>
      </w:r>
      <w:r>
        <w:t xml:space="preserve"> For more information about how disability is defined see </w:t>
      </w:r>
      <w:hyperlink r:id="rId1" w:history="1">
        <w:r w:rsidR="00150FC2">
          <w:rPr>
            <w:rStyle w:val="Hyperlink"/>
          </w:rPr>
          <w:t>the National Disability Authority website.</w:t>
        </w:r>
      </w:hyperlink>
      <w:r>
        <w:t xml:space="preserve"> </w:t>
      </w:r>
    </w:p>
  </w:footnote>
  <w:footnote w:id="2">
    <w:p w14:paraId="7E189B32" w14:textId="77777777" w:rsidR="00865A9F" w:rsidRDefault="00865A9F" w:rsidP="00865A9F">
      <w:pPr>
        <w:pStyle w:val="FootnoteText"/>
      </w:pPr>
      <w:r>
        <w:rPr>
          <w:rStyle w:val="FootnoteReference"/>
        </w:rPr>
        <w:footnoteRef/>
      </w:r>
      <w:r>
        <w:t xml:space="preserve"> </w:t>
      </w:r>
      <w:r w:rsidRPr="0040759E">
        <w:t>https://www.cso.ie/en/csolatestnews/presspages/2017/census2016profile9-healthdisabilityandcarers/</w:t>
      </w:r>
    </w:p>
  </w:footnote>
  <w:footnote w:id="3">
    <w:p w14:paraId="1106CA00" w14:textId="77777777" w:rsidR="00865A9F" w:rsidRDefault="00865A9F" w:rsidP="00865A9F">
      <w:pPr>
        <w:pStyle w:val="FootnoteText"/>
      </w:pPr>
      <w:r>
        <w:rPr>
          <w:rStyle w:val="FootnoteReference"/>
        </w:rPr>
        <w:footnoteRef/>
      </w:r>
      <w:r>
        <w:t xml:space="preserve"> </w:t>
      </w:r>
      <w:r w:rsidRPr="00765CBC">
        <w:t xml:space="preserve">The information in this </w:t>
      </w:r>
      <w:r>
        <w:t>facts</w:t>
      </w:r>
      <w:r w:rsidRPr="00765CBC">
        <w:t xml:space="preserve">heet is taken from the CSO 2016 Census and relies on the CSOs definition of disability. Calculations of the increased disability population come from Transforming Lives and the HSE working group on the future of disability services. </w:t>
      </w:r>
    </w:p>
  </w:footnote>
  <w:footnote w:id="4">
    <w:p w14:paraId="35828999" w14:textId="77777777" w:rsidR="009B1B4D" w:rsidRDefault="009B1B4D" w:rsidP="009B1B4D">
      <w:pPr>
        <w:pStyle w:val="FootnoteText"/>
      </w:pPr>
      <w:r>
        <w:rPr>
          <w:rStyle w:val="FootnoteReference"/>
        </w:rPr>
        <w:footnoteRef/>
      </w:r>
      <w:r>
        <w:t xml:space="preserve"> </w:t>
      </w:r>
      <w:r w:rsidRPr="003B06E4">
        <w:t>https://www.hse.ie/eng/services/publications/serviceplans/national-service-plan-2018.pdf</w:t>
      </w:r>
    </w:p>
  </w:footnote>
  <w:footnote w:id="5">
    <w:p w14:paraId="6BE590EA" w14:textId="77777777" w:rsidR="009B1B4D" w:rsidRPr="00B202B0" w:rsidRDefault="009B1B4D" w:rsidP="009B1B4D">
      <w:pPr>
        <w:pStyle w:val="FootnoteText"/>
      </w:pPr>
      <w:r>
        <w:rPr>
          <w:rStyle w:val="FootnoteReference"/>
        </w:rPr>
        <w:footnoteRef/>
      </w:r>
      <w:r>
        <w:t xml:space="preserve"> </w:t>
      </w:r>
      <w:r w:rsidRPr="00B202B0">
        <w:t>http://nda.ie/Publications/Disability-Su</w:t>
      </w:r>
      <w:r>
        <w:t>pports/Transforming-Lives.html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C66E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D4F8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D0E67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8587E54"/>
    <w:lvl w:ilvl="0">
      <w:start w:val="1"/>
      <w:numFmt w:val="decimal"/>
      <w:pStyle w:val="ListNumber2"/>
      <w:lvlText w:val="%1."/>
      <w:lvlJc w:val="left"/>
      <w:pPr>
        <w:tabs>
          <w:tab w:val="num" w:pos="641"/>
        </w:tabs>
        <w:ind w:left="641" w:hanging="357"/>
      </w:pPr>
      <w:rPr>
        <w:rFonts w:hint="default"/>
      </w:rPr>
    </w:lvl>
  </w:abstractNum>
  <w:abstractNum w:abstractNumId="4" w15:restartNumberingAfterBreak="0">
    <w:nsid w:val="FFFFFF80"/>
    <w:multiLevelType w:val="singleLevel"/>
    <w:tmpl w:val="568CB6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2813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428FE14"/>
    <w:lvl w:ilvl="0">
      <w:start w:val="1"/>
      <w:numFmt w:val="bullet"/>
      <w:pStyle w:val="ListBullet3"/>
      <w:lvlText w:val=""/>
      <w:lvlJc w:val="left"/>
      <w:pPr>
        <w:tabs>
          <w:tab w:val="num" w:pos="360"/>
        </w:tabs>
        <w:ind w:left="360" w:hanging="360"/>
      </w:pPr>
      <w:rPr>
        <w:rFonts w:ascii="Symbol" w:hAnsi="Symbol" w:hint="default"/>
        <w:sz w:val="20"/>
        <w:szCs w:val="20"/>
      </w:rPr>
    </w:lvl>
  </w:abstractNum>
  <w:abstractNum w:abstractNumId="7" w15:restartNumberingAfterBreak="0">
    <w:nsid w:val="FFFFFF83"/>
    <w:multiLevelType w:val="singleLevel"/>
    <w:tmpl w:val="1B8401F8"/>
    <w:lvl w:ilvl="0">
      <w:start w:val="1"/>
      <w:numFmt w:val="bullet"/>
      <w:pStyle w:val="ListBullet2"/>
      <w:lvlText w:val=""/>
      <w:lvlJc w:val="left"/>
      <w:pPr>
        <w:tabs>
          <w:tab w:val="num" w:pos="717"/>
        </w:tabs>
        <w:ind w:left="717" w:hanging="360"/>
      </w:pPr>
      <w:rPr>
        <w:rFonts w:ascii="Symbol" w:hAnsi="Symbol" w:cs="Times New Roman" w:hint="default"/>
        <w:sz w:val="20"/>
        <w:szCs w:val="20"/>
      </w:rPr>
    </w:lvl>
  </w:abstractNum>
  <w:abstractNum w:abstractNumId="8" w15:restartNumberingAfterBreak="0">
    <w:nsid w:val="FFFFFF88"/>
    <w:multiLevelType w:val="singleLevel"/>
    <w:tmpl w:val="5A34180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48239A0"/>
    <w:lvl w:ilvl="0">
      <w:start w:val="1"/>
      <w:numFmt w:val="bullet"/>
      <w:pStyle w:val="ListBullet"/>
      <w:lvlText w:val=""/>
      <w:lvlJc w:val="left"/>
      <w:pPr>
        <w:tabs>
          <w:tab w:val="num" w:pos="360"/>
        </w:tabs>
        <w:ind w:left="360" w:hanging="360"/>
      </w:pPr>
      <w:rPr>
        <w:rFonts w:ascii="Symbol" w:hAnsi="Symbol" w:hint="default"/>
        <w:sz w:val="20"/>
        <w:szCs w:val="20"/>
      </w:rPr>
    </w:lvl>
  </w:abstractNum>
  <w:abstractNum w:abstractNumId="10" w15:restartNumberingAfterBreak="0">
    <w:nsid w:val="1CAA5ACA"/>
    <w:multiLevelType w:val="hybridMultilevel"/>
    <w:tmpl w:val="952EAE3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60143009"/>
    <w:multiLevelType w:val="hybridMultilevel"/>
    <w:tmpl w:val="25B0544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8"/>
  </w:num>
  <w:num w:numId="8">
    <w:abstractNumId w:val="8"/>
  </w:num>
  <w:num w:numId="9">
    <w:abstractNumId w:val="3"/>
  </w:num>
  <w:num w:numId="10">
    <w:abstractNumId w:val="3"/>
  </w:num>
  <w:num w:numId="11">
    <w:abstractNumId w:val="2"/>
  </w:num>
  <w:num w:numId="12">
    <w:abstractNumId w:val="2"/>
  </w:num>
  <w:num w:numId="13">
    <w:abstractNumId w:val="5"/>
  </w:num>
  <w:num w:numId="14">
    <w:abstractNumId w:val="4"/>
  </w:num>
  <w:num w:numId="15">
    <w:abstractNumId w:val="1"/>
  </w:num>
  <w:num w:numId="16">
    <w:abstractNumId w:val="0"/>
  </w:num>
  <w:num w:numId="17">
    <w:abstractNumId w:val="10"/>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A9F"/>
    <w:rsid w:val="0000199E"/>
    <w:rsid w:val="000142B1"/>
    <w:rsid w:val="000A4C98"/>
    <w:rsid w:val="00117824"/>
    <w:rsid w:val="00150FC2"/>
    <w:rsid w:val="00164B25"/>
    <w:rsid w:val="00181FE6"/>
    <w:rsid w:val="001F2813"/>
    <w:rsid w:val="00245879"/>
    <w:rsid w:val="00287B8E"/>
    <w:rsid w:val="00295DC0"/>
    <w:rsid w:val="00301A00"/>
    <w:rsid w:val="00357D98"/>
    <w:rsid w:val="003A44C8"/>
    <w:rsid w:val="003B10EC"/>
    <w:rsid w:val="004934C9"/>
    <w:rsid w:val="004C5836"/>
    <w:rsid w:val="005027BE"/>
    <w:rsid w:val="00590C59"/>
    <w:rsid w:val="00600C40"/>
    <w:rsid w:val="006349ED"/>
    <w:rsid w:val="007C1D90"/>
    <w:rsid w:val="00817B19"/>
    <w:rsid w:val="00821DB3"/>
    <w:rsid w:val="008222E5"/>
    <w:rsid w:val="00826632"/>
    <w:rsid w:val="00831FA1"/>
    <w:rsid w:val="00865A9F"/>
    <w:rsid w:val="0089742D"/>
    <w:rsid w:val="008B7E4E"/>
    <w:rsid w:val="008F29EC"/>
    <w:rsid w:val="00931116"/>
    <w:rsid w:val="009723AE"/>
    <w:rsid w:val="009A79B4"/>
    <w:rsid w:val="009B1B4D"/>
    <w:rsid w:val="009C3BD7"/>
    <w:rsid w:val="009C4D62"/>
    <w:rsid w:val="009F04D8"/>
    <w:rsid w:val="00A05270"/>
    <w:rsid w:val="00A268FD"/>
    <w:rsid w:val="00A46A8E"/>
    <w:rsid w:val="00A9141E"/>
    <w:rsid w:val="00B002B5"/>
    <w:rsid w:val="00B14618"/>
    <w:rsid w:val="00B76547"/>
    <w:rsid w:val="00B867D6"/>
    <w:rsid w:val="00BA2579"/>
    <w:rsid w:val="00BC74C2"/>
    <w:rsid w:val="00BE3DCC"/>
    <w:rsid w:val="00C154AE"/>
    <w:rsid w:val="00C3500E"/>
    <w:rsid w:val="00C84FF2"/>
    <w:rsid w:val="00C867C9"/>
    <w:rsid w:val="00D529B4"/>
    <w:rsid w:val="00D70522"/>
    <w:rsid w:val="00DA33F9"/>
    <w:rsid w:val="00DF00F3"/>
    <w:rsid w:val="00F351D6"/>
    <w:rsid w:val="00FC403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0723B0"/>
  <w15:chartTrackingRefBased/>
  <w15:docId w15:val="{E6BB81D7-BFD9-45A3-A728-E714F551E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618"/>
    <w:pPr>
      <w:spacing w:after="240"/>
    </w:pPr>
    <w:rPr>
      <w:rFonts w:ascii="Gill Sans MT" w:eastAsia="Times New Roman" w:hAnsi="Gill Sans MT"/>
      <w:sz w:val="26"/>
      <w:szCs w:val="24"/>
      <w:lang w:eastAsia="en-US"/>
    </w:rPr>
  </w:style>
  <w:style w:type="paragraph" w:styleId="Heading1">
    <w:name w:val="heading 1"/>
    <w:basedOn w:val="Normal"/>
    <w:next w:val="Normal"/>
    <w:qFormat/>
    <w:rsid w:val="00B14618"/>
    <w:pPr>
      <w:keepNext/>
      <w:pBdr>
        <w:top w:val="single" w:sz="4" w:space="4" w:color="auto"/>
        <w:left w:val="single" w:sz="4" w:space="2" w:color="auto"/>
        <w:bottom w:val="single" w:sz="4" w:space="4" w:color="auto"/>
        <w:right w:val="single" w:sz="4" w:space="4" w:color="auto"/>
      </w:pBdr>
      <w:spacing w:before="360"/>
      <w:ind w:left="-284"/>
      <w:outlineLvl w:val="0"/>
    </w:pPr>
    <w:rPr>
      <w:rFonts w:cs="Arial"/>
      <w:b/>
      <w:bCs/>
      <w:kern w:val="32"/>
      <w:sz w:val="32"/>
      <w:szCs w:val="32"/>
    </w:rPr>
  </w:style>
  <w:style w:type="paragraph" w:styleId="Heading2">
    <w:name w:val="heading 2"/>
    <w:basedOn w:val="Normal"/>
    <w:next w:val="Normal"/>
    <w:qFormat/>
    <w:rsid w:val="00B14618"/>
    <w:pPr>
      <w:keepNext/>
      <w:spacing w:after="60"/>
      <w:outlineLvl w:val="1"/>
    </w:pPr>
    <w:rPr>
      <w:rFonts w:cs="Arial Bold"/>
      <w:b/>
      <w:bCs/>
      <w:iCs/>
      <w:sz w:val="28"/>
      <w:szCs w:val="28"/>
    </w:rPr>
  </w:style>
  <w:style w:type="paragraph" w:styleId="Heading3">
    <w:name w:val="heading 3"/>
    <w:basedOn w:val="Normal"/>
    <w:next w:val="Normal"/>
    <w:qFormat/>
    <w:rsid w:val="00B14618"/>
    <w:pPr>
      <w:keepNext/>
      <w:spacing w:after="0"/>
      <w:outlineLvl w:val="2"/>
    </w:pPr>
    <w:rPr>
      <w:rFonts w:cs="Arial Bold"/>
      <w:b/>
      <w:bCs/>
    </w:rPr>
  </w:style>
  <w:style w:type="paragraph" w:styleId="Heading4">
    <w:name w:val="heading 4"/>
    <w:basedOn w:val="Normal"/>
    <w:next w:val="Normal"/>
    <w:qFormat/>
    <w:rsid w:val="00B14618"/>
    <w:pPr>
      <w:keepNext/>
      <w:spacing w:after="0"/>
      <w:outlineLvl w:val="3"/>
    </w:pPr>
    <w:rPr>
      <w:b/>
      <w:bCs/>
      <w:color w:val="333333"/>
    </w:rPr>
  </w:style>
  <w:style w:type="paragraph" w:styleId="Heading5">
    <w:name w:val="heading 5"/>
    <w:basedOn w:val="Normal"/>
    <w:next w:val="Normal"/>
    <w:qFormat/>
    <w:rsid w:val="00B14618"/>
    <w:pPr>
      <w:spacing w:after="0"/>
      <w:outlineLvl w:val="4"/>
    </w:pPr>
    <w:rPr>
      <w:b/>
      <w:bCs/>
      <w:i/>
      <w:iCs/>
      <w:szCs w:val="26"/>
    </w:rPr>
  </w:style>
  <w:style w:type="paragraph" w:styleId="Heading6">
    <w:name w:val="heading 6"/>
    <w:basedOn w:val="Normal"/>
    <w:next w:val="Normal"/>
    <w:qFormat/>
    <w:rsid w:val="00B14618"/>
    <w:pPr>
      <w:spacing w:after="0"/>
      <w:outlineLvl w:val="5"/>
    </w:pPr>
    <w:rPr>
      <w:b/>
      <w:bCs/>
      <w:i/>
      <w:sz w:val="22"/>
      <w:szCs w:val="22"/>
    </w:rPr>
  </w:style>
  <w:style w:type="paragraph" w:styleId="Heading7">
    <w:name w:val="heading 7"/>
    <w:basedOn w:val="Normal"/>
    <w:next w:val="Normal"/>
    <w:qFormat/>
    <w:rsid w:val="00B14618"/>
    <w:pPr>
      <w:keepNext/>
      <w:spacing w:after="0"/>
      <w:jc w:val="center"/>
      <w:outlineLvl w:val="6"/>
    </w:pPr>
    <w:rPr>
      <w:rFonts w:cs="Arial"/>
      <w:b/>
      <w:sz w:val="22"/>
      <w:szCs w:val="40"/>
    </w:rPr>
  </w:style>
  <w:style w:type="paragraph" w:styleId="Heading8">
    <w:name w:val="heading 8"/>
    <w:basedOn w:val="Normal"/>
    <w:next w:val="Normal"/>
    <w:qFormat/>
    <w:rsid w:val="00B14618"/>
    <w:pPr>
      <w:keepNext/>
      <w:spacing w:after="0"/>
      <w:outlineLvl w:val="7"/>
    </w:pPr>
    <w:rPr>
      <w:b/>
      <w:i/>
      <w:sz w:val="22"/>
    </w:rPr>
  </w:style>
  <w:style w:type="paragraph" w:styleId="Heading9">
    <w:name w:val="heading 9"/>
    <w:basedOn w:val="Normal"/>
    <w:next w:val="Normal"/>
    <w:qFormat/>
    <w:rsid w:val="00B14618"/>
    <w:pPr>
      <w:keepNext/>
      <w:spacing w:after="0"/>
      <w:outlineLvl w:val="8"/>
    </w:pPr>
    <w:rPr>
      <w:rFonts w:cs="Arial"/>
      <w:i/>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breviation">
    <w:name w:val="Abbreviation"/>
    <w:rPr>
      <w:u w:val="dottedHeavy"/>
    </w:rPr>
  </w:style>
  <w:style w:type="character" w:customStyle="1" w:styleId="Acronym">
    <w:name w:val="Acronym"/>
    <w:rPr>
      <w:u w:val="dotted"/>
    </w:rPr>
  </w:style>
  <w:style w:type="paragraph" w:styleId="CommentText">
    <w:name w:val="annotation text"/>
    <w:basedOn w:val="Normal"/>
    <w:link w:val="CommentTextChar"/>
    <w:semiHidden/>
    <w:rPr>
      <w:rFonts w:ascii="Arial" w:hAnsi="Arial"/>
      <w:sz w:val="20"/>
      <w:lang w:val="x-none"/>
    </w:rPr>
  </w:style>
  <w:style w:type="character" w:customStyle="1" w:styleId="CommentTextChar">
    <w:name w:val="Comment Text Char"/>
    <w:link w:val="CommentText"/>
    <w:semiHidden/>
    <w:rsid w:val="00181FE6"/>
    <w:rPr>
      <w:rFonts w:ascii="Arial" w:eastAsia="Times New Roman" w:hAnsi="Arial"/>
      <w:szCs w:val="24"/>
      <w:lang w:eastAsia="en-US"/>
    </w:rPr>
  </w:style>
  <w:style w:type="paragraph" w:customStyle="1" w:styleId="BlockQuote">
    <w:name w:val="Block Quote"/>
    <w:basedOn w:val="Normal"/>
    <w:qFormat/>
    <w:rsid w:val="00B14618"/>
    <w:pPr>
      <w:ind w:left="720" w:right="720"/>
    </w:pPr>
  </w:style>
  <w:style w:type="paragraph" w:styleId="BlockText">
    <w:name w:val="Block Text"/>
    <w:basedOn w:val="Normal"/>
    <w:pPr>
      <w:spacing w:after="120"/>
      <w:ind w:left="1440" w:right="1440"/>
    </w:pPr>
  </w:style>
  <w:style w:type="paragraph" w:styleId="TOC1">
    <w:name w:val="toc 1"/>
    <w:basedOn w:val="Normal"/>
    <w:next w:val="Normal"/>
    <w:autoRedefine/>
    <w:rsid w:val="00F351D6"/>
    <w:pPr>
      <w:keepNext/>
      <w:keepLines/>
      <w:spacing w:before="240" w:after="60"/>
    </w:pPr>
    <w:rPr>
      <w:b/>
    </w:rPr>
  </w:style>
  <w:style w:type="paragraph" w:styleId="BodyTextIndent">
    <w:name w:val="Body Text Indent"/>
    <w:basedOn w:val="Normal"/>
    <w:link w:val="BodyTextIndentChar"/>
    <w:pPr>
      <w:spacing w:after="120"/>
      <w:ind w:left="283"/>
    </w:pPr>
    <w:rPr>
      <w:rFonts w:ascii="Arial" w:hAnsi="Arial"/>
      <w:sz w:val="24"/>
      <w:lang w:val="x-none"/>
    </w:rPr>
  </w:style>
  <w:style w:type="character" w:customStyle="1" w:styleId="BodyTextIndentChar">
    <w:name w:val="Body Text Indent Char"/>
    <w:link w:val="BodyTextIndent"/>
    <w:rsid w:val="00181FE6"/>
    <w:rPr>
      <w:rFonts w:ascii="Arial" w:eastAsia="Times New Roman" w:hAnsi="Arial"/>
      <w:sz w:val="24"/>
      <w:szCs w:val="24"/>
      <w:lang w:eastAsia="en-US"/>
    </w:rPr>
  </w:style>
  <w:style w:type="paragraph" w:styleId="Caption">
    <w:name w:val="caption"/>
    <w:basedOn w:val="Normal"/>
    <w:next w:val="Normal"/>
    <w:qFormat/>
    <w:rsid w:val="00B14618"/>
    <w:pPr>
      <w:spacing w:after="120"/>
      <w:jc w:val="center"/>
    </w:pPr>
    <w:rPr>
      <w:b/>
      <w:bCs/>
    </w:rPr>
  </w:style>
  <w:style w:type="paragraph" w:styleId="Date">
    <w:name w:val="Date"/>
    <w:basedOn w:val="Normal"/>
    <w:next w:val="Normal"/>
    <w:rPr>
      <w:i/>
    </w:rPr>
  </w:style>
  <w:style w:type="paragraph" w:customStyle="1" w:styleId="DefinitionDescription">
    <w:name w:val="Definition Description"/>
    <w:basedOn w:val="Normal"/>
    <w:next w:val="Normal"/>
    <w:pPr>
      <w:ind w:left="1077"/>
    </w:pPr>
  </w:style>
  <w:style w:type="paragraph" w:customStyle="1" w:styleId="DefinitionTerm">
    <w:name w:val="Definition Term"/>
    <w:basedOn w:val="Normal"/>
    <w:next w:val="DefinitionDescription"/>
    <w:rPr>
      <w:b/>
    </w:rPr>
  </w:style>
  <w:style w:type="paragraph" w:styleId="DocumentMap">
    <w:name w:val="Document Map"/>
    <w:basedOn w:val="Normal"/>
    <w:semiHidden/>
    <w:pPr>
      <w:shd w:val="clear" w:color="auto" w:fill="000080"/>
    </w:pPr>
    <w:rPr>
      <w:rFonts w:ascii="Tahoma" w:hAnsi="Tahoma" w:cs="Tahoma"/>
      <w:sz w:val="20"/>
    </w:rPr>
  </w:style>
  <w:style w:type="character" w:styleId="Emphasis">
    <w:name w:val="Emphasis"/>
    <w:qFormat/>
    <w:rsid w:val="00B14618"/>
    <w:rPr>
      <w:rFonts w:ascii="Gill Sans MT" w:hAnsi="Gill Sans MT"/>
      <w:i/>
    </w:rPr>
  </w:style>
  <w:style w:type="character" w:styleId="FollowedHyperlink">
    <w:name w:val="FollowedHyperlink"/>
    <w:rPr>
      <w:color w:val="800080"/>
      <w:u w:val="single"/>
    </w:rPr>
  </w:style>
  <w:style w:type="paragraph" w:styleId="Footer">
    <w:name w:val="footer"/>
    <w:basedOn w:val="Normal"/>
    <w:pPr>
      <w:tabs>
        <w:tab w:val="center" w:pos="4153"/>
        <w:tab w:val="right" w:pos="8306"/>
      </w:tabs>
      <w:spacing w:before="60" w:after="60"/>
    </w:pPr>
    <w:rPr>
      <w:color w:val="323232"/>
      <w:sz w:val="20"/>
      <w:szCs w:val="20"/>
    </w:rPr>
  </w:style>
  <w:style w:type="paragraph" w:customStyle="1" w:styleId="GraphCaption">
    <w:name w:val="GraphCaption"/>
    <w:basedOn w:val="Normal"/>
    <w:rsid w:val="00B76547"/>
    <w:pPr>
      <w:keepNext/>
      <w:keepLines/>
      <w:spacing w:after="120"/>
      <w:jc w:val="center"/>
    </w:pPr>
    <w:rPr>
      <w:b/>
    </w:rPr>
  </w:style>
  <w:style w:type="paragraph" w:styleId="Header">
    <w:name w:val="header"/>
    <w:basedOn w:val="Normal"/>
    <w:rsid w:val="00F351D6"/>
    <w:pPr>
      <w:tabs>
        <w:tab w:val="center" w:pos="4320"/>
        <w:tab w:val="right" w:pos="8640"/>
      </w:tabs>
      <w:spacing w:after="120"/>
    </w:pPr>
    <w:rPr>
      <w:color w:val="333333"/>
      <w:sz w:val="22"/>
      <w:szCs w:val="20"/>
    </w:rPr>
  </w:style>
  <w:style w:type="character" w:styleId="Hyperlink">
    <w:name w:val="Hyperlink"/>
    <w:rPr>
      <w:color w:val="0000FF"/>
      <w:u w:val="single"/>
    </w:rPr>
  </w:style>
  <w:style w:type="paragraph" w:styleId="ListBullet">
    <w:name w:val="List Bullet"/>
    <w:basedOn w:val="Normal"/>
    <w:pPr>
      <w:numPr>
        <w:numId w:val="2"/>
      </w:numPr>
      <w:spacing w:before="120" w:after="120"/>
    </w:pPr>
  </w:style>
  <w:style w:type="paragraph" w:styleId="ListBullet2">
    <w:name w:val="List Bullet 2"/>
    <w:basedOn w:val="Normal"/>
    <w:pPr>
      <w:numPr>
        <w:numId w:val="4"/>
      </w:numPr>
      <w:spacing w:before="60" w:after="60"/>
    </w:pPr>
  </w:style>
  <w:style w:type="paragraph" w:styleId="ListBullet3">
    <w:name w:val="List Bullet 3"/>
    <w:basedOn w:val="Normal"/>
    <w:pPr>
      <w:numPr>
        <w:numId w:val="6"/>
      </w:numPr>
      <w:spacing w:before="60" w:after="60"/>
    </w:pPr>
  </w:style>
  <w:style w:type="paragraph" w:styleId="ListContinue">
    <w:name w:val="List Continue"/>
    <w:basedOn w:val="Normal"/>
    <w:pPr>
      <w:spacing w:before="120" w:after="120"/>
      <w:ind w:left="357"/>
    </w:pPr>
  </w:style>
  <w:style w:type="paragraph" w:styleId="ListContinue2">
    <w:name w:val="List Continue 2"/>
    <w:basedOn w:val="Normal"/>
    <w:pPr>
      <w:spacing w:before="60" w:after="60"/>
      <w:ind w:left="641"/>
    </w:pPr>
  </w:style>
  <w:style w:type="paragraph" w:styleId="ListContinue3">
    <w:name w:val="List Continue 3"/>
    <w:basedOn w:val="Normal"/>
    <w:pPr>
      <w:spacing w:before="60" w:after="60"/>
      <w:ind w:left="924"/>
    </w:pPr>
  </w:style>
  <w:style w:type="paragraph" w:styleId="ListNumber">
    <w:name w:val="List Number"/>
    <w:basedOn w:val="Normal"/>
    <w:pPr>
      <w:numPr>
        <w:numId w:val="8"/>
      </w:numPr>
      <w:tabs>
        <w:tab w:val="clear" w:pos="360"/>
      </w:tabs>
      <w:spacing w:after="120"/>
    </w:pPr>
  </w:style>
  <w:style w:type="paragraph" w:styleId="ListNumber2">
    <w:name w:val="List Number 2"/>
    <w:basedOn w:val="Normal"/>
    <w:pPr>
      <w:numPr>
        <w:numId w:val="10"/>
      </w:numPr>
      <w:tabs>
        <w:tab w:val="clear" w:pos="641"/>
        <w:tab w:val="num" w:pos="643"/>
      </w:tabs>
      <w:spacing w:before="60" w:after="60"/>
    </w:pPr>
  </w:style>
  <w:style w:type="paragraph" w:styleId="ListNumber3">
    <w:name w:val="List Number 3"/>
    <w:basedOn w:val="Normal"/>
    <w:pPr>
      <w:numPr>
        <w:numId w:val="12"/>
      </w:numPr>
      <w:tabs>
        <w:tab w:val="clear" w:pos="926"/>
        <w:tab w:val="num" w:pos="360"/>
      </w:tabs>
      <w:spacing w:before="60" w:after="60"/>
      <w:ind w:left="357" w:hanging="357"/>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before="60" w:after="60"/>
    </w:pPr>
    <w:rPr>
      <w:rFonts w:ascii="Courier New" w:eastAsia="Times New Roman" w:hAnsi="Courier New" w:cs="Courier New"/>
      <w:lang w:eastAsia="en-US"/>
    </w:rPr>
  </w:style>
  <w:style w:type="paragraph" w:styleId="NormalIndent">
    <w:name w:val="Normal Indent"/>
    <w:basedOn w:val="Normal"/>
    <w:pPr>
      <w:ind w:left="720"/>
    </w:pPr>
  </w:style>
  <w:style w:type="paragraph" w:customStyle="1" w:styleId="Note">
    <w:name w:val="Note"/>
    <w:basedOn w:val="Normal"/>
    <w:rsid w:val="00B76547"/>
    <w:pPr>
      <w:keepLines/>
      <w:pBdr>
        <w:top w:val="single" w:sz="12" w:space="1" w:color="808080"/>
        <w:bottom w:val="single" w:sz="12" w:space="1" w:color="808080"/>
      </w:pBdr>
      <w:spacing w:before="120"/>
      <w:jc w:val="center"/>
    </w:pPr>
    <w:rPr>
      <w:sz w:val="22"/>
      <w:lang w:val="en-GB"/>
    </w:rPr>
  </w:style>
  <w:style w:type="character" w:styleId="PageNumber">
    <w:name w:val="page number"/>
    <w:basedOn w:val="DefaultParagraphFont"/>
  </w:style>
  <w:style w:type="character" w:customStyle="1" w:styleId="Quote1">
    <w:name w:val="Quote1"/>
    <w:rPr>
      <w:i/>
    </w:rPr>
  </w:style>
  <w:style w:type="paragraph" w:styleId="Subtitle">
    <w:name w:val="Subtitle"/>
    <w:basedOn w:val="Normal"/>
    <w:next w:val="Normal"/>
    <w:qFormat/>
    <w:pPr>
      <w:jc w:val="center"/>
      <w:outlineLvl w:val="1"/>
    </w:pPr>
    <w:rPr>
      <w:sz w:val="28"/>
    </w:rPr>
  </w:style>
  <w:style w:type="paragraph" w:customStyle="1" w:styleId="TableCell">
    <w:name w:val="Table Cell"/>
    <w:basedOn w:val="Normal"/>
    <w:pPr>
      <w:spacing w:after="0"/>
    </w:pPr>
  </w:style>
  <w:style w:type="paragraph" w:customStyle="1" w:styleId="TableHead">
    <w:name w:val="Table Head"/>
    <w:basedOn w:val="Normal"/>
    <w:next w:val="Normal"/>
    <w:pPr>
      <w:spacing w:after="0"/>
    </w:pPr>
    <w:rPr>
      <w:b/>
    </w:rPr>
  </w:style>
  <w:style w:type="paragraph" w:customStyle="1" w:styleId="TableNote">
    <w:name w:val="Table Note"/>
    <w:basedOn w:val="Normal"/>
    <w:next w:val="Normal"/>
    <w:pPr>
      <w:spacing w:before="120"/>
      <w:jc w:val="center"/>
    </w:pPr>
    <w:rPr>
      <w:sz w:val="20"/>
      <w:szCs w:val="20"/>
    </w:rPr>
  </w:style>
  <w:style w:type="paragraph" w:customStyle="1" w:styleId="TableRowHead">
    <w:name w:val="Table Row Head"/>
    <w:basedOn w:val="Normal"/>
    <w:pPr>
      <w:keepNext/>
      <w:spacing w:after="0"/>
    </w:pPr>
    <w:rPr>
      <w:rFonts w:ascii="Arial Bold" w:hAnsi="Arial Bold"/>
      <w:b/>
    </w:rPr>
  </w:style>
  <w:style w:type="paragraph" w:customStyle="1" w:styleId="TableSummary">
    <w:name w:val="Table Summary"/>
    <w:basedOn w:val="Normal"/>
    <w:next w:val="TableHead"/>
    <w:pPr>
      <w:ind w:left="567" w:right="567"/>
      <w:jc w:val="center"/>
    </w:pPr>
    <w:rPr>
      <w:i/>
    </w:rPr>
  </w:style>
  <w:style w:type="paragraph" w:customStyle="1" w:styleId="TableTitle">
    <w:name w:val="Table Title"/>
    <w:basedOn w:val="Normal"/>
    <w:next w:val="TableSummary"/>
    <w:rsid w:val="00B76547"/>
    <w:pPr>
      <w:keepNext/>
      <w:keepLines/>
      <w:spacing w:after="120"/>
      <w:jc w:val="center"/>
    </w:pPr>
    <w:rPr>
      <w:b/>
    </w:rPr>
  </w:style>
  <w:style w:type="paragraph" w:customStyle="1" w:styleId="TaggedText">
    <w:name w:val="Tagged Text"/>
    <w:basedOn w:val="Normal"/>
    <w:pPr>
      <w:suppressAutoHyphens/>
      <w:spacing w:after="0"/>
    </w:pPr>
    <w:rPr>
      <w:rFonts w:ascii="Courier New" w:hAnsi="Courier New"/>
      <w:color w:val="FF0000"/>
    </w:rPr>
  </w:style>
  <w:style w:type="paragraph" w:styleId="Title">
    <w:name w:val="Title"/>
    <w:basedOn w:val="Normal"/>
    <w:next w:val="Normal"/>
    <w:qFormat/>
    <w:rsid w:val="003B10EC"/>
    <w:pPr>
      <w:spacing w:after="360"/>
      <w:jc w:val="center"/>
      <w:outlineLvl w:val="0"/>
    </w:pPr>
    <w:rPr>
      <w:rFonts w:cs="Arial"/>
      <w:b/>
      <w:bCs/>
      <w:kern w:val="28"/>
      <w:sz w:val="36"/>
      <w:szCs w:val="32"/>
    </w:rPr>
  </w:style>
  <w:style w:type="paragraph" w:customStyle="1" w:styleId="NormalBeforeList">
    <w:name w:val="Normal (Before List)"/>
    <w:basedOn w:val="Normal"/>
    <w:qFormat/>
    <w:rsid w:val="00BA2579"/>
    <w:pPr>
      <w:spacing w:after="120"/>
    </w:pPr>
  </w:style>
  <w:style w:type="paragraph" w:customStyle="1" w:styleId="TableHeadRight">
    <w:name w:val="Table Head Right"/>
    <w:basedOn w:val="TableHead"/>
    <w:pPr>
      <w:jc w:val="right"/>
    </w:pPr>
  </w:style>
  <w:style w:type="paragraph" w:customStyle="1" w:styleId="TableCellLeft">
    <w:name w:val="Table Cell Left"/>
    <w:basedOn w:val="TableCell"/>
  </w:style>
  <w:style w:type="paragraph" w:styleId="FootnoteText">
    <w:name w:val="footnote text"/>
    <w:basedOn w:val="Normal"/>
    <w:semiHidden/>
    <w:rsid w:val="00287B8E"/>
    <w:pPr>
      <w:spacing w:after="120"/>
    </w:pPr>
    <w:rPr>
      <w:sz w:val="22"/>
      <w:szCs w:val="20"/>
    </w:rPr>
  </w:style>
  <w:style w:type="paragraph" w:styleId="TOC2">
    <w:name w:val="toc 2"/>
    <w:basedOn w:val="Normal"/>
    <w:next w:val="Normal"/>
    <w:autoRedefine/>
    <w:rsid w:val="00F351D6"/>
    <w:pPr>
      <w:keepLines/>
      <w:spacing w:after="60"/>
      <w:ind w:left="261"/>
    </w:pPr>
  </w:style>
  <w:style w:type="paragraph" w:customStyle="1" w:styleId="NormalAfterList">
    <w:name w:val="Normal (After List)"/>
    <w:basedOn w:val="Normal"/>
    <w:qFormat/>
    <w:rsid w:val="00C154AE"/>
    <w:pPr>
      <w:spacing w:before="120"/>
    </w:pPr>
  </w:style>
  <w:style w:type="character" w:styleId="FootnoteReference">
    <w:name w:val="footnote reference"/>
    <w:rsid w:val="00287B8E"/>
    <w:rPr>
      <w:rFonts w:ascii="Gill Sans" w:hAnsi="Gill Sans"/>
      <w:sz w:val="22"/>
      <w:vertAlign w:val="superscript"/>
    </w:rPr>
  </w:style>
  <w:style w:type="character" w:styleId="Strong">
    <w:name w:val="Strong"/>
    <w:basedOn w:val="DefaultParagraphFont"/>
    <w:qFormat/>
    <w:rsid w:val="00B14618"/>
    <w:rPr>
      <w:rFonts w:ascii="Gill Sans MT" w:hAnsi="Gill Sans MT"/>
      <w:b/>
      <w:bCs/>
    </w:rPr>
  </w:style>
  <w:style w:type="paragraph" w:styleId="Quote">
    <w:name w:val="Quote"/>
    <w:basedOn w:val="Normal"/>
    <w:next w:val="Normal"/>
    <w:link w:val="QuoteChar"/>
    <w:uiPriority w:val="29"/>
    <w:qFormat/>
    <w:rsid w:val="00B14618"/>
    <w:rPr>
      <w:i/>
      <w:iCs/>
      <w:color w:val="000000"/>
    </w:rPr>
  </w:style>
  <w:style w:type="character" w:customStyle="1" w:styleId="QuoteChar">
    <w:name w:val="Quote Char"/>
    <w:basedOn w:val="DefaultParagraphFont"/>
    <w:link w:val="Quote"/>
    <w:uiPriority w:val="29"/>
    <w:rsid w:val="00B14618"/>
    <w:rPr>
      <w:rFonts w:ascii="Gill Sans MT" w:eastAsia="Times New Roman" w:hAnsi="Gill Sans MT"/>
      <w:i/>
      <w:iCs/>
      <w:color w:val="000000"/>
      <w:sz w:val="26"/>
      <w:szCs w:val="24"/>
      <w:lang w:eastAsia="en-US"/>
    </w:rPr>
  </w:style>
  <w:style w:type="paragraph" w:styleId="IntenseQuote">
    <w:name w:val="Intense Quote"/>
    <w:basedOn w:val="Normal"/>
    <w:next w:val="Normal"/>
    <w:link w:val="IntenseQuoteChar"/>
    <w:uiPriority w:val="30"/>
    <w:qFormat/>
    <w:rsid w:val="00B14618"/>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B14618"/>
    <w:rPr>
      <w:rFonts w:ascii="Gill Sans MT" w:eastAsia="Times New Roman" w:hAnsi="Gill Sans MT"/>
      <w:b/>
      <w:bCs/>
      <w:i/>
      <w:iCs/>
      <w:color w:val="4F81BD"/>
      <w:sz w:val="26"/>
      <w:szCs w:val="24"/>
      <w:lang w:eastAsia="en-US"/>
    </w:rPr>
  </w:style>
  <w:style w:type="character" w:styleId="SubtleReference">
    <w:name w:val="Subtle Reference"/>
    <w:basedOn w:val="DefaultParagraphFont"/>
    <w:uiPriority w:val="31"/>
    <w:qFormat/>
    <w:rsid w:val="00B14618"/>
    <w:rPr>
      <w:rFonts w:ascii="Gill Sans MT" w:hAnsi="Gill Sans MT"/>
      <w:smallCaps/>
      <w:color w:val="C0504D"/>
      <w:u w:val="single"/>
    </w:rPr>
  </w:style>
  <w:style w:type="table" w:styleId="TableGridLight">
    <w:name w:val="Grid Table Light"/>
    <w:basedOn w:val="TableNormal"/>
    <w:uiPriority w:val="40"/>
    <w:rsid w:val="000A4C9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rsid w:val="00D529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D529B4"/>
    <w:rPr>
      <w:sz w:val="16"/>
      <w:szCs w:val="16"/>
    </w:rPr>
  </w:style>
  <w:style w:type="paragraph" w:styleId="CommentSubject">
    <w:name w:val="annotation subject"/>
    <w:basedOn w:val="CommentText"/>
    <w:next w:val="CommentText"/>
    <w:link w:val="CommentSubjectChar"/>
    <w:rsid w:val="00D529B4"/>
    <w:rPr>
      <w:rFonts w:ascii="Gill Sans MT" w:hAnsi="Gill Sans MT"/>
      <w:b/>
      <w:bCs/>
      <w:szCs w:val="20"/>
      <w:lang w:val="en-IE"/>
    </w:rPr>
  </w:style>
  <w:style w:type="character" w:customStyle="1" w:styleId="CommentSubjectChar">
    <w:name w:val="Comment Subject Char"/>
    <w:basedOn w:val="CommentTextChar"/>
    <w:link w:val="CommentSubject"/>
    <w:rsid w:val="00D529B4"/>
    <w:rPr>
      <w:rFonts w:ascii="Gill Sans MT" w:eastAsia="Times New Roman" w:hAnsi="Gill Sans MT"/>
      <w:b/>
      <w:bCs/>
      <w:szCs w:val="24"/>
      <w:lang w:eastAsia="en-US"/>
    </w:rPr>
  </w:style>
  <w:style w:type="paragraph" w:styleId="BalloonText">
    <w:name w:val="Balloon Text"/>
    <w:basedOn w:val="Normal"/>
    <w:link w:val="BalloonTextChar"/>
    <w:rsid w:val="00D529B4"/>
    <w:pPr>
      <w:spacing w:after="0"/>
    </w:pPr>
    <w:rPr>
      <w:rFonts w:ascii="Segoe UI" w:hAnsi="Segoe UI" w:cs="Segoe UI"/>
      <w:sz w:val="18"/>
      <w:szCs w:val="18"/>
    </w:rPr>
  </w:style>
  <w:style w:type="character" w:customStyle="1" w:styleId="BalloonTextChar">
    <w:name w:val="Balloon Text Char"/>
    <w:basedOn w:val="DefaultParagraphFont"/>
    <w:link w:val="BalloonText"/>
    <w:rsid w:val="00D529B4"/>
    <w:rPr>
      <w:rFonts w:ascii="Segoe UI" w:eastAsia="Times New Roman" w:hAnsi="Segoe UI" w:cs="Segoe UI"/>
      <w:sz w:val="18"/>
      <w:szCs w:val="18"/>
      <w:lang w:eastAsia="en-US"/>
    </w:rPr>
  </w:style>
  <w:style w:type="paragraph" w:styleId="ListParagraph">
    <w:name w:val="List Paragraph"/>
    <w:basedOn w:val="Normal"/>
    <w:uiPriority w:val="34"/>
    <w:qFormat/>
    <w:rsid w:val="001178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hart" Target="charts/chart5.xml"/><Relationship Id="rId17" Type="http://schemas.openxmlformats.org/officeDocument/2006/relationships/hyperlink" Target="http://nda.ie/Publications/Disability-Supports/Transforming-Lives.html" TargetMode="External"/><Relationship Id="rId2" Type="http://schemas.openxmlformats.org/officeDocument/2006/relationships/styles" Target="styles.xml"/><Relationship Id="rId16" Type="http://schemas.openxmlformats.org/officeDocument/2006/relationships/hyperlink" Target="https://www.cso.ie/en/releasesandpublications/ep/p-plfp/populationandlabourforceprojections2017-2051/populationprojectionsresul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hyperlink" Target="https://www.cso.ie/en/csolatestnews/presspages/2017/census2016profile9-healthdisabilityandcarers/" TargetMode="External"/><Relationship Id="rId10" Type="http://schemas.openxmlformats.org/officeDocument/2006/relationships/chart" Target="charts/chart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s>
</file>

<file path=word/_rels/footnotes.xml.rels><?xml version="1.0" encoding="UTF-8" standalone="yes"?>
<Relationships xmlns="http://schemas.openxmlformats.org/package/2006/relationships"><Relationship Id="rId1" Type="http://schemas.openxmlformats.org/officeDocument/2006/relationships/hyperlink" Target="http://www.nda.i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Templates\NDA%20Style%202011.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ojfileclusvp01\home$\collinsgm\My%20Documents\PROJECTS\stats%20sheets\stats%20sheet%20demography.xlsx" TargetMode="Externa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5" b="1" i="0" u="none" strike="noStrike" kern="1200" baseline="0">
                <a:solidFill>
                  <a:schemeClr val="tx2"/>
                </a:solidFill>
                <a:latin typeface="+mn-lt"/>
                <a:ea typeface="+mn-ea"/>
                <a:cs typeface="+mn-cs"/>
              </a:defRPr>
            </a:pPr>
            <a:r>
              <a:rPr lang="en-IE"/>
              <a:t>Figure 1: Common types of disability</a:t>
            </a:r>
          </a:p>
        </c:rich>
      </c:tx>
      <c:layout/>
      <c:overlay val="0"/>
      <c:spPr>
        <a:noFill/>
        <a:ln>
          <a:noFill/>
        </a:ln>
        <a:effectLst/>
      </c:spPr>
    </c:title>
    <c:autoTitleDeleted val="0"/>
    <c:plotArea>
      <c:layout/>
      <c:barChart>
        <c:barDir val="col"/>
        <c:grouping val="cluster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7"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'type of dis'!$D$8:$D$14</c:f>
              <c:strCache>
                <c:ptCount val="7"/>
                <c:pt idx="0">
                  <c:v>Other disability, including chronic illness</c:v>
                </c:pt>
                <c:pt idx="1">
                  <c:v>A condition that substantially limits one or more basic physical activities</c:v>
                </c:pt>
                <c:pt idx="2">
                  <c:v>Difficulty in learning, remembering or concentrating</c:v>
                </c:pt>
                <c:pt idx="3">
                  <c:v>Psychological or emotional condition</c:v>
                </c:pt>
                <c:pt idx="4">
                  <c:v>Deafness or a serious hearing impairment</c:v>
                </c:pt>
                <c:pt idx="5">
                  <c:v>An intellectual disability</c:v>
                </c:pt>
                <c:pt idx="6">
                  <c:v>Blindness or a serious vision impairment</c:v>
                </c:pt>
              </c:strCache>
            </c:strRef>
          </c:cat>
          <c:val>
            <c:numRef>
              <c:f>'type of dis'!$E$8:$E$14</c:f>
              <c:numCache>
                <c:formatCode>#,##0</c:formatCode>
                <c:ptCount val="7"/>
                <c:pt idx="0">
                  <c:v>296783</c:v>
                </c:pt>
                <c:pt idx="1">
                  <c:v>262818</c:v>
                </c:pt>
                <c:pt idx="2">
                  <c:v>156968</c:v>
                </c:pt>
                <c:pt idx="3">
                  <c:v>123515</c:v>
                </c:pt>
                <c:pt idx="4">
                  <c:v>103676</c:v>
                </c:pt>
                <c:pt idx="5">
                  <c:v>66611</c:v>
                </c:pt>
                <c:pt idx="6">
                  <c:v>54810</c:v>
                </c:pt>
              </c:numCache>
            </c:numRef>
          </c:val>
          <c:extLst>
            <c:ext xmlns:c16="http://schemas.microsoft.com/office/drawing/2014/chart" uri="{C3380CC4-5D6E-409C-BE32-E72D297353CC}">
              <c16:uniqueId val="{00000000-B76E-4581-B7CA-922C19D668DD}"/>
            </c:ext>
          </c:extLst>
        </c:ser>
        <c:dLbls>
          <c:showLegendKey val="0"/>
          <c:showVal val="0"/>
          <c:showCatName val="0"/>
          <c:showSerName val="0"/>
          <c:showPercent val="0"/>
          <c:showBubbleSize val="0"/>
        </c:dLbls>
        <c:gapWidth val="100"/>
        <c:overlap val="-24"/>
        <c:axId val="154384200"/>
        <c:axId val="1"/>
      </c:barChart>
      <c:catAx>
        <c:axId val="154384200"/>
        <c:scaling>
          <c:orientation val="minMax"/>
        </c:scaling>
        <c:delete val="0"/>
        <c:axPos val="b"/>
        <c:numFmt formatCode="General" sourceLinked="1"/>
        <c:majorTickMark val="none"/>
        <c:minorTickMark val="none"/>
        <c:tickLblPos val="nextTo"/>
        <c:spPr>
          <a:noFill/>
          <a:ln w="9498" cap="flat" cmpd="sng" algn="ctr">
            <a:solidFill>
              <a:schemeClr val="tx2">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chemeClr val="tx2"/>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498"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97" b="0" i="0" u="none" strike="noStrike" kern="1200" baseline="0">
                <a:solidFill>
                  <a:schemeClr val="tx2"/>
                </a:solidFill>
                <a:latin typeface="+mn-lt"/>
                <a:ea typeface="+mn-ea"/>
                <a:cs typeface="+mn-cs"/>
              </a:defRPr>
            </a:pPr>
            <a:endParaRPr lang="en-US"/>
          </a:p>
        </c:txPr>
        <c:crossAx val="154384200"/>
        <c:crosses val="autoZero"/>
        <c:crossBetween val="between"/>
      </c:valAx>
      <c:spPr>
        <a:noFill/>
        <a:ln w="25328">
          <a:noFill/>
        </a:ln>
      </c:spPr>
    </c:plotArea>
    <c:plotVisOnly val="1"/>
    <c:dispBlanksAs val="gap"/>
    <c:showDLblsOverMax val="0"/>
  </c:chart>
  <c:spPr>
    <a:solidFill>
      <a:schemeClr val="bg1"/>
    </a:solidFill>
    <a:ln w="9498" cap="flat" cmpd="sng" algn="ctr">
      <a:solidFill>
        <a:schemeClr val="tx2">
          <a:lumMod val="15000"/>
          <a:lumOff val="85000"/>
        </a:schemeClr>
      </a:solidFill>
      <a:round/>
    </a:ln>
    <a:effectLst/>
  </c:spPr>
  <c:txPr>
    <a:bodyPr/>
    <a:lstStyle/>
    <a:p>
      <a:pPr>
        <a:spcAft>
          <a:spcPts val="0"/>
        </a:spcAft>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en-IE" sz="1600" b="1"/>
              <a:t>Figure 2: Age and disability</a:t>
            </a:r>
          </a:p>
        </c:rich>
      </c:tx>
      <c:layout/>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2"/>
          <c:order val="1"/>
          <c:tx>
            <c:strRef>
              <c:f>'by age'!$U$4</c:f>
              <c:strCache>
                <c:ptCount val="1"/>
                <c:pt idx="0">
                  <c:v>Percentage of the Population with a disability (LHS)</c:v>
                </c:pt>
              </c:strCache>
            </c:strRef>
          </c:tx>
          <c:spPr>
            <a:ln w="28575" cap="rnd">
              <a:solidFill>
                <a:schemeClr val="accent3"/>
              </a:solidFill>
              <a:round/>
            </a:ln>
            <a:effectLst/>
          </c:spPr>
          <c:marker>
            <c:symbol val="none"/>
          </c:marker>
          <c:cat>
            <c:strRef>
              <c:f>'by age'!$R$5:$R$105</c:f>
              <c:strCache>
                <c:ptCount val="101"/>
                <c:pt idx="0">
                  <c:v>Under 1 year</c:v>
                </c:pt>
                <c:pt idx="1">
                  <c:v>1 year</c:v>
                </c:pt>
                <c:pt idx="2">
                  <c:v>2 years</c:v>
                </c:pt>
                <c:pt idx="3">
                  <c:v>3 years</c:v>
                </c:pt>
                <c:pt idx="4">
                  <c:v>4 years</c:v>
                </c:pt>
                <c:pt idx="5">
                  <c:v>5 years</c:v>
                </c:pt>
                <c:pt idx="6">
                  <c:v>6 years</c:v>
                </c:pt>
                <c:pt idx="7">
                  <c:v>7 years</c:v>
                </c:pt>
                <c:pt idx="8">
                  <c:v>8 years</c:v>
                </c:pt>
                <c:pt idx="9">
                  <c:v>9 years</c:v>
                </c:pt>
                <c:pt idx="10">
                  <c:v>10 years</c:v>
                </c:pt>
                <c:pt idx="11">
                  <c:v>11 years</c:v>
                </c:pt>
                <c:pt idx="12">
                  <c:v>12 years</c:v>
                </c:pt>
                <c:pt idx="13">
                  <c:v>13 years</c:v>
                </c:pt>
                <c:pt idx="14">
                  <c:v>14 years</c:v>
                </c:pt>
                <c:pt idx="15">
                  <c:v>15 years</c:v>
                </c:pt>
                <c:pt idx="16">
                  <c:v>16 years</c:v>
                </c:pt>
                <c:pt idx="17">
                  <c:v>17 years</c:v>
                </c:pt>
                <c:pt idx="18">
                  <c:v>18 years</c:v>
                </c:pt>
                <c:pt idx="19">
                  <c:v>19 years</c:v>
                </c:pt>
                <c:pt idx="20">
                  <c:v>20 years</c:v>
                </c:pt>
                <c:pt idx="21">
                  <c:v>21 years</c:v>
                </c:pt>
                <c:pt idx="22">
                  <c:v>22 years</c:v>
                </c:pt>
                <c:pt idx="23">
                  <c:v>23 years</c:v>
                </c:pt>
                <c:pt idx="24">
                  <c:v>24 years</c:v>
                </c:pt>
                <c:pt idx="25">
                  <c:v>25 years</c:v>
                </c:pt>
                <c:pt idx="26">
                  <c:v>26 years</c:v>
                </c:pt>
                <c:pt idx="27">
                  <c:v>27 years</c:v>
                </c:pt>
                <c:pt idx="28">
                  <c:v>28 years</c:v>
                </c:pt>
                <c:pt idx="29">
                  <c:v>29 years</c:v>
                </c:pt>
                <c:pt idx="30">
                  <c:v>30 years</c:v>
                </c:pt>
                <c:pt idx="31">
                  <c:v>31 years</c:v>
                </c:pt>
                <c:pt idx="32">
                  <c:v>32 years</c:v>
                </c:pt>
                <c:pt idx="33">
                  <c:v>33 years</c:v>
                </c:pt>
                <c:pt idx="34">
                  <c:v>34 years</c:v>
                </c:pt>
                <c:pt idx="35">
                  <c:v>35 years</c:v>
                </c:pt>
                <c:pt idx="36">
                  <c:v>36 years</c:v>
                </c:pt>
                <c:pt idx="37">
                  <c:v>37 years</c:v>
                </c:pt>
                <c:pt idx="38">
                  <c:v>38 years</c:v>
                </c:pt>
                <c:pt idx="39">
                  <c:v>39 years</c:v>
                </c:pt>
                <c:pt idx="40">
                  <c:v>40 years</c:v>
                </c:pt>
                <c:pt idx="41">
                  <c:v>41 years</c:v>
                </c:pt>
                <c:pt idx="42">
                  <c:v>42 years</c:v>
                </c:pt>
                <c:pt idx="43">
                  <c:v>43 years</c:v>
                </c:pt>
                <c:pt idx="44">
                  <c:v>44 years</c:v>
                </c:pt>
                <c:pt idx="45">
                  <c:v>45 years</c:v>
                </c:pt>
                <c:pt idx="46">
                  <c:v>46 years</c:v>
                </c:pt>
                <c:pt idx="47">
                  <c:v>47 years</c:v>
                </c:pt>
                <c:pt idx="48">
                  <c:v>48 years</c:v>
                </c:pt>
                <c:pt idx="49">
                  <c:v>49 years</c:v>
                </c:pt>
                <c:pt idx="50">
                  <c:v>50 years</c:v>
                </c:pt>
                <c:pt idx="51">
                  <c:v>51 years</c:v>
                </c:pt>
                <c:pt idx="52">
                  <c:v>52 years</c:v>
                </c:pt>
                <c:pt idx="53">
                  <c:v>53 years</c:v>
                </c:pt>
                <c:pt idx="54">
                  <c:v>54 years</c:v>
                </c:pt>
                <c:pt idx="55">
                  <c:v>55 years</c:v>
                </c:pt>
                <c:pt idx="56">
                  <c:v>56 years</c:v>
                </c:pt>
                <c:pt idx="57">
                  <c:v>57 years</c:v>
                </c:pt>
                <c:pt idx="58">
                  <c:v>58 years</c:v>
                </c:pt>
                <c:pt idx="59">
                  <c:v>59 years</c:v>
                </c:pt>
                <c:pt idx="60">
                  <c:v>60 years</c:v>
                </c:pt>
                <c:pt idx="61">
                  <c:v>61 years</c:v>
                </c:pt>
                <c:pt idx="62">
                  <c:v>62 years</c:v>
                </c:pt>
                <c:pt idx="63">
                  <c:v>63 years</c:v>
                </c:pt>
                <c:pt idx="64">
                  <c:v>64 years</c:v>
                </c:pt>
                <c:pt idx="65">
                  <c:v>65 years</c:v>
                </c:pt>
                <c:pt idx="66">
                  <c:v>66 years</c:v>
                </c:pt>
                <c:pt idx="67">
                  <c:v>67 years</c:v>
                </c:pt>
                <c:pt idx="68">
                  <c:v>68 years</c:v>
                </c:pt>
                <c:pt idx="69">
                  <c:v>69 years</c:v>
                </c:pt>
                <c:pt idx="70">
                  <c:v>70 years</c:v>
                </c:pt>
                <c:pt idx="71">
                  <c:v>71 years</c:v>
                </c:pt>
                <c:pt idx="72">
                  <c:v>72 years</c:v>
                </c:pt>
                <c:pt idx="73">
                  <c:v>73 years</c:v>
                </c:pt>
                <c:pt idx="74">
                  <c:v>74 years</c:v>
                </c:pt>
                <c:pt idx="75">
                  <c:v>75 years</c:v>
                </c:pt>
                <c:pt idx="76">
                  <c:v>76 years</c:v>
                </c:pt>
                <c:pt idx="77">
                  <c:v>77 years</c:v>
                </c:pt>
                <c:pt idx="78">
                  <c:v>78 years</c:v>
                </c:pt>
                <c:pt idx="79">
                  <c:v>79 years</c:v>
                </c:pt>
                <c:pt idx="80">
                  <c:v>80 years</c:v>
                </c:pt>
                <c:pt idx="81">
                  <c:v>81 years</c:v>
                </c:pt>
                <c:pt idx="82">
                  <c:v>82 years</c:v>
                </c:pt>
                <c:pt idx="83">
                  <c:v>83 years</c:v>
                </c:pt>
                <c:pt idx="84">
                  <c:v>84 years</c:v>
                </c:pt>
                <c:pt idx="85">
                  <c:v>85 years</c:v>
                </c:pt>
                <c:pt idx="86">
                  <c:v>86 years</c:v>
                </c:pt>
                <c:pt idx="87">
                  <c:v>87 years</c:v>
                </c:pt>
                <c:pt idx="88">
                  <c:v>88 years</c:v>
                </c:pt>
                <c:pt idx="89">
                  <c:v>89 years</c:v>
                </c:pt>
                <c:pt idx="90">
                  <c:v>90 years</c:v>
                </c:pt>
                <c:pt idx="91">
                  <c:v>91 years</c:v>
                </c:pt>
                <c:pt idx="92">
                  <c:v>92 years</c:v>
                </c:pt>
                <c:pt idx="93">
                  <c:v>93 years</c:v>
                </c:pt>
                <c:pt idx="94">
                  <c:v>94 years</c:v>
                </c:pt>
                <c:pt idx="95">
                  <c:v>95 years</c:v>
                </c:pt>
                <c:pt idx="96">
                  <c:v>96 years</c:v>
                </c:pt>
                <c:pt idx="97">
                  <c:v>97 years</c:v>
                </c:pt>
                <c:pt idx="98">
                  <c:v>98 years</c:v>
                </c:pt>
                <c:pt idx="99">
                  <c:v>99 years</c:v>
                </c:pt>
                <c:pt idx="100">
                  <c:v>100 years and over</c:v>
                </c:pt>
              </c:strCache>
            </c:strRef>
          </c:cat>
          <c:val>
            <c:numRef>
              <c:f>'by age'!$U$5:$U$105</c:f>
              <c:numCache>
                <c:formatCode>0.000</c:formatCode>
                <c:ptCount val="101"/>
                <c:pt idx="0">
                  <c:v>1.6913760701607852E-2</c:v>
                </c:pt>
                <c:pt idx="1">
                  <c:v>1.9990941604585422E-2</c:v>
                </c:pt>
                <c:pt idx="2">
                  <c:v>2.6900690611900237E-2</c:v>
                </c:pt>
                <c:pt idx="3">
                  <c:v>3.7281861448968799E-2</c:v>
                </c:pt>
                <c:pt idx="4">
                  <c:v>4.5500105879861648E-2</c:v>
                </c:pt>
                <c:pt idx="5">
                  <c:v>5.2842384398652006E-2</c:v>
                </c:pt>
                <c:pt idx="6">
                  <c:v>6.0482369651254191E-2</c:v>
                </c:pt>
                <c:pt idx="7">
                  <c:v>6.4296205969570155E-2</c:v>
                </c:pt>
                <c:pt idx="8">
                  <c:v>6.9053744197751801E-2</c:v>
                </c:pt>
                <c:pt idx="9">
                  <c:v>7.5578790141896932E-2</c:v>
                </c:pt>
                <c:pt idx="10">
                  <c:v>7.7477505286064854E-2</c:v>
                </c:pt>
                <c:pt idx="11">
                  <c:v>8.016996282063299E-2</c:v>
                </c:pt>
                <c:pt idx="12">
                  <c:v>8.2285270112708905E-2</c:v>
                </c:pt>
                <c:pt idx="13">
                  <c:v>8.4446962900001574E-2</c:v>
                </c:pt>
                <c:pt idx="14">
                  <c:v>8.8309744798051357E-2</c:v>
                </c:pt>
                <c:pt idx="15">
                  <c:v>9.2662589426212222E-2</c:v>
                </c:pt>
                <c:pt idx="16">
                  <c:v>9.0327764023020549E-2</c:v>
                </c:pt>
                <c:pt idx="17">
                  <c:v>9.2240451417202121E-2</c:v>
                </c:pt>
                <c:pt idx="18">
                  <c:v>9.6844715632851505E-2</c:v>
                </c:pt>
                <c:pt idx="19">
                  <c:v>9.8989091919683178E-2</c:v>
                </c:pt>
                <c:pt idx="20">
                  <c:v>9.6987770026802991E-2</c:v>
                </c:pt>
                <c:pt idx="21">
                  <c:v>9.4803022225490377E-2</c:v>
                </c:pt>
                <c:pt idx="22">
                  <c:v>9.1091404180158958E-2</c:v>
                </c:pt>
                <c:pt idx="23">
                  <c:v>8.6511541670529338E-2</c:v>
                </c:pt>
                <c:pt idx="24">
                  <c:v>8.6331593884463972E-2</c:v>
                </c:pt>
                <c:pt idx="25">
                  <c:v>8.3505010649813194E-2</c:v>
                </c:pt>
                <c:pt idx="26">
                  <c:v>8.1980909042430272E-2</c:v>
                </c:pt>
                <c:pt idx="27">
                  <c:v>7.4952961785505742E-2</c:v>
                </c:pt>
                <c:pt idx="28">
                  <c:v>8.0933799784714752E-2</c:v>
                </c:pt>
                <c:pt idx="29">
                  <c:v>8.0201299528602374E-2</c:v>
                </c:pt>
                <c:pt idx="30">
                  <c:v>7.5979925966026304E-2</c:v>
                </c:pt>
                <c:pt idx="31">
                  <c:v>7.9272397342464954E-2</c:v>
                </c:pt>
                <c:pt idx="32">
                  <c:v>8.0839324527670953E-2</c:v>
                </c:pt>
                <c:pt idx="33">
                  <c:v>8.0444890626651167E-2</c:v>
                </c:pt>
                <c:pt idx="34">
                  <c:v>8.193477087563289E-2</c:v>
                </c:pt>
                <c:pt idx="35">
                  <c:v>8.1954748911643879E-2</c:v>
                </c:pt>
                <c:pt idx="36">
                  <c:v>8.2479926919563434E-2</c:v>
                </c:pt>
                <c:pt idx="37">
                  <c:v>8.9098776948590377E-2</c:v>
                </c:pt>
                <c:pt idx="38">
                  <c:v>9.073258258459313E-2</c:v>
                </c:pt>
                <c:pt idx="39">
                  <c:v>9.3497218979605848E-2</c:v>
                </c:pt>
                <c:pt idx="40">
                  <c:v>9.3674231073092321E-2</c:v>
                </c:pt>
                <c:pt idx="41">
                  <c:v>0.10049462305832661</c:v>
                </c:pt>
                <c:pt idx="42">
                  <c:v>0.10362221098184679</c:v>
                </c:pt>
                <c:pt idx="43">
                  <c:v>0.10736729884412524</c:v>
                </c:pt>
                <c:pt idx="44">
                  <c:v>0.11134574498649658</c:v>
                </c:pt>
                <c:pt idx="45">
                  <c:v>0.11123096356643059</c:v>
                </c:pt>
                <c:pt idx="46">
                  <c:v>0.11637007499107249</c:v>
                </c:pt>
                <c:pt idx="47">
                  <c:v>0.1222972972972973</c:v>
                </c:pt>
                <c:pt idx="48">
                  <c:v>0.1284910875988943</c:v>
                </c:pt>
                <c:pt idx="49">
                  <c:v>0.1280331075510435</c:v>
                </c:pt>
                <c:pt idx="50">
                  <c:v>0.13355810802090728</c:v>
                </c:pt>
                <c:pt idx="51">
                  <c:v>0.13843490080585133</c:v>
                </c:pt>
                <c:pt idx="52">
                  <c:v>0.14779921240217336</c:v>
                </c:pt>
                <c:pt idx="53">
                  <c:v>0.15358106846384981</c:v>
                </c:pt>
                <c:pt idx="54">
                  <c:v>0.15818713962740322</c:v>
                </c:pt>
                <c:pt idx="55">
                  <c:v>0.16707419309766661</c:v>
                </c:pt>
                <c:pt idx="56">
                  <c:v>0.1714535487278489</c:v>
                </c:pt>
                <c:pt idx="57">
                  <c:v>0.17343322499495034</c:v>
                </c:pt>
                <c:pt idx="58">
                  <c:v>0.18720912489509423</c:v>
                </c:pt>
                <c:pt idx="59">
                  <c:v>0.19487973047089244</c:v>
                </c:pt>
                <c:pt idx="60">
                  <c:v>0.19811491025769579</c:v>
                </c:pt>
                <c:pt idx="61">
                  <c:v>0.20617321555487866</c:v>
                </c:pt>
                <c:pt idx="62">
                  <c:v>0.21331923890063426</c:v>
                </c:pt>
                <c:pt idx="63">
                  <c:v>0.22471625669802961</c:v>
                </c:pt>
                <c:pt idx="64">
                  <c:v>0.22955332563715478</c:v>
                </c:pt>
                <c:pt idx="65">
                  <c:v>0.23342241145031253</c:v>
                </c:pt>
                <c:pt idx="66">
                  <c:v>0.22532494373765674</c:v>
                </c:pt>
                <c:pt idx="67">
                  <c:v>0.22944253333961642</c:v>
                </c:pt>
                <c:pt idx="68">
                  <c:v>0.23390272777791202</c:v>
                </c:pt>
                <c:pt idx="69">
                  <c:v>0.24292874593859407</c:v>
                </c:pt>
                <c:pt idx="70">
                  <c:v>0.24816900663652469</c:v>
                </c:pt>
                <c:pt idx="71">
                  <c:v>0.26326129666011788</c:v>
                </c:pt>
                <c:pt idx="72">
                  <c:v>0.27363552266419983</c:v>
                </c:pt>
                <c:pt idx="73">
                  <c:v>0.28852708560839208</c:v>
                </c:pt>
                <c:pt idx="74">
                  <c:v>0.31213681500551671</c:v>
                </c:pt>
                <c:pt idx="75">
                  <c:v>0.32146646233643761</c:v>
                </c:pt>
                <c:pt idx="76">
                  <c:v>0.34617563739376772</c:v>
                </c:pt>
                <c:pt idx="77">
                  <c:v>0.37520349584440066</c:v>
                </c:pt>
                <c:pt idx="78">
                  <c:v>0.39904137000325746</c:v>
                </c:pt>
                <c:pt idx="79">
                  <c:v>0.4204229135127216</c:v>
                </c:pt>
                <c:pt idx="80">
                  <c:v>0.44968113236895318</c:v>
                </c:pt>
                <c:pt idx="81">
                  <c:v>0.47219572414567085</c:v>
                </c:pt>
                <c:pt idx="82">
                  <c:v>0.50608972397331542</c:v>
                </c:pt>
                <c:pt idx="83">
                  <c:v>0.54584368958851148</c:v>
                </c:pt>
                <c:pt idx="84">
                  <c:v>0.56394018007019686</c:v>
                </c:pt>
                <c:pt idx="85">
                  <c:v>0.59989955637398507</c:v>
                </c:pt>
                <c:pt idx="86">
                  <c:v>0.63720840189720263</c:v>
                </c:pt>
                <c:pt idx="87">
                  <c:v>0.67114399544678427</c:v>
                </c:pt>
                <c:pt idx="88">
                  <c:v>0.70452697207915427</c:v>
                </c:pt>
                <c:pt idx="89">
                  <c:v>0.72029278928515805</c:v>
                </c:pt>
                <c:pt idx="90">
                  <c:v>0.74432874674600225</c:v>
                </c:pt>
                <c:pt idx="91">
                  <c:v>0.7724988579259936</c:v>
                </c:pt>
                <c:pt idx="92">
                  <c:v>0.78847279110590984</c:v>
                </c:pt>
                <c:pt idx="93">
                  <c:v>0.80973289425539696</c:v>
                </c:pt>
                <c:pt idx="94">
                  <c:v>0.80599903241412674</c:v>
                </c:pt>
                <c:pt idx="95">
                  <c:v>0.83172147001934238</c:v>
                </c:pt>
                <c:pt idx="96">
                  <c:v>0.76528925619834709</c:v>
                </c:pt>
                <c:pt idx="97">
                  <c:v>0.82016348773841963</c:v>
                </c:pt>
                <c:pt idx="98">
                  <c:v>0.84666666666666668</c:v>
                </c:pt>
                <c:pt idx="99">
                  <c:v>0.85220125786163525</c:v>
                </c:pt>
                <c:pt idx="100">
                  <c:v>0.8728070175438597</c:v>
                </c:pt>
              </c:numCache>
            </c:numRef>
          </c:val>
          <c:smooth val="0"/>
          <c:extLst>
            <c:ext xmlns:c16="http://schemas.microsoft.com/office/drawing/2014/chart" uri="{C3380CC4-5D6E-409C-BE32-E72D297353CC}">
              <c16:uniqueId val="{00000000-60D6-444C-AB77-54A03A45B578}"/>
            </c:ext>
          </c:extLst>
        </c:ser>
        <c:dLbls>
          <c:showLegendKey val="0"/>
          <c:showVal val="0"/>
          <c:showCatName val="0"/>
          <c:showSerName val="0"/>
          <c:showPercent val="0"/>
          <c:showBubbleSize val="0"/>
        </c:dLbls>
        <c:marker val="1"/>
        <c:smooth val="0"/>
        <c:axId val="496704384"/>
        <c:axId val="496712256"/>
      </c:lineChart>
      <c:lineChart>
        <c:grouping val="standard"/>
        <c:varyColors val="0"/>
        <c:ser>
          <c:idx val="1"/>
          <c:order val="0"/>
          <c:tx>
            <c:strRef>
              <c:f>'by age'!$T$4</c:f>
              <c:strCache>
                <c:ptCount val="1"/>
                <c:pt idx="0">
                  <c:v>Total persons with a disability (RHS)</c:v>
                </c:pt>
              </c:strCache>
            </c:strRef>
          </c:tx>
          <c:spPr>
            <a:ln w="28575" cap="rnd">
              <a:solidFill>
                <a:schemeClr val="accent2"/>
              </a:solidFill>
              <a:round/>
            </a:ln>
            <a:effectLst/>
          </c:spPr>
          <c:marker>
            <c:symbol val="none"/>
          </c:marker>
          <c:cat>
            <c:strRef>
              <c:f>'by age'!$R$5:$R$105</c:f>
              <c:strCache>
                <c:ptCount val="101"/>
                <c:pt idx="0">
                  <c:v>Under 1 year</c:v>
                </c:pt>
                <c:pt idx="1">
                  <c:v>1 year</c:v>
                </c:pt>
                <c:pt idx="2">
                  <c:v>2 years</c:v>
                </c:pt>
                <c:pt idx="3">
                  <c:v>3 years</c:v>
                </c:pt>
                <c:pt idx="4">
                  <c:v>4 years</c:v>
                </c:pt>
                <c:pt idx="5">
                  <c:v>5 years</c:v>
                </c:pt>
                <c:pt idx="6">
                  <c:v>6 years</c:v>
                </c:pt>
                <c:pt idx="7">
                  <c:v>7 years</c:v>
                </c:pt>
                <c:pt idx="8">
                  <c:v>8 years</c:v>
                </c:pt>
                <c:pt idx="9">
                  <c:v>9 years</c:v>
                </c:pt>
                <c:pt idx="10">
                  <c:v>10 years</c:v>
                </c:pt>
                <c:pt idx="11">
                  <c:v>11 years</c:v>
                </c:pt>
                <c:pt idx="12">
                  <c:v>12 years</c:v>
                </c:pt>
                <c:pt idx="13">
                  <c:v>13 years</c:v>
                </c:pt>
                <c:pt idx="14">
                  <c:v>14 years</c:v>
                </c:pt>
                <c:pt idx="15">
                  <c:v>15 years</c:v>
                </c:pt>
                <c:pt idx="16">
                  <c:v>16 years</c:v>
                </c:pt>
                <c:pt idx="17">
                  <c:v>17 years</c:v>
                </c:pt>
                <c:pt idx="18">
                  <c:v>18 years</c:v>
                </c:pt>
                <c:pt idx="19">
                  <c:v>19 years</c:v>
                </c:pt>
                <c:pt idx="20">
                  <c:v>20 years</c:v>
                </c:pt>
                <c:pt idx="21">
                  <c:v>21 years</c:v>
                </c:pt>
                <c:pt idx="22">
                  <c:v>22 years</c:v>
                </c:pt>
                <c:pt idx="23">
                  <c:v>23 years</c:v>
                </c:pt>
                <c:pt idx="24">
                  <c:v>24 years</c:v>
                </c:pt>
                <c:pt idx="25">
                  <c:v>25 years</c:v>
                </c:pt>
                <c:pt idx="26">
                  <c:v>26 years</c:v>
                </c:pt>
                <c:pt idx="27">
                  <c:v>27 years</c:v>
                </c:pt>
                <c:pt idx="28">
                  <c:v>28 years</c:v>
                </c:pt>
                <c:pt idx="29">
                  <c:v>29 years</c:v>
                </c:pt>
                <c:pt idx="30">
                  <c:v>30 years</c:v>
                </c:pt>
                <c:pt idx="31">
                  <c:v>31 years</c:v>
                </c:pt>
                <c:pt idx="32">
                  <c:v>32 years</c:v>
                </c:pt>
                <c:pt idx="33">
                  <c:v>33 years</c:v>
                </c:pt>
                <c:pt idx="34">
                  <c:v>34 years</c:v>
                </c:pt>
                <c:pt idx="35">
                  <c:v>35 years</c:v>
                </c:pt>
                <c:pt idx="36">
                  <c:v>36 years</c:v>
                </c:pt>
                <c:pt idx="37">
                  <c:v>37 years</c:v>
                </c:pt>
                <c:pt idx="38">
                  <c:v>38 years</c:v>
                </c:pt>
                <c:pt idx="39">
                  <c:v>39 years</c:v>
                </c:pt>
                <c:pt idx="40">
                  <c:v>40 years</c:v>
                </c:pt>
                <c:pt idx="41">
                  <c:v>41 years</c:v>
                </c:pt>
                <c:pt idx="42">
                  <c:v>42 years</c:v>
                </c:pt>
                <c:pt idx="43">
                  <c:v>43 years</c:v>
                </c:pt>
                <c:pt idx="44">
                  <c:v>44 years</c:v>
                </c:pt>
                <c:pt idx="45">
                  <c:v>45 years</c:v>
                </c:pt>
                <c:pt idx="46">
                  <c:v>46 years</c:v>
                </c:pt>
                <c:pt idx="47">
                  <c:v>47 years</c:v>
                </c:pt>
                <c:pt idx="48">
                  <c:v>48 years</c:v>
                </c:pt>
                <c:pt idx="49">
                  <c:v>49 years</c:v>
                </c:pt>
                <c:pt idx="50">
                  <c:v>50 years</c:v>
                </c:pt>
                <c:pt idx="51">
                  <c:v>51 years</c:v>
                </c:pt>
                <c:pt idx="52">
                  <c:v>52 years</c:v>
                </c:pt>
                <c:pt idx="53">
                  <c:v>53 years</c:v>
                </c:pt>
                <c:pt idx="54">
                  <c:v>54 years</c:v>
                </c:pt>
                <c:pt idx="55">
                  <c:v>55 years</c:v>
                </c:pt>
                <c:pt idx="56">
                  <c:v>56 years</c:v>
                </c:pt>
                <c:pt idx="57">
                  <c:v>57 years</c:v>
                </c:pt>
                <c:pt idx="58">
                  <c:v>58 years</c:v>
                </c:pt>
                <c:pt idx="59">
                  <c:v>59 years</c:v>
                </c:pt>
                <c:pt idx="60">
                  <c:v>60 years</c:v>
                </c:pt>
                <c:pt idx="61">
                  <c:v>61 years</c:v>
                </c:pt>
                <c:pt idx="62">
                  <c:v>62 years</c:v>
                </c:pt>
                <c:pt idx="63">
                  <c:v>63 years</c:v>
                </c:pt>
                <c:pt idx="64">
                  <c:v>64 years</c:v>
                </c:pt>
                <c:pt idx="65">
                  <c:v>65 years</c:v>
                </c:pt>
                <c:pt idx="66">
                  <c:v>66 years</c:v>
                </c:pt>
                <c:pt idx="67">
                  <c:v>67 years</c:v>
                </c:pt>
                <c:pt idx="68">
                  <c:v>68 years</c:v>
                </c:pt>
                <c:pt idx="69">
                  <c:v>69 years</c:v>
                </c:pt>
                <c:pt idx="70">
                  <c:v>70 years</c:v>
                </c:pt>
                <c:pt idx="71">
                  <c:v>71 years</c:v>
                </c:pt>
                <c:pt idx="72">
                  <c:v>72 years</c:v>
                </c:pt>
                <c:pt idx="73">
                  <c:v>73 years</c:v>
                </c:pt>
                <c:pt idx="74">
                  <c:v>74 years</c:v>
                </c:pt>
                <c:pt idx="75">
                  <c:v>75 years</c:v>
                </c:pt>
                <c:pt idx="76">
                  <c:v>76 years</c:v>
                </c:pt>
                <c:pt idx="77">
                  <c:v>77 years</c:v>
                </c:pt>
                <c:pt idx="78">
                  <c:v>78 years</c:v>
                </c:pt>
                <c:pt idx="79">
                  <c:v>79 years</c:v>
                </c:pt>
                <c:pt idx="80">
                  <c:v>80 years</c:v>
                </c:pt>
                <c:pt idx="81">
                  <c:v>81 years</c:v>
                </c:pt>
                <c:pt idx="82">
                  <c:v>82 years</c:v>
                </c:pt>
                <c:pt idx="83">
                  <c:v>83 years</c:v>
                </c:pt>
                <c:pt idx="84">
                  <c:v>84 years</c:v>
                </c:pt>
                <c:pt idx="85">
                  <c:v>85 years</c:v>
                </c:pt>
                <c:pt idx="86">
                  <c:v>86 years</c:v>
                </c:pt>
                <c:pt idx="87">
                  <c:v>87 years</c:v>
                </c:pt>
                <c:pt idx="88">
                  <c:v>88 years</c:v>
                </c:pt>
                <c:pt idx="89">
                  <c:v>89 years</c:v>
                </c:pt>
                <c:pt idx="90">
                  <c:v>90 years</c:v>
                </c:pt>
                <c:pt idx="91">
                  <c:v>91 years</c:v>
                </c:pt>
                <c:pt idx="92">
                  <c:v>92 years</c:v>
                </c:pt>
                <c:pt idx="93">
                  <c:v>93 years</c:v>
                </c:pt>
                <c:pt idx="94">
                  <c:v>94 years</c:v>
                </c:pt>
                <c:pt idx="95">
                  <c:v>95 years</c:v>
                </c:pt>
                <c:pt idx="96">
                  <c:v>96 years</c:v>
                </c:pt>
                <c:pt idx="97">
                  <c:v>97 years</c:v>
                </c:pt>
                <c:pt idx="98">
                  <c:v>98 years</c:v>
                </c:pt>
                <c:pt idx="99">
                  <c:v>99 years</c:v>
                </c:pt>
                <c:pt idx="100">
                  <c:v>100 years and over</c:v>
                </c:pt>
              </c:strCache>
            </c:strRef>
          </c:cat>
          <c:val>
            <c:numRef>
              <c:f>'by age'!$T$5:$T$105</c:f>
              <c:numCache>
                <c:formatCode>General</c:formatCode>
                <c:ptCount val="101"/>
                <c:pt idx="0">
                  <c:v>1053</c:v>
                </c:pt>
                <c:pt idx="1">
                  <c:v>1280</c:v>
                </c:pt>
                <c:pt idx="2">
                  <c:v>1784</c:v>
                </c:pt>
                <c:pt idx="3">
                  <c:v>2538</c:v>
                </c:pt>
                <c:pt idx="4">
                  <c:v>3223</c:v>
                </c:pt>
                <c:pt idx="5">
                  <c:v>3826</c:v>
                </c:pt>
                <c:pt idx="6">
                  <c:v>4386</c:v>
                </c:pt>
                <c:pt idx="7">
                  <c:v>4640</c:v>
                </c:pt>
                <c:pt idx="8">
                  <c:v>4939</c:v>
                </c:pt>
                <c:pt idx="9">
                  <c:v>5060</c:v>
                </c:pt>
                <c:pt idx="10">
                  <c:v>5020</c:v>
                </c:pt>
                <c:pt idx="11">
                  <c:v>5132</c:v>
                </c:pt>
                <c:pt idx="12">
                  <c:v>5293</c:v>
                </c:pt>
                <c:pt idx="13">
                  <c:v>5365</c:v>
                </c:pt>
                <c:pt idx="14">
                  <c:v>5547</c:v>
                </c:pt>
                <c:pt idx="15">
                  <c:v>5712</c:v>
                </c:pt>
                <c:pt idx="16">
                  <c:v>5509</c:v>
                </c:pt>
                <c:pt idx="17">
                  <c:v>5656</c:v>
                </c:pt>
                <c:pt idx="18">
                  <c:v>5936</c:v>
                </c:pt>
                <c:pt idx="19">
                  <c:v>5699</c:v>
                </c:pt>
                <c:pt idx="20">
                  <c:v>5464</c:v>
                </c:pt>
                <c:pt idx="21">
                  <c:v>5157</c:v>
                </c:pt>
                <c:pt idx="22">
                  <c:v>4951</c:v>
                </c:pt>
                <c:pt idx="23">
                  <c:v>4666</c:v>
                </c:pt>
                <c:pt idx="24">
                  <c:v>4715</c:v>
                </c:pt>
                <c:pt idx="25">
                  <c:v>4783</c:v>
                </c:pt>
                <c:pt idx="26">
                  <c:v>4612</c:v>
                </c:pt>
                <c:pt idx="27">
                  <c:v>4621</c:v>
                </c:pt>
                <c:pt idx="28">
                  <c:v>4812</c:v>
                </c:pt>
                <c:pt idx="29">
                  <c:v>5036</c:v>
                </c:pt>
                <c:pt idx="30">
                  <c:v>5193</c:v>
                </c:pt>
                <c:pt idx="31">
                  <c:v>5417</c:v>
                </c:pt>
                <c:pt idx="32">
                  <c:v>5802</c:v>
                </c:pt>
                <c:pt idx="33">
                  <c:v>6090</c:v>
                </c:pt>
                <c:pt idx="34">
                  <c:v>6376</c:v>
                </c:pt>
                <c:pt idx="35">
                  <c:v>6683</c:v>
                </c:pt>
                <c:pt idx="36">
                  <c:v>6862</c:v>
                </c:pt>
                <c:pt idx="37">
                  <c:v>6877</c:v>
                </c:pt>
                <c:pt idx="38">
                  <c:v>6776</c:v>
                </c:pt>
                <c:pt idx="39">
                  <c:v>6808</c:v>
                </c:pt>
                <c:pt idx="40">
                  <c:v>6877</c:v>
                </c:pt>
                <c:pt idx="41">
                  <c:v>7233</c:v>
                </c:pt>
                <c:pt idx="42">
                  <c:v>7375</c:v>
                </c:pt>
                <c:pt idx="43">
                  <c:v>7654</c:v>
                </c:pt>
                <c:pt idx="44">
                  <c:v>7751</c:v>
                </c:pt>
                <c:pt idx="45">
                  <c:v>7837</c:v>
                </c:pt>
                <c:pt idx="46">
                  <c:v>7821</c:v>
                </c:pt>
                <c:pt idx="47">
                  <c:v>7783</c:v>
                </c:pt>
                <c:pt idx="48">
                  <c:v>8088</c:v>
                </c:pt>
                <c:pt idx="49">
                  <c:v>7920</c:v>
                </c:pt>
                <c:pt idx="50">
                  <c:v>8279</c:v>
                </c:pt>
                <c:pt idx="51">
                  <c:v>8555</c:v>
                </c:pt>
                <c:pt idx="52">
                  <c:v>8895</c:v>
                </c:pt>
                <c:pt idx="53">
                  <c:v>9047</c:v>
                </c:pt>
                <c:pt idx="54">
                  <c:v>9026</c:v>
                </c:pt>
                <c:pt idx="55">
                  <c:v>9566</c:v>
                </c:pt>
                <c:pt idx="56">
                  <c:v>9414</c:v>
                </c:pt>
                <c:pt idx="57">
                  <c:v>9445</c:v>
                </c:pt>
                <c:pt idx="58">
                  <c:v>9815</c:v>
                </c:pt>
                <c:pt idx="59">
                  <c:v>9949</c:v>
                </c:pt>
                <c:pt idx="60">
                  <c:v>9879</c:v>
                </c:pt>
                <c:pt idx="61">
                  <c:v>10153</c:v>
                </c:pt>
                <c:pt idx="62">
                  <c:v>10090</c:v>
                </c:pt>
                <c:pt idx="63">
                  <c:v>10652</c:v>
                </c:pt>
                <c:pt idx="64">
                  <c:v>10340</c:v>
                </c:pt>
                <c:pt idx="65">
                  <c:v>10307</c:v>
                </c:pt>
                <c:pt idx="66">
                  <c:v>9812</c:v>
                </c:pt>
                <c:pt idx="67">
                  <c:v>9738</c:v>
                </c:pt>
                <c:pt idx="68">
                  <c:v>9681</c:v>
                </c:pt>
                <c:pt idx="69">
                  <c:v>9645</c:v>
                </c:pt>
                <c:pt idx="70">
                  <c:v>9386</c:v>
                </c:pt>
                <c:pt idx="71">
                  <c:v>9112</c:v>
                </c:pt>
                <c:pt idx="72">
                  <c:v>8874</c:v>
                </c:pt>
                <c:pt idx="73">
                  <c:v>8719</c:v>
                </c:pt>
                <c:pt idx="74">
                  <c:v>8487</c:v>
                </c:pt>
                <c:pt idx="75">
                  <c:v>8181</c:v>
                </c:pt>
                <c:pt idx="76">
                  <c:v>8554</c:v>
                </c:pt>
                <c:pt idx="77">
                  <c:v>8758</c:v>
                </c:pt>
                <c:pt idx="78">
                  <c:v>8575</c:v>
                </c:pt>
                <c:pt idx="79">
                  <c:v>8609</c:v>
                </c:pt>
                <c:pt idx="80">
                  <c:v>8673</c:v>
                </c:pt>
                <c:pt idx="81">
                  <c:v>8415</c:v>
                </c:pt>
                <c:pt idx="82">
                  <c:v>8269</c:v>
                </c:pt>
                <c:pt idx="83">
                  <c:v>7906</c:v>
                </c:pt>
                <c:pt idx="84">
                  <c:v>7391</c:v>
                </c:pt>
                <c:pt idx="85">
                  <c:v>7167</c:v>
                </c:pt>
                <c:pt idx="86">
                  <c:v>6583</c:v>
                </c:pt>
                <c:pt idx="87">
                  <c:v>5896</c:v>
                </c:pt>
                <c:pt idx="88">
                  <c:v>5198</c:v>
                </c:pt>
                <c:pt idx="89">
                  <c:v>4625</c:v>
                </c:pt>
                <c:pt idx="90">
                  <c:v>4003</c:v>
                </c:pt>
                <c:pt idx="91">
                  <c:v>3382</c:v>
                </c:pt>
                <c:pt idx="92">
                  <c:v>2695</c:v>
                </c:pt>
                <c:pt idx="93">
                  <c:v>2213</c:v>
                </c:pt>
                <c:pt idx="94">
                  <c:v>1666</c:v>
                </c:pt>
                <c:pt idx="95">
                  <c:v>1290</c:v>
                </c:pt>
                <c:pt idx="96">
                  <c:v>926</c:v>
                </c:pt>
                <c:pt idx="97">
                  <c:v>602</c:v>
                </c:pt>
                <c:pt idx="98">
                  <c:v>381</c:v>
                </c:pt>
                <c:pt idx="99">
                  <c:v>271</c:v>
                </c:pt>
                <c:pt idx="100">
                  <c:v>398</c:v>
                </c:pt>
              </c:numCache>
            </c:numRef>
          </c:val>
          <c:smooth val="0"/>
          <c:extLst>
            <c:ext xmlns:c16="http://schemas.microsoft.com/office/drawing/2014/chart" uri="{C3380CC4-5D6E-409C-BE32-E72D297353CC}">
              <c16:uniqueId val="{00000001-60D6-444C-AB77-54A03A45B578}"/>
            </c:ext>
          </c:extLst>
        </c:ser>
        <c:dLbls>
          <c:showLegendKey val="0"/>
          <c:showVal val="0"/>
          <c:showCatName val="0"/>
          <c:showSerName val="0"/>
          <c:showPercent val="0"/>
          <c:showBubbleSize val="0"/>
        </c:dLbls>
        <c:marker val="1"/>
        <c:smooth val="0"/>
        <c:axId val="496632784"/>
        <c:axId val="496635736"/>
      </c:lineChart>
      <c:catAx>
        <c:axId val="49670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712256"/>
        <c:crosses val="autoZero"/>
        <c:auto val="1"/>
        <c:lblAlgn val="ctr"/>
        <c:lblOffset val="100"/>
        <c:noMultiLvlLbl val="0"/>
      </c:catAx>
      <c:valAx>
        <c:axId val="496712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704384"/>
        <c:crosses val="autoZero"/>
        <c:crossBetween val="between"/>
      </c:valAx>
      <c:valAx>
        <c:axId val="49663573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632784"/>
        <c:crosses val="max"/>
        <c:crossBetween val="between"/>
      </c:valAx>
      <c:catAx>
        <c:axId val="496632784"/>
        <c:scaling>
          <c:orientation val="minMax"/>
        </c:scaling>
        <c:delete val="1"/>
        <c:axPos val="b"/>
        <c:numFmt formatCode="General" sourceLinked="1"/>
        <c:majorTickMark val="out"/>
        <c:minorTickMark val="none"/>
        <c:tickLblPos val="nextTo"/>
        <c:crossAx val="496635736"/>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en-IE" sz="1600" b="1"/>
              <a:t>Figure 3: Number of disabilites by age</a:t>
            </a:r>
          </a:p>
        </c:rich>
      </c:tx>
      <c:layout/>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1"/>
          <c:tx>
            <c:strRef>
              <c:f>'number of disabliites'!$W$4</c:f>
              <c:strCache>
                <c:ptCount val="1"/>
                <c:pt idx="0">
                  <c:v>1</c:v>
                </c:pt>
              </c:strCache>
            </c:strRef>
          </c:tx>
          <c:spPr>
            <a:ln w="28575" cap="rnd">
              <a:solidFill>
                <a:schemeClr val="accent2"/>
              </a:solidFill>
              <a:round/>
            </a:ln>
            <a:effectLst/>
          </c:spPr>
          <c:marker>
            <c:symbol val="none"/>
          </c:marker>
          <c:cat>
            <c:strLit>
              <c:ptCount val="101"/>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43</c:v>
              </c:pt>
              <c:pt idx="42">
                <c:v>44</c:v>
              </c:pt>
              <c:pt idx="43">
                <c:v>45</c:v>
              </c:pt>
              <c:pt idx="44">
                <c:v>46</c:v>
              </c:pt>
              <c:pt idx="45">
                <c:v>47</c:v>
              </c:pt>
              <c:pt idx="46">
                <c:v>48</c:v>
              </c:pt>
              <c:pt idx="47">
                <c:v>49</c:v>
              </c:pt>
              <c:pt idx="48">
                <c:v>50</c:v>
              </c:pt>
              <c:pt idx="49">
                <c:v>51</c:v>
              </c:pt>
              <c:pt idx="50">
                <c:v>52</c:v>
              </c:pt>
              <c:pt idx="51">
                <c:v>53</c:v>
              </c:pt>
              <c:pt idx="52">
                <c:v>54</c:v>
              </c:pt>
              <c:pt idx="53">
                <c:v>55</c:v>
              </c:pt>
              <c:pt idx="54">
                <c:v>56</c:v>
              </c:pt>
              <c:pt idx="55">
                <c:v>57</c:v>
              </c:pt>
              <c:pt idx="56">
                <c:v>58</c:v>
              </c:pt>
              <c:pt idx="57">
                <c:v>59</c:v>
              </c:pt>
              <c:pt idx="58">
                <c:v>60</c:v>
              </c:pt>
              <c:pt idx="59">
                <c:v>61</c:v>
              </c:pt>
              <c:pt idx="60">
                <c:v>62</c:v>
              </c:pt>
              <c:pt idx="61">
                <c:v>63</c:v>
              </c:pt>
              <c:pt idx="62">
                <c:v>64</c:v>
              </c:pt>
              <c:pt idx="63">
                <c:v>65</c:v>
              </c:pt>
              <c:pt idx="64">
                <c:v>66</c:v>
              </c:pt>
              <c:pt idx="65">
                <c:v>67</c:v>
              </c:pt>
              <c:pt idx="66">
                <c:v>68</c:v>
              </c:pt>
              <c:pt idx="67">
                <c:v>69</c:v>
              </c:pt>
              <c:pt idx="68">
                <c:v>70</c:v>
              </c:pt>
              <c:pt idx="69">
                <c:v>71</c:v>
              </c:pt>
              <c:pt idx="70">
                <c:v>72</c:v>
              </c:pt>
              <c:pt idx="71">
                <c:v>73</c:v>
              </c:pt>
              <c:pt idx="72">
                <c:v>74</c:v>
              </c:pt>
              <c:pt idx="73">
                <c:v>75</c:v>
              </c:pt>
              <c:pt idx="74">
                <c:v>76</c:v>
              </c:pt>
              <c:pt idx="75">
                <c:v>77</c:v>
              </c:pt>
              <c:pt idx="76">
                <c:v>78</c:v>
              </c:pt>
              <c:pt idx="77">
                <c:v>79</c:v>
              </c:pt>
              <c:pt idx="78">
                <c:v>80</c:v>
              </c:pt>
              <c:pt idx="79">
                <c:v>81</c:v>
              </c:pt>
              <c:pt idx="80">
                <c:v>82</c:v>
              </c:pt>
              <c:pt idx="81">
                <c:v>83</c:v>
              </c:pt>
              <c:pt idx="82">
                <c:v>84</c:v>
              </c:pt>
              <c:pt idx="83">
                <c:v>85</c:v>
              </c:pt>
              <c:pt idx="84">
                <c:v>86</c:v>
              </c:pt>
              <c:pt idx="85">
                <c:v>87</c:v>
              </c:pt>
              <c:pt idx="86">
                <c:v>88</c:v>
              </c:pt>
              <c:pt idx="87">
                <c:v>89</c:v>
              </c:pt>
              <c:pt idx="88">
                <c:v>90</c:v>
              </c:pt>
              <c:pt idx="89">
                <c:v>91</c:v>
              </c:pt>
              <c:pt idx="90">
                <c:v>92</c:v>
              </c:pt>
              <c:pt idx="91">
                <c:v>93</c:v>
              </c:pt>
              <c:pt idx="92">
                <c:v>94</c:v>
              </c:pt>
              <c:pt idx="93">
                <c:v>95</c:v>
              </c:pt>
              <c:pt idx="94">
                <c:v>96</c:v>
              </c:pt>
              <c:pt idx="95">
                <c:v>97</c:v>
              </c:pt>
              <c:pt idx="96">
                <c:v>98</c:v>
              </c:pt>
              <c:pt idx="97">
                <c:v>99</c:v>
              </c:pt>
              <c:pt idx="98">
                <c:v>100</c:v>
              </c:pt>
              <c:pt idx="99">
                <c:v>101</c:v>
              </c:pt>
              <c:pt idx="100">
                <c:v>102</c:v>
              </c:pt>
              <c:extLst>
                <c:ext xmlns:c15="http://schemas.microsoft.com/office/drawing/2012/chart" uri="{02D57815-91ED-43cb-92C2-25804820EDAC}">
                  <c15:autoCat val="1"/>
                </c:ext>
              </c:extLst>
            </c:strLit>
          </c:cat>
          <c:val>
            <c:numRef>
              <c:f>'number of disabliites'!$W$5:$W$106</c:f>
              <c:numCache>
                <c:formatCode>General</c:formatCode>
                <c:ptCount val="101"/>
                <c:pt idx="0">
                  <c:v>536</c:v>
                </c:pt>
                <c:pt idx="1">
                  <c:v>643</c:v>
                </c:pt>
                <c:pt idx="2">
                  <c:v>817</c:v>
                </c:pt>
                <c:pt idx="3">
                  <c:v>1086</c:v>
                </c:pt>
                <c:pt idx="4">
                  <c:v>1311</c:v>
                </c:pt>
                <c:pt idx="5">
                  <c:v>1572</c:v>
                </c:pt>
                <c:pt idx="6">
                  <c:v>1909</c:v>
                </c:pt>
                <c:pt idx="7">
                  <c:v>1957</c:v>
                </c:pt>
                <c:pt idx="8">
                  <c:v>2231</c:v>
                </c:pt>
                <c:pt idx="9">
                  <c:v>2364</c:v>
                </c:pt>
                <c:pt idx="10">
                  <c:v>2428</c:v>
                </c:pt>
                <c:pt idx="11">
                  <c:v>2511</c:v>
                </c:pt>
                <c:pt idx="12">
                  <c:v>2682</c:v>
                </c:pt>
                <c:pt idx="13">
                  <c:v>2724</c:v>
                </c:pt>
                <c:pt idx="14">
                  <c:v>2785</c:v>
                </c:pt>
                <c:pt idx="15">
                  <c:v>2835</c:v>
                </c:pt>
                <c:pt idx="16">
                  <c:v>2673</c:v>
                </c:pt>
                <c:pt idx="17">
                  <c:v>2721</c:v>
                </c:pt>
                <c:pt idx="18">
                  <c:v>2904</c:v>
                </c:pt>
                <c:pt idx="19">
                  <c:v>2852</c:v>
                </c:pt>
                <c:pt idx="20">
                  <c:v>2743</c:v>
                </c:pt>
                <c:pt idx="21">
                  <c:v>2679</c:v>
                </c:pt>
                <c:pt idx="22">
                  <c:v>2566</c:v>
                </c:pt>
                <c:pt idx="23">
                  <c:v>2467</c:v>
                </c:pt>
                <c:pt idx="24">
                  <c:v>2475</c:v>
                </c:pt>
                <c:pt idx="25">
                  <c:v>2522</c:v>
                </c:pt>
                <c:pt idx="26">
                  <c:v>2440</c:v>
                </c:pt>
                <c:pt idx="27">
                  <c:v>2435</c:v>
                </c:pt>
                <c:pt idx="28">
                  <c:v>2519</c:v>
                </c:pt>
                <c:pt idx="29">
                  <c:v>2592</c:v>
                </c:pt>
                <c:pt idx="30">
                  <c:v>2757</c:v>
                </c:pt>
                <c:pt idx="31">
                  <c:v>2843</c:v>
                </c:pt>
                <c:pt idx="32">
                  <c:v>3023</c:v>
                </c:pt>
                <c:pt idx="33">
                  <c:v>3060</c:v>
                </c:pt>
                <c:pt idx="34">
                  <c:v>3153</c:v>
                </c:pt>
                <c:pt idx="35">
                  <c:v>3393</c:v>
                </c:pt>
                <c:pt idx="36">
                  <c:v>3428</c:v>
                </c:pt>
                <c:pt idx="37">
                  <c:v>3432</c:v>
                </c:pt>
                <c:pt idx="38">
                  <c:v>3256</c:v>
                </c:pt>
                <c:pt idx="39">
                  <c:v>3337</c:v>
                </c:pt>
                <c:pt idx="40">
                  <c:v>3273</c:v>
                </c:pt>
                <c:pt idx="41">
                  <c:v>3390</c:v>
                </c:pt>
                <c:pt idx="42">
                  <c:v>3332</c:v>
                </c:pt>
                <c:pt idx="43">
                  <c:v>3336</c:v>
                </c:pt>
                <c:pt idx="44">
                  <c:v>3362</c:v>
                </c:pt>
                <c:pt idx="45">
                  <c:v>3421</c:v>
                </c:pt>
                <c:pt idx="46">
                  <c:v>3260</c:v>
                </c:pt>
                <c:pt idx="47">
                  <c:v>3205</c:v>
                </c:pt>
                <c:pt idx="48">
                  <c:v>3238</c:v>
                </c:pt>
                <c:pt idx="49">
                  <c:v>3064</c:v>
                </c:pt>
                <c:pt idx="50">
                  <c:v>3127</c:v>
                </c:pt>
                <c:pt idx="51">
                  <c:v>3230</c:v>
                </c:pt>
                <c:pt idx="52">
                  <c:v>3301</c:v>
                </c:pt>
                <c:pt idx="53">
                  <c:v>3300</c:v>
                </c:pt>
                <c:pt idx="54">
                  <c:v>3306</c:v>
                </c:pt>
                <c:pt idx="55">
                  <c:v>3446</c:v>
                </c:pt>
                <c:pt idx="56">
                  <c:v>3282</c:v>
                </c:pt>
                <c:pt idx="57">
                  <c:v>3287</c:v>
                </c:pt>
                <c:pt idx="58">
                  <c:v>3407</c:v>
                </c:pt>
                <c:pt idx="59">
                  <c:v>3371</c:v>
                </c:pt>
                <c:pt idx="60">
                  <c:v>3387</c:v>
                </c:pt>
                <c:pt idx="61">
                  <c:v>3479</c:v>
                </c:pt>
                <c:pt idx="62">
                  <c:v>3451</c:v>
                </c:pt>
                <c:pt idx="63">
                  <c:v>3627</c:v>
                </c:pt>
                <c:pt idx="64">
                  <c:v>3693</c:v>
                </c:pt>
                <c:pt idx="65">
                  <c:v>3757</c:v>
                </c:pt>
                <c:pt idx="66">
                  <c:v>3849</c:v>
                </c:pt>
                <c:pt idx="67">
                  <c:v>3873</c:v>
                </c:pt>
                <c:pt idx="68">
                  <c:v>3866</c:v>
                </c:pt>
                <c:pt idx="69">
                  <c:v>3844</c:v>
                </c:pt>
                <c:pt idx="70">
                  <c:v>3651</c:v>
                </c:pt>
                <c:pt idx="71">
                  <c:v>3603</c:v>
                </c:pt>
                <c:pt idx="72">
                  <c:v>3427</c:v>
                </c:pt>
                <c:pt idx="73">
                  <c:v>3257</c:v>
                </c:pt>
                <c:pt idx="74">
                  <c:v>3150</c:v>
                </c:pt>
                <c:pt idx="75">
                  <c:v>2913</c:v>
                </c:pt>
                <c:pt idx="76">
                  <c:v>2888</c:v>
                </c:pt>
                <c:pt idx="77">
                  <c:v>2836</c:v>
                </c:pt>
                <c:pt idx="78">
                  <c:v>2628</c:v>
                </c:pt>
                <c:pt idx="79">
                  <c:v>2485</c:v>
                </c:pt>
                <c:pt idx="80">
                  <c:v>2376</c:v>
                </c:pt>
                <c:pt idx="81">
                  <c:v>2253</c:v>
                </c:pt>
                <c:pt idx="82">
                  <c:v>1958</c:v>
                </c:pt>
                <c:pt idx="83">
                  <c:v>1754</c:v>
                </c:pt>
                <c:pt idx="84">
                  <c:v>1564</c:v>
                </c:pt>
                <c:pt idx="85">
                  <c:v>1409</c:v>
                </c:pt>
                <c:pt idx="86">
                  <c:v>1094</c:v>
                </c:pt>
                <c:pt idx="87">
                  <c:v>876</c:v>
                </c:pt>
                <c:pt idx="88">
                  <c:v>718</c:v>
                </c:pt>
                <c:pt idx="89">
                  <c:v>536</c:v>
                </c:pt>
                <c:pt idx="90">
                  <c:v>438</c:v>
                </c:pt>
                <c:pt idx="91">
                  <c:v>312</c:v>
                </c:pt>
                <c:pt idx="92">
                  <c:v>204</c:v>
                </c:pt>
                <c:pt idx="93">
                  <c:v>136</c:v>
                </c:pt>
                <c:pt idx="94">
                  <c:v>102</c:v>
                </c:pt>
                <c:pt idx="95">
                  <c:v>79</c:v>
                </c:pt>
                <c:pt idx="96">
                  <c:v>65</c:v>
                </c:pt>
                <c:pt idx="97">
                  <c:v>26</c:v>
                </c:pt>
                <c:pt idx="98">
                  <c:v>14</c:v>
                </c:pt>
                <c:pt idx="99">
                  <c:v>15</c:v>
                </c:pt>
                <c:pt idx="100">
                  <c:v>16</c:v>
                </c:pt>
              </c:numCache>
            </c:numRef>
          </c:val>
          <c:smooth val="0"/>
          <c:extLst>
            <c:ext xmlns:c16="http://schemas.microsoft.com/office/drawing/2014/chart" uri="{C3380CC4-5D6E-409C-BE32-E72D297353CC}">
              <c16:uniqueId val="{00000000-8EF7-4B76-9A59-285FC6D4CB48}"/>
            </c:ext>
          </c:extLst>
        </c:ser>
        <c:ser>
          <c:idx val="2"/>
          <c:order val="2"/>
          <c:tx>
            <c:strRef>
              <c:f>'number of disabliites'!$X$4</c:f>
              <c:strCache>
                <c:ptCount val="1"/>
                <c:pt idx="0">
                  <c:v>2</c:v>
                </c:pt>
              </c:strCache>
            </c:strRef>
          </c:tx>
          <c:spPr>
            <a:ln w="28575" cap="rnd">
              <a:solidFill>
                <a:schemeClr val="accent3"/>
              </a:solidFill>
              <a:round/>
            </a:ln>
            <a:effectLst/>
          </c:spPr>
          <c:marker>
            <c:symbol val="none"/>
          </c:marker>
          <c:cat>
            <c:strLit>
              <c:ptCount val="101"/>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43</c:v>
              </c:pt>
              <c:pt idx="42">
                <c:v>44</c:v>
              </c:pt>
              <c:pt idx="43">
                <c:v>45</c:v>
              </c:pt>
              <c:pt idx="44">
                <c:v>46</c:v>
              </c:pt>
              <c:pt idx="45">
                <c:v>47</c:v>
              </c:pt>
              <c:pt idx="46">
                <c:v>48</c:v>
              </c:pt>
              <c:pt idx="47">
                <c:v>49</c:v>
              </c:pt>
              <c:pt idx="48">
                <c:v>50</c:v>
              </c:pt>
              <c:pt idx="49">
                <c:v>51</c:v>
              </c:pt>
              <c:pt idx="50">
                <c:v>52</c:v>
              </c:pt>
              <c:pt idx="51">
                <c:v>53</c:v>
              </c:pt>
              <c:pt idx="52">
                <c:v>54</c:v>
              </c:pt>
              <c:pt idx="53">
                <c:v>55</c:v>
              </c:pt>
              <c:pt idx="54">
                <c:v>56</c:v>
              </c:pt>
              <c:pt idx="55">
                <c:v>57</c:v>
              </c:pt>
              <c:pt idx="56">
                <c:v>58</c:v>
              </c:pt>
              <c:pt idx="57">
                <c:v>59</c:v>
              </c:pt>
              <c:pt idx="58">
                <c:v>60</c:v>
              </c:pt>
              <c:pt idx="59">
                <c:v>61</c:v>
              </c:pt>
              <c:pt idx="60">
                <c:v>62</c:v>
              </c:pt>
              <c:pt idx="61">
                <c:v>63</c:v>
              </c:pt>
              <c:pt idx="62">
                <c:v>64</c:v>
              </c:pt>
              <c:pt idx="63">
                <c:v>65</c:v>
              </c:pt>
              <c:pt idx="64">
                <c:v>66</c:v>
              </c:pt>
              <c:pt idx="65">
                <c:v>67</c:v>
              </c:pt>
              <c:pt idx="66">
                <c:v>68</c:v>
              </c:pt>
              <c:pt idx="67">
                <c:v>69</c:v>
              </c:pt>
              <c:pt idx="68">
                <c:v>70</c:v>
              </c:pt>
              <c:pt idx="69">
                <c:v>71</c:v>
              </c:pt>
              <c:pt idx="70">
                <c:v>72</c:v>
              </c:pt>
              <c:pt idx="71">
                <c:v>73</c:v>
              </c:pt>
              <c:pt idx="72">
                <c:v>74</c:v>
              </c:pt>
              <c:pt idx="73">
                <c:v>75</c:v>
              </c:pt>
              <c:pt idx="74">
                <c:v>76</c:v>
              </c:pt>
              <c:pt idx="75">
                <c:v>77</c:v>
              </c:pt>
              <c:pt idx="76">
                <c:v>78</c:v>
              </c:pt>
              <c:pt idx="77">
                <c:v>79</c:v>
              </c:pt>
              <c:pt idx="78">
                <c:v>80</c:v>
              </c:pt>
              <c:pt idx="79">
                <c:v>81</c:v>
              </c:pt>
              <c:pt idx="80">
                <c:v>82</c:v>
              </c:pt>
              <c:pt idx="81">
                <c:v>83</c:v>
              </c:pt>
              <c:pt idx="82">
                <c:v>84</c:v>
              </c:pt>
              <c:pt idx="83">
                <c:v>85</c:v>
              </c:pt>
              <c:pt idx="84">
                <c:v>86</c:v>
              </c:pt>
              <c:pt idx="85">
                <c:v>87</c:v>
              </c:pt>
              <c:pt idx="86">
                <c:v>88</c:v>
              </c:pt>
              <c:pt idx="87">
                <c:v>89</c:v>
              </c:pt>
              <c:pt idx="88">
                <c:v>90</c:v>
              </c:pt>
              <c:pt idx="89">
                <c:v>91</c:v>
              </c:pt>
              <c:pt idx="90">
                <c:v>92</c:v>
              </c:pt>
              <c:pt idx="91">
                <c:v>93</c:v>
              </c:pt>
              <c:pt idx="92">
                <c:v>94</c:v>
              </c:pt>
              <c:pt idx="93">
                <c:v>95</c:v>
              </c:pt>
              <c:pt idx="94">
                <c:v>96</c:v>
              </c:pt>
              <c:pt idx="95">
                <c:v>97</c:v>
              </c:pt>
              <c:pt idx="96">
                <c:v>98</c:v>
              </c:pt>
              <c:pt idx="97">
                <c:v>99</c:v>
              </c:pt>
              <c:pt idx="98">
                <c:v>100</c:v>
              </c:pt>
              <c:pt idx="99">
                <c:v>101</c:v>
              </c:pt>
              <c:pt idx="100">
                <c:v>102</c:v>
              </c:pt>
              <c:extLst>
                <c:ext xmlns:c15="http://schemas.microsoft.com/office/drawing/2012/chart" uri="{02D57815-91ED-43cb-92C2-25804820EDAC}">
                  <c15:autoCat val="1"/>
                </c:ext>
              </c:extLst>
            </c:strLit>
          </c:cat>
          <c:val>
            <c:numRef>
              <c:f>'number of disabliites'!$X$5:$X$106</c:f>
              <c:numCache>
                <c:formatCode>General</c:formatCode>
                <c:ptCount val="101"/>
                <c:pt idx="0">
                  <c:v>140</c:v>
                </c:pt>
                <c:pt idx="1">
                  <c:v>159</c:v>
                </c:pt>
                <c:pt idx="2">
                  <c:v>235</c:v>
                </c:pt>
                <c:pt idx="3">
                  <c:v>352</c:v>
                </c:pt>
                <c:pt idx="4">
                  <c:v>433</c:v>
                </c:pt>
                <c:pt idx="5">
                  <c:v>512</c:v>
                </c:pt>
                <c:pt idx="6">
                  <c:v>612</c:v>
                </c:pt>
                <c:pt idx="7">
                  <c:v>740</c:v>
                </c:pt>
                <c:pt idx="8">
                  <c:v>826</c:v>
                </c:pt>
                <c:pt idx="9">
                  <c:v>849</c:v>
                </c:pt>
                <c:pt idx="10">
                  <c:v>857</c:v>
                </c:pt>
                <c:pt idx="11">
                  <c:v>898</c:v>
                </c:pt>
                <c:pt idx="12">
                  <c:v>949</c:v>
                </c:pt>
                <c:pt idx="13">
                  <c:v>1000</c:v>
                </c:pt>
                <c:pt idx="14">
                  <c:v>1058</c:v>
                </c:pt>
                <c:pt idx="15">
                  <c:v>1116</c:v>
                </c:pt>
                <c:pt idx="16">
                  <c:v>1045</c:v>
                </c:pt>
                <c:pt idx="17">
                  <c:v>1179</c:v>
                </c:pt>
                <c:pt idx="18">
                  <c:v>1273</c:v>
                </c:pt>
                <c:pt idx="19">
                  <c:v>1186</c:v>
                </c:pt>
                <c:pt idx="20">
                  <c:v>1138</c:v>
                </c:pt>
                <c:pt idx="21">
                  <c:v>1047</c:v>
                </c:pt>
                <c:pt idx="22">
                  <c:v>973</c:v>
                </c:pt>
                <c:pt idx="23">
                  <c:v>916</c:v>
                </c:pt>
                <c:pt idx="24">
                  <c:v>938</c:v>
                </c:pt>
                <c:pt idx="25">
                  <c:v>901</c:v>
                </c:pt>
                <c:pt idx="26">
                  <c:v>878</c:v>
                </c:pt>
                <c:pt idx="27">
                  <c:v>903</c:v>
                </c:pt>
                <c:pt idx="28">
                  <c:v>938</c:v>
                </c:pt>
                <c:pt idx="29">
                  <c:v>964</c:v>
                </c:pt>
                <c:pt idx="30">
                  <c:v>974</c:v>
                </c:pt>
                <c:pt idx="31">
                  <c:v>989</c:v>
                </c:pt>
                <c:pt idx="32">
                  <c:v>1115</c:v>
                </c:pt>
                <c:pt idx="33">
                  <c:v>1193</c:v>
                </c:pt>
                <c:pt idx="34">
                  <c:v>1268</c:v>
                </c:pt>
                <c:pt idx="35">
                  <c:v>1291</c:v>
                </c:pt>
                <c:pt idx="36">
                  <c:v>1300</c:v>
                </c:pt>
                <c:pt idx="37">
                  <c:v>1278</c:v>
                </c:pt>
                <c:pt idx="38">
                  <c:v>1321</c:v>
                </c:pt>
                <c:pt idx="39">
                  <c:v>1282</c:v>
                </c:pt>
                <c:pt idx="40">
                  <c:v>1366</c:v>
                </c:pt>
                <c:pt idx="41">
                  <c:v>1323</c:v>
                </c:pt>
                <c:pt idx="42">
                  <c:v>1431</c:v>
                </c:pt>
                <c:pt idx="43">
                  <c:v>1495</c:v>
                </c:pt>
                <c:pt idx="44">
                  <c:v>1563</c:v>
                </c:pt>
                <c:pt idx="45">
                  <c:v>1521</c:v>
                </c:pt>
                <c:pt idx="46">
                  <c:v>1573</c:v>
                </c:pt>
                <c:pt idx="47">
                  <c:v>1581</c:v>
                </c:pt>
                <c:pt idx="48">
                  <c:v>1617</c:v>
                </c:pt>
                <c:pt idx="49">
                  <c:v>1692</c:v>
                </c:pt>
                <c:pt idx="50">
                  <c:v>1700</c:v>
                </c:pt>
                <c:pt idx="51">
                  <c:v>1771</c:v>
                </c:pt>
                <c:pt idx="52">
                  <c:v>1865</c:v>
                </c:pt>
                <c:pt idx="53">
                  <c:v>1932</c:v>
                </c:pt>
                <c:pt idx="54">
                  <c:v>1955</c:v>
                </c:pt>
                <c:pt idx="55">
                  <c:v>1998</c:v>
                </c:pt>
                <c:pt idx="56">
                  <c:v>2090</c:v>
                </c:pt>
                <c:pt idx="57">
                  <c:v>2059</c:v>
                </c:pt>
                <c:pt idx="58">
                  <c:v>2135</c:v>
                </c:pt>
                <c:pt idx="59">
                  <c:v>2173</c:v>
                </c:pt>
                <c:pt idx="60">
                  <c:v>2198</c:v>
                </c:pt>
                <c:pt idx="61">
                  <c:v>2272</c:v>
                </c:pt>
                <c:pt idx="62">
                  <c:v>2302</c:v>
                </c:pt>
                <c:pt idx="63">
                  <c:v>2376</c:v>
                </c:pt>
                <c:pt idx="64">
                  <c:v>2340</c:v>
                </c:pt>
                <c:pt idx="65">
                  <c:v>2314</c:v>
                </c:pt>
                <c:pt idx="66">
                  <c:v>2055</c:v>
                </c:pt>
                <c:pt idx="67">
                  <c:v>2007</c:v>
                </c:pt>
                <c:pt idx="68">
                  <c:v>2002</c:v>
                </c:pt>
                <c:pt idx="69">
                  <c:v>1912</c:v>
                </c:pt>
                <c:pt idx="70">
                  <c:v>1758</c:v>
                </c:pt>
                <c:pt idx="71">
                  <c:v>1735</c:v>
                </c:pt>
                <c:pt idx="72">
                  <c:v>1750</c:v>
                </c:pt>
                <c:pt idx="73">
                  <c:v>1693</c:v>
                </c:pt>
                <c:pt idx="74">
                  <c:v>1567</c:v>
                </c:pt>
                <c:pt idx="75">
                  <c:v>1507</c:v>
                </c:pt>
                <c:pt idx="76">
                  <c:v>1584</c:v>
                </c:pt>
                <c:pt idx="77">
                  <c:v>1611</c:v>
                </c:pt>
                <c:pt idx="78">
                  <c:v>1545</c:v>
                </c:pt>
                <c:pt idx="79">
                  <c:v>1498</c:v>
                </c:pt>
                <c:pt idx="80">
                  <c:v>1447</c:v>
                </c:pt>
                <c:pt idx="81">
                  <c:v>1330</c:v>
                </c:pt>
                <c:pt idx="82">
                  <c:v>1241</c:v>
                </c:pt>
                <c:pt idx="83">
                  <c:v>1169</c:v>
                </c:pt>
                <c:pt idx="84">
                  <c:v>1036</c:v>
                </c:pt>
                <c:pt idx="85">
                  <c:v>961</c:v>
                </c:pt>
                <c:pt idx="86">
                  <c:v>898</c:v>
                </c:pt>
                <c:pt idx="87">
                  <c:v>709</c:v>
                </c:pt>
                <c:pt idx="88">
                  <c:v>569</c:v>
                </c:pt>
                <c:pt idx="89">
                  <c:v>479</c:v>
                </c:pt>
                <c:pt idx="90">
                  <c:v>386</c:v>
                </c:pt>
                <c:pt idx="91">
                  <c:v>301</c:v>
                </c:pt>
                <c:pt idx="92">
                  <c:v>212</c:v>
                </c:pt>
                <c:pt idx="93">
                  <c:v>149</c:v>
                </c:pt>
                <c:pt idx="94">
                  <c:v>112</c:v>
                </c:pt>
                <c:pt idx="95">
                  <c:v>71</c:v>
                </c:pt>
                <c:pt idx="96">
                  <c:v>62</c:v>
                </c:pt>
                <c:pt idx="97">
                  <c:v>29</c:v>
                </c:pt>
                <c:pt idx="98">
                  <c:v>17</c:v>
                </c:pt>
                <c:pt idx="99">
                  <c:v>17</c:v>
                </c:pt>
                <c:pt idx="100">
                  <c:v>11</c:v>
                </c:pt>
              </c:numCache>
            </c:numRef>
          </c:val>
          <c:smooth val="0"/>
          <c:extLst>
            <c:ext xmlns:c16="http://schemas.microsoft.com/office/drawing/2014/chart" uri="{C3380CC4-5D6E-409C-BE32-E72D297353CC}">
              <c16:uniqueId val="{00000001-8EF7-4B76-9A59-285FC6D4CB48}"/>
            </c:ext>
          </c:extLst>
        </c:ser>
        <c:ser>
          <c:idx val="3"/>
          <c:order val="3"/>
          <c:tx>
            <c:strRef>
              <c:f>'number of disabliites'!$Y$4</c:f>
              <c:strCache>
                <c:ptCount val="1"/>
                <c:pt idx="0">
                  <c:v>3</c:v>
                </c:pt>
              </c:strCache>
            </c:strRef>
          </c:tx>
          <c:spPr>
            <a:ln w="28575" cap="rnd">
              <a:solidFill>
                <a:schemeClr val="accent4"/>
              </a:solidFill>
              <a:round/>
            </a:ln>
            <a:effectLst/>
          </c:spPr>
          <c:marker>
            <c:symbol val="none"/>
          </c:marker>
          <c:cat>
            <c:strLit>
              <c:ptCount val="101"/>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43</c:v>
              </c:pt>
              <c:pt idx="42">
                <c:v>44</c:v>
              </c:pt>
              <c:pt idx="43">
                <c:v>45</c:v>
              </c:pt>
              <c:pt idx="44">
                <c:v>46</c:v>
              </c:pt>
              <c:pt idx="45">
                <c:v>47</c:v>
              </c:pt>
              <c:pt idx="46">
                <c:v>48</c:v>
              </c:pt>
              <c:pt idx="47">
                <c:v>49</c:v>
              </c:pt>
              <c:pt idx="48">
                <c:v>50</c:v>
              </c:pt>
              <c:pt idx="49">
                <c:v>51</c:v>
              </c:pt>
              <c:pt idx="50">
                <c:v>52</c:v>
              </c:pt>
              <c:pt idx="51">
                <c:v>53</c:v>
              </c:pt>
              <c:pt idx="52">
                <c:v>54</c:v>
              </c:pt>
              <c:pt idx="53">
                <c:v>55</c:v>
              </c:pt>
              <c:pt idx="54">
                <c:v>56</c:v>
              </c:pt>
              <c:pt idx="55">
                <c:v>57</c:v>
              </c:pt>
              <c:pt idx="56">
                <c:v>58</c:v>
              </c:pt>
              <c:pt idx="57">
                <c:v>59</c:v>
              </c:pt>
              <c:pt idx="58">
                <c:v>60</c:v>
              </c:pt>
              <c:pt idx="59">
                <c:v>61</c:v>
              </c:pt>
              <c:pt idx="60">
                <c:v>62</c:v>
              </c:pt>
              <c:pt idx="61">
                <c:v>63</c:v>
              </c:pt>
              <c:pt idx="62">
                <c:v>64</c:v>
              </c:pt>
              <c:pt idx="63">
                <c:v>65</c:v>
              </c:pt>
              <c:pt idx="64">
                <c:v>66</c:v>
              </c:pt>
              <c:pt idx="65">
                <c:v>67</c:v>
              </c:pt>
              <c:pt idx="66">
                <c:v>68</c:v>
              </c:pt>
              <c:pt idx="67">
                <c:v>69</c:v>
              </c:pt>
              <c:pt idx="68">
                <c:v>70</c:v>
              </c:pt>
              <c:pt idx="69">
                <c:v>71</c:v>
              </c:pt>
              <c:pt idx="70">
                <c:v>72</c:v>
              </c:pt>
              <c:pt idx="71">
                <c:v>73</c:v>
              </c:pt>
              <c:pt idx="72">
                <c:v>74</c:v>
              </c:pt>
              <c:pt idx="73">
                <c:v>75</c:v>
              </c:pt>
              <c:pt idx="74">
                <c:v>76</c:v>
              </c:pt>
              <c:pt idx="75">
                <c:v>77</c:v>
              </c:pt>
              <c:pt idx="76">
                <c:v>78</c:v>
              </c:pt>
              <c:pt idx="77">
                <c:v>79</c:v>
              </c:pt>
              <c:pt idx="78">
                <c:v>80</c:v>
              </c:pt>
              <c:pt idx="79">
                <c:v>81</c:v>
              </c:pt>
              <c:pt idx="80">
                <c:v>82</c:v>
              </c:pt>
              <c:pt idx="81">
                <c:v>83</c:v>
              </c:pt>
              <c:pt idx="82">
                <c:v>84</c:v>
              </c:pt>
              <c:pt idx="83">
                <c:v>85</c:v>
              </c:pt>
              <c:pt idx="84">
                <c:v>86</c:v>
              </c:pt>
              <c:pt idx="85">
                <c:v>87</c:v>
              </c:pt>
              <c:pt idx="86">
                <c:v>88</c:v>
              </c:pt>
              <c:pt idx="87">
                <c:v>89</c:v>
              </c:pt>
              <c:pt idx="88">
                <c:v>90</c:v>
              </c:pt>
              <c:pt idx="89">
                <c:v>91</c:v>
              </c:pt>
              <c:pt idx="90">
                <c:v>92</c:v>
              </c:pt>
              <c:pt idx="91">
                <c:v>93</c:v>
              </c:pt>
              <c:pt idx="92">
                <c:v>94</c:v>
              </c:pt>
              <c:pt idx="93">
                <c:v>95</c:v>
              </c:pt>
              <c:pt idx="94">
                <c:v>96</c:v>
              </c:pt>
              <c:pt idx="95">
                <c:v>97</c:v>
              </c:pt>
              <c:pt idx="96">
                <c:v>98</c:v>
              </c:pt>
              <c:pt idx="97">
                <c:v>99</c:v>
              </c:pt>
              <c:pt idx="98">
                <c:v>100</c:v>
              </c:pt>
              <c:pt idx="99">
                <c:v>101</c:v>
              </c:pt>
              <c:pt idx="100">
                <c:v>102</c:v>
              </c:pt>
              <c:extLst>
                <c:ext xmlns:c15="http://schemas.microsoft.com/office/drawing/2012/chart" uri="{02D57815-91ED-43cb-92C2-25804820EDAC}">
                  <c15:autoCat val="1"/>
                </c:ext>
              </c:extLst>
            </c:strLit>
          </c:cat>
          <c:val>
            <c:numRef>
              <c:f>'number of disabliites'!$Y$5:$Y$106</c:f>
              <c:numCache>
                <c:formatCode>General</c:formatCode>
                <c:ptCount val="101"/>
                <c:pt idx="0">
                  <c:v>72</c:v>
                </c:pt>
                <c:pt idx="1">
                  <c:v>101</c:v>
                </c:pt>
                <c:pt idx="2">
                  <c:v>164</c:v>
                </c:pt>
                <c:pt idx="3">
                  <c:v>216</c:v>
                </c:pt>
                <c:pt idx="4">
                  <c:v>297</c:v>
                </c:pt>
                <c:pt idx="5">
                  <c:v>312</c:v>
                </c:pt>
                <c:pt idx="6">
                  <c:v>373</c:v>
                </c:pt>
                <c:pt idx="7">
                  <c:v>423</c:v>
                </c:pt>
                <c:pt idx="8">
                  <c:v>384</c:v>
                </c:pt>
                <c:pt idx="9">
                  <c:v>436</c:v>
                </c:pt>
                <c:pt idx="10">
                  <c:v>427</c:v>
                </c:pt>
                <c:pt idx="11">
                  <c:v>461</c:v>
                </c:pt>
                <c:pt idx="12">
                  <c:v>448</c:v>
                </c:pt>
                <c:pt idx="13">
                  <c:v>465</c:v>
                </c:pt>
                <c:pt idx="14">
                  <c:v>448</c:v>
                </c:pt>
                <c:pt idx="15">
                  <c:v>508</c:v>
                </c:pt>
                <c:pt idx="16">
                  <c:v>491</c:v>
                </c:pt>
                <c:pt idx="17">
                  <c:v>548</c:v>
                </c:pt>
                <c:pt idx="18">
                  <c:v>570</c:v>
                </c:pt>
                <c:pt idx="19">
                  <c:v>544</c:v>
                </c:pt>
                <c:pt idx="20">
                  <c:v>517</c:v>
                </c:pt>
                <c:pt idx="21">
                  <c:v>455</c:v>
                </c:pt>
                <c:pt idx="22">
                  <c:v>485</c:v>
                </c:pt>
                <c:pt idx="23">
                  <c:v>440</c:v>
                </c:pt>
                <c:pt idx="24">
                  <c:v>447</c:v>
                </c:pt>
                <c:pt idx="25">
                  <c:v>465</c:v>
                </c:pt>
                <c:pt idx="26">
                  <c:v>448</c:v>
                </c:pt>
                <c:pt idx="27">
                  <c:v>435</c:v>
                </c:pt>
                <c:pt idx="28">
                  <c:v>471</c:v>
                </c:pt>
                <c:pt idx="29">
                  <c:v>499</c:v>
                </c:pt>
                <c:pt idx="30">
                  <c:v>507</c:v>
                </c:pt>
                <c:pt idx="31">
                  <c:v>563</c:v>
                </c:pt>
                <c:pt idx="32">
                  <c:v>563</c:v>
                </c:pt>
                <c:pt idx="33">
                  <c:v>636</c:v>
                </c:pt>
                <c:pt idx="34">
                  <c:v>693</c:v>
                </c:pt>
                <c:pt idx="35">
                  <c:v>697</c:v>
                </c:pt>
                <c:pt idx="36">
                  <c:v>737</c:v>
                </c:pt>
                <c:pt idx="37">
                  <c:v>734</c:v>
                </c:pt>
                <c:pt idx="38">
                  <c:v>732</c:v>
                </c:pt>
                <c:pt idx="39">
                  <c:v>689</c:v>
                </c:pt>
                <c:pt idx="40">
                  <c:v>745</c:v>
                </c:pt>
                <c:pt idx="41">
                  <c:v>831</c:v>
                </c:pt>
                <c:pt idx="42">
                  <c:v>800</c:v>
                </c:pt>
                <c:pt idx="43">
                  <c:v>932</c:v>
                </c:pt>
                <c:pt idx="44">
                  <c:v>906</c:v>
                </c:pt>
                <c:pt idx="45">
                  <c:v>961</c:v>
                </c:pt>
                <c:pt idx="46">
                  <c:v>969</c:v>
                </c:pt>
                <c:pt idx="47">
                  <c:v>939</c:v>
                </c:pt>
                <c:pt idx="48">
                  <c:v>1020</c:v>
                </c:pt>
                <c:pt idx="49">
                  <c:v>1078</c:v>
                </c:pt>
                <c:pt idx="50">
                  <c:v>1073</c:v>
                </c:pt>
                <c:pt idx="51">
                  <c:v>1106</c:v>
                </c:pt>
                <c:pt idx="52">
                  <c:v>1127</c:v>
                </c:pt>
                <c:pt idx="53">
                  <c:v>1227</c:v>
                </c:pt>
                <c:pt idx="54">
                  <c:v>1213</c:v>
                </c:pt>
                <c:pt idx="55">
                  <c:v>1305</c:v>
                </c:pt>
                <c:pt idx="56">
                  <c:v>1257</c:v>
                </c:pt>
                <c:pt idx="57">
                  <c:v>1351</c:v>
                </c:pt>
                <c:pt idx="58">
                  <c:v>1384</c:v>
                </c:pt>
                <c:pt idx="59">
                  <c:v>1438</c:v>
                </c:pt>
                <c:pt idx="60">
                  <c:v>1384</c:v>
                </c:pt>
                <c:pt idx="61">
                  <c:v>1453</c:v>
                </c:pt>
                <c:pt idx="62">
                  <c:v>1407</c:v>
                </c:pt>
                <c:pt idx="63">
                  <c:v>1566</c:v>
                </c:pt>
                <c:pt idx="64">
                  <c:v>1430</c:v>
                </c:pt>
                <c:pt idx="65">
                  <c:v>1349</c:v>
                </c:pt>
                <c:pt idx="66">
                  <c:v>1235</c:v>
                </c:pt>
                <c:pt idx="67">
                  <c:v>1177</c:v>
                </c:pt>
                <c:pt idx="68">
                  <c:v>1153</c:v>
                </c:pt>
                <c:pt idx="69">
                  <c:v>1170</c:v>
                </c:pt>
                <c:pt idx="70">
                  <c:v>1127</c:v>
                </c:pt>
                <c:pt idx="71">
                  <c:v>1082</c:v>
                </c:pt>
                <c:pt idx="72">
                  <c:v>1026</c:v>
                </c:pt>
                <c:pt idx="73">
                  <c:v>1009</c:v>
                </c:pt>
                <c:pt idx="74">
                  <c:v>977</c:v>
                </c:pt>
                <c:pt idx="75">
                  <c:v>976</c:v>
                </c:pt>
                <c:pt idx="76">
                  <c:v>1041</c:v>
                </c:pt>
                <c:pt idx="77">
                  <c:v>1061</c:v>
                </c:pt>
                <c:pt idx="78">
                  <c:v>1036</c:v>
                </c:pt>
                <c:pt idx="79">
                  <c:v>1045</c:v>
                </c:pt>
                <c:pt idx="80">
                  <c:v>1036</c:v>
                </c:pt>
                <c:pt idx="81">
                  <c:v>1009</c:v>
                </c:pt>
                <c:pt idx="82">
                  <c:v>1026</c:v>
                </c:pt>
                <c:pt idx="83">
                  <c:v>952</c:v>
                </c:pt>
                <c:pt idx="84">
                  <c:v>843</c:v>
                </c:pt>
                <c:pt idx="85">
                  <c:v>836</c:v>
                </c:pt>
                <c:pt idx="86">
                  <c:v>729</c:v>
                </c:pt>
                <c:pt idx="87">
                  <c:v>653</c:v>
                </c:pt>
                <c:pt idx="88">
                  <c:v>529</c:v>
                </c:pt>
                <c:pt idx="89">
                  <c:v>467</c:v>
                </c:pt>
                <c:pt idx="90">
                  <c:v>387</c:v>
                </c:pt>
                <c:pt idx="91">
                  <c:v>301</c:v>
                </c:pt>
                <c:pt idx="92">
                  <c:v>256</c:v>
                </c:pt>
                <c:pt idx="93">
                  <c:v>171</c:v>
                </c:pt>
                <c:pt idx="94">
                  <c:v>157</c:v>
                </c:pt>
                <c:pt idx="95">
                  <c:v>109</c:v>
                </c:pt>
                <c:pt idx="96">
                  <c:v>66</c:v>
                </c:pt>
                <c:pt idx="97">
                  <c:v>40</c:v>
                </c:pt>
                <c:pt idx="98">
                  <c:v>23</c:v>
                </c:pt>
                <c:pt idx="99">
                  <c:v>8</c:v>
                </c:pt>
                <c:pt idx="100">
                  <c:v>25</c:v>
                </c:pt>
              </c:numCache>
            </c:numRef>
          </c:val>
          <c:smooth val="0"/>
          <c:extLst>
            <c:ext xmlns:c16="http://schemas.microsoft.com/office/drawing/2014/chart" uri="{C3380CC4-5D6E-409C-BE32-E72D297353CC}">
              <c16:uniqueId val="{00000002-8EF7-4B76-9A59-285FC6D4CB48}"/>
            </c:ext>
          </c:extLst>
        </c:ser>
        <c:ser>
          <c:idx val="4"/>
          <c:order val="4"/>
          <c:tx>
            <c:strRef>
              <c:f>'number of disabliites'!$Z$4</c:f>
              <c:strCache>
                <c:ptCount val="1"/>
                <c:pt idx="0">
                  <c:v>4+</c:v>
                </c:pt>
              </c:strCache>
            </c:strRef>
          </c:tx>
          <c:spPr>
            <a:ln w="28575" cap="rnd">
              <a:solidFill>
                <a:schemeClr val="accent5"/>
              </a:solidFill>
              <a:round/>
            </a:ln>
            <a:effectLst/>
          </c:spPr>
          <c:marker>
            <c:symbol val="none"/>
          </c:marker>
          <c:cat>
            <c:strLit>
              <c:ptCount val="101"/>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43</c:v>
              </c:pt>
              <c:pt idx="42">
                <c:v>44</c:v>
              </c:pt>
              <c:pt idx="43">
                <c:v>45</c:v>
              </c:pt>
              <c:pt idx="44">
                <c:v>46</c:v>
              </c:pt>
              <c:pt idx="45">
                <c:v>47</c:v>
              </c:pt>
              <c:pt idx="46">
                <c:v>48</c:v>
              </c:pt>
              <c:pt idx="47">
                <c:v>49</c:v>
              </c:pt>
              <c:pt idx="48">
                <c:v>50</c:v>
              </c:pt>
              <c:pt idx="49">
                <c:v>51</c:v>
              </c:pt>
              <c:pt idx="50">
                <c:v>52</c:v>
              </c:pt>
              <c:pt idx="51">
                <c:v>53</c:v>
              </c:pt>
              <c:pt idx="52">
                <c:v>54</c:v>
              </c:pt>
              <c:pt idx="53">
                <c:v>55</c:v>
              </c:pt>
              <c:pt idx="54">
                <c:v>56</c:v>
              </c:pt>
              <c:pt idx="55">
                <c:v>57</c:v>
              </c:pt>
              <c:pt idx="56">
                <c:v>58</c:v>
              </c:pt>
              <c:pt idx="57">
                <c:v>59</c:v>
              </c:pt>
              <c:pt idx="58">
                <c:v>60</c:v>
              </c:pt>
              <c:pt idx="59">
                <c:v>61</c:v>
              </c:pt>
              <c:pt idx="60">
                <c:v>62</c:v>
              </c:pt>
              <c:pt idx="61">
                <c:v>63</c:v>
              </c:pt>
              <c:pt idx="62">
                <c:v>64</c:v>
              </c:pt>
              <c:pt idx="63">
                <c:v>65</c:v>
              </c:pt>
              <c:pt idx="64">
                <c:v>66</c:v>
              </c:pt>
              <c:pt idx="65">
                <c:v>67</c:v>
              </c:pt>
              <c:pt idx="66">
                <c:v>68</c:v>
              </c:pt>
              <c:pt idx="67">
                <c:v>69</c:v>
              </c:pt>
              <c:pt idx="68">
                <c:v>70</c:v>
              </c:pt>
              <c:pt idx="69">
                <c:v>71</c:v>
              </c:pt>
              <c:pt idx="70">
                <c:v>72</c:v>
              </c:pt>
              <c:pt idx="71">
                <c:v>73</c:v>
              </c:pt>
              <c:pt idx="72">
                <c:v>74</c:v>
              </c:pt>
              <c:pt idx="73">
                <c:v>75</c:v>
              </c:pt>
              <c:pt idx="74">
                <c:v>76</c:v>
              </c:pt>
              <c:pt idx="75">
                <c:v>77</c:v>
              </c:pt>
              <c:pt idx="76">
                <c:v>78</c:v>
              </c:pt>
              <c:pt idx="77">
                <c:v>79</c:v>
              </c:pt>
              <c:pt idx="78">
                <c:v>80</c:v>
              </c:pt>
              <c:pt idx="79">
                <c:v>81</c:v>
              </c:pt>
              <c:pt idx="80">
                <c:v>82</c:v>
              </c:pt>
              <c:pt idx="81">
                <c:v>83</c:v>
              </c:pt>
              <c:pt idx="82">
                <c:v>84</c:v>
              </c:pt>
              <c:pt idx="83">
                <c:v>85</c:v>
              </c:pt>
              <c:pt idx="84">
                <c:v>86</c:v>
              </c:pt>
              <c:pt idx="85">
                <c:v>87</c:v>
              </c:pt>
              <c:pt idx="86">
                <c:v>88</c:v>
              </c:pt>
              <c:pt idx="87">
                <c:v>89</c:v>
              </c:pt>
              <c:pt idx="88">
                <c:v>90</c:v>
              </c:pt>
              <c:pt idx="89">
                <c:v>91</c:v>
              </c:pt>
              <c:pt idx="90">
                <c:v>92</c:v>
              </c:pt>
              <c:pt idx="91">
                <c:v>93</c:v>
              </c:pt>
              <c:pt idx="92">
                <c:v>94</c:v>
              </c:pt>
              <c:pt idx="93">
                <c:v>95</c:v>
              </c:pt>
              <c:pt idx="94">
                <c:v>96</c:v>
              </c:pt>
              <c:pt idx="95">
                <c:v>97</c:v>
              </c:pt>
              <c:pt idx="96">
                <c:v>98</c:v>
              </c:pt>
              <c:pt idx="97">
                <c:v>99</c:v>
              </c:pt>
              <c:pt idx="98">
                <c:v>100</c:v>
              </c:pt>
              <c:pt idx="99">
                <c:v>101</c:v>
              </c:pt>
              <c:pt idx="100">
                <c:v>102</c:v>
              </c:pt>
              <c:extLst>
                <c:ext xmlns:c15="http://schemas.microsoft.com/office/drawing/2012/chart" uri="{02D57815-91ED-43cb-92C2-25804820EDAC}">
                  <c15:autoCat val="1"/>
                </c:ext>
              </c:extLst>
            </c:strLit>
          </c:cat>
          <c:val>
            <c:numRef>
              <c:f>'number of disabliites'!$Z$5:$Z$106</c:f>
              <c:numCache>
                <c:formatCode>General</c:formatCode>
                <c:ptCount val="101"/>
                <c:pt idx="0">
                  <c:v>305</c:v>
                </c:pt>
                <c:pt idx="1">
                  <c:v>377</c:v>
                </c:pt>
                <c:pt idx="2">
                  <c:v>568</c:v>
                </c:pt>
                <c:pt idx="3">
                  <c:v>884</c:v>
                </c:pt>
                <c:pt idx="4">
                  <c:v>1182</c:v>
                </c:pt>
                <c:pt idx="5">
                  <c:v>1430</c:v>
                </c:pt>
                <c:pt idx="6">
                  <c:v>1492</c:v>
                </c:pt>
                <c:pt idx="7">
                  <c:v>1520</c:v>
                </c:pt>
                <c:pt idx="8">
                  <c:v>1498</c:v>
                </c:pt>
                <c:pt idx="9">
                  <c:v>1411</c:v>
                </c:pt>
                <c:pt idx="10">
                  <c:v>1308</c:v>
                </c:pt>
                <c:pt idx="11">
                  <c:v>1262</c:v>
                </c:pt>
                <c:pt idx="12">
                  <c:v>1214</c:v>
                </c:pt>
                <c:pt idx="13">
                  <c:v>1176</c:v>
                </c:pt>
                <c:pt idx="14">
                  <c:v>1256</c:v>
                </c:pt>
                <c:pt idx="15">
                  <c:v>1253</c:v>
                </c:pt>
                <c:pt idx="16">
                  <c:v>1300</c:v>
                </c:pt>
                <c:pt idx="17">
                  <c:v>1208</c:v>
                </c:pt>
                <c:pt idx="18">
                  <c:v>1189</c:v>
                </c:pt>
                <c:pt idx="19">
                  <c:v>1117</c:v>
                </c:pt>
                <c:pt idx="20">
                  <c:v>1066</c:v>
                </c:pt>
                <c:pt idx="21">
                  <c:v>976</c:v>
                </c:pt>
                <c:pt idx="22">
                  <c:v>927</c:v>
                </c:pt>
                <c:pt idx="23">
                  <c:v>843</c:v>
                </c:pt>
                <c:pt idx="24">
                  <c:v>855</c:v>
                </c:pt>
                <c:pt idx="25">
                  <c:v>895</c:v>
                </c:pt>
                <c:pt idx="26">
                  <c:v>846</c:v>
                </c:pt>
                <c:pt idx="27">
                  <c:v>848</c:v>
                </c:pt>
                <c:pt idx="28">
                  <c:v>884</c:v>
                </c:pt>
                <c:pt idx="29">
                  <c:v>981</c:v>
                </c:pt>
                <c:pt idx="30">
                  <c:v>955</c:v>
                </c:pt>
                <c:pt idx="31">
                  <c:v>1022</c:v>
                </c:pt>
                <c:pt idx="32">
                  <c:v>1101</c:v>
                </c:pt>
                <c:pt idx="33">
                  <c:v>1201</c:v>
                </c:pt>
                <c:pt idx="34">
                  <c:v>1262</c:v>
                </c:pt>
                <c:pt idx="35">
                  <c:v>1302</c:v>
                </c:pt>
                <c:pt idx="36">
                  <c:v>1397</c:v>
                </c:pt>
                <c:pt idx="37">
                  <c:v>1433</c:v>
                </c:pt>
                <c:pt idx="38">
                  <c:v>1467</c:v>
                </c:pt>
                <c:pt idx="39">
                  <c:v>1500</c:v>
                </c:pt>
                <c:pt idx="40">
                  <c:v>1493</c:v>
                </c:pt>
                <c:pt idx="41">
                  <c:v>1689</c:v>
                </c:pt>
                <c:pt idx="42">
                  <c:v>1812</c:v>
                </c:pt>
                <c:pt idx="43">
                  <c:v>1891</c:v>
                </c:pt>
                <c:pt idx="44">
                  <c:v>1920</c:v>
                </c:pt>
                <c:pt idx="45">
                  <c:v>1934</c:v>
                </c:pt>
                <c:pt idx="46">
                  <c:v>2019</c:v>
                </c:pt>
                <c:pt idx="47">
                  <c:v>2058</c:v>
                </c:pt>
                <c:pt idx="48">
                  <c:v>2213</c:v>
                </c:pt>
                <c:pt idx="49">
                  <c:v>2086</c:v>
                </c:pt>
                <c:pt idx="50">
                  <c:v>2379</c:v>
                </c:pt>
                <c:pt idx="51">
                  <c:v>2448</c:v>
                </c:pt>
                <c:pt idx="52">
                  <c:v>2602</c:v>
                </c:pt>
                <c:pt idx="53">
                  <c:v>2588</c:v>
                </c:pt>
                <c:pt idx="54">
                  <c:v>2552</c:v>
                </c:pt>
                <c:pt idx="55">
                  <c:v>2817</c:v>
                </c:pt>
                <c:pt idx="56">
                  <c:v>2785</c:v>
                </c:pt>
                <c:pt idx="57">
                  <c:v>2748</c:v>
                </c:pt>
                <c:pt idx="58">
                  <c:v>2889</c:v>
                </c:pt>
                <c:pt idx="59">
                  <c:v>2967</c:v>
                </c:pt>
                <c:pt idx="60">
                  <c:v>2910</c:v>
                </c:pt>
                <c:pt idx="61">
                  <c:v>2949</c:v>
                </c:pt>
                <c:pt idx="62">
                  <c:v>2930</c:v>
                </c:pt>
                <c:pt idx="63">
                  <c:v>3083</c:v>
                </c:pt>
                <c:pt idx="64">
                  <c:v>2877</c:v>
                </c:pt>
                <c:pt idx="65">
                  <c:v>2887</c:v>
                </c:pt>
                <c:pt idx="66">
                  <c:v>2673</c:v>
                </c:pt>
                <c:pt idx="67">
                  <c:v>2681</c:v>
                </c:pt>
                <c:pt idx="68">
                  <c:v>2660</c:v>
                </c:pt>
                <c:pt idx="69">
                  <c:v>2719</c:v>
                </c:pt>
                <c:pt idx="70">
                  <c:v>2850</c:v>
                </c:pt>
                <c:pt idx="71">
                  <c:v>2692</c:v>
                </c:pt>
                <c:pt idx="72">
                  <c:v>2671</c:v>
                </c:pt>
                <c:pt idx="73">
                  <c:v>2760</c:v>
                </c:pt>
                <c:pt idx="74">
                  <c:v>2793</c:v>
                </c:pt>
                <c:pt idx="75">
                  <c:v>2785</c:v>
                </c:pt>
                <c:pt idx="76">
                  <c:v>3041</c:v>
                </c:pt>
                <c:pt idx="77">
                  <c:v>3250</c:v>
                </c:pt>
                <c:pt idx="78">
                  <c:v>3366</c:v>
                </c:pt>
                <c:pt idx="79">
                  <c:v>3581</c:v>
                </c:pt>
                <c:pt idx="80">
                  <c:v>3814</c:v>
                </c:pt>
                <c:pt idx="81">
                  <c:v>3823</c:v>
                </c:pt>
                <c:pt idx="82">
                  <c:v>4044</c:v>
                </c:pt>
                <c:pt idx="83">
                  <c:v>4031</c:v>
                </c:pt>
                <c:pt idx="84">
                  <c:v>3948</c:v>
                </c:pt>
                <c:pt idx="85">
                  <c:v>3961</c:v>
                </c:pt>
                <c:pt idx="86">
                  <c:v>3862</c:v>
                </c:pt>
                <c:pt idx="87">
                  <c:v>3658</c:v>
                </c:pt>
                <c:pt idx="88">
                  <c:v>3382</c:v>
                </c:pt>
                <c:pt idx="89">
                  <c:v>3143</c:v>
                </c:pt>
                <c:pt idx="90">
                  <c:v>2792</c:v>
                </c:pt>
                <c:pt idx="91">
                  <c:v>2468</c:v>
                </c:pt>
                <c:pt idx="92">
                  <c:v>2023</c:v>
                </c:pt>
                <c:pt idx="93">
                  <c:v>1757</c:v>
                </c:pt>
                <c:pt idx="94">
                  <c:v>1295</c:v>
                </c:pt>
                <c:pt idx="95">
                  <c:v>1031</c:v>
                </c:pt>
                <c:pt idx="96">
                  <c:v>733</c:v>
                </c:pt>
                <c:pt idx="97">
                  <c:v>507</c:v>
                </c:pt>
                <c:pt idx="98">
                  <c:v>327</c:v>
                </c:pt>
                <c:pt idx="99">
                  <c:v>231</c:v>
                </c:pt>
                <c:pt idx="100">
                  <c:v>346</c:v>
                </c:pt>
              </c:numCache>
            </c:numRef>
          </c:val>
          <c:smooth val="0"/>
          <c:extLst>
            <c:ext xmlns:c16="http://schemas.microsoft.com/office/drawing/2014/chart" uri="{C3380CC4-5D6E-409C-BE32-E72D297353CC}">
              <c16:uniqueId val="{00000003-8EF7-4B76-9A59-285FC6D4CB48}"/>
            </c:ext>
          </c:extLst>
        </c:ser>
        <c:dLbls>
          <c:showLegendKey val="0"/>
          <c:showVal val="0"/>
          <c:showCatName val="0"/>
          <c:showSerName val="0"/>
          <c:showPercent val="0"/>
          <c:showBubbleSize val="0"/>
        </c:dLbls>
        <c:smooth val="0"/>
        <c:axId val="507052608"/>
        <c:axId val="507052936"/>
        <c:extLst>
          <c:ext xmlns:c15="http://schemas.microsoft.com/office/drawing/2012/chart" uri="{02D57815-91ED-43cb-92C2-25804820EDAC}">
            <c15:filteredLineSeries>
              <c15:ser>
                <c:idx val="0"/>
                <c:order val="0"/>
                <c:tx>
                  <c:strRef>
                    <c:extLst>
                      <c:ext uri="{02D57815-91ED-43cb-92C2-25804820EDAC}">
                        <c15:formulaRef>
                          <c15:sqref>'number of disabliites'!$V$4</c15:sqref>
                        </c15:formulaRef>
                      </c:ext>
                    </c:extLst>
                    <c:strCache>
                      <c:ptCount val="1"/>
                      <c:pt idx="0">
                        <c:v>Total persons with a disability</c:v>
                      </c:pt>
                    </c:strCache>
                  </c:strRef>
                </c:tx>
                <c:spPr>
                  <a:ln w="28575" cap="rnd">
                    <a:solidFill>
                      <a:schemeClr val="accent1"/>
                    </a:solidFill>
                    <a:round/>
                  </a:ln>
                  <a:effectLst/>
                </c:spPr>
                <c:marker>
                  <c:symbol val="none"/>
                </c:marker>
                <c:val>
                  <c:numRef>
                    <c:extLst>
                      <c:ext uri="{02D57815-91ED-43cb-92C2-25804820EDAC}">
                        <c15:formulaRef>
                          <c15:sqref>'number of disabliites'!$V$5:$V$106</c15:sqref>
                        </c15:formulaRef>
                      </c:ext>
                    </c:extLst>
                    <c:numCache>
                      <c:formatCode>General</c:formatCode>
                      <c:ptCount val="101"/>
                      <c:pt idx="0">
                        <c:v>1053</c:v>
                      </c:pt>
                      <c:pt idx="1">
                        <c:v>1280</c:v>
                      </c:pt>
                      <c:pt idx="2">
                        <c:v>1784</c:v>
                      </c:pt>
                      <c:pt idx="3">
                        <c:v>2538</c:v>
                      </c:pt>
                      <c:pt idx="4">
                        <c:v>3223</c:v>
                      </c:pt>
                      <c:pt idx="5">
                        <c:v>3826</c:v>
                      </c:pt>
                      <c:pt idx="6">
                        <c:v>4386</c:v>
                      </c:pt>
                      <c:pt idx="7">
                        <c:v>4640</c:v>
                      </c:pt>
                      <c:pt idx="8">
                        <c:v>4939</c:v>
                      </c:pt>
                      <c:pt idx="9">
                        <c:v>5060</c:v>
                      </c:pt>
                      <c:pt idx="10">
                        <c:v>5020</c:v>
                      </c:pt>
                      <c:pt idx="11">
                        <c:v>5132</c:v>
                      </c:pt>
                      <c:pt idx="12">
                        <c:v>5293</c:v>
                      </c:pt>
                      <c:pt idx="13">
                        <c:v>5365</c:v>
                      </c:pt>
                      <c:pt idx="14">
                        <c:v>5547</c:v>
                      </c:pt>
                      <c:pt idx="15">
                        <c:v>5712</c:v>
                      </c:pt>
                      <c:pt idx="16">
                        <c:v>5509</c:v>
                      </c:pt>
                      <c:pt idx="17">
                        <c:v>5656</c:v>
                      </c:pt>
                      <c:pt idx="18">
                        <c:v>5936</c:v>
                      </c:pt>
                      <c:pt idx="19">
                        <c:v>5699</c:v>
                      </c:pt>
                      <c:pt idx="20">
                        <c:v>5464</c:v>
                      </c:pt>
                      <c:pt idx="21">
                        <c:v>5157</c:v>
                      </c:pt>
                      <c:pt idx="22">
                        <c:v>4951</c:v>
                      </c:pt>
                      <c:pt idx="23">
                        <c:v>4666</c:v>
                      </c:pt>
                      <c:pt idx="24">
                        <c:v>4715</c:v>
                      </c:pt>
                      <c:pt idx="25">
                        <c:v>4783</c:v>
                      </c:pt>
                      <c:pt idx="26">
                        <c:v>4612</c:v>
                      </c:pt>
                      <c:pt idx="27">
                        <c:v>4621</c:v>
                      </c:pt>
                      <c:pt idx="28">
                        <c:v>4812</c:v>
                      </c:pt>
                      <c:pt idx="29">
                        <c:v>5036</c:v>
                      </c:pt>
                      <c:pt idx="30">
                        <c:v>5193</c:v>
                      </c:pt>
                      <c:pt idx="31">
                        <c:v>5417</c:v>
                      </c:pt>
                      <c:pt idx="32">
                        <c:v>5802</c:v>
                      </c:pt>
                      <c:pt idx="33">
                        <c:v>6090</c:v>
                      </c:pt>
                      <c:pt idx="34">
                        <c:v>6376</c:v>
                      </c:pt>
                      <c:pt idx="35">
                        <c:v>6683</c:v>
                      </c:pt>
                      <c:pt idx="36">
                        <c:v>6862</c:v>
                      </c:pt>
                      <c:pt idx="37">
                        <c:v>6877</c:v>
                      </c:pt>
                      <c:pt idx="38">
                        <c:v>6776</c:v>
                      </c:pt>
                      <c:pt idx="39">
                        <c:v>6808</c:v>
                      </c:pt>
                      <c:pt idx="40">
                        <c:v>6877</c:v>
                      </c:pt>
                      <c:pt idx="41">
                        <c:v>7233</c:v>
                      </c:pt>
                      <c:pt idx="42">
                        <c:v>7375</c:v>
                      </c:pt>
                      <c:pt idx="43">
                        <c:v>7654</c:v>
                      </c:pt>
                      <c:pt idx="44">
                        <c:v>7751</c:v>
                      </c:pt>
                      <c:pt idx="45">
                        <c:v>7837</c:v>
                      </c:pt>
                      <c:pt idx="46">
                        <c:v>7821</c:v>
                      </c:pt>
                      <c:pt idx="47">
                        <c:v>7783</c:v>
                      </c:pt>
                      <c:pt idx="48">
                        <c:v>8088</c:v>
                      </c:pt>
                      <c:pt idx="49">
                        <c:v>7920</c:v>
                      </c:pt>
                      <c:pt idx="50">
                        <c:v>8279</c:v>
                      </c:pt>
                      <c:pt idx="51">
                        <c:v>8555</c:v>
                      </c:pt>
                      <c:pt idx="52">
                        <c:v>8895</c:v>
                      </c:pt>
                      <c:pt idx="53">
                        <c:v>9047</c:v>
                      </c:pt>
                      <c:pt idx="54">
                        <c:v>9026</c:v>
                      </c:pt>
                      <c:pt idx="55">
                        <c:v>9566</c:v>
                      </c:pt>
                      <c:pt idx="56">
                        <c:v>9414</c:v>
                      </c:pt>
                      <c:pt idx="57">
                        <c:v>9445</c:v>
                      </c:pt>
                      <c:pt idx="58">
                        <c:v>9815</c:v>
                      </c:pt>
                      <c:pt idx="59">
                        <c:v>9949</c:v>
                      </c:pt>
                      <c:pt idx="60">
                        <c:v>9879</c:v>
                      </c:pt>
                      <c:pt idx="61">
                        <c:v>10153</c:v>
                      </c:pt>
                      <c:pt idx="62">
                        <c:v>10090</c:v>
                      </c:pt>
                      <c:pt idx="63">
                        <c:v>10652</c:v>
                      </c:pt>
                      <c:pt idx="64">
                        <c:v>10340</c:v>
                      </c:pt>
                      <c:pt idx="65">
                        <c:v>10307</c:v>
                      </c:pt>
                      <c:pt idx="66">
                        <c:v>9812</c:v>
                      </c:pt>
                      <c:pt idx="67">
                        <c:v>9738</c:v>
                      </c:pt>
                      <c:pt idx="68">
                        <c:v>9681</c:v>
                      </c:pt>
                      <c:pt idx="69">
                        <c:v>9645</c:v>
                      </c:pt>
                      <c:pt idx="70">
                        <c:v>9386</c:v>
                      </c:pt>
                      <c:pt idx="71">
                        <c:v>9112</c:v>
                      </c:pt>
                      <c:pt idx="72">
                        <c:v>8874</c:v>
                      </c:pt>
                      <c:pt idx="73">
                        <c:v>8719</c:v>
                      </c:pt>
                      <c:pt idx="74">
                        <c:v>8487</c:v>
                      </c:pt>
                      <c:pt idx="75">
                        <c:v>8181</c:v>
                      </c:pt>
                      <c:pt idx="76">
                        <c:v>8554</c:v>
                      </c:pt>
                      <c:pt idx="77">
                        <c:v>8758</c:v>
                      </c:pt>
                      <c:pt idx="78">
                        <c:v>8575</c:v>
                      </c:pt>
                      <c:pt idx="79">
                        <c:v>8609</c:v>
                      </c:pt>
                      <c:pt idx="80">
                        <c:v>8673</c:v>
                      </c:pt>
                      <c:pt idx="81">
                        <c:v>8415</c:v>
                      </c:pt>
                      <c:pt idx="82">
                        <c:v>8269</c:v>
                      </c:pt>
                      <c:pt idx="83">
                        <c:v>7906</c:v>
                      </c:pt>
                      <c:pt idx="84">
                        <c:v>7391</c:v>
                      </c:pt>
                      <c:pt idx="85">
                        <c:v>7167</c:v>
                      </c:pt>
                      <c:pt idx="86">
                        <c:v>6583</c:v>
                      </c:pt>
                      <c:pt idx="87">
                        <c:v>5896</c:v>
                      </c:pt>
                      <c:pt idx="88">
                        <c:v>5198</c:v>
                      </c:pt>
                      <c:pt idx="89">
                        <c:v>4625</c:v>
                      </c:pt>
                      <c:pt idx="90">
                        <c:v>4003</c:v>
                      </c:pt>
                      <c:pt idx="91">
                        <c:v>3382</c:v>
                      </c:pt>
                      <c:pt idx="92">
                        <c:v>2695</c:v>
                      </c:pt>
                      <c:pt idx="93">
                        <c:v>2213</c:v>
                      </c:pt>
                      <c:pt idx="94">
                        <c:v>1666</c:v>
                      </c:pt>
                      <c:pt idx="95">
                        <c:v>1290</c:v>
                      </c:pt>
                      <c:pt idx="96">
                        <c:v>926</c:v>
                      </c:pt>
                      <c:pt idx="97">
                        <c:v>602</c:v>
                      </c:pt>
                      <c:pt idx="98">
                        <c:v>381</c:v>
                      </c:pt>
                      <c:pt idx="99">
                        <c:v>271</c:v>
                      </c:pt>
                      <c:pt idx="100">
                        <c:v>398</c:v>
                      </c:pt>
                    </c:numCache>
                  </c:numRef>
                </c:val>
                <c:smooth val="0"/>
                <c:extLst>
                  <c:ext xmlns:c16="http://schemas.microsoft.com/office/drawing/2014/chart" uri="{C3380CC4-5D6E-409C-BE32-E72D297353CC}">
                    <c16:uniqueId val="{00000004-8EF7-4B76-9A59-285FC6D4CB48}"/>
                  </c:ext>
                </c:extLst>
              </c15:ser>
            </c15:filteredLineSeries>
          </c:ext>
        </c:extLst>
      </c:lineChart>
      <c:catAx>
        <c:axId val="50705260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052936"/>
        <c:crosses val="autoZero"/>
        <c:auto val="1"/>
        <c:lblAlgn val="ctr"/>
        <c:lblOffset val="100"/>
        <c:noMultiLvlLbl val="0"/>
      </c:catAx>
      <c:valAx>
        <c:axId val="507052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0526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Figure 4: </a:t>
            </a:r>
            <a:r>
              <a:rPr lang="en-IE" baseline="0"/>
              <a:t>% of people with a disability by region</a:t>
            </a:r>
            <a:endParaRPr lang="en-IE"/>
          </a:p>
        </c:rich>
      </c:tx>
      <c:layout>
        <c:manualLayout>
          <c:xMode val="edge"/>
          <c:yMode val="edge"/>
          <c:x val="0.1389525007290755"/>
          <c:y val="1.10472823685373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8641081282162563E-2"/>
          <c:y val="5.6941400326877015E-2"/>
          <c:w val="0.79666666666666663"/>
          <c:h val="0.82903608546943119"/>
        </c:manualLayout>
      </c:layout>
      <c:barChart>
        <c:barDir val="bar"/>
        <c:grouping val="clustered"/>
        <c:varyColors val="0"/>
        <c:ser>
          <c:idx val="0"/>
          <c:order val="0"/>
          <c:tx>
            <c:strRef>
              <c:f>'20188151326471520040E900548419988641.csv'!$B$4</c:f>
              <c:strCache>
                <c:ptCount val="1"/>
                <c:pt idx="0">
                  <c:v>% with a disability</c:v>
                </c:pt>
              </c:strCache>
            </c:strRef>
          </c:tx>
          <c:spPr>
            <a:solidFill>
              <a:schemeClr val="accent1"/>
            </a:solidFill>
            <a:ln>
              <a:noFill/>
            </a:ln>
            <a:effectLst/>
          </c:spPr>
          <c:invertIfNegative val="0"/>
          <c:dLbls>
            <c:dLbl>
              <c:idx val="3"/>
              <c:spPr>
                <a:noFill/>
                <a:ln>
                  <a:noFill/>
                </a:ln>
                <a:effectLst/>
              </c:spPr>
              <c:txPr>
                <a:bodyPr rot="0" spcFirstLastPara="1" vertOverflow="ellipsis" vert="horz" wrap="square" lIns="38100" tIns="19050" rIns="38100" bIns="19050" anchor="ctr" anchorCtr="0">
                  <a:noAutofit/>
                </a:bodyPr>
                <a:lstStyle/>
                <a:p>
                  <a:pPr algn="l">
                    <a:defRPr sz="11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0-8A2E-4BE3-90D5-30AD87620AAC}"/>
                </c:ext>
              </c:extLst>
            </c:dLbl>
            <c:dLbl>
              <c:idx val="7"/>
              <c:spPr>
                <a:noFill/>
                <a:ln>
                  <a:noFill/>
                </a:ln>
                <a:effectLst/>
              </c:spPr>
              <c:txPr>
                <a:bodyPr rot="0" spcFirstLastPara="1" vertOverflow="ellipsis" vert="horz" wrap="square" lIns="38100" tIns="19050" rIns="38100" bIns="19050" anchor="ctr" anchorCtr="0">
                  <a:noAutofit/>
                </a:bodyPr>
                <a:lstStyle/>
                <a:p>
                  <a:pPr algn="l">
                    <a:defRPr sz="11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8A2E-4BE3-90D5-30AD87620AAC}"/>
                </c:ext>
              </c:extLst>
            </c:dLbl>
            <c:dLbl>
              <c:idx val="10"/>
              <c:spPr>
                <a:noFill/>
                <a:ln>
                  <a:noFill/>
                </a:ln>
                <a:effectLst/>
              </c:spPr>
              <c:txPr>
                <a:bodyPr rot="0" spcFirstLastPara="1" vertOverflow="ellipsis" vert="horz" wrap="square" lIns="38100" tIns="19050" rIns="38100" bIns="19050" anchor="ctr" anchorCtr="0">
                  <a:spAutoFit/>
                </a:bodyPr>
                <a:lstStyle/>
                <a:p>
                  <a:pPr algn="l">
                    <a:defRPr sz="11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2-8A2E-4BE3-90D5-30AD87620AAC}"/>
                </c:ext>
              </c:extLst>
            </c:dLbl>
            <c:dLbl>
              <c:idx val="20"/>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6-8A2E-4BE3-90D5-30AD87620AAC}"/>
                </c:ext>
              </c:extLst>
            </c:dLbl>
            <c:dLbl>
              <c:idx val="21"/>
              <c:spPr>
                <a:noFill/>
                <a:ln>
                  <a:noFill/>
                </a:ln>
                <a:effectLst/>
              </c:spPr>
              <c:txPr>
                <a:bodyPr rot="0" spcFirstLastPara="1" vertOverflow="ellipsis" vert="horz" wrap="square" lIns="38100" tIns="19050" rIns="38100" bIns="19050" anchor="ctr" anchorCtr="0">
                  <a:spAutoFit/>
                </a:bodyPr>
                <a:lstStyle/>
                <a:p>
                  <a:pPr algn="l">
                    <a:defRPr sz="11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8A2E-4BE3-90D5-30AD87620AAC}"/>
                </c:ext>
              </c:extLst>
            </c:dLbl>
            <c:dLbl>
              <c:idx val="28"/>
              <c:spPr>
                <a:noFill/>
                <a:ln>
                  <a:noFill/>
                </a:ln>
                <a:effectLst/>
              </c:spPr>
              <c:txPr>
                <a:bodyPr rot="0" spcFirstLastPara="1" vertOverflow="ellipsis" vert="horz" wrap="square" lIns="38100" tIns="19050" rIns="38100" bIns="19050" anchor="ctr" anchorCtr="0">
                  <a:noAutofit/>
                </a:bodyPr>
                <a:lstStyle/>
                <a:p>
                  <a:pPr algn="l">
                    <a:defRPr sz="11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4-8A2E-4BE3-90D5-30AD87620AAC}"/>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15:layout/>
                <c15:showLeaderLines val="0"/>
              </c:ext>
            </c:extLst>
          </c:dLbls>
          <c:cat>
            <c:strRef>
              <c:f>'[1]20188151326471520040E9005484199'!$A$5:$A$35</c:f>
              <c:strCache>
                <c:ptCount val="31"/>
                <c:pt idx="0">
                  <c:v>Fingal</c:v>
                </c:pt>
                <c:pt idx="1">
                  <c:v>Meath</c:v>
                </c:pt>
                <c:pt idx="2">
                  <c:v>Monaghan</c:v>
                </c:pt>
                <c:pt idx="3">
                  <c:v>Dún Laoghaire-Rathdown</c:v>
                </c:pt>
                <c:pt idx="4">
                  <c:v>Kildare</c:v>
                </c:pt>
                <c:pt idx="5">
                  <c:v>Cavan</c:v>
                </c:pt>
                <c:pt idx="6">
                  <c:v>Cork County</c:v>
                </c:pt>
                <c:pt idx="7">
                  <c:v>Galway County</c:v>
                </c:pt>
                <c:pt idx="8">
                  <c:v>Clare</c:v>
                </c:pt>
                <c:pt idx="9">
                  <c:v>Galway City</c:v>
                </c:pt>
                <c:pt idx="10">
                  <c:v>South Dublin</c:v>
                </c:pt>
                <c:pt idx="11">
                  <c:v>Kilkenny</c:v>
                </c:pt>
                <c:pt idx="12">
                  <c:v>Westmeath</c:v>
                </c:pt>
                <c:pt idx="13">
                  <c:v>Laois</c:v>
                </c:pt>
                <c:pt idx="14">
                  <c:v>Wicklow</c:v>
                </c:pt>
                <c:pt idx="15">
                  <c:v>Kerry</c:v>
                </c:pt>
                <c:pt idx="16">
                  <c:v>Mayo</c:v>
                </c:pt>
                <c:pt idx="17">
                  <c:v>Louth</c:v>
                </c:pt>
                <c:pt idx="18">
                  <c:v>Leitrim</c:v>
                </c:pt>
                <c:pt idx="19">
                  <c:v>Offaly</c:v>
                </c:pt>
                <c:pt idx="20">
                  <c:v>Waterford City and County</c:v>
                </c:pt>
                <c:pt idx="21">
                  <c:v>Roscommon</c:v>
                </c:pt>
                <c:pt idx="22">
                  <c:v>Donegal</c:v>
                </c:pt>
                <c:pt idx="23">
                  <c:v>Carlow</c:v>
                </c:pt>
                <c:pt idx="24">
                  <c:v>Longford</c:v>
                </c:pt>
                <c:pt idx="25">
                  <c:v>Sligo</c:v>
                </c:pt>
                <c:pt idx="26">
                  <c:v>Dublin City</c:v>
                </c:pt>
                <c:pt idx="27">
                  <c:v>Tipperary</c:v>
                </c:pt>
                <c:pt idx="28">
                  <c:v>Limerick City and County</c:v>
                </c:pt>
                <c:pt idx="29">
                  <c:v>Wexford</c:v>
                </c:pt>
                <c:pt idx="30">
                  <c:v>Cork City</c:v>
                </c:pt>
              </c:strCache>
            </c:strRef>
          </c:cat>
          <c:val>
            <c:numRef>
              <c:f>'[1]20188151326471520040E9005484199'!$B$5:$B$35</c:f>
              <c:numCache>
                <c:formatCode>General</c:formatCode>
                <c:ptCount val="31"/>
                <c:pt idx="0">
                  <c:v>10.8</c:v>
                </c:pt>
                <c:pt idx="1">
                  <c:v>11.6</c:v>
                </c:pt>
                <c:pt idx="2">
                  <c:v>11.8</c:v>
                </c:pt>
                <c:pt idx="3">
                  <c:v>12.5</c:v>
                </c:pt>
                <c:pt idx="4">
                  <c:v>12.5</c:v>
                </c:pt>
                <c:pt idx="5">
                  <c:v>12.5</c:v>
                </c:pt>
                <c:pt idx="6">
                  <c:v>12.6</c:v>
                </c:pt>
                <c:pt idx="7">
                  <c:v>12.6</c:v>
                </c:pt>
                <c:pt idx="8">
                  <c:v>12.9</c:v>
                </c:pt>
                <c:pt idx="9">
                  <c:v>12.9</c:v>
                </c:pt>
                <c:pt idx="10">
                  <c:v>13.1</c:v>
                </c:pt>
                <c:pt idx="11">
                  <c:v>13.4</c:v>
                </c:pt>
                <c:pt idx="12">
                  <c:v>13.4</c:v>
                </c:pt>
                <c:pt idx="13">
                  <c:v>13.5</c:v>
                </c:pt>
                <c:pt idx="14">
                  <c:v>13.5</c:v>
                </c:pt>
                <c:pt idx="15">
                  <c:v>13.5</c:v>
                </c:pt>
                <c:pt idx="16">
                  <c:v>13.8</c:v>
                </c:pt>
                <c:pt idx="17">
                  <c:v>13.9</c:v>
                </c:pt>
                <c:pt idx="18">
                  <c:v>14</c:v>
                </c:pt>
                <c:pt idx="19">
                  <c:v>14.3</c:v>
                </c:pt>
                <c:pt idx="20">
                  <c:v>14.4</c:v>
                </c:pt>
                <c:pt idx="21">
                  <c:v>14.4</c:v>
                </c:pt>
                <c:pt idx="22">
                  <c:v>14.4</c:v>
                </c:pt>
                <c:pt idx="23">
                  <c:v>14.5</c:v>
                </c:pt>
                <c:pt idx="24">
                  <c:v>14.5</c:v>
                </c:pt>
                <c:pt idx="25">
                  <c:v>14.6</c:v>
                </c:pt>
                <c:pt idx="26">
                  <c:v>14.7</c:v>
                </c:pt>
                <c:pt idx="27">
                  <c:v>14.8</c:v>
                </c:pt>
                <c:pt idx="28">
                  <c:v>15</c:v>
                </c:pt>
                <c:pt idx="29">
                  <c:v>15.1</c:v>
                </c:pt>
                <c:pt idx="30">
                  <c:v>18.100000000000001</c:v>
                </c:pt>
              </c:numCache>
            </c:numRef>
          </c:val>
          <c:extLst>
            <c:ext xmlns:c16="http://schemas.microsoft.com/office/drawing/2014/chart" uri="{C3380CC4-5D6E-409C-BE32-E72D297353CC}">
              <c16:uniqueId val="{00000005-8A2E-4BE3-90D5-30AD87620AAC}"/>
            </c:ext>
          </c:extLst>
        </c:ser>
        <c:dLbls>
          <c:showLegendKey val="0"/>
          <c:showVal val="0"/>
          <c:showCatName val="0"/>
          <c:showSerName val="0"/>
          <c:showPercent val="0"/>
          <c:showBubbleSize val="0"/>
        </c:dLbls>
        <c:gapWidth val="109"/>
        <c:overlap val="-68"/>
        <c:axId val="530096240"/>
        <c:axId val="530093944"/>
      </c:barChart>
      <c:catAx>
        <c:axId val="530096240"/>
        <c:scaling>
          <c:orientation val="minMax"/>
        </c:scaling>
        <c:delete val="1"/>
        <c:axPos val="l"/>
        <c:numFmt formatCode="General" sourceLinked="1"/>
        <c:majorTickMark val="none"/>
        <c:minorTickMark val="none"/>
        <c:tickLblPos val="nextTo"/>
        <c:crossAx val="530093944"/>
        <c:crosses val="autoZero"/>
        <c:auto val="1"/>
        <c:lblAlgn val="ctr"/>
        <c:lblOffset val="100"/>
        <c:noMultiLvlLbl val="0"/>
      </c:catAx>
      <c:valAx>
        <c:axId val="530093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09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Figure 7: Age education ceased</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'education pwd v others'!$S$9</c:f>
              <c:strCache>
                <c:ptCount val="1"/>
                <c:pt idx="0">
                  <c:v>people without a disability who have left education  </c:v>
                </c:pt>
              </c:strCache>
            </c:strRef>
          </c:tx>
          <c:spPr>
            <a:solidFill>
              <a:schemeClr val="accent1"/>
            </a:solidFill>
            <a:ln>
              <a:noFill/>
            </a:ln>
            <a:effectLst/>
          </c:spPr>
          <c:invertIfNegative val="0"/>
          <c:cat>
            <c:strRef>
              <c:f>'education pwd v others'!$R$10:$R$13</c:f>
              <c:strCache>
                <c:ptCount val="4"/>
                <c:pt idx="0">
                  <c:v>16 years or under</c:v>
                </c:pt>
                <c:pt idx="1">
                  <c:v>17-18</c:v>
                </c:pt>
                <c:pt idx="2">
                  <c:v>19-22</c:v>
                </c:pt>
                <c:pt idx="3">
                  <c:v>23+</c:v>
                </c:pt>
              </c:strCache>
            </c:strRef>
          </c:cat>
          <c:val>
            <c:numRef>
              <c:f>'education pwd v others'!$S$10:$S$13</c:f>
              <c:numCache>
                <c:formatCode>0.0</c:formatCode>
                <c:ptCount val="4"/>
                <c:pt idx="0">
                  <c:v>21.516577810913084</c:v>
                </c:pt>
                <c:pt idx="1">
                  <c:v>27.904120187370761</c:v>
                </c:pt>
                <c:pt idx="2">
                  <c:v>28.666488486263695</c:v>
                </c:pt>
                <c:pt idx="3">
                  <c:v>21.912813515452459</c:v>
                </c:pt>
              </c:numCache>
            </c:numRef>
          </c:val>
          <c:extLst>
            <c:ext xmlns:c16="http://schemas.microsoft.com/office/drawing/2014/chart" uri="{C3380CC4-5D6E-409C-BE32-E72D297353CC}">
              <c16:uniqueId val="{00000000-0702-4F17-A2F9-71B4E0B941FE}"/>
            </c:ext>
          </c:extLst>
        </c:ser>
        <c:ser>
          <c:idx val="1"/>
          <c:order val="1"/>
          <c:tx>
            <c:strRef>
              <c:f>'education pwd v others'!$T$9</c:f>
              <c:strCache>
                <c:ptCount val="1"/>
                <c:pt idx="0">
                  <c:v>people with a disability who have left education</c:v>
                </c:pt>
              </c:strCache>
            </c:strRef>
          </c:tx>
          <c:spPr>
            <a:solidFill>
              <a:schemeClr val="accent2"/>
            </a:solidFill>
            <a:ln>
              <a:noFill/>
            </a:ln>
            <a:effectLst/>
          </c:spPr>
          <c:invertIfNegative val="0"/>
          <c:cat>
            <c:strRef>
              <c:f>'education pwd v others'!$R$10:$R$13</c:f>
              <c:strCache>
                <c:ptCount val="4"/>
                <c:pt idx="0">
                  <c:v>16 years or under</c:v>
                </c:pt>
                <c:pt idx="1">
                  <c:v>17-18</c:v>
                </c:pt>
                <c:pt idx="2">
                  <c:v>19-22</c:v>
                </c:pt>
                <c:pt idx="3">
                  <c:v>23+</c:v>
                </c:pt>
              </c:strCache>
            </c:strRef>
          </c:cat>
          <c:val>
            <c:numRef>
              <c:f>'education pwd v others'!$T$10:$T$13</c:f>
              <c:numCache>
                <c:formatCode>0.0</c:formatCode>
                <c:ptCount val="4"/>
                <c:pt idx="0">
                  <c:v>46.041004421335813</c:v>
                </c:pt>
                <c:pt idx="1">
                  <c:v>24.24375855766737</c:v>
                </c:pt>
                <c:pt idx="2">
                  <c:v>15.596518424243156</c:v>
                </c:pt>
                <c:pt idx="3">
                  <c:v>14.118718596753666</c:v>
                </c:pt>
              </c:numCache>
            </c:numRef>
          </c:val>
          <c:extLst>
            <c:ext xmlns:c16="http://schemas.microsoft.com/office/drawing/2014/chart" uri="{C3380CC4-5D6E-409C-BE32-E72D297353CC}">
              <c16:uniqueId val="{00000001-0702-4F17-A2F9-71B4E0B941FE}"/>
            </c:ext>
          </c:extLst>
        </c:ser>
        <c:dLbls>
          <c:showLegendKey val="0"/>
          <c:showVal val="0"/>
          <c:showCatName val="0"/>
          <c:showSerName val="0"/>
          <c:showPercent val="0"/>
          <c:showBubbleSize val="0"/>
        </c:dLbls>
        <c:gapWidth val="219"/>
        <c:overlap val="-27"/>
        <c:axId val="506413264"/>
        <c:axId val="506414248"/>
      </c:barChart>
      <c:catAx>
        <c:axId val="50641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414248"/>
        <c:crosses val="autoZero"/>
        <c:auto val="1"/>
        <c:lblAlgn val="ctr"/>
        <c:lblOffset val="100"/>
        <c:noMultiLvlLbl val="0"/>
      </c:catAx>
      <c:valAx>
        <c:axId val="5064142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4132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Figure 8: Age full time education finished for people with</a:t>
            </a:r>
            <a:r>
              <a:rPr lang="en-IE" baseline="0"/>
              <a:t> a disability %</a:t>
            </a:r>
            <a:endParaRPr lang="en-IE"/>
          </a:p>
        </c:rich>
      </c:tx>
      <c:layout>
        <c:manualLayout>
          <c:xMode val="edge"/>
          <c:yMode val="edge"/>
          <c:x val="0.11802777777777776"/>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'education 16 v11'!$O$10</c:f>
              <c:strCache>
                <c:ptCount val="1"/>
                <c:pt idx="0">
                  <c:v>2011</c:v>
                </c:pt>
              </c:strCache>
            </c:strRef>
          </c:tx>
          <c:spPr>
            <a:solidFill>
              <a:schemeClr val="accent1"/>
            </a:solidFill>
            <a:ln>
              <a:noFill/>
            </a:ln>
            <a:effectLst/>
          </c:spPr>
          <c:invertIfNegative val="0"/>
          <c:cat>
            <c:strRef>
              <c:f>'education 16 v11'!$N$11:$N$16</c:f>
              <c:strCache>
                <c:ptCount val="6"/>
                <c:pt idx="0">
                  <c:v>16 years or under</c:v>
                </c:pt>
                <c:pt idx="1">
                  <c:v>17-18</c:v>
                </c:pt>
                <c:pt idx="2">
                  <c:v>19-22</c:v>
                </c:pt>
                <c:pt idx="3">
                  <c:v>23+</c:v>
                </c:pt>
                <c:pt idx="5">
                  <c:v>Still in education</c:v>
                </c:pt>
              </c:strCache>
            </c:strRef>
          </c:cat>
          <c:val>
            <c:numRef>
              <c:f>'education 16 v11'!$O$11:$O$16</c:f>
              <c:numCache>
                <c:formatCode>0.0</c:formatCode>
                <c:ptCount val="6"/>
                <c:pt idx="0">
                  <c:v>45.042683879027635</c:v>
                </c:pt>
                <c:pt idx="1">
                  <c:v>19.976055384935712</c:v>
                </c:pt>
                <c:pt idx="2">
                  <c:v>11.359377440008327</c:v>
                </c:pt>
                <c:pt idx="3">
                  <c:v>8.8069335276664411</c:v>
                </c:pt>
                <c:pt idx="5">
                  <c:v>14.814949768361878</c:v>
                </c:pt>
              </c:numCache>
            </c:numRef>
          </c:val>
          <c:extLst>
            <c:ext xmlns:c16="http://schemas.microsoft.com/office/drawing/2014/chart" uri="{C3380CC4-5D6E-409C-BE32-E72D297353CC}">
              <c16:uniqueId val="{00000000-98A7-4AD6-8B6A-E1696AB8824C}"/>
            </c:ext>
          </c:extLst>
        </c:ser>
        <c:ser>
          <c:idx val="1"/>
          <c:order val="1"/>
          <c:tx>
            <c:strRef>
              <c:f>'education 16 v11'!$P$10</c:f>
              <c:strCache>
                <c:ptCount val="1"/>
                <c:pt idx="0">
                  <c:v>2016</c:v>
                </c:pt>
              </c:strCache>
            </c:strRef>
          </c:tx>
          <c:spPr>
            <a:solidFill>
              <a:schemeClr val="accent2"/>
            </a:solidFill>
            <a:ln>
              <a:noFill/>
            </a:ln>
            <a:effectLst/>
          </c:spPr>
          <c:invertIfNegative val="0"/>
          <c:cat>
            <c:strRef>
              <c:f>'education 16 v11'!$N$11:$N$16</c:f>
              <c:strCache>
                <c:ptCount val="6"/>
                <c:pt idx="0">
                  <c:v>16 years or under</c:v>
                </c:pt>
                <c:pt idx="1">
                  <c:v>17-18</c:v>
                </c:pt>
                <c:pt idx="2">
                  <c:v>19-22</c:v>
                </c:pt>
                <c:pt idx="3">
                  <c:v>23+</c:v>
                </c:pt>
                <c:pt idx="5">
                  <c:v>Still in education</c:v>
                </c:pt>
              </c:strCache>
            </c:strRef>
          </c:cat>
          <c:val>
            <c:numRef>
              <c:f>'education 16 v11'!$P$11:$P$16</c:f>
              <c:numCache>
                <c:formatCode>0.0</c:formatCode>
                <c:ptCount val="6"/>
                <c:pt idx="0">
                  <c:v>37.918717927063717</c:v>
                </c:pt>
                <c:pt idx="1">
                  <c:v>19.966815533112435</c:v>
                </c:pt>
                <c:pt idx="2">
                  <c:v>12.84507126215232</c:v>
                </c:pt>
                <c:pt idx="3">
                  <c:v>11.627976293970661</c:v>
                </c:pt>
                <c:pt idx="5">
                  <c:v>17.641418983700863</c:v>
                </c:pt>
              </c:numCache>
            </c:numRef>
          </c:val>
          <c:extLst>
            <c:ext xmlns:c16="http://schemas.microsoft.com/office/drawing/2014/chart" uri="{C3380CC4-5D6E-409C-BE32-E72D297353CC}">
              <c16:uniqueId val="{00000001-98A7-4AD6-8B6A-E1696AB8824C}"/>
            </c:ext>
          </c:extLst>
        </c:ser>
        <c:dLbls>
          <c:showLegendKey val="0"/>
          <c:showVal val="0"/>
          <c:showCatName val="0"/>
          <c:showSerName val="0"/>
          <c:showPercent val="0"/>
          <c:showBubbleSize val="0"/>
        </c:dLbls>
        <c:gapWidth val="219"/>
        <c:overlap val="-27"/>
        <c:axId val="425616576"/>
        <c:axId val="425615592"/>
      </c:barChart>
      <c:catAx>
        <c:axId val="42561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5615592"/>
        <c:crosses val="autoZero"/>
        <c:auto val="1"/>
        <c:lblAlgn val="ctr"/>
        <c:lblOffset val="100"/>
        <c:noMultiLvlLbl val="0"/>
      </c:catAx>
      <c:valAx>
        <c:axId val="4256155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56165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Figure 9: Highest level of education completed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630752405949257"/>
          <c:y val="0.17171296296296296"/>
          <c:w val="0.8231369203849519"/>
          <c:h val="0.454611402741324"/>
        </c:manualLayout>
      </c:layout>
      <c:barChart>
        <c:barDir val="col"/>
        <c:grouping val="clustered"/>
        <c:varyColors val="0"/>
        <c:ser>
          <c:idx val="0"/>
          <c:order val="0"/>
          <c:tx>
            <c:strRef>
              <c:f>'third level qualification'!$C$125</c:f>
              <c:strCache>
                <c:ptCount val="1"/>
              </c:strCache>
            </c:strRef>
          </c:tx>
          <c:spPr>
            <a:solidFill>
              <a:schemeClr val="accent1"/>
            </a:solidFill>
            <a:ln>
              <a:noFill/>
            </a:ln>
            <a:effectLst/>
          </c:spPr>
          <c:invertIfNegative val="0"/>
          <c:cat>
            <c:strRef>
              <c:f>'third level qualification'!$D$124:$R$124</c:f>
              <c:strCache>
                <c:ptCount val="15"/>
                <c:pt idx="1">
                  <c:v>No formal education</c:v>
                </c:pt>
                <c:pt idx="2">
                  <c:v>Primary</c:v>
                </c:pt>
                <c:pt idx="3">
                  <c:v>Lower secondary</c:v>
                </c:pt>
                <c:pt idx="4">
                  <c:v>Upper secondary</c:v>
                </c:pt>
                <c:pt idx="5">
                  <c:v>Technical/vocational</c:v>
                </c:pt>
                <c:pt idx="6">
                  <c:v>Advanced certificate/completed apprenticeship</c:v>
                </c:pt>
                <c:pt idx="7">
                  <c:v>Higher certificate</c:v>
                </c:pt>
                <c:pt idx="8">
                  <c:v>Ordinary bachelor degree/professional qualification or both</c:v>
                </c:pt>
                <c:pt idx="9">
                  <c:v>Honours bachelor degree/professional qualification or both</c:v>
                </c:pt>
                <c:pt idx="10">
                  <c:v>Postgraduate diploma or degree</c:v>
                </c:pt>
                <c:pt idx="11">
                  <c:v>Doctorate (Ph.D.)</c:v>
                </c:pt>
                <c:pt idx="12">
                  <c:v>Not stated</c:v>
                </c:pt>
                <c:pt idx="13">
                  <c:v>Economic status - total at school, university, etc.</c:v>
                </c:pt>
                <c:pt idx="14">
                  <c:v>Economic status - other</c:v>
                </c:pt>
              </c:strCache>
            </c:strRef>
          </c:cat>
          <c:val>
            <c:numRef>
              <c:f>'third level qualification'!$D$125:$R$125</c:f>
              <c:numCache>
                <c:formatCode>General</c:formatCode>
                <c:ptCount val="15"/>
              </c:numCache>
            </c:numRef>
          </c:val>
          <c:extLst>
            <c:ext xmlns:c16="http://schemas.microsoft.com/office/drawing/2014/chart" uri="{C3380CC4-5D6E-409C-BE32-E72D297353CC}">
              <c16:uniqueId val="{00000000-AE2D-466F-942D-BB2F771DC7AD}"/>
            </c:ext>
          </c:extLst>
        </c:ser>
        <c:ser>
          <c:idx val="1"/>
          <c:order val="1"/>
          <c:tx>
            <c:strRef>
              <c:f>'third level qualification'!$C$126</c:f>
              <c:strCache>
                <c:ptCount val="1"/>
              </c:strCache>
            </c:strRef>
          </c:tx>
          <c:spPr>
            <a:solidFill>
              <a:schemeClr val="accent2"/>
            </a:solidFill>
            <a:ln>
              <a:noFill/>
            </a:ln>
            <a:effectLst/>
          </c:spPr>
          <c:invertIfNegative val="0"/>
          <c:cat>
            <c:strRef>
              <c:f>'third level qualification'!$D$124:$R$124</c:f>
              <c:strCache>
                <c:ptCount val="15"/>
                <c:pt idx="1">
                  <c:v>No formal education</c:v>
                </c:pt>
                <c:pt idx="2">
                  <c:v>Primary</c:v>
                </c:pt>
                <c:pt idx="3">
                  <c:v>Lower secondary</c:v>
                </c:pt>
                <c:pt idx="4">
                  <c:v>Upper secondary</c:v>
                </c:pt>
                <c:pt idx="5">
                  <c:v>Technical/vocational</c:v>
                </c:pt>
                <c:pt idx="6">
                  <c:v>Advanced certificate/completed apprenticeship</c:v>
                </c:pt>
                <c:pt idx="7">
                  <c:v>Higher certificate</c:v>
                </c:pt>
                <c:pt idx="8">
                  <c:v>Ordinary bachelor degree/professional qualification or both</c:v>
                </c:pt>
                <c:pt idx="9">
                  <c:v>Honours bachelor degree/professional qualification or both</c:v>
                </c:pt>
                <c:pt idx="10">
                  <c:v>Postgraduate diploma or degree</c:v>
                </c:pt>
                <c:pt idx="11">
                  <c:v>Doctorate (Ph.D.)</c:v>
                </c:pt>
                <c:pt idx="12">
                  <c:v>Not stated</c:v>
                </c:pt>
                <c:pt idx="13">
                  <c:v>Economic status - total at school, university, etc.</c:v>
                </c:pt>
                <c:pt idx="14">
                  <c:v>Economic status - other</c:v>
                </c:pt>
              </c:strCache>
            </c:strRef>
          </c:cat>
          <c:val>
            <c:numRef>
              <c:f>'third level qualification'!$D$126:$R$126</c:f>
              <c:numCache>
                <c:formatCode>General</c:formatCode>
                <c:ptCount val="15"/>
              </c:numCache>
            </c:numRef>
          </c:val>
          <c:extLst>
            <c:ext xmlns:c16="http://schemas.microsoft.com/office/drawing/2014/chart" uri="{C3380CC4-5D6E-409C-BE32-E72D297353CC}">
              <c16:uniqueId val="{00000001-AE2D-466F-942D-BB2F771DC7AD}"/>
            </c:ext>
          </c:extLst>
        </c:ser>
        <c:ser>
          <c:idx val="2"/>
          <c:order val="2"/>
          <c:tx>
            <c:strRef>
              <c:f>'third level qualification'!$C$127</c:f>
              <c:strCache>
                <c:ptCount val="1"/>
                <c:pt idx="0">
                  <c:v>Total persons</c:v>
                </c:pt>
              </c:strCache>
            </c:strRef>
          </c:tx>
          <c:spPr>
            <a:solidFill>
              <a:schemeClr val="accent3"/>
            </a:solidFill>
            <a:ln>
              <a:noFill/>
            </a:ln>
            <a:effectLst/>
          </c:spPr>
          <c:invertIfNegative val="0"/>
          <c:cat>
            <c:strRef>
              <c:f>'third level qualification'!$D$124:$R$124</c:f>
              <c:strCache>
                <c:ptCount val="15"/>
                <c:pt idx="1">
                  <c:v>No formal education</c:v>
                </c:pt>
                <c:pt idx="2">
                  <c:v>Primary</c:v>
                </c:pt>
                <c:pt idx="3">
                  <c:v>Lower secondary</c:v>
                </c:pt>
                <c:pt idx="4">
                  <c:v>Upper secondary</c:v>
                </c:pt>
                <c:pt idx="5">
                  <c:v>Technical/vocational</c:v>
                </c:pt>
                <c:pt idx="6">
                  <c:v>Advanced certificate/completed apprenticeship</c:v>
                </c:pt>
                <c:pt idx="7">
                  <c:v>Higher certificate</c:v>
                </c:pt>
                <c:pt idx="8">
                  <c:v>Ordinary bachelor degree/professional qualification or both</c:v>
                </c:pt>
                <c:pt idx="9">
                  <c:v>Honours bachelor degree/professional qualification or both</c:v>
                </c:pt>
                <c:pt idx="10">
                  <c:v>Postgraduate diploma or degree</c:v>
                </c:pt>
                <c:pt idx="11">
                  <c:v>Doctorate (Ph.D.)</c:v>
                </c:pt>
                <c:pt idx="12">
                  <c:v>Not stated</c:v>
                </c:pt>
                <c:pt idx="13">
                  <c:v>Economic status - total at school, university, etc.</c:v>
                </c:pt>
                <c:pt idx="14">
                  <c:v>Economic status - other</c:v>
                </c:pt>
              </c:strCache>
            </c:strRef>
          </c:cat>
          <c:val>
            <c:numRef>
              <c:f>'third level qualification'!$D$127:$R$127</c:f>
              <c:numCache>
                <c:formatCode>0.0</c:formatCode>
                <c:ptCount val="15"/>
                <c:pt idx="1">
                  <c:v>1.3904034097823539</c:v>
                </c:pt>
                <c:pt idx="2">
                  <c:v>8.9016281732042053</c:v>
                </c:pt>
                <c:pt idx="3">
                  <c:v>11.976791282111506</c:v>
                </c:pt>
                <c:pt idx="4">
                  <c:v>15.275504332128907</c:v>
                </c:pt>
                <c:pt idx="5">
                  <c:v>7.2306090064929345</c:v>
                </c:pt>
                <c:pt idx="6">
                  <c:v>4.8549348616213885</c:v>
                </c:pt>
                <c:pt idx="7">
                  <c:v>4.0835743918016956</c:v>
                </c:pt>
                <c:pt idx="8">
                  <c:v>6.3141740781660545</c:v>
                </c:pt>
                <c:pt idx="9">
                  <c:v>8.8219810172946982</c:v>
                </c:pt>
                <c:pt idx="10">
                  <c:v>7.5654679117293293</c:v>
                </c:pt>
                <c:pt idx="11">
                  <c:v>0.76582165055216445</c:v>
                </c:pt>
                <c:pt idx="12">
                  <c:v>5.2903180107756667</c:v>
                </c:pt>
                <c:pt idx="13">
                  <c:v>11.373965365869637</c:v>
                </c:pt>
                <c:pt idx="14">
                  <c:v>6.1548265084694673</c:v>
                </c:pt>
              </c:numCache>
            </c:numRef>
          </c:val>
          <c:extLst>
            <c:ext xmlns:c16="http://schemas.microsoft.com/office/drawing/2014/chart" uri="{C3380CC4-5D6E-409C-BE32-E72D297353CC}">
              <c16:uniqueId val="{00000002-AE2D-466F-942D-BB2F771DC7AD}"/>
            </c:ext>
          </c:extLst>
        </c:ser>
        <c:ser>
          <c:idx val="3"/>
          <c:order val="3"/>
          <c:tx>
            <c:strRef>
              <c:f>'third level qualification'!$C$128</c:f>
              <c:strCache>
                <c:ptCount val="1"/>
                <c:pt idx="0">
                  <c:v>Total persons with a disability</c:v>
                </c:pt>
              </c:strCache>
            </c:strRef>
          </c:tx>
          <c:spPr>
            <a:solidFill>
              <a:schemeClr val="accent4"/>
            </a:solidFill>
            <a:ln>
              <a:noFill/>
            </a:ln>
            <a:effectLst/>
          </c:spPr>
          <c:invertIfNegative val="0"/>
          <c:cat>
            <c:strRef>
              <c:f>'third level qualification'!$D$124:$R$124</c:f>
              <c:strCache>
                <c:ptCount val="15"/>
                <c:pt idx="1">
                  <c:v>No formal education</c:v>
                </c:pt>
                <c:pt idx="2">
                  <c:v>Primary</c:v>
                </c:pt>
                <c:pt idx="3">
                  <c:v>Lower secondary</c:v>
                </c:pt>
                <c:pt idx="4">
                  <c:v>Upper secondary</c:v>
                </c:pt>
                <c:pt idx="5">
                  <c:v>Technical/vocational</c:v>
                </c:pt>
                <c:pt idx="6">
                  <c:v>Advanced certificate/completed apprenticeship</c:v>
                </c:pt>
                <c:pt idx="7">
                  <c:v>Higher certificate</c:v>
                </c:pt>
                <c:pt idx="8">
                  <c:v>Ordinary bachelor degree/professional qualification or both</c:v>
                </c:pt>
                <c:pt idx="9">
                  <c:v>Honours bachelor degree/professional qualification or both</c:v>
                </c:pt>
                <c:pt idx="10">
                  <c:v>Postgraduate diploma or degree</c:v>
                </c:pt>
                <c:pt idx="11">
                  <c:v>Doctorate (Ph.D.)</c:v>
                </c:pt>
                <c:pt idx="12">
                  <c:v>Not stated</c:v>
                </c:pt>
                <c:pt idx="13">
                  <c:v>Economic status - total at school, university, etc.</c:v>
                </c:pt>
                <c:pt idx="14">
                  <c:v>Economic status - other</c:v>
                </c:pt>
              </c:strCache>
            </c:strRef>
          </c:cat>
          <c:val>
            <c:numRef>
              <c:f>'third level qualification'!$D$128:$R$128</c:f>
              <c:numCache>
                <c:formatCode>0.0</c:formatCode>
                <c:ptCount val="15"/>
                <c:pt idx="1">
                  <c:v>4.9939645061596281</c:v>
                </c:pt>
                <c:pt idx="2">
                  <c:v>20.791891035793476</c:v>
                </c:pt>
                <c:pt idx="3">
                  <c:v>16.340864145742195</c:v>
                </c:pt>
                <c:pt idx="4">
                  <c:v>13.53405987552329</c:v>
                </c:pt>
                <c:pt idx="5">
                  <c:v>6.9064883699030046</c:v>
                </c:pt>
                <c:pt idx="6">
                  <c:v>3.5731835731835733</c:v>
                </c:pt>
                <c:pt idx="7">
                  <c:v>3.0713386810947787</c:v>
                </c:pt>
                <c:pt idx="8">
                  <c:v>4.3787721836502325</c:v>
                </c:pt>
                <c:pt idx="9">
                  <c:v>4.4571907986542136</c:v>
                </c:pt>
                <c:pt idx="10">
                  <c:v>3.7719696256281625</c:v>
                </c:pt>
                <c:pt idx="11">
                  <c:v>0.47787413641072179</c:v>
                </c:pt>
                <c:pt idx="12">
                  <c:v>5.5416962734035904</c:v>
                </c:pt>
                <c:pt idx="13">
                  <c:v>6.7592394421662716</c:v>
                </c:pt>
                <c:pt idx="14">
                  <c:v>5.4014673526868648</c:v>
                </c:pt>
              </c:numCache>
            </c:numRef>
          </c:val>
          <c:extLst>
            <c:ext xmlns:c16="http://schemas.microsoft.com/office/drawing/2014/chart" uri="{C3380CC4-5D6E-409C-BE32-E72D297353CC}">
              <c16:uniqueId val="{00000003-AE2D-466F-942D-BB2F771DC7AD}"/>
            </c:ext>
          </c:extLst>
        </c:ser>
        <c:dLbls>
          <c:showLegendKey val="0"/>
          <c:showVal val="0"/>
          <c:showCatName val="0"/>
          <c:showSerName val="0"/>
          <c:showPercent val="0"/>
          <c:showBubbleSize val="0"/>
        </c:dLbls>
        <c:gapWidth val="219"/>
        <c:overlap val="-27"/>
        <c:axId val="583304584"/>
        <c:axId val="583304912"/>
      </c:barChart>
      <c:catAx>
        <c:axId val="583304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304912"/>
        <c:crosses val="autoZero"/>
        <c:auto val="1"/>
        <c:lblAlgn val="ctr"/>
        <c:lblOffset val="100"/>
        <c:noMultiLvlLbl val="0"/>
      </c:catAx>
      <c:valAx>
        <c:axId val="58330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304584"/>
        <c:crosses val="autoZero"/>
        <c:crossBetween val="between"/>
      </c:valAx>
      <c:spPr>
        <a:noFill/>
        <a:ln>
          <a:noFill/>
        </a:ln>
        <a:effectLst/>
      </c:spPr>
    </c:plotArea>
    <c:legend>
      <c:legendPos val="b"/>
      <c:legendEntry>
        <c:idx val="0"/>
        <c:delete val="1"/>
      </c:legendEntry>
      <c:legendEntry>
        <c:idx val="1"/>
        <c:delete val="1"/>
      </c:legendEntry>
      <c:layout>
        <c:manualLayout>
          <c:xMode val="edge"/>
          <c:yMode val="edge"/>
          <c:x val="0.70625437445319328"/>
          <c:y val="0.17650408282298047"/>
          <c:w val="0.29304658792650917"/>
          <c:h val="0.184607028288130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NDA Style 2011.dot</Template>
  <TotalTime>22</TotalTime>
  <Pages>12</Pages>
  <Words>1650</Words>
  <Characters>8406</Characters>
  <Application>Microsoft Office Word</Application>
  <DocSecurity>0</DocSecurity>
  <Lines>70</Lines>
  <Paragraphs>20</Paragraphs>
  <ScaleCrop>false</ScaleCrop>
  <HeadingPairs>
    <vt:vector size="2" baseType="variant">
      <vt:variant>
        <vt:lpstr>Title</vt:lpstr>
      </vt:variant>
      <vt:variant>
        <vt:i4>1</vt:i4>
      </vt:variant>
    </vt:vector>
  </HeadingPairs>
  <TitlesOfParts>
    <vt:vector size="1" baseType="lpstr">
      <vt:lpstr/>
    </vt:vector>
  </TitlesOfParts>
  <Company>National Disability Authority</Company>
  <LinksUpToDate>false</LinksUpToDate>
  <CharactersWithSpaces>10036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Damhnait O'Malley</dc:creator>
  <cp:keywords/>
  <cp:lastModifiedBy>Jacinta G. Byrne</cp:lastModifiedBy>
  <cp:revision>7</cp:revision>
  <cp:lastPrinted>2018-11-30T11:54:00Z</cp:lastPrinted>
  <dcterms:created xsi:type="dcterms:W3CDTF">2018-11-29T09:28:00Z</dcterms:created>
  <dcterms:modified xsi:type="dcterms:W3CDTF">2018-11-30T11:56:00Z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awcVerifyStyleSequence">
    <vt:lpwstr>wdStyleTitle, %</vt:lpwstr>
  </property>
</Properties>
</file>