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B9" w:rsidRDefault="002138B9" w:rsidP="002138B9">
      <w:pPr>
        <w:pStyle w:val="Title"/>
        <w:spacing w:before="960" w:after="5760"/>
        <w:rPr>
          <w:sz w:val="96"/>
          <w:szCs w:val="96"/>
        </w:rPr>
      </w:pPr>
      <w:r>
        <w:rPr>
          <w:sz w:val="96"/>
          <w:szCs w:val="96"/>
        </w:rPr>
        <w:t>NDA Factsheet 3: NEET</w:t>
      </w:r>
    </w:p>
    <w:p w:rsidR="002138B9" w:rsidRDefault="002138B9" w:rsidP="002138B9">
      <w:pPr>
        <w:spacing w:after="600"/>
        <w:rPr>
          <w:b/>
          <w:sz w:val="32"/>
          <w:szCs w:val="32"/>
        </w:rPr>
      </w:pPr>
      <w:r>
        <w:rPr>
          <w:b/>
          <w:sz w:val="32"/>
          <w:szCs w:val="32"/>
        </w:rPr>
        <w:t>September 2019</w:t>
      </w:r>
    </w:p>
    <w:p w:rsidR="002138B9" w:rsidRDefault="002138B9" w:rsidP="002138B9">
      <w:pPr>
        <w:spacing w:after="0"/>
      </w:pPr>
      <w:r>
        <w:rPr>
          <w:noProof/>
          <w:lang w:eastAsia="en-IE"/>
        </w:rPr>
        <w:lastRenderedPageBreak/>
        <w:drawing>
          <wp:inline distT="0" distB="0" distL="0" distR="0" wp14:anchorId="2A2E91F5" wp14:editId="57A23826">
            <wp:extent cx="2524125" cy="1800225"/>
            <wp:effectExtent l="0" t="0" r="0" b="9525"/>
            <wp:docPr id="1" name="Picture 1" descr="NDA Logo" title="NDA Logo"/>
            <wp:cNvGraphicFramePr/>
            <a:graphic xmlns:a="http://schemas.openxmlformats.org/drawingml/2006/main">
              <a:graphicData uri="http://schemas.openxmlformats.org/drawingml/2006/picture">
                <pic:pic xmlns:pic="http://schemas.openxmlformats.org/drawingml/2006/picture">
                  <pic:nvPicPr>
                    <pic:cNvPr id="5" name="Picture 5" descr="NDA Logo" title="ND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315" cy="1800860"/>
                    </a:xfrm>
                    <a:prstGeom prst="rect">
                      <a:avLst/>
                    </a:prstGeom>
                  </pic:spPr>
                </pic:pic>
              </a:graphicData>
            </a:graphic>
          </wp:inline>
        </w:drawing>
      </w:r>
      <w:r>
        <w:br w:type="page"/>
      </w:r>
    </w:p>
    <w:p w:rsidR="00B20DDC" w:rsidRDefault="008354B1" w:rsidP="003E7EE9">
      <w:pPr>
        <w:pStyle w:val="Heading1"/>
      </w:pPr>
      <w:r>
        <w:lastRenderedPageBreak/>
        <w:t>I</w:t>
      </w:r>
      <w:r w:rsidR="001C496B">
        <w:t>ntroduction</w:t>
      </w:r>
    </w:p>
    <w:p w:rsidR="003D2930" w:rsidRDefault="00AC6100" w:rsidP="00AE299C">
      <w:r>
        <w:t>This factsheet looks at disability and employment</w:t>
      </w:r>
      <w:r w:rsidR="003D2930">
        <w:t xml:space="preserve"> of young people</w:t>
      </w:r>
      <w:r w:rsidR="0079724E">
        <w:t xml:space="preserve">. </w:t>
      </w:r>
      <w:r w:rsidR="003D2930">
        <w:t xml:space="preserve">In particular it looks </w:t>
      </w:r>
      <w:r w:rsidR="00EA50F0">
        <w:t xml:space="preserve">at young people with a disability </w:t>
      </w:r>
      <w:r w:rsidR="003D2930">
        <w:t>who are Not in Employment, Education or Training</w:t>
      </w:r>
      <w:r w:rsidR="00BE5638">
        <w:t xml:space="preserve"> </w:t>
      </w:r>
      <w:r w:rsidR="007A111B">
        <w:t>(</w:t>
      </w:r>
      <w:r w:rsidR="008104F5">
        <w:t>NEET</w:t>
      </w:r>
      <w:r w:rsidR="007A111B">
        <w:t>)</w:t>
      </w:r>
      <w:r w:rsidR="003D2930">
        <w:t xml:space="preserve">. </w:t>
      </w:r>
    </w:p>
    <w:p w:rsidR="004F16A7" w:rsidRDefault="004F16A7" w:rsidP="003E7EE9">
      <w:pPr>
        <w:pStyle w:val="Heading1"/>
      </w:pPr>
      <w:r>
        <w:t>Definitions</w:t>
      </w:r>
    </w:p>
    <w:p w:rsidR="00AE299C" w:rsidRDefault="00AE299C" w:rsidP="003F3247">
      <w:r w:rsidRPr="009E3E4B">
        <w:t>A</w:t>
      </w:r>
      <w:r w:rsidR="008104F5">
        <w:t xml:space="preserve"> NEET</w:t>
      </w:r>
      <w:r w:rsidRPr="009E3E4B">
        <w:t xml:space="preserve"> </w:t>
      </w:r>
      <w:r w:rsidR="007A111B">
        <w:t>is the term used to describe</w:t>
      </w:r>
      <w:r w:rsidRPr="009E3E4B">
        <w:t xml:space="preserve"> a young person </w:t>
      </w:r>
      <w:r w:rsidR="004F16A7">
        <w:t xml:space="preserve">usually aged 16 to 24 </w:t>
      </w:r>
      <w:r w:rsidRPr="009E3E4B">
        <w:t>who is "Not in Education, Employment, or Training".</w:t>
      </w:r>
      <w:r w:rsidR="001967B2">
        <w:t xml:space="preserve"> </w:t>
      </w:r>
      <w:r w:rsidR="001967B2" w:rsidRPr="001967B2">
        <w:t xml:space="preserve">Employment is defined according to the </w:t>
      </w:r>
      <w:r w:rsidR="000D49DE">
        <w:t>International Labour Organisation (</w:t>
      </w:r>
      <w:r w:rsidR="001967B2" w:rsidRPr="001967B2">
        <w:t>ILO</w:t>
      </w:r>
      <w:r w:rsidR="000D49DE">
        <w:t>)</w:t>
      </w:r>
      <w:r w:rsidR="001967B2" w:rsidRPr="001967B2">
        <w:t xml:space="preserve"> Guidelines and covers all those who have been in paid work for at least one hour in the reference week of the survey or were temporarily absent from such work. Therefore </w:t>
      </w:r>
      <w:r w:rsidR="00A7300C">
        <w:t>a</w:t>
      </w:r>
      <w:r w:rsidR="008104F5">
        <w:t xml:space="preserve"> </w:t>
      </w:r>
      <w:r w:rsidR="00A7300C">
        <w:t xml:space="preserve">person </w:t>
      </w:r>
      <w:r w:rsidR="00E83AF4">
        <w:t>who is NEET</w:t>
      </w:r>
      <w:r w:rsidR="00E83AF4" w:rsidRPr="001967B2">
        <w:t xml:space="preserve"> </w:t>
      </w:r>
      <w:r w:rsidR="001967B2" w:rsidRPr="001967B2">
        <w:t>can be either unemployed or inactive and not involved in education or training. Young people who are neither in employment nor in education or training are at ris</w:t>
      </w:r>
      <w:r w:rsidR="00E83AF4">
        <w:t xml:space="preserve">k of becoming socially excluded, poor and without the </w:t>
      </w:r>
      <w:r w:rsidR="001967B2" w:rsidRPr="001967B2">
        <w:t>skills to improve their economic situation.</w:t>
      </w:r>
    </w:p>
    <w:p w:rsidR="00EA50F0" w:rsidRDefault="00EA50F0" w:rsidP="003F3247">
      <w:r>
        <w:t>The definition of a ‘young’ person’ can vary depending on the study or country. Usually a young person, for the purpose of NEET, is defined as someone between the ages of 15 and 24 and this is the definition used for most of this document. Occasionally the paper uses a broader definition of young to include people under 30 – this is to make comparison purposes and to illustrate the dynamics of the NEET category. Further analysis (not shown) has highlighted that changes in the age category do not change the conclusions outlined below.</w:t>
      </w:r>
    </w:p>
    <w:p w:rsidR="00EA50F0" w:rsidRDefault="00EA50F0" w:rsidP="003F3247">
      <w:r>
        <w:t xml:space="preserve">The final definition is ‘disability’. For all the Irish analysis we follow the </w:t>
      </w:r>
      <w:r w:rsidR="000D49DE">
        <w:t>Central Statistics Office</w:t>
      </w:r>
      <w:r w:rsidR="007A111B">
        <w:t>’s</w:t>
      </w:r>
      <w:r w:rsidR="000D49DE">
        <w:t xml:space="preserve"> (</w:t>
      </w:r>
      <w:r>
        <w:t>CSO</w:t>
      </w:r>
      <w:r w:rsidR="000D49DE">
        <w:t>)</w:t>
      </w:r>
      <w:r>
        <w:t xml:space="preserve"> definition of disability and define disability as anyone who ticked yes to either of the Census disability questions. However to allow for international comparison a more restrictive definition of disability is used. Therefore it is not possible to read across the Irish rate of NEET to the international definition of NEET. </w:t>
      </w:r>
    </w:p>
    <w:p w:rsidR="00EA50F0" w:rsidRDefault="00B15BF6" w:rsidP="003E7EE9">
      <w:pPr>
        <w:pStyle w:val="Heading1"/>
      </w:pPr>
      <w:r>
        <w:lastRenderedPageBreak/>
        <w:t xml:space="preserve">Consequences of being </w:t>
      </w:r>
      <w:r w:rsidR="00EA50F0">
        <w:t>NEET</w:t>
      </w:r>
    </w:p>
    <w:p w:rsidR="004F16A7" w:rsidRDefault="00163187" w:rsidP="001967B2">
      <w:r>
        <w:t>Studies have shown that time spent</w:t>
      </w:r>
      <w:r w:rsidR="008104F5">
        <w:t xml:space="preserve"> NEET</w:t>
      </w:r>
      <w:r>
        <w:t xml:space="preserve"> can have a detrimental effect on physical and mental health, and increase the likelihood of unemployment, low wages, or low quality of work later on in life.</w:t>
      </w:r>
      <w:r>
        <w:rPr>
          <w:rStyle w:val="FootnoteReference"/>
        </w:rPr>
        <w:footnoteReference w:id="1"/>
      </w:r>
      <w:r w:rsidR="001967B2">
        <w:t xml:space="preserve"> By age 21, young people who have been</w:t>
      </w:r>
      <w:r w:rsidR="008104F5">
        <w:t xml:space="preserve"> NEET</w:t>
      </w:r>
      <w:r w:rsidR="001967B2">
        <w:t xml:space="preserve"> for six months or more are more likely than their peers to be unemployed, earn less, receive no training, have a criminal record, suffer from poor health and depression (UK Social Exclusion Unit, 1999</w:t>
      </w:r>
      <w:r w:rsidR="00E83AF4">
        <w:t xml:space="preserve">, </w:t>
      </w:r>
      <w:r w:rsidR="00504A71" w:rsidRPr="00504A71">
        <w:t>Gardner et al 2017</w:t>
      </w:r>
      <w:r w:rsidR="00E83AF4">
        <w:t>,</w:t>
      </w:r>
      <w:r w:rsidR="00E83AF4" w:rsidRPr="00E83AF4">
        <w:t xml:space="preserve"> </w:t>
      </w:r>
      <w:r w:rsidR="00E83AF4">
        <w:t>Sissons &amp; Jones, 2012</w:t>
      </w:r>
      <w:r w:rsidR="00504A71" w:rsidRPr="00504A71">
        <w:t>)</w:t>
      </w:r>
      <w:r w:rsidR="00E83AF4">
        <w:t>.</w:t>
      </w:r>
    </w:p>
    <w:p w:rsidR="00BE5638" w:rsidRDefault="00BE5638" w:rsidP="00BE5638">
      <w:r>
        <w:t xml:space="preserve">NEET, is </w:t>
      </w:r>
      <w:r w:rsidR="00E83AF4">
        <w:t xml:space="preserve">therefore </w:t>
      </w:r>
      <w:r>
        <w:t xml:space="preserve">a serious social problem, with major implications </w:t>
      </w:r>
      <w:r w:rsidR="00E83AF4">
        <w:t>both for the individual</w:t>
      </w:r>
      <w:r>
        <w:t xml:space="preserve"> (e.g. poorer well-being/self-confidence, increased involvement in crime, reduced employability) and society (e.g. increased benefit and health</w:t>
      </w:r>
      <w:r w:rsidR="00E83AF4">
        <w:t>care costs, lost tax revenues)</w:t>
      </w:r>
      <w:r>
        <w:t>.</w:t>
      </w:r>
    </w:p>
    <w:p w:rsidR="00D818F8" w:rsidRDefault="00D818F8" w:rsidP="003E7EE9">
      <w:pPr>
        <w:pStyle w:val="Heading1"/>
      </w:pPr>
      <w:r>
        <w:t xml:space="preserve">Policy context </w:t>
      </w:r>
    </w:p>
    <w:p w:rsidR="002F4F95" w:rsidRDefault="002F4F95" w:rsidP="002F4F95">
      <w:r>
        <w:t xml:space="preserve">Gardner et al (2017) quote a Eurofound (2012) report that found that those with a disability or health issue are 40% more likely to be NEET than those in good health. Additional research found that at the individual level disability is a strong predictor of NEET status, especially among males (OECD, 2016). </w:t>
      </w:r>
    </w:p>
    <w:p w:rsidR="002F4F95" w:rsidRDefault="002F4F95" w:rsidP="002F4F95">
      <w:r>
        <w:t>The OECD, in its 2011 Country Report on Ireland, noted that no effective national programme of pre-activation exists in Ireland, a critical gap in terms of encouraging and supporting people with disabilities to find work.</w:t>
      </w:r>
    </w:p>
    <w:p w:rsidR="002F4F95" w:rsidRDefault="00EA50F0" w:rsidP="002F4F95">
      <w:r>
        <w:lastRenderedPageBreak/>
        <w:t xml:space="preserve">The </w:t>
      </w:r>
      <w:r w:rsidR="002F4F95">
        <w:t>OECD report on Ireland 2013 said the people with disabilities ‘require specific, targeted early intervention that incorporates a step by step approach to assist them to bridge educational and other gaps and progress into employment’</w:t>
      </w:r>
      <w:r w:rsidR="00C4282E">
        <w:t>.</w:t>
      </w:r>
    </w:p>
    <w:p w:rsidR="002F4F95" w:rsidRDefault="002F4F95" w:rsidP="002F4F95">
      <w:r>
        <w:t>A report by Judge et al (2017) for the Department of Social Protection on the recipients of Disability Allowance highlighted that many unemployed people with a disability wanted to work part time.</w:t>
      </w:r>
    </w:p>
    <w:p w:rsidR="002F4F95" w:rsidRDefault="002F4F95" w:rsidP="002F4F95">
      <w:r>
        <w:t>Gardner et al (2017) noted that of those identified as ‘inactive’ NEET</w:t>
      </w:r>
      <w:r w:rsidR="00C4282E">
        <w:t>,</w:t>
      </w:r>
      <w:r>
        <w:t xml:space="preserve"> 20% describe themselves as disabled. Furthermore in 2014, Ireland had the highest rate of young unemployment and disability benefit recipients among the OECD.</w:t>
      </w:r>
    </w:p>
    <w:p w:rsidR="00317379" w:rsidRDefault="002F4F95" w:rsidP="00317379">
      <w:r>
        <w:t xml:space="preserve">Ireland’s rate of youth disability benefit recipients was approximately 5% - well above the OECD average of 2% and was the highest of the OECD countries. </w:t>
      </w:r>
    </w:p>
    <w:p w:rsidR="002F4F95" w:rsidRPr="00317379" w:rsidRDefault="00317379" w:rsidP="00317379">
      <w:r>
        <w:t>Similarly a report by the– Academic N</w:t>
      </w:r>
      <w:r w:rsidRPr="00317379">
        <w:t xml:space="preserve">etwork of European </w:t>
      </w:r>
      <w:r>
        <w:t>D</w:t>
      </w:r>
      <w:r w:rsidRPr="00317379">
        <w:t xml:space="preserve">isability </w:t>
      </w:r>
      <w:r>
        <w:t>E</w:t>
      </w:r>
      <w:r w:rsidRPr="00317379">
        <w:t xml:space="preserve">xperts produced a report in May 2017 that looked at how employment, skills varied across EU counties, they make the point that Ireland is one of the </w:t>
      </w:r>
      <w:r w:rsidR="00454FF5" w:rsidRPr="00317379">
        <w:t>countries</w:t>
      </w:r>
      <w:r w:rsidRPr="00317379">
        <w:t xml:space="preserve"> with the highest percentage of recipients of disability benefits </w:t>
      </w:r>
      <w:r w:rsidR="00454FF5">
        <w:t xml:space="preserve">(aged 16-64) </w:t>
      </w:r>
    </w:p>
    <w:p w:rsidR="00D818F8" w:rsidRDefault="00D818F8" w:rsidP="00D818F8">
      <w:r>
        <w:t>The Irish government’s policy for job creation and employment is framed by two key documents, the Action Plan</w:t>
      </w:r>
      <w:r w:rsidR="00C4282E">
        <w:t xml:space="preserve"> for Jobs and Pathways to Work, o</w:t>
      </w:r>
      <w:r>
        <w:t>verseen by the Department of Jobs, Ent</w:t>
      </w:r>
      <w:r w:rsidR="00C4282E">
        <w:t>erprise and Innovation (DJEI). T</w:t>
      </w:r>
      <w:r>
        <w:t>he Action Plan for Jobs is directed at stimulating employment growth. The DJEI has developed programmes, such as Springboard, which provides courses for qualifications needed in growing enterprise sectors, or Momentum, which helps the long-term unemployed to gain skills in occupational sectors.</w:t>
      </w:r>
    </w:p>
    <w:p w:rsidR="00D818F8" w:rsidRDefault="00D818F8" w:rsidP="00D818F8">
      <w:r>
        <w:t>Pathways to Work, overseen by the Department of Employment Affairs and Social Protection (DEASP), includes measures to move individuals who are long-term unemployed, inactive or are young unemployed into work. Priority is given to upskilling young people to move them away from</w:t>
      </w:r>
      <w:r w:rsidR="008104F5">
        <w:t xml:space="preserve"> NEET</w:t>
      </w:r>
      <w:r>
        <w:t xml:space="preserve"> status (Irish Government, 2015). This included the creation of Intreo, a ‘one stop shop’ for support payments, job assistance and referrals, including to </w:t>
      </w:r>
      <w:r w:rsidR="008C6987">
        <w:t>Social Inclusion and Community Activation Programme (</w:t>
      </w:r>
      <w:r>
        <w:t>SICAP</w:t>
      </w:r>
      <w:r w:rsidR="008C6987">
        <w:t>)</w:t>
      </w:r>
      <w:r>
        <w:t xml:space="preserve"> providers. Other programmes include </w:t>
      </w:r>
      <w:r>
        <w:lastRenderedPageBreak/>
        <w:t>JobPath (replacing JobBridge), which is directed at long term unemployed (more than 12 months</w:t>
      </w:r>
      <w:r w:rsidR="002F4F95">
        <w:t xml:space="preserve"> unemployed</w:t>
      </w:r>
      <w:r>
        <w:t>), and the JobSeekers benefit and allowance.</w:t>
      </w:r>
    </w:p>
    <w:p w:rsidR="00B24675" w:rsidRDefault="002F4F95" w:rsidP="00B24675">
      <w:r>
        <w:t>T</w:t>
      </w:r>
      <w:r w:rsidR="00B24675">
        <w:t>he Department of Employment Affairs a</w:t>
      </w:r>
      <w:r>
        <w:t xml:space="preserve">nd Social Protection (DEASP) has allocated </w:t>
      </w:r>
      <w:r w:rsidR="00B24675">
        <w:t xml:space="preserve">€16 million under the Ability Programme to 27 projects to test innovative approaches </w:t>
      </w:r>
      <w:r w:rsidR="00C4282E">
        <w:t>for</w:t>
      </w:r>
      <w:r w:rsidR="00B24675">
        <w:t xml:space="preserve"> pre-activation for young people with disabilities. This represents an increase of €6 million on the initial budget for a programme that aims to promote employment prospects and meaningful social roles for young people with disabilities and particularly those who are distant from the labour market. These demonstration projects provide an opportunity to develop services and approaches that can be scaled up for national implementation</w:t>
      </w:r>
      <w:r w:rsidR="00717854">
        <w:t xml:space="preserve"> and therefore address the unique circumstances about disability and NEET</w:t>
      </w:r>
      <w:r w:rsidR="00B24675">
        <w:t xml:space="preserve">. </w:t>
      </w:r>
    </w:p>
    <w:p w:rsidR="00B24675" w:rsidRDefault="002F4F95" w:rsidP="00B24675">
      <w:r>
        <w:t>T</w:t>
      </w:r>
      <w:r w:rsidR="00B24675">
        <w:t xml:space="preserve">he Department of Employment Affairs and Social Protection </w:t>
      </w:r>
      <w:r w:rsidR="00C4282E">
        <w:t xml:space="preserve">introduced </w:t>
      </w:r>
      <w:r w:rsidR="00B24675">
        <w:t>a new Youth Employment Support Scheme (YESS). The scheme opened for applications in October 2018 and is specifically targeted at young jobseekers including people with disabilities aged 18-24 years of age who are long-term unemployed or who face barriers to employment. This scheme aims to give a person the opportunity to learn basic work and social skills in a supportive environment, while on a work placement in a host organisation. Participation on the YESS programme is wholly voluntary and participants will receive a weekly payment of €229.20 for 24 hours work per we</w:t>
      </w:r>
      <w:r>
        <w:t>ek.</w:t>
      </w:r>
      <w:r w:rsidR="00B24675">
        <w:t xml:space="preserve"> </w:t>
      </w:r>
    </w:p>
    <w:p w:rsidR="00717854" w:rsidRDefault="001F4CB6" w:rsidP="00717854">
      <w:r w:rsidRPr="001F4CB6">
        <w:t>EmployAbility is a programme of supported employed funded by the Department of Social Protection. Job coaches access mainstream employment, both part-time and full-time, for people with disabilities, based on their choice, needs and abilities. Importantly EmployAbility it targeted at people who are ‘job ready’ and willing to work a minimum number of hours. This in effect excludes those that wish to work very limited hours and those that have limited ability and limited skill level. In essence, a large population of people with a disability are excluded from participation in the programme.</w:t>
      </w:r>
    </w:p>
    <w:p w:rsidR="00B24675" w:rsidRDefault="00B24675" w:rsidP="00B24675">
      <w:r>
        <w:t xml:space="preserve">In 2015 the Government launched the </w:t>
      </w:r>
      <w:r w:rsidR="002F4F95">
        <w:t xml:space="preserve">ten-year </w:t>
      </w:r>
      <w:r>
        <w:t>‘</w:t>
      </w:r>
      <w:r w:rsidRPr="00B24675">
        <w:t>Comprehensive Employment Strategy for People with Disabilities</w:t>
      </w:r>
      <w:r>
        <w:t>’</w:t>
      </w:r>
      <w:r w:rsidR="002F4F95">
        <w:t xml:space="preserve"> often shortened to CES</w:t>
      </w:r>
      <w:r>
        <w:t>. This is a cross-government approach to bring together a</w:t>
      </w:r>
      <w:r w:rsidR="003D5061">
        <w:t>ctions by different government D</w:t>
      </w:r>
      <w:r>
        <w:t xml:space="preserve">epartments and state agencies to address </w:t>
      </w:r>
      <w:r>
        <w:lastRenderedPageBreak/>
        <w:t>the barriers and challenges to employment of people with disabilities. The six strategic priorities are</w:t>
      </w:r>
    </w:p>
    <w:p w:rsidR="00B24675" w:rsidRDefault="00B24675" w:rsidP="00B24675">
      <w:pPr>
        <w:pStyle w:val="ListParagraph"/>
        <w:numPr>
          <w:ilvl w:val="0"/>
          <w:numId w:val="21"/>
        </w:numPr>
      </w:pPr>
      <w:r>
        <w:t>Build skills, capacity and independence</w:t>
      </w:r>
    </w:p>
    <w:p w:rsidR="00B24675" w:rsidRDefault="00B24675" w:rsidP="00B24675">
      <w:pPr>
        <w:pStyle w:val="ListParagraph"/>
        <w:numPr>
          <w:ilvl w:val="0"/>
          <w:numId w:val="21"/>
        </w:numPr>
      </w:pPr>
      <w:r>
        <w:t>Provide bridges and supports into work</w:t>
      </w:r>
    </w:p>
    <w:p w:rsidR="00B24675" w:rsidRDefault="00B24675" w:rsidP="00B24675">
      <w:pPr>
        <w:pStyle w:val="ListParagraph"/>
        <w:numPr>
          <w:ilvl w:val="0"/>
          <w:numId w:val="21"/>
        </w:numPr>
      </w:pPr>
      <w:r>
        <w:t>Make work pay</w:t>
      </w:r>
    </w:p>
    <w:p w:rsidR="00B24675" w:rsidRDefault="00B24675" w:rsidP="00B24675">
      <w:pPr>
        <w:pStyle w:val="ListParagraph"/>
        <w:numPr>
          <w:ilvl w:val="0"/>
          <w:numId w:val="21"/>
        </w:numPr>
      </w:pPr>
      <w:r>
        <w:t>Promote job retention and re-entry to work</w:t>
      </w:r>
    </w:p>
    <w:p w:rsidR="00B24675" w:rsidRDefault="00B24675" w:rsidP="00B24675">
      <w:pPr>
        <w:pStyle w:val="ListParagraph"/>
        <w:numPr>
          <w:ilvl w:val="0"/>
          <w:numId w:val="21"/>
        </w:numPr>
      </w:pPr>
      <w:r>
        <w:t>Provide co-ordinated and seamless support</w:t>
      </w:r>
    </w:p>
    <w:p w:rsidR="00B24675" w:rsidRDefault="00B24675" w:rsidP="00B24675">
      <w:pPr>
        <w:pStyle w:val="ListParagraph"/>
        <w:numPr>
          <w:ilvl w:val="0"/>
          <w:numId w:val="21"/>
        </w:numPr>
      </w:pPr>
      <w:r>
        <w:t>Engage employers</w:t>
      </w:r>
    </w:p>
    <w:p w:rsidR="003E10C4" w:rsidRDefault="003E10C4" w:rsidP="003E10C4">
      <w:r>
        <w:t xml:space="preserve">The </w:t>
      </w:r>
      <w:r w:rsidRPr="003E10C4">
        <w:t>Comprehensive Employment Strategy</w:t>
      </w:r>
      <w:r>
        <w:t xml:space="preserve"> highlighted that for those who are out of work, and would wish to work, the main perceived barriers are, in order of importance</w:t>
      </w:r>
    </w:p>
    <w:p w:rsidR="003E10C4" w:rsidRDefault="003E10C4" w:rsidP="007A111B">
      <w:pPr>
        <w:pStyle w:val="ListParagraph"/>
        <w:numPr>
          <w:ilvl w:val="0"/>
          <w:numId w:val="25"/>
        </w:numPr>
      </w:pPr>
      <w:r>
        <w:t>Flexible work arrangements (45%)</w:t>
      </w:r>
    </w:p>
    <w:p w:rsidR="003E10C4" w:rsidRDefault="003E10C4" w:rsidP="007A111B">
      <w:pPr>
        <w:pStyle w:val="ListParagraph"/>
        <w:numPr>
          <w:ilvl w:val="0"/>
          <w:numId w:val="25"/>
        </w:numPr>
      </w:pPr>
      <w:r>
        <w:t>Modified tasks (29%)</w:t>
      </w:r>
    </w:p>
    <w:p w:rsidR="003E10C4" w:rsidRDefault="003E10C4" w:rsidP="007A111B">
      <w:pPr>
        <w:pStyle w:val="ListParagraph"/>
        <w:numPr>
          <w:ilvl w:val="0"/>
          <w:numId w:val="25"/>
        </w:numPr>
      </w:pPr>
      <w:r>
        <w:t>Wage subsidy (24%)</w:t>
      </w:r>
    </w:p>
    <w:p w:rsidR="003E10C4" w:rsidRDefault="003E10C4" w:rsidP="007A111B">
      <w:pPr>
        <w:pStyle w:val="ListParagraph"/>
        <w:numPr>
          <w:ilvl w:val="0"/>
          <w:numId w:val="25"/>
        </w:numPr>
      </w:pPr>
      <w:r>
        <w:t>Transport/parking (17%)</w:t>
      </w:r>
    </w:p>
    <w:p w:rsidR="003E10C4" w:rsidRDefault="003E10C4" w:rsidP="007A111B">
      <w:pPr>
        <w:pStyle w:val="ListParagraph"/>
        <w:numPr>
          <w:ilvl w:val="0"/>
          <w:numId w:val="25"/>
        </w:numPr>
      </w:pPr>
      <w:r>
        <w:t>Accessible building (13%)</w:t>
      </w:r>
    </w:p>
    <w:p w:rsidR="003E10C4" w:rsidRDefault="003E10C4" w:rsidP="007A111B">
      <w:pPr>
        <w:pStyle w:val="ListParagraph"/>
        <w:numPr>
          <w:ilvl w:val="0"/>
          <w:numId w:val="25"/>
        </w:numPr>
      </w:pPr>
      <w:r>
        <w:t>Human support (7%)</w:t>
      </w:r>
    </w:p>
    <w:p w:rsidR="003E10C4" w:rsidRDefault="003E10C4" w:rsidP="007A111B">
      <w:pPr>
        <w:pStyle w:val="ListParagraph"/>
        <w:numPr>
          <w:ilvl w:val="0"/>
          <w:numId w:val="25"/>
        </w:numPr>
      </w:pPr>
      <w:r>
        <w:t>Assistive technology or physical adjustments (4%)</w:t>
      </w:r>
      <w:r w:rsidR="00B15BF6">
        <w:t>.</w:t>
      </w:r>
    </w:p>
    <w:p w:rsidR="003E10C4" w:rsidRDefault="003E10C4" w:rsidP="003E10C4">
      <w:r>
        <w:t>An important part of the CES is to work with employers to discover how</w:t>
      </w:r>
      <w:r w:rsidR="002F4F95">
        <w:t>,</w:t>
      </w:r>
      <w:r>
        <w:t xml:space="preserve"> with flexible work arrangements or modified tasks, many people with disabilities could be accommodated to work at little or no cost; and to ensure that other supports or accommodations can also be made available through a mix of public and employer support. Universal design of workplaces could play an important role in ensuring disability-friendly work environments without further modification.</w:t>
      </w:r>
    </w:p>
    <w:p w:rsidR="008E7592" w:rsidRDefault="008E7592" w:rsidP="003E7EE9">
      <w:pPr>
        <w:pStyle w:val="Heading1"/>
      </w:pPr>
      <w:r>
        <w:t>NEET</w:t>
      </w:r>
      <w:r w:rsidR="00B15BF6">
        <w:t xml:space="preserve"> facts and figurers </w:t>
      </w:r>
    </w:p>
    <w:p w:rsidR="00BC2968" w:rsidRDefault="00BC2968" w:rsidP="00BC2968">
      <w:r w:rsidRPr="00BC2968">
        <w:t xml:space="preserve">The not in employment, education, or training (NEET) rate for </w:t>
      </w:r>
      <w:r w:rsidR="00A7300C">
        <w:t xml:space="preserve">young people with a disability </w:t>
      </w:r>
      <w:r w:rsidR="002F4F95">
        <w:t xml:space="preserve">at </w:t>
      </w:r>
      <w:r w:rsidRPr="00BC2968">
        <w:t xml:space="preserve">23 percent </w:t>
      </w:r>
      <w:r w:rsidR="00B15BF6">
        <w:t>is</w:t>
      </w:r>
      <w:r w:rsidRPr="00BC2968">
        <w:t xml:space="preserve"> over twice the rate of youth people without a disability </w:t>
      </w:r>
      <w:r w:rsidR="00C4282E">
        <w:t xml:space="preserve">at </w:t>
      </w:r>
      <w:r w:rsidRPr="00BC2968">
        <w:t>10 percent</w:t>
      </w:r>
      <w:r w:rsidR="004948E2">
        <w:t xml:space="preserve"> (table </w:t>
      </w:r>
      <w:r w:rsidR="004948E2">
        <w:lastRenderedPageBreak/>
        <w:t>1)</w:t>
      </w:r>
      <w:r w:rsidRPr="00BC2968">
        <w:t xml:space="preserve">. The rate of study </w:t>
      </w:r>
      <w:r w:rsidR="00B15BF6">
        <w:t>is</w:t>
      </w:r>
      <w:r w:rsidRPr="00BC2968">
        <w:t xml:space="preserve"> </w:t>
      </w:r>
      <w:r w:rsidR="00F9141C">
        <w:t xml:space="preserve">relatively </w:t>
      </w:r>
      <w:r w:rsidRPr="00BC2968">
        <w:t>similar between</w:t>
      </w:r>
      <w:r>
        <w:t xml:space="preserve"> </w:t>
      </w:r>
      <w:r w:rsidRPr="00BC2968">
        <w:t>the two groups (62% and 65%) and the difference in</w:t>
      </w:r>
      <w:r w:rsidR="008104F5">
        <w:t xml:space="preserve"> NEET</w:t>
      </w:r>
      <w:r w:rsidRPr="00BC2968">
        <w:t xml:space="preserve"> rate </w:t>
      </w:r>
      <w:r w:rsidR="00B15BF6">
        <w:t>is</w:t>
      </w:r>
      <w:r w:rsidRPr="00BC2968">
        <w:t xml:space="preserve"> driv</w:t>
      </w:r>
      <w:r w:rsidR="00A7300C">
        <w:t>en</w:t>
      </w:r>
      <w:r w:rsidRPr="00BC2968">
        <w:t xml:space="preserve"> by the differences in employment (15% against 25%).</w:t>
      </w:r>
    </w:p>
    <w:p w:rsidR="009F3CCE" w:rsidRPr="009F3CCE" w:rsidRDefault="00BC2968" w:rsidP="00717854">
      <w:pPr>
        <w:pStyle w:val="TableTitle"/>
      </w:pPr>
      <w:r>
        <w:t xml:space="preserve">Table </w:t>
      </w:r>
      <w:r w:rsidR="004948E2">
        <w:t>1</w:t>
      </w:r>
      <w:r>
        <w:t>:</w:t>
      </w:r>
      <w:r w:rsidR="008104F5">
        <w:t xml:space="preserve"> NEET</w:t>
      </w:r>
      <w:r>
        <w:t xml:space="preserve"> by disability</w:t>
      </w:r>
    </w:p>
    <w:tbl>
      <w:tblPr>
        <w:tblStyle w:val="TableGrid"/>
        <w:tblW w:w="6799" w:type="dxa"/>
        <w:tblLook w:val="04A0" w:firstRow="1" w:lastRow="0" w:firstColumn="1" w:lastColumn="0" w:noHBand="0" w:noVBand="1"/>
        <w:tblCaption w:val="Table 1: NEET by disability"/>
        <w:tblDescription w:val="Comparison people with a disability and people without a disability by - total aged 15 - 24, Employment, Student or Pupil, NEET in numbers, NEET in percentages, Employment rate and Study rate"/>
      </w:tblPr>
      <w:tblGrid>
        <w:gridCol w:w="2030"/>
        <w:gridCol w:w="2365"/>
        <w:gridCol w:w="2409"/>
      </w:tblGrid>
      <w:tr w:rsidR="009F3CCE" w:rsidRPr="009F3CCE" w:rsidTr="005F1589">
        <w:trPr>
          <w:divId w:val="1220244026"/>
          <w:trHeight w:val="300"/>
          <w:tblHeader/>
        </w:trPr>
        <w:tc>
          <w:tcPr>
            <w:tcW w:w="2025" w:type="dxa"/>
            <w:noWrap/>
            <w:hideMark/>
          </w:tcPr>
          <w:p w:rsidR="009F3CCE" w:rsidRPr="009F3CCE" w:rsidRDefault="009F3CCE" w:rsidP="009F3CCE"/>
        </w:tc>
        <w:tc>
          <w:tcPr>
            <w:tcW w:w="2365" w:type="dxa"/>
            <w:noWrap/>
            <w:hideMark/>
          </w:tcPr>
          <w:p w:rsidR="009F3CCE" w:rsidRPr="009F3CCE" w:rsidRDefault="00046B75" w:rsidP="009F3CCE">
            <w:r>
              <w:t>people with a disability</w:t>
            </w:r>
          </w:p>
        </w:tc>
        <w:tc>
          <w:tcPr>
            <w:tcW w:w="2409" w:type="dxa"/>
            <w:noWrap/>
            <w:hideMark/>
          </w:tcPr>
          <w:p w:rsidR="009F3CCE" w:rsidRPr="009F3CCE" w:rsidRDefault="00046B75" w:rsidP="009F3CCE">
            <w:r>
              <w:t>people with</w:t>
            </w:r>
            <w:r w:rsidR="005756B3">
              <w:t>out</w:t>
            </w:r>
            <w:r>
              <w:t xml:space="preserve"> a disability</w:t>
            </w:r>
          </w:p>
        </w:tc>
      </w:tr>
      <w:tr w:rsidR="009F3CCE" w:rsidRPr="009F3CCE" w:rsidTr="005F1589">
        <w:trPr>
          <w:divId w:val="1220244026"/>
          <w:trHeight w:val="300"/>
        </w:trPr>
        <w:tc>
          <w:tcPr>
            <w:tcW w:w="0" w:type="auto"/>
            <w:noWrap/>
            <w:hideMark/>
          </w:tcPr>
          <w:p w:rsidR="009F3CCE" w:rsidRPr="009F3CCE" w:rsidRDefault="002F4F95" w:rsidP="009A451C">
            <w:pPr>
              <w:spacing w:after="0"/>
            </w:pPr>
            <w:r w:rsidRPr="009F3CCE">
              <w:t xml:space="preserve">Total </w:t>
            </w:r>
            <w:r w:rsidR="009F3CCE">
              <w:t>aged 15-24</w:t>
            </w:r>
          </w:p>
        </w:tc>
        <w:tc>
          <w:tcPr>
            <w:tcW w:w="2365" w:type="dxa"/>
            <w:noWrap/>
            <w:hideMark/>
          </w:tcPr>
          <w:p w:rsidR="009F3CCE" w:rsidRPr="009F3CCE" w:rsidRDefault="009F3CCE" w:rsidP="009A451C">
            <w:pPr>
              <w:spacing w:after="0"/>
              <w:jc w:val="right"/>
            </w:pPr>
            <w:r w:rsidRPr="009F3CCE">
              <w:t>53</w:t>
            </w:r>
            <w:r w:rsidR="00AA2632">
              <w:t>,</w:t>
            </w:r>
            <w:r w:rsidRPr="009F3CCE">
              <w:t>465</w:t>
            </w:r>
          </w:p>
        </w:tc>
        <w:tc>
          <w:tcPr>
            <w:tcW w:w="2409" w:type="dxa"/>
            <w:noWrap/>
            <w:hideMark/>
          </w:tcPr>
          <w:p w:rsidR="009F3CCE" w:rsidRPr="009F3CCE" w:rsidRDefault="009F3CCE" w:rsidP="009A451C">
            <w:pPr>
              <w:spacing w:after="0"/>
              <w:jc w:val="right"/>
            </w:pPr>
            <w:r w:rsidRPr="009F3CCE">
              <w:t>522</w:t>
            </w:r>
            <w:r w:rsidR="00AA2632">
              <w:t>,</w:t>
            </w:r>
            <w:r w:rsidRPr="009F3CCE">
              <w:t>987</w:t>
            </w:r>
          </w:p>
        </w:tc>
      </w:tr>
      <w:tr w:rsidR="009F3CCE" w:rsidTr="005F1589">
        <w:trPr>
          <w:divId w:val="1220244026"/>
          <w:trHeight w:val="300"/>
        </w:trPr>
        <w:tc>
          <w:tcPr>
            <w:tcW w:w="0" w:type="auto"/>
            <w:noWrap/>
            <w:hideMark/>
          </w:tcPr>
          <w:p w:rsidR="009F3CCE" w:rsidRPr="009F3CCE" w:rsidRDefault="002F4F95" w:rsidP="009A451C">
            <w:pPr>
              <w:spacing w:after="0"/>
            </w:pPr>
            <w:r w:rsidRPr="009F3CCE">
              <w:t>Employment</w:t>
            </w:r>
          </w:p>
        </w:tc>
        <w:tc>
          <w:tcPr>
            <w:tcW w:w="2365" w:type="dxa"/>
            <w:noWrap/>
            <w:hideMark/>
          </w:tcPr>
          <w:p w:rsidR="009F3CCE" w:rsidRPr="009F3CCE" w:rsidRDefault="009F3CCE" w:rsidP="009A451C">
            <w:pPr>
              <w:spacing w:after="0"/>
              <w:jc w:val="right"/>
            </w:pPr>
            <w:r w:rsidRPr="009F3CCE">
              <w:t>8</w:t>
            </w:r>
            <w:r w:rsidR="00AA2632">
              <w:t>,</w:t>
            </w:r>
            <w:r w:rsidRPr="009F3CCE">
              <w:t>247</w:t>
            </w:r>
          </w:p>
        </w:tc>
        <w:tc>
          <w:tcPr>
            <w:tcW w:w="2409" w:type="dxa"/>
            <w:noWrap/>
            <w:hideMark/>
          </w:tcPr>
          <w:p w:rsidR="009F3CCE" w:rsidRPr="00A7300C" w:rsidRDefault="009F3CCE" w:rsidP="009A451C">
            <w:pPr>
              <w:spacing w:after="0"/>
              <w:jc w:val="right"/>
            </w:pPr>
            <w:r w:rsidRPr="009F3CCE">
              <w:t>13</w:t>
            </w:r>
            <w:r w:rsidRPr="00A7300C">
              <w:t>1</w:t>
            </w:r>
            <w:r w:rsidR="00AA2632">
              <w:t>,</w:t>
            </w:r>
            <w:r w:rsidRPr="00A7300C">
              <w:t>128</w:t>
            </w:r>
          </w:p>
        </w:tc>
      </w:tr>
      <w:tr w:rsidR="009F3CCE" w:rsidTr="005F1589">
        <w:trPr>
          <w:divId w:val="1220244026"/>
          <w:trHeight w:val="300"/>
        </w:trPr>
        <w:tc>
          <w:tcPr>
            <w:tcW w:w="0" w:type="auto"/>
            <w:noWrap/>
            <w:hideMark/>
          </w:tcPr>
          <w:p w:rsidR="009F3CCE" w:rsidRPr="00A7300C" w:rsidRDefault="009F3CCE" w:rsidP="009A451C">
            <w:pPr>
              <w:spacing w:after="0"/>
            </w:pPr>
            <w:r w:rsidRPr="00A7300C">
              <w:t>Student or pupil</w:t>
            </w:r>
          </w:p>
        </w:tc>
        <w:tc>
          <w:tcPr>
            <w:tcW w:w="2365" w:type="dxa"/>
            <w:noWrap/>
            <w:hideMark/>
          </w:tcPr>
          <w:p w:rsidR="009F3CCE" w:rsidRPr="00A7300C" w:rsidRDefault="009F3CCE" w:rsidP="009A451C">
            <w:pPr>
              <w:spacing w:after="0"/>
              <w:jc w:val="right"/>
            </w:pPr>
            <w:r w:rsidRPr="00A7300C">
              <w:t>32</w:t>
            </w:r>
            <w:r w:rsidR="00AA2632">
              <w:t>,</w:t>
            </w:r>
            <w:r w:rsidRPr="00A7300C">
              <w:t>930</w:t>
            </w:r>
          </w:p>
        </w:tc>
        <w:tc>
          <w:tcPr>
            <w:tcW w:w="2409" w:type="dxa"/>
            <w:noWrap/>
            <w:hideMark/>
          </w:tcPr>
          <w:p w:rsidR="009F3CCE" w:rsidRPr="00A7300C" w:rsidRDefault="009F3CCE" w:rsidP="009A451C">
            <w:pPr>
              <w:spacing w:after="0"/>
              <w:jc w:val="right"/>
            </w:pPr>
            <w:r w:rsidRPr="00A7300C">
              <w:t>341</w:t>
            </w:r>
            <w:r w:rsidR="00AA2632">
              <w:t>,</w:t>
            </w:r>
            <w:r w:rsidRPr="00A7300C">
              <w:t>858</w:t>
            </w:r>
          </w:p>
        </w:tc>
      </w:tr>
      <w:tr w:rsidR="00AA2632" w:rsidTr="005F1589">
        <w:trPr>
          <w:divId w:val="1220244026"/>
          <w:trHeight w:val="300"/>
        </w:trPr>
        <w:tc>
          <w:tcPr>
            <w:tcW w:w="0" w:type="auto"/>
            <w:noWrap/>
          </w:tcPr>
          <w:p w:rsidR="00AA2632" w:rsidRDefault="00AA2632" w:rsidP="009A451C">
            <w:pPr>
              <w:spacing w:after="0"/>
            </w:pPr>
            <w:r>
              <w:t>NEET</w:t>
            </w:r>
          </w:p>
        </w:tc>
        <w:tc>
          <w:tcPr>
            <w:tcW w:w="2365" w:type="dxa"/>
            <w:noWrap/>
          </w:tcPr>
          <w:p w:rsidR="00AA2632" w:rsidRPr="00A7300C" w:rsidRDefault="00AA2632" w:rsidP="009A451C">
            <w:pPr>
              <w:spacing w:after="0"/>
              <w:jc w:val="right"/>
            </w:pPr>
            <w:r>
              <w:t>12,288</w:t>
            </w:r>
          </w:p>
        </w:tc>
        <w:tc>
          <w:tcPr>
            <w:tcW w:w="2409" w:type="dxa"/>
            <w:noWrap/>
          </w:tcPr>
          <w:p w:rsidR="00AA2632" w:rsidRPr="00A7300C" w:rsidRDefault="00AA2632" w:rsidP="009A451C">
            <w:pPr>
              <w:spacing w:after="0"/>
              <w:jc w:val="right"/>
            </w:pPr>
            <w:r>
              <w:t>50,001</w:t>
            </w:r>
          </w:p>
        </w:tc>
      </w:tr>
      <w:tr w:rsidR="009F3CCE" w:rsidTr="005F1589">
        <w:trPr>
          <w:divId w:val="1220244026"/>
          <w:trHeight w:val="300"/>
        </w:trPr>
        <w:tc>
          <w:tcPr>
            <w:tcW w:w="0" w:type="auto"/>
            <w:noWrap/>
            <w:hideMark/>
          </w:tcPr>
          <w:p w:rsidR="009F3CCE" w:rsidRPr="00A7300C" w:rsidRDefault="002F4F95" w:rsidP="009A451C">
            <w:pPr>
              <w:spacing w:after="0"/>
            </w:pPr>
            <w:r>
              <w:t>NEET</w:t>
            </w:r>
          </w:p>
        </w:tc>
        <w:tc>
          <w:tcPr>
            <w:tcW w:w="2365" w:type="dxa"/>
            <w:noWrap/>
            <w:hideMark/>
          </w:tcPr>
          <w:p w:rsidR="009F3CCE" w:rsidRPr="00A7300C" w:rsidRDefault="009F3CCE" w:rsidP="009A451C">
            <w:pPr>
              <w:spacing w:after="0"/>
              <w:jc w:val="right"/>
            </w:pPr>
            <w:r w:rsidRPr="00A7300C">
              <w:t>23%</w:t>
            </w:r>
          </w:p>
        </w:tc>
        <w:tc>
          <w:tcPr>
            <w:tcW w:w="2409" w:type="dxa"/>
            <w:noWrap/>
            <w:hideMark/>
          </w:tcPr>
          <w:p w:rsidR="009F3CCE" w:rsidRPr="00A7300C" w:rsidRDefault="009F3CCE" w:rsidP="009A451C">
            <w:pPr>
              <w:spacing w:after="0"/>
              <w:jc w:val="right"/>
            </w:pPr>
            <w:r w:rsidRPr="00A7300C">
              <w:t>10%</w:t>
            </w:r>
          </w:p>
        </w:tc>
      </w:tr>
      <w:tr w:rsidR="009F3CCE" w:rsidTr="005F1589">
        <w:trPr>
          <w:divId w:val="1220244026"/>
          <w:trHeight w:val="300"/>
        </w:trPr>
        <w:tc>
          <w:tcPr>
            <w:tcW w:w="0" w:type="auto"/>
            <w:noWrap/>
            <w:hideMark/>
          </w:tcPr>
          <w:p w:rsidR="009F3CCE" w:rsidRPr="00A7300C" w:rsidRDefault="002F4F95" w:rsidP="009A451C">
            <w:pPr>
              <w:spacing w:after="0"/>
            </w:pPr>
            <w:r w:rsidRPr="00A7300C">
              <w:t>Employment rate</w:t>
            </w:r>
          </w:p>
        </w:tc>
        <w:tc>
          <w:tcPr>
            <w:tcW w:w="2365" w:type="dxa"/>
            <w:noWrap/>
            <w:hideMark/>
          </w:tcPr>
          <w:p w:rsidR="009F3CCE" w:rsidRPr="00A7300C" w:rsidRDefault="009F3CCE" w:rsidP="009A451C">
            <w:pPr>
              <w:spacing w:after="0"/>
              <w:jc w:val="right"/>
            </w:pPr>
            <w:r w:rsidRPr="00A7300C">
              <w:t>15%</w:t>
            </w:r>
          </w:p>
        </w:tc>
        <w:tc>
          <w:tcPr>
            <w:tcW w:w="2409" w:type="dxa"/>
            <w:noWrap/>
            <w:hideMark/>
          </w:tcPr>
          <w:p w:rsidR="009F3CCE" w:rsidRPr="00A7300C" w:rsidRDefault="009F3CCE" w:rsidP="009A451C">
            <w:pPr>
              <w:spacing w:after="0"/>
              <w:jc w:val="right"/>
            </w:pPr>
            <w:r w:rsidRPr="00A7300C">
              <w:t>25%</w:t>
            </w:r>
          </w:p>
        </w:tc>
      </w:tr>
      <w:tr w:rsidR="009F3CCE" w:rsidTr="005F1589">
        <w:trPr>
          <w:divId w:val="1220244026"/>
          <w:trHeight w:val="300"/>
        </w:trPr>
        <w:tc>
          <w:tcPr>
            <w:tcW w:w="0" w:type="auto"/>
            <w:noWrap/>
            <w:hideMark/>
          </w:tcPr>
          <w:p w:rsidR="009F3CCE" w:rsidRPr="00A7300C" w:rsidRDefault="002F4F95" w:rsidP="009A451C">
            <w:pPr>
              <w:spacing w:after="0"/>
            </w:pPr>
            <w:r w:rsidRPr="00A7300C">
              <w:t>Study rate</w:t>
            </w:r>
          </w:p>
        </w:tc>
        <w:tc>
          <w:tcPr>
            <w:tcW w:w="2365" w:type="dxa"/>
            <w:noWrap/>
            <w:hideMark/>
          </w:tcPr>
          <w:p w:rsidR="009F3CCE" w:rsidRPr="00A7300C" w:rsidRDefault="009F3CCE" w:rsidP="009A451C">
            <w:pPr>
              <w:spacing w:after="0"/>
              <w:jc w:val="right"/>
            </w:pPr>
            <w:r w:rsidRPr="00A7300C">
              <w:t>62%</w:t>
            </w:r>
          </w:p>
        </w:tc>
        <w:tc>
          <w:tcPr>
            <w:tcW w:w="2409" w:type="dxa"/>
            <w:noWrap/>
            <w:hideMark/>
          </w:tcPr>
          <w:p w:rsidR="009F3CCE" w:rsidRPr="00A7300C" w:rsidRDefault="009F3CCE" w:rsidP="009A451C">
            <w:pPr>
              <w:spacing w:after="0"/>
              <w:jc w:val="right"/>
            </w:pPr>
            <w:r w:rsidRPr="00A7300C">
              <w:t>65%</w:t>
            </w:r>
          </w:p>
        </w:tc>
      </w:tr>
    </w:tbl>
    <w:p w:rsidR="00EE66E6" w:rsidRDefault="009F3CCE" w:rsidP="00EE66E6">
      <w:pPr>
        <w:pStyle w:val="TableNote"/>
      </w:pPr>
      <w:r w:rsidRPr="009F3CCE">
        <w:t>Source: Census 2016</w:t>
      </w:r>
    </w:p>
    <w:p w:rsidR="003D5061" w:rsidRDefault="009A451C" w:rsidP="003D5061">
      <w:r w:rsidRPr="009A451C">
        <w:t>The percentage of the population aged 15-24 with a disability is 9.3 per cent or 53,465 people. However, one in five people who are NEET have a disability (20%). This means people with a disability are twice as likely to be NEET as people without a disability (see graph 1).</w:t>
      </w:r>
    </w:p>
    <w:p w:rsidR="003E7EE9" w:rsidRDefault="003E7EE9" w:rsidP="003D5061">
      <w:r>
        <w:rPr>
          <w:noProof/>
          <w:lang w:eastAsia="en-IE"/>
        </w:rPr>
        <w:drawing>
          <wp:inline distT="0" distB="0" distL="0" distR="0" wp14:anchorId="19E2BDBE" wp14:editId="720CA310">
            <wp:extent cx="5572125" cy="2743200"/>
            <wp:effectExtent l="0" t="0" r="9525" b="0"/>
            <wp:docPr id="5" name="Picture 5" descr="This is a pie chart brakign down people who are NEET into those who are disabled and not disabled.  Overall 20% of people who are disabled are NEET.  That is 12288 people.  A further 50001 are not disabled - or 80%." title="Graph 1: NEET by Disability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2743200"/>
                    </a:xfrm>
                    <a:prstGeom prst="rect">
                      <a:avLst/>
                    </a:prstGeom>
                    <a:noFill/>
                  </pic:spPr>
                </pic:pic>
              </a:graphicData>
            </a:graphic>
          </wp:inline>
        </w:drawing>
      </w:r>
    </w:p>
    <w:p w:rsidR="00B632C0" w:rsidRDefault="00B15BF6" w:rsidP="00B632C0">
      <w:pPr>
        <w:pStyle w:val="TableNote"/>
      </w:pPr>
      <w:r>
        <w:lastRenderedPageBreak/>
        <w:t>Source:</w:t>
      </w:r>
      <w:r w:rsidR="003D5061">
        <w:t xml:space="preserve"> C</w:t>
      </w:r>
      <w:r w:rsidR="00B632C0">
        <w:t>ensus 2016</w:t>
      </w:r>
    </w:p>
    <w:p w:rsidR="005B3D47" w:rsidRDefault="005B3D47" w:rsidP="005B3D47">
      <w:pPr>
        <w:pStyle w:val="Heading2"/>
      </w:pPr>
    </w:p>
    <w:p w:rsidR="00D523C1" w:rsidRDefault="00D523C1" w:rsidP="00D523C1">
      <w:r>
        <w:rPr>
          <w:noProof/>
          <w:lang w:eastAsia="en-IE"/>
        </w:rPr>
        <w:drawing>
          <wp:inline distT="0" distB="0" distL="0" distR="0" wp14:anchorId="1A15EEEB" wp14:editId="2A9C65AC">
            <wp:extent cx="6210300" cy="3314700"/>
            <wp:effectExtent l="0" t="0" r="0" b="0"/>
            <wp:docPr id="12" name="Chart 12" descr="This is a bar chart which lists the rate of NEET by disability type.  For those without a disability only 10% are NEET - this climbs for every disability type. 22% for other disability, 24% for blindness 24% for difficulty in learning&#10;25% for deafness&#10;31% for psychological ro emotion 33% for an intellectual disability, 36% for those who have difficutly in pariticipating,&#10;37% for those who have difficutly working,&#10;43% for difficutly in dressing and 44% for those who have difficutly going outside.&#10;&#10; " title="Graph 2: NEET by disability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56B3" w:rsidRDefault="005756B3" w:rsidP="005756B3">
      <w:pPr>
        <w:pStyle w:val="TableNote"/>
      </w:pPr>
      <w:r>
        <w:t>Source: Census 2016</w:t>
      </w:r>
      <w:r w:rsidR="003E10C4">
        <w:t xml:space="preserve">. Note an individual can </w:t>
      </w:r>
      <w:r w:rsidR="00C35B37">
        <w:t>have multiple disabilities</w:t>
      </w:r>
      <w:r w:rsidR="003E10C4">
        <w:t xml:space="preserve">. </w:t>
      </w:r>
    </w:p>
    <w:p w:rsidR="00EE66E6" w:rsidRDefault="00AA2632" w:rsidP="00EE66E6">
      <w:r>
        <w:t xml:space="preserve">Every </w:t>
      </w:r>
      <w:r w:rsidR="0016213C">
        <w:t xml:space="preserve">person with a </w:t>
      </w:r>
      <w:r>
        <w:t xml:space="preserve">disability </w:t>
      </w:r>
      <w:r w:rsidR="0016213C">
        <w:t xml:space="preserve">has twice the risk of being NEET compared to </w:t>
      </w:r>
      <w:r>
        <w:t xml:space="preserve">a person without a disability. </w:t>
      </w:r>
      <w:r w:rsidR="00300C41">
        <w:t xml:space="preserve">Apart for a </w:t>
      </w:r>
      <w:r w:rsidR="005756B3">
        <w:t>condition</w:t>
      </w:r>
      <w:r w:rsidR="00300C41">
        <w:t xml:space="preserve"> that substantially limits </w:t>
      </w:r>
      <w:r w:rsidR="005756B3">
        <w:t>one or more basic physical limits – (42%) high rates of</w:t>
      </w:r>
      <w:r w:rsidR="008104F5">
        <w:t xml:space="preserve"> NEET</w:t>
      </w:r>
      <w:r w:rsidR="005756B3">
        <w:t xml:space="preserve"> are associated with functional limitations:</w:t>
      </w:r>
    </w:p>
    <w:p w:rsidR="005756B3" w:rsidRDefault="005756B3" w:rsidP="005756B3">
      <w:pPr>
        <w:pStyle w:val="ListParagraph"/>
        <w:numPr>
          <w:ilvl w:val="0"/>
          <w:numId w:val="20"/>
        </w:numPr>
      </w:pPr>
      <w:r>
        <w:t>Difficulty in going outside home alone 44%</w:t>
      </w:r>
    </w:p>
    <w:p w:rsidR="005756B3" w:rsidRDefault="005756B3" w:rsidP="005756B3">
      <w:pPr>
        <w:pStyle w:val="ListParagraph"/>
        <w:numPr>
          <w:ilvl w:val="0"/>
          <w:numId w:val="20"/>
        </w:numPr>
      </w:pPr>
      <w:r>
        <w:t>Difficulty in dressing, bathing or getting around inside the home 43%</w:t>
      </w:r>
    </w:p>
    <w:p w:rsidR="005756B3" w:rsidRDefault="005756B3" w:rsidP="005756B3">
      <w:pPr>
        <w:pStyle w:val="ListParagraph"/>
        <w:numPr>
          <w:ilvl w:val="0"/>
          <w:numId w:val="20"/>
        </w:numPr>
      </w:pPr>
      <w:r>
        <w:t>Difficulty in working or attending school/college 37%</w:t>
      </w:r>
    </w:p>
    <w:p w:rsidR="005756B3" w:rsidRDefault="005756B3" w:rsidP="005756B3">
      <w:pPr>
        <w:pStyle w:val="ListParagraph"/>
        <w:numPr>
          <w:ilvl w:val="0"/>
          <w:numId w:val="20"/>
        </w:numPr>
      </w:pPr>
      <w:r>
        <w:t>Difficulty in participating in other activities 36%</w:t>
      </w:r>
    </w:p>
    <w:p w:rsidR="005756B3" w:rsidRDefault="005756B3" w:rsidP="005756B3">
      <w:r>
        <w:lastRenderedPageBreak/>
        <w:t>Only difficulty in learning, remembering or concentrating has a relatively low level of</w:t>
      </w:r>
      <w:r w:rsidR="008104F5">
        <w:t xml:space="preserve"> NEET</w:t>
      </w:r>
      <w:r>
        <w:t xml:space="preserve"> (24%).</w:t>
      </w:r>
    </w:p>
    <w:p w:rsidR="00484362" w:rsidRPr="00484362" w:rsidRDefault="00484362" w:rsidP="00484362">
      <w:r>
        <w:t>If we look at NEET by age we see</w:t>
      </w:r>
      <w:r w:rsidR="00717854">
        <w:t xml:space="preserve"> an important turning point at about the age of 18. A</w:t>
      </w:r>
      <w:r w:rsidRPr="00484362">
        <w:t xml:space="preserve">t </w:t>
      </w:r>
      <w:r w:rsidR="00717854">
        <w:t xml:space="preserve">the </w:t>
      </w:r>
      <w:r w:rsidRPr="00484362">
        <w:t xml:space="preserve">age </w:t>
      </w:r>
      <w:r w:rsidR="00717854">
        <w:t xml:space="preserve">of </w:t>
      </w:r>
      <w:r w:rsidRPr="00484362">
        <w:t>18, 17%, or one in six people with disabilities of this age</w:t>
      </w:r>
      <w:r w:rsidR="004948E2">
        <w:t xml:space="preserve"> (table 2)</w:t>
      </w:r>
      <w:r w:rsidRPr="00484362">
        <w:t xml:space="preserve">, </w:t>
      </w:r>
      <w:r w:rsidR="009A451C" w:rsidRPr="00484362">
        <w:t>is NEET</w:t>
      </w:r>
      <w:r w:rsidRPr="00484362">
        <w:t>, and this jumps to 27%, or over a quarter, by age 19. There remains a steady rise to reach almost 40% by age 23.</w:t>
      </w:r>
    </w:p>
    <w:p w:rsidR="00484362" w:rsidRDefault="00484362" w:rsidP="005756B3"/>
    <w:p w:rsidR="00484362" w:rsidRPr="0046071F" w:rsidRDefault="004948E2" w:rsidP="0016213C">
      <w:pPr>
        <w:pStyle w:val="TableTitle"/>
        <w:rPr>
          <w:lang w:eastAsia="en-IE"/>
        </w:rPr>
      </w:pPr>
      <w:r>
        <w:rPr>
          <w:lang w:eastAsia="en-IE"/>
        </w:rPr>
        <w:t>Table 2</w:t>
      </w:r>
      <w:r w:rsidR="00484362" w:rsidRPr="0046071F">
        <w:rPr>
          <w:lang w:eastAsia="en-IE"/>
        </w:rPr>
        <w:t>: Proportion of NEET for people with and without d</w:t>
      </w:r>
      <w:r w:rsidR="0016213C">
        <w:rPr>
          <w:lang w:eastAsia="en-IE"/>
        </w:rPr>
        <w:t>isabilities</w:t>
      </w:r>
    </w:p>
    <w:tbl>
      <w:tblPr>
        <w:tblW w:w="4503" w:type="dxa"/>
        <w:jc w:val="center"/>
        <w:tblLook w:val="04A0" w:firstRow="1" w:lastRow="0" w:firstColumn="1" w:lastColumn="0" w:noHBand="0" w:noVBand="1"/>
      </w:tblPr>
      <w:tblGrid>
        <w:gridCol w:w="1433"/>
        <w:gridCol w:w="1371"/>
        <w:gridCol w:w="1138"/>
        <w:gridCol w:w="1578"/>
      </w:tblGrid>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16213C" w:rsidP="00C4282E">
            <w:pPr>
              <w:spacing w:after="0"/>
              <w:contextualSpacing/>
              <w:rPr>
                <w:sz w:val="28"/>
                <w:szCs w:val="28"/>
                <w:lang w:eastAsia="en-IE"/>
              </w:rPr>
            </w:pPr>
            <w:r>
              <w:rPr>
                <w:sz w:val="28"/>
                <w:szCs w:val="28"/>
                <w:lang w:eastAsia="en-IE"/>
              </w:rPr>
              <w:t>Age</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84362" w:rsidRPr="0016213C" w:rsidRDefault="00484362" w:rsidP="0016213C">
            <w:pPr>
              <w:spacing w:after="0"/>
              <w:contextualSpacing/>
              <w:jc w:val="right"/>
              <w:rPr>
                <w:b/>
                <w:sz w:val="28"/>
                <w:szCs w:val="28"/>
                <w:lang w:eastAsia="en-IE"/>
              </w:rPr>
            </w:pPr>
            <w:r w:rsidRPr="0016213C">
              <w:rPr>
                <w:b/>
                <w:sz w:val="28"/>
                <w:szCs w:val="28"/>
                <w:lang w:eastAsia="en-IE"/>
              </w:rPr>
              <w:t>P</w:t>
            </w:r>
            <w:r w:rsidR="0016213C" w:rsidRPr="0016213C">
              <w:rPr>
                <w:b/>
                <w:sz w:val="28"/>
                <w:szCs w:val="28"/>
                <w:lang w:eastAsia="en-IE"/>
              </w:rPr>
              <w:t xml:space="preserve">eople with a disability </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84362" w:rsidRPr="0016213C" w:rsidRDefault="00484362" w:rsidP="00C4282E">
            <w:pPr>
              <w:spacing w:after="0"/>
              <w:contextualSpacing/>
              <w:jc w:val="right"/>
              <w:rPr>
                <w:b/>
                <w:sz w:val="28"/>
                <w:szCs w:val="28"/>
                <w:lang w:eastAsia="en-IE"/>
              </w:rPr>
            </w:pPr>
            <w:r w:rsidRPr="0016213C">
              <w:rPr>
                <w:b/>
                <w:sz w:val="28"/>
                <w:szCs w:val="28"/>
                <w:lang w:eastAsia="en-IE"/>
              </w:rPr>
              <w:t>Others</w:t>
            </w:r>
          </w:p>
        </w:tc>
        <w:tc>
          <w:tcPr>
            <w:tcW w:w="115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rPr>
                <w:b/>
                <w:sz w:val="28"/>
                <w:szCs w:val="28"/>
                <w:lang w:eastAsia="en-IE"/>
              </w:rPr>
            </w:pPr>
            <w:r w:rsidRPr="0016213C">
              <w:rPr>
                <w:b/>
                <w:sz w:val="28"/>
                <w:szCs w:val="28"/>
                <w:lang w:eastAsia="en-IE"/>
              </w:rPr>
              <w:t>Difference</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15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1%</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1%</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16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6%</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4%</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17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9%</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4%</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5%</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18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17%</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10%</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7%</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19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27%</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15%</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12%</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20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30%</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16%</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15%</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21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32%</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16%</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16%</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22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35%</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18%</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17%</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23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39%</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20%</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20%</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24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41%</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21%</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20%</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25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43%</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21%</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21%</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26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44%</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22%</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22%</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27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45%</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22%</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23%</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28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45%</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22%</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23%</w:t>
            </w:r>
          </w:p>
        </w:tc>
      </w:tr>
      <w:tr w:rsidR="00484362" w:rsidRPr="0046071F" w:rsidTr="00C4282E">
        <w:trPr>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484362" w:rsidRPr="0016213C" w:rsidRDefault="00484362" w:rsidP="00C4282E">
            <w:pPr>
              <w:spacing w:after="0"/>
              <w:contextualSpacing/>
              <w:rPr>
                <w:sz w:val="28"/>
                <w:szCs w:val="28"/>
                <w:lang w:eastAsia="en-IE"/>
              </w:rPr>
            </w:pPr>
            <w:r w:rsidRPr="0016213C">
              <w:rPr>
                <w:sz w:val="28"/>
                <w:szCs w:val="28"/>
                <w:lang w:eastAsia="en-IE"/>
              </w:rPr>
              <w:t xml:space="preserve">29 </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45%</w:t>
            </w:r>
          </w:p>
        </w:tc>
        <w:tc>
          <w:tcPr>
            <w:tcW w:w="960"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22%</w:t>
            </w:r>
          </w:p>
        </w:tc>
        <w:tc>
          <w:tcPr>
            <w:tcW w:w="1150" w:type="dxa"/>
            <w:tcBorders>
              <w:top w:val="single" w:sz="4" w:space="0" w:color="auto"/>
              <w:left w:val="nil"/>
              <w:bottom w:val="single" w:sz="4" w:space="0" w:color="auto"/>
              <w:right w:val="single" w:sz="4" w:space="0" w:color="auto"/>
            </w:tcBorders>
            <w:shd w:val="clear" w:color="auto" w:fill="EDEDED" w:themeFill="accent3" w:themeFillTint="33"/>
            <w:noWrap/>
            <w:hideMark/>
          </w:tcPr>
          <w:p w:rsidR="00484362" w:rsidRPr="0016213C" w:rsidRDefault="00484362" w:rsidP="00C4282E">
            <w:pPr>
              <w:spacing w:after="0"/>
              <w:contextualSpacing/>
              <w:jc w:val="right"/>
              <w:rPr>
                <w:sz w:val="28"/>
                <w:szCs w:val="28"/>
                <w:lang w:eastAsia="en-IE"/>
              </w:rPr>
            </w:pPr>
            <w:r w:rsidRPr="0016213C">
              <w:rPr>
                <w:sz w:val="28"/>
                <w:szCs w:val="28"/>
                <w:lang w:eastAsia="en-IE"/>
              </w:rPr>
              <w:t>24%</w:t>
            </w:r>
          </w:p>
        </w:tc>
      </w:tr>
    </w:tbl>
    <w:p w:rsidR="00484362" w:rsidRDefault="00484362" w:rsidP="00484362">
      <w:pPr>
        <w:pStyle w:val="TableNote"/>
      </w:pPr>
      <w:r>
        <w:t>Source: Census 2016 – special tabulation</w:t>
      </w:r>
    </w:p>
    <w:p w:rsidR="0016213C" w:rsidRDefault="0016213C" w:rsidP="00317379">
      <w:pPr>
        <w:spacing w:after="60"/>
        <w:contextualSpacing/>
      </w:pPr>
      <w:r>
        <w:lastRenderedPageBreak/>
        <w:t xml:space="preserve">Table 3 looks at economic status by single year of age to explore this difference further. The table directly compares people with and without a disability by taking away the rate for people without a disability from the rate for people with a disability. For example 1 percent more of 15 year olds with a disability are unable to work because of illness or disability </w:t>
      </w:r>
      <w:r w:rsidR="00191AC4">
        <w:t>compared to people without a disability and so on.</w:t>
      </w:r>
      <w:r>
        <w:t xml:space="preserve"> </w:t>
      </w:r>
    </w:p>
    <w:p w:rsidR="009A451C" w:rsidRDefault="009A451C">
      <w:pPr>
        <w:spacing w:after="0"/>
      </w:pPr>
      <w:r>
        <w:br w:type="page"/>
      </w:r>
    </w:p>
    <w:p w:rsidR="008C6987" w:rsidRDefault="008C6987" w:rsidP="00317379">
      <w:pPr>
        <w:spacing w:after="60"/>
        <w:contextualSpacing/>
      </w:pPr>
    </w:p>
    <w:p w:rsidR="00484362" w:rsidRDefault="004948E2" w:rsidP="0016213C">
      <w:pPr>
        <w:pStyle w:val="TableTitle"/>
      </w:pPr>
      <w:r>
        <w:t>Table 3</w:t>
      </w:r>
      <w:r w:rsidR="00484362">
        <w:t>: Difference between people with disabilities and others in percentage rates of the different component</w:t>
      </w:r>
      <w:r w:rsidR="0016213C">
        <w:t>s of principal economic status</w:t>
      </w:r>
    </w:p>
    <w:tbl>
      <w:tblPr>
        <w:tblW w:w="7914" w:type="dxa"/>
        <w:jc w:val="center"/>
        <w:tblLook w:val="04A0" w:firstRow="1" w:lastRow="0" w:firstColumn="1" w:lastColumn="0" w:noHBand="0" w:noVBand="1"/>
      </w:tblPr>
      <w:tblGrid>
        <w:gridCol w:w="922"/>
        <w:gridCol w:w="1206"/>
        <w:gridCol w:w="786"/>
        <w:gridCol w:w="1659"/>
        <w:gridCol w:w="1108"/>
        <w:gridCol w:w="1307"/>
        <w:gridCol w:w="1241"/>
      </w:tblGrid>
      <w:tr w:rsidR="00484362" w:rsidRPr="0020776D" w:rsidTr="00C4282E">
        <w:trPr>
          <w:jc w:val="center"/>
        </w:trPr>
        <w:tc>
          <w:tcPr>
            <w:tcW w:w="922" w:type="dxa"/>
            <w:tcBorders>
              <w:top w:val="single" w:sz="4" w:space="0" w:color="auto"/>
              <w:left w:val="single" w:sz="4" w:space="0" w:color="auto"/>
              <w:bottom w:val="single" w:sz="4" w:space="0" w:color="auto"/>
              <w:right w:val="nil"/>
            </w:tcBorders>
            <w:shd w:val="clear" w:color="auto" w:fill="auto"/>
            <w:noWrap/>
            <w:hideMark/>
          </w:tcPr>
          <w:p w:rsidR="00484362" w:rsidRPr="0016213C" w:rsidRDefault="0016213C" w:rsidP="00C4282E">
            <w:pPr>
              <w:spacing w:after="0"/>
              <w:rPr>
                <w:b/>
                <w:color w:val="000000"/>
                <w:sz w:val="24"/>
                <w:lang w:eastAsia="en-IE"/>
              </w:rPr>
            </w:pPr>
            <w:r>
              <w:rPr>
                <w:b/>
                <w:color w:val="000000"/>
                <w:sz w:val="24"/>
                <w:lang w:eastAsia="en-IE"/>
              </w:rPr>
              <w:t>Age</w:t>
            </w:r>
          </w:p>
        </w:tc>
        <w:tc>
          <w:tcPr>
            <w:tcW w:w="1513" w:type="dxa"/>
            <w:tcBorders>
              <w:top w:val="single" w:sz="4" w:space="0" w:color="auto"/>
              <w:left w:val="single" w:sz="4" w:space="0" w:color="auto"/>
              <w:bottom w:val="single" w:sz="4" w:space="0" w:color="auto"/>
              <w:right w:val="single" w:sz="4" w:space="0" w:color="auto"/>
            </w:tcBorders>
          </w:tcPr>
          <w:p w:rsidR="0016213C" w:rsidRDefault="00484362" w:rsidP="00C4282E">
            <w:pPr>
              <w:spacing w:after="0"/>
              <w:jc w:val="right"/>
              <w:rPr>
                <w:b/>
                <w:color w:val="000000"/>
                <w:sz w:val="24"/>
                <w:lang w:eastAsia="en-IE"/>
              </w:rPr>
            </w:pPr>
            <w:r w:rsidRPr="0016213C">
              <w:rPr>
                <w:b/>
                <w:color w:val="000000"/>
                <w:sz w:val="24"/>
                <w:lang w:eastAsia="en-IE"/>
              </w:rPr>
              <w:t>Unable to work illness/</w:t>
            </w:r>
          </w:p>
          <w:p w:rsidR="00484362" w:rsidRPr="0016213C" w:rsidRDefault="00484362" w:rsidP="00C4282E">
            <w:pPr>
              <w:spacing w:after="0"/>
              <w:jc w:val="right"/>
              <w:rPr>
                <w:b/>
                <w:color w:val="000000"/>
                <w:sz w:val="24"/>
                <w:lang w:eastAsia="en-IE"/>
              </w:rPr>
            </w:pPr>
            <w:r w:rsidRPr="0016213C">
              <w:rPr>
                <w:b/>
                <w:color w:val="000000"/>
                <w:sz w:val="24"/>
                <w:lang w:eastAsia="en-IE"/>
              </w:rPr>
              <w:t xml:space="preserve">disability </w:t>
            </w:r>
          </w:p>
        </w:tc>
        <w:tc>
          <w:tcPr>
            <w:tcW w:w="644" w:type="dxa"/>
            <w:tcBorders>
              <w:top w:val="single" w:sz="4" w:space="0" w:color="auto"/>
              <w:left w:val="single" w:sz="4" w:space="0" w:color="auto"/>
              <w:bottom w:val="single" w:sz="4" w:space="0" w:color="auto"/>
              <w:right w:val="single" w:sz="4" w:space="0" w:color="auto"/>
            </w:tcBorders>
          </w:tcPr>
          <w:p w:rsidR="00484362" w:rsidRPr="0016213C" w:rsidRDefault="00484362" w:rsidP="00C4282E">
            <w:pPr>
              <w:spacing w:after="0"/>
              <w:jc w:val="right"/>
              <w:rPr>
                <w:b/>
                <w:color w:val="000000"/>
                <w:sz w:val="24"/>
                <w:lang w:eastAsia="en-IE"/>
              </w:rPr>
            </w:pPr>
            <w:r w:rsidRPr="0016213C">
              <w:rPr>
                <w:b/>
                <w:color w:val="000000"/>
                <w:sz w:val="24"/>
                <w:lang w:eastAsia="en-IE"/>
              </w:rPr>
              <w:t>At work</w:t>
            </w:r>
          </w:p>
        </w:tc>
        <w:tc>
          <w:tcPr>
            <w:tcW w:w="1298" w:type="dxa"/>
            <w:tcBorders>
              <w:top w:val="single" w:sz="4" w:space="0" w:color="auto"/>
              <w:left w:val="single" w:sz="4" w:space="0" w:color="auto"/>
              <w:bottom w:val="single" w:sz="4" w:space="0" w:color="auto"/>
              <w:right w:val="single" w:sz="4" w:space="0" w:color="auto"/>
            </w:tcBorders>
          </w:tcPr>
          <w:p w:rsidR="00484362" w:rsidRPr="0016213C" w:rsidRDefault="00484362" w:rsidP="00C4282E">
            <w:pPr>
              <w:spacing w:after="0"/>
              <w:jc w:val="right"/>
              <w:rPr>
                <w:b/>
                <w:color w:val="000000"/>
                <w:sz w:val="24"/>
                <w:lang w:eastAsia="en-IE"/>
              </w:rPr>
            </w:pPr>
            <w:r w:rsidRPr="0016213C">
              <w:rPr>
                <w:b/>
                <w:color w:val="000000"/>
                <w:sz w:val="24"/>
                <w:lang w:eastAsia="en-IE"/>
              </w:rPr>
              <w:t>Unemployed</w:t>
            </w:r>
          </w:p>
        </w:tc>
        <w:tc>
          <w:tcPr>
            <w:tcW w:w="989"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b/>
                <w:color w:val="000000"/>
                <w:sz w:val="24"/>
                <w:lang w:eastAsia="en-IE"/>
              </w:rPr>
            </w:pPr>
            <w:r w:rsidRPr="0016213C">
              <w:rPr>
                <w:b/>
                <w:color w:val="000000"/>
                <w:sz w:val="24"/>
                <w:lang w:eastAsia="en-IE"/>
              </w:rPr>
              <w:t>Student</w:t>
            </w:r>
          </w:p>
        </w:tc>
        <w:tc>
          <w:tcPr>
            <w:tcW w:w="1307" w:type="dxa"/>
            <w:tcBorders>
              <w:top w:val="single" w:sz="4" w:space="0" w:color="auto"/>
              <w:left w:val="nil"/>
              <w:bottom w:val="single" w:sz="4" w:space="0" w:color="auto"/>
              <w:right w:val="single" w:sz="4" w:space="0" w:color="auto"/>
            </w:tcBorders>
            <w:shd w:val="clear" w:color="auto" w:fill="auto"/>
            <w:noWrap/>
            <w:hideMark/>
          </w:tcPr>
          <w:p w:rsidR="0016213C" w:rsidRDefault="00484362" w:rsidP="00C4282E">
            <w:pPr>
              <w:spacing w:after="0"/>
              <w:jc w:val="right"/>
              <w:rPr>
                <w:b/>
                <w:color w:val="000000"/>
                <w:sz w:val="24"/>
                <w:lang w:eastAsia="en-IE"/>
              </w:rPr>
            </w:pPr>
            <w:r w:rsidRPr="0016213C">
              <w:rPr>
                <w:b/>
                <w:color w:val="000000"/>
                <w:sz w:val="24"/>
                <w:lang w:eastAsia="en-IE"/>
              </w:rPr>
              <w:t>Home/</w:t>
            </w:r>
          </w:p>
          <w:p w:rsidR="00484362" w:rsidRPr="0016213C" w:rsidRDefault="00484362" w:rsidP="00C4282E">
            <w:pPr>
              <w:spacing w:after="0"/>
              <w:jc w:val="right"/>
              <w:rPr>
                <w:b/>
                <w:color w:val="000000"/>
                <w:sz w:val="24"/>
                <w:lang w:eastAsia="en-IE"/>
              </w:rPr>
            </w:pPr>
            <w:r w:rsidRPr="0016213C">
              <w:rPr>
                <w:b/>
                <w:color w:val="000000"/>
                <w:sz w:val="24"/>
                <w:lang w:eastAsia="en-IE"/>
              </w:rPr>
              <w:t>family duties</w:t>
            </w:r>
          </w:p>
        </w:tc>
        <w:tc>
          <w:tcPr>
            <w:tcW w:w="1241" w:type="dxa"/>
            <w:tcBorders>
              <w:top w:val="single" w:sz="4" w:space="0" w:color="auto"/>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b/>
                <w:color w:val="000000"/>
                <w:sz w:val="24"/>
                <w:lang w:eastAsia="en-IE"/>
              </w:rPr>
            </w:pPr>
            <w:r w:rsidRPr="0016213C">
              <w:rPr>
                <w:b/>
                <w:color w:val="000000"/>
                <w:sz w:val="24"/>
                <w:lang w:eastAsia="en-IE"/>
              </w:rPr>
              <w:t>Other (incl retired)</w:t>
            </w:r>
          </w:p>
        </w:tc>
      </w:tr>
      <w:tr w:rsidR="00484362" w:rsidRPr="0020776D" w:rsidTr="00C4282E">
        <w:trPr>
          <w:jc w:val="center"/>
        </w:trPr>
        <w:tc>
          <w:tcPr>
            <w:tcW w:w="922" w:type="dxa"/>
            <w:tcBorders>
              <w:top w:val="single" w:sz="4" w:space="0" w:color="auto"/>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15 </w:t>
            </w:r>
          </w:p>
        </w:tc>
        <w:tc>
          <w:tcPr>
            <w:tcW w:w="1513" w:type="dxa"/>
            <w:tcBorders>
              <w:top w:val="single" w:sz="4" w:space="0" w:color="auto"/>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1%</w:t>
            </w:r>
          </w:p>
        </w:tc>
        <w:tc>
          <w:tcPr>
            <w:tcW w:w="644" w:type="dxa"/>
            <w:tcBorders>
              <w:top w:val="single" w:sz="4" w:space="0" w:color="auto"/>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98" w:type="dxa"/>
            <w:tcBorders>
              <w:top w:val="single" w:sz="4" w:space="0" w:color="auto"/>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-1%</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0%</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16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3%</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1%</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-4%</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0%</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17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4%</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-1%</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1%</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-5%</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1%</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18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6%</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-4%</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1%</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-4%</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1%</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19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10%</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-6%</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3%</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-8%</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1%</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20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12%</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-10%</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4%</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-8%</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1%</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21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13%</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-11%</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4%</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-8%</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1%</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22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14%</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-16%</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4%</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-5%</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1%</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23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14%</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-23%</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6%</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-1%</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1%</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1%</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24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15%</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-26%</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6%</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2%</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1%</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25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15%</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-28%</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7%</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2%</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2%</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26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15%</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-28%</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7%</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2%</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1%</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1%</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27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17%</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-30%</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7%</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3%</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0%</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1%</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28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17%</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-28%</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7%</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1%</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1%</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1%</w:t>
            </w:r>
          </w:p>
        </w:tc>
      </w:tr>
      <w:tr w:rsidR="00484362" w:rsidRPr="0020776D" w:rsidTr="00C4282E">
        <w:trPr>
          <w:jc w:val="center"/>
        </w:trPr>
        <w:tc>
          <w:tcPr>
            <w:tcW w:w="922" w:type="dxa"/>
            <w:tcBorders>
              <w:top w:val="nil"/>
              <w:left w:val="single" w:sz="4" w:space="0" w:color="auto"/>
              <w:bottom w:val="single" w:sz="4" w:space="0" w:color="auto"/>
              <w:right w:val="nil"/>
            </w:tcBorders>
            <w:shd w:val="clear" w:color="auto" w:fill="auto"/>
            <w:noWrap/>
            <w:hideMark/>
          </w:tcPr>
          <w:p w:rsidR="00484362" w:rsidRPr="0016213C" w:rsidRDefault="00484362" w:rsidP="00C4282E">
            <w:pPr>
              <w:spacing w:after="0"/>
              <w:rPr>
                <w:color w:val="000000"/>
                <w:sz w:val="24"/>
                <w:lang w:eastAsia="en-IE"/>
              </w:rPr>
            </w:pPr>
            <w:r w:rsidRPr="0016213C">
              <w:rPr>
                <w:color w:val="000000"/>
                <w:sz w:val="24"/>
                <w:lang w:eastAsia="en-IE"/>
              </w:rPr>
              <w:t xml:space="preserve">29 </w:t>
            </w:r>
          </w:p>
        </w:tc>
        <w:tc>
          <w:tcPr>
            <w:tcW w:w="1513"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sz w:val="24"/>
              </w:rPr>
            </w:pPr>
            <w:r w:rsidRPr="0016213C">
              <w:rPr>
                <w:sz w:val="24"/>
              </w:rPr>
              <w:t>18%</w:t>
            </w:r>
          </w:p>
        </w:tc>
        <w:tc>
          <w:tcPr>
            <w:tcW w:w="644"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-29%</w:t>
            </w:r>
          </w:p>
        </w:tc>
        <w:tc>
          <w:tcPr>
            <w:tcW w:w="1298" w:type="dxa"/>
            <w:tcBorders>
              <w:top w:val="nil"/>
              <w:left w:val="single" w:sz="4" w:space="0" w:color="auto"/>
              <w:bottom w:val="single" w:sz="4" w:space="0" w:color="auto"/>
              <w:right w:val="single" w:sz="4" w:space="0" w:color="auto"/>
            </w:tcBorders>
          </w:tcPr>
          <w:p w:rsidR="00484362" w:rsidRPr="0016213C" w:rsidRDefault="00484362" w:rsidP="00C4282E">
            <w:pPr>
              <w:spacing w:after="0"/>
              <w:jc w:val="right"/>
              <w:rPr>
                <w:color w:val="000000"/>
                <w:sz w:val="24"/>
                <w:lang w:eastAsia="en-IE"/>
              </w:rPr>
            </w:pPr>
            <w:r w:rsidRPr="0016213C">
              <w:rPr>
                <w:color w:val="000000"/>
                <w:sz w:val="24"/>
                <w:lang w:eastAsia="en-IE"/>
              </w:rPr>
              <w:t>5%</w:t>
            </w:r>
          </w:p>
        </w:tc>
        <w:tc>
          <w:tcPr>
            <w:tcW w:w="989"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2%</w:t>
            </w:r>
          </w:p>
        </w:tc>
        <w:tc>
          <w:tcPr>
            <w:tcW w:w="1307" w:type="dxa"/>
            <w:tcBorders>
              <w:top w:val="nil"/>
              <w:left w:val="nil"/>
              <w:bottom w:val="single" w:sz="4" w:space="0" w:color="auto"/>
              <w:right w:val="single" w:sz="4" w:space="0" w:color="auto"/>
            </w:tcBorders>
            <w:shd w:val="clear" w:color="auto" w:fill="auto"/>
            <w:noWrap/>
            <w:hideMark/>
          </w:tcPr>
          <w:p w:rsidR="00484362" w:rsidRPr="0016213C" w:rsidRDefault="00484362" w:rsidP="00C4282E">
            <w:pPr>
              <w:spacing w:after="0"/>
              <w:jc w:val="right"/>
              <w:rPr>
                <w:color w:val="000000"/>
                <w:sz w:val="24"/>
                <w:lang w:eastAsia="en-IE"/>
              </w:rPr>
            </w:pPr>
            <w:r w:rsidRPr="0016213C">
              <w:rPr>
                <w:color w:val="000000"/>
                <w:sz w:val="24"/>
                <w:lang w:eastAsia="en-IE"/>
              </w:rPr>
              <w:t>1%</w:t>
            </w:r>
          </w:p>
        </w:tc>
        <w:tc>
          <w:tcPr>
            <w:tcW w:w="1241" w:type="dxa"/>
            <w:tcBorders>
              <w:top w:val="nil"/>
              <w:left w:val="nil"/>
              <w:bottom w:val="single" w:sz="4" w:space="0" w:color="auto"/>
              <w:right w:val="single" w:sz="4" w:space="0" w:color="auto"/>
            </w:tcBorders>
            <w:shd w:val="clear" w:color="auto" w:fill="auto"/>
            <w:noWrap/>
            <w:vAlign w:val="bottom"/>
            <w:hideMark/>
          </w:tcPr>
          <w:p w:rsidR="00484362" w:rsidRPr="0016213C" w:rsidRDefault="00484362" w:rsidP="00C4282E">
            <w:pPr>
              <w:spacing w:after="0"/>
              <w:jc w:val="right"/>
              <w:rPr>
                <w:color w:val="000000"/>
                <w:sz w:val="24"/>
              </w:rPr>
            </w:pPr>
            <w:r w:rsidRPr="0016213C">
              <w:rPr>
                <w:color w:val="000000"/>
                <w:sz w:val="24"/>
              </w:rPr>
              <w:t>1%</w:t>
            </w:r>
          </w:p>
        </w:tc>
      </w:tr>
    </w:tbl>
    <w:p w:rsidR="00C4282E" w:rsidRDefault="00C4282E" w:rsidP="00C4282E">
      <w:pPr>
        <w:pStyle w:val="TableNote"/>
      </w:pPr>
      <w:r>
        <w:t>Source: Census 2016 – special tabulation</w:t>
      </w:r>
    </w:p>
    <w:p w:rsidR="00191AC4" w:rsidRDefault="00191AC4" w:rsidP="00191AC4">
      <w:r>
        <w:t>Again we see that there is not much difference between people with and without a disability until about 18. At 18 we start to see a big increase in the numbers who are ‘unable to work due to illness/disability’, and a concomitant fall in the relative numbers at work. Education numbers diverge and then converge again. Indicating the people with a disability leave education earlier than people without a disability.</w:t>
      </w:r>
    </w:p>
    <w:p w:rsidR="00484362" w:rsidRDefault="00191AC4" w:rsidP="00191AC4">
      <w:r>
        <w:t xml:space="preserve">There were negligible differences in the proportions engaged in caring for a family, or in the </w:t>
      </w:r>
      <w:r w:rsidR="009A451C">
        <w:t>‘other‘subcategory</w:t>
      </w:r>
      <w:r>
        <w:t xml:space="preserve"> (table 3).  </w:t>
      </w:r>
    </w:p>
    <w:p w:rsidR="00191AC4" w:rsidRDefault="00187BA5" w:rsidP="003E7EE9">
      <w:pPr>
        <w:pStyle w:val="Heading2"/>
      </w:pPr>
      <w:r>
        <w:lastRenderedPageBreak/>
        <w:t>NEET by gender and disability</w:t>
      </w:r>
    </w:p>
    <w:p w:rsidR="00187BA5" w:rsidRDefault="00187BA5" w:rsidP="00187BA5">
      <w:r>
        <w:t xml:space="preserve">Men are slightly more likely to be NEET than women. For people without a disability this is 9.9 percent and 9.3 percent respectfully (table 4).This </w:t>
      </w:r>
      <w:r w:rsidR="007A111B">
        <w:t>gender difference</w:t>
      </w:r>
      <w:r>
        <w:t xml:space="preserve"> follows through to people with a disability where it is 24.7 percent compared to 21.1 percent</w:t>
      </w:r>
      <w:r w:rsidR="003718AC">
        <w:t xml:space="preserve"> (table 4).</w:t>
      </w:r>
    </w:p>
    <w:p w:rsidR="00187BA5" w:rsidRDefault="00187BA5" w:rsidP="00187BA5">
      <w:pPr>
        <w:pStyle w:val="Caption"/>
        <w:keepNext/>
      </w:pPr>
      <w:r>
        <w:t>Table 4: Gender and disability by NEET status</w:t>
      </w:r>
      <w:r w:rsidR="005F1589">
        <w:fldChar w:fldCharType="begin"/>
      </w:r>
      <w:r w:rsidR="005F1589">
        <w:instrText xml:space="preserve"> STYLEREF 1 \s </w:instrText>
      </w:r>
      <w:r w:rsidR="005F1589">
        <w:fldChar w:fldCharType="separate"/>
      </w:r>
      <w:r w:rsidR="001D62E5">
        <w:rPr>
          <w:noProof/>
        </w:rPr>
        <w:t>0</w:t>
      </w:r>
      <w:r w:rsidR="005F1589">
        <w:rPr>
          <w:noProof/>
        </w:rPr>
        <w:fldChar w:fldCharType="end"/>
      </w:r>
      <w:r w:rsidR="002D505D">
        <w:t>-</w:t>
      </w:r>
      <w:r w:rsidR="005F1589">
        <w:fldChar w:fldCharType="begin"/>
      </w:r>
      <w:r w:rsidR="005F1589">
        <w:instrText xml:space="preserve"> SEQ Table \* ARABIC \s 1 </w:instrText>
      </w:r>
      <w:r w:rsidR="005F1589">
        <w:fldChar w:fldCharType="separate"/>
      </w:r>
      <w:r w:rsidR="001D62E5">
        <w:rPr>
          <w:noProof/>
        </w:rPr>
        <w:t>1</w:t>
      </w:r>
      <w:r w:rsidR="005F1589">
        <w:rPr>
          <w:noProof/>
        </w:rPr>
        <w:fldChar w:fldCharType="end"/>
      </w:r>
    </w:p>
    <w:tbl>
      <w:tblPr>
        <w:tblStyle w:val="TableGrid"/>
        <w:tblW w:w="0" w:type="auto"/>
        <w:tblLook w:val="04A0" w:firstRow="1" w:lastRow="0" w:firstColumn="1" w:lastColumn="0" w:noHBand="0" w:noVBand="1"/>
        <w:tblCaption w:val="Table 4: Gender and disability by NEET"/>
      </w:tblPr>
      <w:tblGrid>
        <w:gridCol w:w="2876"/>
        <w:gridCol w:w="2877"/>
        <w:gridCol w:w="2877"/>
      </w:tblGrid>
      <w:tr w:rsidR="00187BA5" w:rsidTr="005F1589">
        <w:trPr>
          <w:tblHeader/>
        </w:trPr>
        <w:tc>
          <w:tcPr>
            <w:tcW w:w="2876" w:type="dxa"/>
          </w:tcPr>
          <w:p w:rsidR="00187BA5" w:rsidRDefault="00187BA5" w:rsidP="00187BA5">
            <w:r>
              <w:t>Disability status</w:t>
            </w:r>
          </w:p>
        </w:tc>
        <w:tc>
          <w:tcPr>
            <w:tcW w:w="2877" w:type="dxa"/>
          </w:tcPr>
          <w:p w:rsidR="00187BA5" w:rsidRDefault="00187BA5" w:rsidP="00D777A2">
            <w:pPr>
              <w:jc w:val="right"/>
            </w:pPr>
            <w:r>
              <w:t xml:space="preserve">Male </w:t>
            </w:r>
          </w:p>
        </w:tc>
        <w:tc>
          <w:tcPr>
            <w:tcW w:w="2877" w:type="dxa"/>
          </w:tcPr>
          <w:p w:rsidR="00187BA5" w:rsidRDefault="00187BA5" w:rsidP="00D777A2">
            <w:pPr>
              <w:jc w:val="right"/>
            </w:pPr>
            <w:r>
              <w:t xml:space="preserve">Female </w:t>
            </w:r>
          </w:p>
        </w:tc>
      </w:tr>
      <w:tr w:rsidR="00187BA5" w:rsidTr="00187BA5">
        <w:tc>
          <w:tcPr>
            <w:tcW w:w="2876" w:type="dxa"/>
          </w:tcPr>
          <w:p w:rsidR="00187BA5" w:rsidRDefault="00187BA5" w:rsidP="00187BA5">
            <w:r>
              <w:t>Disability</w:t>
            </w:r>
          </w:p>
        </w:tc>
        <w:tc>
          <w:tcPr>
            <w:tcW w:w="2877" w:type="dxa"/>
          </w:tcPr>
          <w:p w:rsidR="00187BA5" w:rsidRDefault="00187BA5" w:rsidP="00D777A2">
            <w:pPr>
              <w:jc w:val="right"/>
            </w:pPr>
            <w:r>
              <w:t>24.7%</w:t>
            </w:r>
          </w:p>
        </w:tc>
        <w:tc>
          <w:tcPr>
            <w:tcW w:w="2877" w:type="dxa"/>
          </w:tcPr>
          <w:p w:rsidR="00187BA5" w:rsidRDefault="00187BA5" w:rsidP="00D777A2">
            <w:pPr>
              <w:jc w:val="right"/>
            </w:pPr>
            <w:r>
              <w:t>21.1%</w:t>
            </w:r>
          </w:p>
        </w:tc>
      </w:tr>
      <w:tr w:rsidR="00187BA5" w:rsidTr="00187BA5">
        <w:tc>
          <w:tcPr>
            <w:tcW w:w="2876" w:type="dxa"/>
          </w:tcPr>
          <w:p w:rsidR="00187BA5" w:rsidRDefault="00187BA5" w:rsidP="00187BA5">
            <w:r>
              <w:t>Non disability</w:t>
            </w:r>
          </w:p>
        </w:tc>
        <w:tc>
          <w:tcPr>
            <w:tcW w:w="2877" w:type="dxa"/>
          </w:tcPr>
          <w:p w:rsidR="00187BA5" w:rsidRDefault="00187BA5" w:rsidP="00D777A2">
            <w:pPr>
              <w:jc w:val="right"/>
            </w:pPr>
            <w:r>
              <w:t>9.9%</w:t>
            </w:r>
          </w:p>
        </w:tc>
        <w:tc>
          <w:tcPr>
            <w:tcW w:w="2877" w:type="dxa"/>
          </w:tcPr>
          <w:p w:rsidR="00187BA5" w:rsidRDefault="00187BA5" w:rsidP="00D777A2">
            <w:pPr>
              <w:jc w:val="right"/>
            </w:pPr>
            <w:r>
              <w:t>9.3%</w:t>
            </w:r>
          </w:p>
        </w:tc>
      </w:tr>
    </w:tbl>
    <w:p w:rsidR="00187BA5" w:rsidRDefault="00187BA5" w:rsidP="00187BA5">
      <w:pPr>
        <w:pStyle w:val="TableNote"/>
      </w:pPr>
      <w:r>
        <w:t>Source: Census 2016</w:t>
      </w:r>
    </w:p>
    <w:p w:rsidR="00187BA5" w:rsidRDefault="003718AC" w:rsidP="00191AC4">
      <w:r>
        <w:t>The gender difference can also be seen for most disabilities (graph 4). Graph 4 plots the differences between men and women on NEET status – a positive number means men with that disability are more likely to be NEET than women with that disability. A negative number means women with that disability are more likely to be NEET than men with that disability. For all disabilities except two</w:t>
      </w:r>
      <w:r w:rsidR="008C6987">
        <w:t>,</w:t>
      </w:r>
      <w:r>
        <w:t xml:space="preserve"> men are more likely to be NEET than women with the same disability. And in the case of people with mental health issues the difference is substantial. The two disabilities where the gender trend is reversed are:</w:t>
      </w:r>
    </w:p>
    <w:p w:rsidR="003718AC" w:rsidRDefault="003718AC" w:rsidP="003718AC">
      <w:pPr>
        <w:pStyle w:val="ListParagraph"/>
        <w:numPr>
          <w:ilvl w:val="0"/>
          <w:numId w:val="23"/>
        </w:numPr>
      </w:pPr>
      <w:r>
        <w:t>Difficulty in dressing, bathing or getting around inside the home</w:t>
      </w:r>
    </w:p>
    <w:p w:rsidR="003718AC" w:rsidRDefault="003718AC" w:rsidP="003718AC">
      <w:pPr>
        <w:pStyle w:val="ListParagraph"/>
        <w:numPr>
          <w:ilvl w:val="0"/>
          <w:numId w:val="23"/>
        </w:numPr>
      </w:pPr>
      <w:r>
        <w:t>Difficulty in going outside home alone</w:t>
      </w:r>
    </w:p>
    <w:p w:rsidR="00191AC4" w:rsidRDefault="00246321" w:rsidP="00246321">
      <w:pPr>
        <w:pStyle w:val="ListParagraph"/>
      </w:pPr>
      <w:r>
        <w:rPr>
          <w:noProof/>
          <w:lang w:eastAsia="en-IE"/>
        </w:rPr>
        <w:lastRenderedPageBreak/>
        <w:drawing>
          <wp:inline distT="0" distB="0" distL="0" distR="0" wp14:anchorId="07FB3E2B" wp14:editId="7FD67750">
            <wp:extent cx="4584700" cy="2755900"/>
            <wp:effectExtent l="0" t="0" r="6350" b="6350"/>
            <wp:docPr id="6" name="Picture 6" descr="This graph shows that for every disability except difficulty in dressing and difficutly in going out men have higher rates of NEET than women.  This graph shows that the male disadvantage is fairly conisistent and in the case of those with mental health issues it is very substantial.  Men with mental health dififtulties are much more likely to be NEET than women with mental health diffitulties. " title="Graph 4: Gender differences in NEET status by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67477" w:rsidRDefault="00567477" w:rsidP="00567477">
      <w:pPr>
        <w:pStyle w:val="TableNote"/>
      </w:pPr>
      <w:r w:rsidRPr="00567477">
        <w:t xml:space="preserve">Source: Census 2016 </w:t>
      </w:r>
    </w:p>
    <w:p w:rsidR="009A451C" w:rsidRDefault="009A451C">
      <w:pPr>
        <w:spacing w:after="0"/>
        <w:rPr>
          <w:rFonts w:cs="Arial Bold"/>
          <w:b/>
          <w:bCs/>
          <w:iCs/>
          <w:sz w:val="28"/>
          <w:szCs w:val="28"/>
        </w:rPr>
      </w:pPr>
      <w:r>
        <w:br w:type="page"/>
      </w:r>
    </w:p>
    <w:p w:rsidR="00191AC4" w:rsidRDefault="00191AC4" w:rsidP="003E7EE9">
      <w:pPr>
        <w:pStyle w:val="Heading2"/>
      </w:pPr>
      <w:r>
        <w:lastRenderedPageBreak/>
        <w:t xml:space="preserve">Change over time in NEET status </w:t>
      </w:r>
    </w:p>
    <w:p w:rsidR="00567477" w:rsidRDefault="00567477" w:rsidP="00567477">
      <w:r w:rsidRPr="00567477">
        <w:t>While the NEET level for young people with a disability has declined between 2011 and 2016 it is still higher than for the level of people without a disability (graph 5).</w:t>
      </w:r>
    </w:p>
    <w:p w:rsidR="006B4441" w:rsidRPr="00567477" w:rsidRDefault="006B4441" w:rsidP="00567477">
      <w:r>
        <w:rPr>
          <w:noProof/>
          <w:lang w:eastAsia="en-IE"/>
        </w:rPr>
        <w:drawing>
          <wp:inline distT="0" distB="0" distL="0" distR="0" wp14:anchorId="21EEEDBE" wp14:editId="5F6F2186">
            <wp:extent cx="5229093" cy="3143250"/>
            <wp:effectExtent l="0" t="0" r="0" b="0"/>
            <wp:docPr id="7" name="Picture 7" descr="This graph shows that for both people with and without a disability the rate of NEET fell between 2011 and 2016. From 29% to 23% for people ith a disability and 16% and 10% for people without a disability.  The graph makes clear that this means that relatively things have worsened for people with a disability. " title="Graph 5: change in NEET between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3430" cy="3145857"/>
                    </a:xfrm>
                    <a:prstGeom prst="rect">
                      <a:avLst/>
                    </a:prstGeom>
                    <a:noFill/>
                  </pic:spPr>
                </pic:pic>
              </a:graphicData>
            </a:graphic>
          </wp:inline>
        </w:drawing>
      </w:r>
    </w:p>
    <w:p w:rsidR="00C35B37" w:rsidRDefault="00C35B37" w:rsidP="00C35B37">
      <w:pPr>
        <w:pStyle w:val="TableNote"/>
      </w:pPr>
      <w:r>
        <w:t>Source: Census 2016 and Census 2011</w:t>
      </w:r>
    </w:p>
    <w:p w:rsidR="009A451C" w:rsidRDefault="005756B3" w:rsidP="00EE66E6">
      <w:r>
        <w:t>The level of</w:t>
      </w:r>
      <w:r w:rsidR="008104F5">
        <w:t xml:space="preserve"> NEET</w:t>
      </w:r>
      <w:r>
        <w:t xml:space="preserve"> for people with a disability went from 29% to 23% a six percentage point drop. The rate of</w:t>
      </w:r>
      <w:r w:rsidR="008104F5">
        <w:t xml:space="preserve"> NEET</w:t>
      </w:r>
      <w:r>
        <w:t xml:space="preserve"> for people without a disability dropped also by six percentage points from 16% to 10%. </w:t>
      </w:r>
      <w:r w:rsidR="00B632C0">
        <w:t>Given that 20% of all people who are</w:t>
      </w:r>
      <w:r w:rsidR="008104F5">
        <w:t xml:space="preserve"> NEET</w:t>
      </w:r>
      <w:r w:rsidR="00B632C0">
        <w:t xml:space="preserve"> have a disability (see above) this indicates that if Ireland is to tackle the problem of young people who are not in education, </w:t>
      </w:r>
      <w:r w:rsidR="003D5061">
        <w:t>training</w:t>
      </w:r>
      <w:r w:rsidR="00B632C0">
        <w:t xml:space="preserve"> or work they will have to focus on people with a disability.</w:t>
      </w:r>
    </w:p>
    <w:p w:rsidR="009A451C" w:rsidRDefault="009A451C">
      <w:pPr>
        <w:spacing w:after="0"/>
      </w:pPr>
      <w:r>
        <w:br w:type="page"/>
      </w:r>
    </w:p>
    <w:p w:rsidR="00D523C1" w:rsidRDefault="00D523C1" w:rsidP="00EE66E6"/>
    <w:p w:rsidR="00C4282E" w:rsidRDefault="00380989" w:rsidP="00567477">
      <w:pPr>
        <w:pStyle w:val="TableTitle"/>
      </w:pPr>
      <w:r>
        <w:t xml:space="preserve">Table </w:t>
      </w:r>
      <w:r w:rsidR="00567477">
        <w:t>5</w:t>
      </w:r>
      <w:r>
        <w:t>:</w:t>
      </w:r>
      <w:r w:rsidR="008104F5">
        <w:t xml:space="preserve"> NEET</w:t>
      </w:r>
      <w:r>
        <w:t xml:space="preserve"> 2011 and 2016 by disability</w:t>
      </w:r>
    </w:p>
    <w:tbl>
      <w:tblPr>
        <w:tblW w:w="0" w:type="auto"/>
        <w:tblInd w:w="-10" w:type="dxa"/>
        <w:tblCellMar>
          <w:left w:w="0" w:type="dxa"/>
          <w:right w:w="0" w:type="dxa"/>
        </w:tblCellMar>
        <w:tblLook w:val="04A0" w:firstRow="1" w:lastRow="0" w:firstColumn="1" w:lastColumn="0" w:noHBand="0" w:noVBand="1"/>
      </w:tblPr>
      <w:tblGrid>
        <w:gridCol w:w="4596"/>
        <w:gridCol w:w="2350"/>
        <w:gridCol w:w="842"/>
        <w:gridCol w:w="842"/>
      </w:tblGrid>
      <w:tr w:rsidR="00DF69B5" w:rsidRPr="00C4282E" w:rsidTr="00F32E09">
        <w:trPr>
          <w:divId w:val="969826654"/>
          <w:trHeight w:val="405"/>
        </w:trPr>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C4282E">
            <w:pPr>
              <w:spacing w:after="0"/>
              <w:rPr>
                <w:rFonts w:ascii="Times New Roman" w:hAnsi="Times New Roman"/>
                <w:color w:val="000000"/>
                <w:sz w:val="20"/>
                <w:szCs w:val="20"/>
                <w:lang w:eastAsia="en-IE"/>
              </w:rPr>
            </w:pP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F69B5" w:rsidRPr="00C4282E" w:rsidRDefault="00DF69B5" w:rsidP="00C4282E">
            <w:pPr>
              <w:spacing w:after="0"/>
              <w:rPr>
                <w:color w:val="000000"/>
                <w:sz w:val="24"/>
                <w:lang w:eastAsia="en-IE"/>
              </w:rPr>
            </w:pPr>
            <w:r w:rsidRPr="00C4282E">
              <w:rPr>
                <w:color w:val="000000"/>
                <w:sz w:val="24"/>
                <w:lang w:eastAsia="en-IE"/>
              </w:rPr>
              <w:t xml:space="preserve">All </w:t>
            </w:r>
            <w:r>
              <w:rPr>
                <w:color w:val="000000"/>
                <w:sz w:val="24"/>
                <w:lang w:eastAsia="en-IE"/>
              </w:rPr>
              <w:t>people</w:t>
            </w:r>
            <w:r w:rsidRPr="00C4282E">
              <w:rPr>
                <w:color w:val="000000"/>
                <w:sz w:val="24"/>
                <w:lang w:eastAsia="en-IE"/>
              </w:rPr>
              <w:t xml:space="preserve"> aged 15 years and over</w:t>
            </w:r>
            <w:r>
              <w:rPr>
                <w:color w:val="000000"/>
                <w:sz w:val="24"/>
                <w:lang w:eastAsia="en-IE"/>
              </w:rPr>
              <w:t xml:space="preserve"> 2016</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F69B5" w:rsidRPr="00C4282E" w:rsidRDefault="00DF69B5" w:rsidP="00C4282E">
            <w:pPr>
              <w:spacing w:after="0"/>
              <w:rPr>
                <w:color w:val="000000"/>
                <w:sz w:val="24"/>
                <w:lang w:eastAsia="en-IE"/>
              </w:rPr>
            </w:pPr>
            <w:r>
              <w:rPr>
                <w:color w:val="000000"/>
                <w:sz w:val="24"/>
                <w:lang w:eastAsia="en-IE"/>
              </w:rPr>
              <w:t>NEET</w:t>
            </w:r>
            <w:r w:rsidRPr="00C4282E">
              <w:rPr>
                <w:color w:val="000000"/>
                <w:sz w:val="24"/>
                <w:lang w:eastAsia="en-IE"/>
              </w:rPr>
              <w:t xml:space="preserve"> 2011 %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F69B5" w:rsidRPr="00C4282E" w:rsidRDefault="00DF69B5" w:rsidP="00C4282E">
            <w:pPr>
              <w:spacing w:after="0"/>
              <w:rPr>
                <w:color w:val="000000"/>
                <w:sz w:val="24"/>
                <w:lang w:eastAsia="en-IE"/>
              </w:rPr>
            </w:pPr>
            <w:r>
              <w:rPr>
                <w:color w:val="000000"/>
                <w:sz w:val="24"/>
                <w:lang w:eastAsia="en-IE"/>
              </w:rPr>
              <w:t>NEET</w:t>
            </w:r>
            <w:r w:rsidRPr="00C4282E">
              <w:rPr>
                <w:color w:val="000000"/>
                <w:sz w:val="24"/>
                <w:lang w:eastAsia="en-IE"/>
              </w:rPr>
              <w:t xml:space="preserve"> 2016 %</w:t>
            </w:r>
          </w:p>
        </w:tc>
      </w:tr>
      <w:tr w:rsidR="00DF69B5" w:rsidRPr="00C4282E" w:rsidTr="00717854">
        <w:trPr>
          <w:divId w:val="969826654"/>
          <w:trHeight w:val="40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rPr>
                <w:color w:val="000000"/>
                <w:sz w:val="24"/>
                <w:lang w:eastAsia="en-IE"/>
              </w:rPr>
            </w:pPr>
            <w:r w:rsidRPr="00647E1B">
              <w:t>Blindness or a serious vision impairment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1E3649">
              <w:t>3374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29.4%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24.0%</w:t>
            </w:r>
          </w:p>
        </w:tc>
      </w:tr>
      <w:tr w:rsidR="00DF69B5" w:rsidRPr="00C4282E" w:rsidTr="00717854">
        <w:trPr>
          <w:divId w:val="969826654"/>
          <w:trHeight w:val="40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rPr>
                <w:color w:val="000000"/>
                <w:sz w:val="24"/>
                <w:lang w:eastAsia="en-IE"/>
              </w:rPr>
            </w:pPr>
            <w:r w:rsidRPr="00647E1B">
              <w:t>Deafness or a serious hearing impairment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1E3649">
              <w:t>2629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31.0%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25.4%</w:t>
            </w:r>
          </w:p>
        </w:tc>
      </w:tr>
      <w:tr w:rsidR="00DF69B5" w:rsidRPr="00C4282E" w:rsidTr="00717854">
        <w:trPr>
          <w:divId w:val="969826654"/>
          <w:trHeight w:val="40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rPr>
                <w:color w:val="000000"/>
                <w:sz w:val="24"/>
                <w:lang w:eastAsia="en-IE"/>
              </w:rPr>
            </w:pPr>
            <w:r w:rsidRPr="00647E1B">
              <w:t>A condition that substantially limits one or more basic physical activities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1E3649">
              <w:t>6158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48.0%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42.3%</w:t>
            </w:r>
          </w:p>
        </w:tc>
      </w:tr>
      <w:tr w:rsidR="00DF69B5" w:rsidRPr="00C4282E" w:rsidTr="00717854">
        <w:trPr>
          <w:divId w:val="969826654"/>
          <w:trHeight w:val="40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rPr>
                <w:color w:val="000000"/>
                <w:sz w:val="24"/>
                <w:lang w:eastAsia="en-IE"/>
              </w:rPr>
            </w:pPr>
            <w:r w:rsidRPr="00647E1B">
              <w:t>An intellectual disability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1E3649">
              <w:t>12556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37.1%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32.8%</w:t>
            </w:r>
          </w:p>
        </w:tc>
      </w:tr>
      <w:tr w:rsidR="00DF69B5" w:rsidRPr="00C4282E" w:rsidTr="00717854">
        <w:trPr>
          <w:divId w:val="969826654"/>
          <w:trHeight w:val="40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rPr>
                <w:color w:val="000000"/>
                <w:sz w:val="24"/>
                <w:lang w:eastAsia="en-IE"/>
              </w:rPr>
            </w:pPr>
            <w:r w:rsidRPr="00647E1B">
              <w:t>Difficulty in learning, remembering or concentrating</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1E3649">
              <w:t>23848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29.1%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24.3%</w:t>
            </w:r>
          </w:p>
        </w:tc>
      </w:tr>
      <w:tr w:rsidR="00DF69B5" w:rsidRPr="00C4282E" w:rsidTr="00717854">
        <w:trPr>
          <w:divId w:val="969826654"/>
          <w:trHeight w:val="40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rPr>
                <w:color w:val="000000"/>
                <w:sz w:val="24"/>
                <w:lang w:eastAsia="en-IE"/>
              </w:rPr>
            </w:pPr>
            <w:r w:rsidRPr="00647E1B">
              <w:t>Psychological or emotional condition</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1E3649">
              <w:t>15669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43.6%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30.7%</w:t>
            </w:r>
          </w:p>
        </w:tc>
      </w:tr>
      <w:tr w:rsidR="00DF69B5" w:rsidRPr="00C4282E" w:rsidTr="00717854">
        <w:trPr>
          <w:divId w:val="969826654"/>
          <w:trHeight w:val="40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rPr>
                <w:color w:val="000000"/>
                <w:sz w:val="24"/>
                <w:lang w:eastAsia="en-IE"/>
              </w:rPr>
            </w:pPr>
            <w:r w:rsidRPr="00647E1B">
              <w:t>Other disability, including chronic illness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1E3649">
              <w:t>15029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28.6%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22.3%</w:t>
            </w:r>
          </w:p>
        </w:tc>
      </w:tr>
      <w:tr w:rsidR="00DF69B5" w:rsidRPr="00C4282E" w:rsidTr="00717854">
        <w:trPr>
          <w:divId w:val="969826654"/>
          <w:trHeight w:val="40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rPr>
                <w:color w:val="000000"/>
                <w:sz w:val="24"/>
                <w:lang w:eastAsia="en-IE"/>
              </w:rPr>
            </w:pPr>
            <w:r w:rsidRPr="00647E1B">
              <w:t>Difficulty in dressing, bathing or getting around inside the home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1E3649">
              <w:t>4949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48.4%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43.4%</w:t>
            </w:r>
          </w:p>
        </w:tc>
      </w:tr>
      <w:tr w:rsidR="00DF69B5" w:rsidRPr="00C4282E" w:rsidTr="00717854">
        <w:trPr>
          <w:divId w:val="969826654"/>
          <w:trHeight w:val="40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rPr>
                <w:color w:val="000000"/>
                <w:sz w:val="24"/>
                <w:lang w:eastAsia="en-IE"/>
              </w:rPr>
            </w:pPr>
            <w:r w:rsidRPr="00647E1B">
              <w:t>Difficulty in going outside home alone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1E3649">
              <w:t>9688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47.9%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44.0%</w:t>
            </w:r>
          </w:p>
        </w:tc>
      </w:tr>
      <w:tr w:rsidR="00DF69B5" w:rsidRPr="00C4282E" w:rsidTr="00717854">
        <w:trPr>
          <w:divId w:val="969826654"/>
          <w:trHeight w:val="40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rPr>
                <w:color w:val="000000"/>
                <w:sz w:val="24"/>
                <w:lang w:eastAsia="en-IE"/>
              </w:rPr>
            </w:pPr>
            <w:r w:rsidRPr="00647E1B">
              <w:t>Difficulty in working or attending school/college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1E3649">
              <w:t>16498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43.5%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37.2%</w:t>
            </w:r>
          </w:p>
        </w:tc>
      </w:tr>
      <w:tr w:rsidR="00DF69B5" w:rsidRPr="00C4282E" w:rsidTr="00717854">
        <w:trPr>
          <w:divId w:val="969826654"/>
          <w:trHeight w:val="40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rPr>
                <w:color w:val="000000"/>
                <w:sz w:val="24"/>
                <w:lang w:eastAsia="en-IE"/>
              </w:rPr>
            </w:pPr>
            <w:r w:rsidRPr="00647E1B">
              <w:t>Difficulty in participating in other activities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1E3649">
              <w:t>13145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40.6%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DF69B5" w:rsidRPr="00C4282E" w:rsidRDefault="00DF69B5" w:rsidP="00DF69B5">
            <w:pPr>
              <w:spacing w:after="0"/>
              <w:jc w:val="right"/>
              <w:rPr>
                <w:color w:val="000000"/>
                <w:sz w:val="24"/>
                <w:lang w:eastAsia="en-IE"/>
              </w:rPr>
            </w:pPr>
            <w:r w:rsidRPr="00E27691">
              <w:t>36.0%</w:t>
            </w:r>
          </w:p>
        </w:tc>
      </w:tr>
      <w:tr w:rsidR="00DF69B5" w:rsidRPr="00C4282E" w:rsidTr="00F32E09">
        <w:trPr>
          <w:divId w:val="969826654"/>
          <w:trHeight w:val="40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F69B5" w:rsidRPr="00C4282E" w:rsidRDefault="00DF69B5" w:rsidP="00C4282E">
            <w:pPr>
              <w:spacing w:after="0"/>
              <w:rPr>
                <w:color w:val="000000"/>
                <w:sz w:val="24"/>
                <w:lang w:eastAsia="en-IE"/>
              </w:rPr>
            </w:pPr>
            <w:r w:rsidRPr="007A111B">
              <w:t>without a disability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F69B5" w:rsidRPr="00C4282E" w:rsidRDefault="00DF69B5" w:rsidP="00C4282E">
            <w:pPr>
              <w:spacing w:after="0"/>
              <w:jc w:val="right"/>
              <w:rPr>
                <w:color w:val="000000"/>
                <w:sz w:val="24"/>
                <w:lang w:eastAsia="en-IE"/>
              </w:rPr>
            </w:pPr>
            <w:r>
              <w:rPr>
                <w:color w:val="000000"/>
                <w:sz w:val="24"/>
                <w:lang w:eastAsia="en-IE"/>
              </w:rPr>
              <w:t>85789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F69B5" w:rsidRPr="00C4282E" w:rsidRDefault="00DF69B5" w:rsidP="00F32E09">
            <w:pPr>
              <w:spacing w:after="0"/>
              <w:jc w:val="right"/>
              <w:rPr>
                <w:color w:val="000000"/>
                <w:sz w:val="24"/>
                <w:lang w:eastAsia="en-IE"/>
              </w:rPr>
            </w:pPr>
            <w:r w:rsidRPr="00C4282E">
              <w:rPr>
                <w:color w:val="000000"/>
                <w:sz w:val="24"/>
                <w:lang w:eastAsia="en-IE"/>
              </w:rPr>
              <w:t>1</w:t>
            </w:r>
            <w:r>
              <w:rPr>
                <w:color w:val="000000"/>
                <w:sz w:val="24"/>
                <w:lang w:eastAsia="en-IE"/>
              </w:rPr>
              <w:t>6</w:t>
            </w:r>
            <w:r w:rsidRPr="00C4282E">
              <w:rPr>
                <w:color w:val="000000"/>
                <w:sz w:val="24"/>
                <w:lang w:eastAsia="en-IE"/>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F69B5" w:rsidRPr="00C4282E" w:rsidRDefault="00DF69B5" w:rsidP="00C4282E">
            <w:pPr>
              <w:spacing w:after="0"/>
              <w:jc w:val="right"/>
              <w:rPr>
                <w:color w:val="000000"/>
                <w:sz w:val="24"/>
                <w:lang w:eastAsia="en-IE"/>
              </w:rPr>
            </w:pPr>
            <w:r w:rsidRPr="00C4282E">
              <w:rPr>
                <w:color w:val="000000"/>
                <w:sz w:val="24"/>
                <w:lang w:eastAsia="en-IE"/>
              </w:rPr>
              <w:t>10%</w:t>
            </w:r>
          </w:p>
        </w:tc>
      </w:tr>
    </w:tbl>
    <w:p w:rsidR="00D523C1" w:rsidRPr="003E10C4" w:rsidRDefault="00380989" w:rsidP="003E10C4">
      <w:pPr>
        <w:pStyle w:val="TableNote"/>
      </w:pPr>
      <w:r>
        <w:t>Source census 2011 and 2016</w:t>
      </w:r>
      <w:r w:rsidR="003E10C4">
        <w:t xml:space="preserve"> </w:t>
      </w:r>
    </w:p>
    <w:p w:rsidR="00BC2968" w:rsidRDefault="00380989" w:rsidP="00380989">
      <w:r>
        <w:t>If we look at the</w:t>
      </w:r>
      <w:r w:rsidR="008104F5">
        <w:t xml:space="preserve"> NEET</w:t>
      </w:r>
      <w:r>
        <w:t xml:space="preserve"> rates in 2016 and compare them to 2011 </w:t>
      </w:r>
      <w:r w:rsidR="004948E2">
        <w:t xml:space="preserve">(table </w:t>
      </w:r>
      <w:r w:rsidR="00567477">
        <w:t>5</w:t>
      </w:r>
      <w:r w:rsidR="00FB7937">
        <w:t xml:space="preserve"> and chart 6</w:t>
      </w:r>
      <w:r w:rsidR="004948E2">
        <w:t xml:space="preserve">) </w:t>
      </w:r>
      <w:r>
        <w:t xml:space="preserve">we see that for all disability groups the numbers have improved. Fewer young people with a disability can be </w:t>
      </w:r>
      <w:r w:rsidR="0093716F">
        <w:t>counted as</w:t>
      </w:r>
      <w:r>
        <w:t xml:space="preserve"> a</w:t>
      </w:r>
      <w:r w:rsidR="008104F5">
        <w:t xml:space="preserve"> NEET</w:t>
      </w:r>
      <w:r>
        <w:t xml:space="preserve"> in 2016 compared to 2011. This is partly </w:t>
      </w:r>
      <w:r w:rsidR="0089712C">
        <w:t>because</w:t>
      </w:r>
      <w:r>
        <w:t xml:space="preserve"> of the economy recovering. For </w:t>
      </w:r>
      <w:r w:rsidR="0089712C">
        <w:t>instance,</w:t>
      </w:r>
      <w:r>
        <w:t xml:space="preserve"> the</w:t>
      </w:r>
      <w:r w:rsidR="008104F5">
        <w:t xml:space="preserve"> NEET</w:t>
      </w:r>
      <w:r w:rsidR="00BC2968">
        <w:t xml:space="preserve"> </w:t>
      </w:r>
      <w:r>
        <w:t xml:space="preserve">rate for people without a disability fell from </w:t>
      </w:r>
      <w:r w:rsidRPr="0057344F">
        <w:t>1</w:t>
      </w:r>
      <w:r w:rsidR="00567477" w:rsidRPr="0057344F">
        <w:t>6</w:t>
      </w:r>
      <w:r w:rsidRPr="0057344F">
        <w:t>%</w:t>
      </w:r>
      <w:r>
        <w:t xml:space="preserve"> in 2011 to 10% in 2016. If we look at the percentage </w:t>
      </w:r>
      <w:r w:rsidR="0089712C">
        <w:t>change,</w:t>
      </w:r>
      <w:r>
        <w:t xml:space="preserve"> (</w:t>
      </w:r>
      <w:r w:rsidR="00DF69B5">
        <w:t>graph 6</w:t>
      </w:r>
      <w:r>
        <w:t>) we see that for those without a disability the rate of</w:t>
      </w:r>
      <w:r w:rsidR="008104F5">
        <w:t xml:space="preserve"> NEET</w:t>
      </w:r>
      <w:r>
        <w:t xml:space="preserve"> fell by </w:t>
      </w:r>
      <w:r w:rsidR="00FB7937">
        <w:t>six</w:t>
      </w:r>
      <w:r>
        <w:t xml:space="preserve"> percent</w:t>
      </w:r>
      <w:r w:rsidR="00FB7937">
        <w:t>age points</w:t>
      </w:r>
      <w:r>
        <w:t xml:space="preserve">. </w:t>
      </w:r>
      <w:r w:rsidR="00FB7937">
        <w:t xml:space="preserve">Several disability groups matched this improvement or bettered it – particularly those with a </w:t>
      </w:r>
      <w:r w:rsidR="008C6987">
        <w:t>p</w:t>
      </w:r>
      <w:r w:rsidR="00FB7937" w:rsidRPr="00FB7937">
        <w:t xml:space="preserve">sychological or emotional condition </w:t>
      </w:r>
      <w:r w:rsidR="00FB7937">
        <w:t>who went from</w:t>
      </w:r>
      <w:r w:rsidR="008C6987">
        <w:t xml:space="preserve"> </w:t>
      </w:r>
      <w:r w:rsidR="00FB7937">
        <w:t xml:space="preserve">43.6 percent to 30.7 percent. However overall the change was similar for people with and without a disability – meaning that as people with a </w:t>
      </w:r>
      <w:r w:rsidR="00FB7937">
        <w:lastRenderedPageBreak/>
        <w:t>disability started with a much higher rate of NEET they were relatively disadvantaged by the change.</w:t>
      </w:r>
    </w:p>
    <w:p w:rsidR="006B4441" w:rsidRDefault="006B4441" w:rsidP="00380989">
      <w:r>
        <w:rPr>
          <w:noProof/>
          <w:lang w:eastAsia="en-IE"/>
        </w:rPr>
        <w:drawing>
          <wp:inline distT="0" distB="0" distL="0" distR="0" wp14:anchorId="222FAF22" wp14:editId="4B2DA499">
            <wp:extent cx="4584700" cy="3853180"/>
            <wp:effectExtent l="0" t="0" r="6350" b="0"/>
            <wp:docPr id="8" name="Picture 8" descr="this graph shows that for all types of disability there has been a fall in the rate of NEET and this is particualry noticeable for people with mental health problems. " title="Graph 6 Change in NEET 2011-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3853180"/>
                    </a:xfrm>
                    <a:prstGeom prst="rect">
                      <a:avLst/>
                    </a:prstGeom>
                    <a:noFill/>
                  </pic:spPr>
                </pic:pic>
              </a:graphicData>
            </a:graphic>
          </wp:inline>
        </w:drawing>
      </w:r>
    </w:p>
    <w:p w:rsidR="003E10C4" w:rsidRPr="003E10C4" w:rsidRDefault="003E10C4" w:rsidP="003E10C4">
      <w:pPr>
        <w:pStyle w:val="TableNote"/>
      </w:pPr>
      <w:r>
        <w:t xml:space="preserve">Source Census 2011 and 2016 </w:t>
      </w:r>
      <w:r w:rsidRPr="003E10C4">
        <w:t>Note the categories are not mutually exclusive – an individual can fall under multiple categories.</w:t>
      </w:r>
    </w:p>
    <w:p w:rsidR="002D505D" w:rsidRDefault="002D505D">
      <w:pPr>
        <w:spacing w:after="0"/>
        <w:rPr>
          <w:rFonts w:cs="Arial Bold"/>
          <w:b/>
          <w:bCs/>
          <w:iCs/>
          <w:sz w:val="28"/>
          <w:szCs w:val="28"/>
        </w:rPr>
      </w:pPr>
      <w:r>
        <w:br w:type="page"/>
      </w:r>
    </w:p>
    <w:p w:rsidR="003C3DC5" w:rsidRPr="00A02E09" w:rsidRDefault="001967B2" w:rsidP="003E7EE9">
      <w:pPr>
        <w:pStyle w:val="Heading1"/>
      </w:pPr>
      <w:r w:rsidRPr="00A02E09">
        <w:lastRenderedPageBreak/>
        <w:t xml:space="preserve">NEET </w:t>
      </w:r>
      <w:r w:rsidR="003C3DC5" w:rsidRPr="00A02E09">
        <w:t>International comparisons</w:t>
      </w:r>
      <w:r w:rsidRPr="00A02E09">
        <w:t xml:space="preserve"> </w:t>
      </w:r>
    </w:p>
    <w:p w:rsidR="005005D6" w:rsidRDefault="00C4282E" w:rsidP="007A111B">
      <w:r>
        <w:t xml:space="preserve">The OECD looks at the education, </w:t>
      </w:r>
      <w:r w:rsidR="00B15BF6">
        <w:t>training and</w:t>
      </w:r>
      <w:r>
        <w:t xml:space="preserve"> unpaid work experience of people with and without limitations and people than with and without disabilities </w:t>
      </w:r>
      <w:r w:rsidR="00176017">
        <w:t xml:space="preserve">(so a different definition of disability than used above) </w:t>
      </w:r>
      <w:r>
        <w:t xml:space="preserve">(table </w:t>
      </w:r>
      <w:r w:rsidR="00176017">
        <w:t>6</w:t>
      </w:r>
      <w:r>
        <w:t xml:space="preserve">).  </w:t>
      </w:r>
    </w:p>
    <w:p w:rsidR="005005D6" w:rsidRDefault="00484362" w:rsidP="005005D6">
      <w:pPr>
        <w:pStyle w:val="Caption"/>
        <w:keepNext/>
      </w:pPr>
      <w:r>
        <w:t xml:space="preserve">Table </w:t>
      </w:r>
      <w:r w:rsidR="00176017">
        <w:t>6</w:t>
      </w:r>
      <w:r>
        <w:t xml:space="preserve">: International comparisons </w:t>
      </w:r>
      <w:r w:rsidR="0010553B">
        <w:t>percentage</w:t>
      </w:r>
    </w:p>
    <w:tbl>
      <w:tblPr>
        <w:tblStyle w:val="TableGridLight"/>
        <w:tblW w:w="0" w:type="auto"/>
        <w:tblLook w:val="04A0" w:firstRow="1" w:lastRow="0" w:firstColumn="1" w:lastColumn="0" w:noHBand="0" w:noVBand="1"/>
        <w:tblCaption w:val="Table 6: International comparisons percentage"/>
      </w:tblPr>
      <w:tblGrid>
        <w:gridCol w:w="485"/>
        <w:gridCol w:w="1348"/>
        <w:gridCol w:w="1275"/>
        <w:gridCol w:w="1277"/>
        <w:gridCol w:w="2203"/>
        <w:gridCol w:w="2042"/>
      </w:tblGrid>
      <w:tr w:rsidR="0010553B" w:rsidRPr="00D605A2" w:rsidTr="005F1589">
        <w:trPr>
          <w:divId w:val="1196771925"/>
          <w:trHeight w:val="1556"/>
          <w:tblHeader/>
        </w:trPr>
        <w:tc>
          <w:tcPr>
            <w:tcW w:w="0" w:type="auto"/>
            <w:noWrap/>
            <w:hideMark/>
          </w:tcPr>
          <w:p w:rsidR="00D605A2" w:rsidRPr="00D605A2" w:rsidRDefault="00D605A2" w:rsidP="00D605A2">
            <w:pPr>
              <w:spacing w:after="0"/>
              <w:rPr>
                <w:rFonts w:ascii="Times New Roman" w:hAnsi="Times New Roman"/>
                <w:sz w:val="20"/>
                <w:szCs w:val="20"/>
                <w:lang w:eastAsia="en-IE"/>
              </w:rPr>
            </w:pPr>
          </w:p>
        </w:tc>
        <w:tc>
          <w:tcPr>
            <w:tcW w:w="1348" w:type="dxa"/>
            <w:hideMark/>
          </w:tcPr>
          <w:p w:rsidR="00D605A2" w:rsidRPr="00D605A2" w:rsidRDefault="00D605A2" w:rsidP="00D605A2">
            <w:pPr>
              <w:spacing w:after="0"/>
              <w:rPr>
                <w:rFonts w:ascii="Calibri" w:hAnsi="Calibri"/>
                <w:color w:val="000000"/>
                <w:sz w:val="22"/>
                <w:szCs w:val="22"/>
                <w:lang w:eastAsia="en-IE"/>
              </w:rPr>
            </w:pPr>
            <w:r w:rsidRPr="00D605A2">
              <w:rPr>
                <w:rFonts w:ascii="Calibri" w:hAnsi="Calibri"/>
                <w:color w:val="000000"/>
                <w:sz w:val="22"/>
                <w:szCs w:val="22"/>
                <w:lang w:eastAsia="en-IE"/>
              </w:rPr>
              <w:t>people with limitations in education *</w:t>
            </w:r>
          </w:p>
        </w:tc>
        <w:tc>
          <w:tcPr>
            <w:tcW w:w="1275" w:type="dxa"/>
            <w:hideMark/>
          </w:tcPr>
          <w:p w:rsidR="00D605A2" w:rsidRPr="00D605A2" w:rsidRDefault="00D605A2" w:rsidP="00D605A2">
            <w:pPr>
              <w:spacing w:after="0"/>
              <w:rPr>
                <w:rFonts w:ascii="Calibri" w:hAnsi="Calibri"/>
                <w:color w:val="000000"/>
                <w:sz w:val="22"/>
                <w:szCs w:val="22"/>
                <w:lang w:eastAsia="en-IE"/>
              </w:rPr>
            </w:pPr>
            <w:r w:rsidRPr="00D605A2">
              <w:rPr>
                <w:rFonts w:ascii="Calibri" w:hAnsi="Calibri"/>
                <w:color w:val="000000"/>
                <w:sz w:val="22"/>
                <w:szCs w:val="22"/>
                <w:lang w:eastAsia="en-IE"/>
              </w:rPr>
              <w:t>people without limitations in education *</w:t>
            </w:r>
          </w:p>
        </w:tc>
        <w:tc>
          <w:tcPr>
            <w:tcW w:w="1277" w:type="dxa"/>
            <w:hideMark/>
          </w:tcPr>
          <w:p w:rsidR="00D605A2" w:rsidRPr="00D605A2" w:rsidRDefault="00D605A2" w:rsidP="00D605A2">
            <w:pPr>
              <w:spacing w:after="0"/>
              <w:rPr>
                <w:rFonts w:ascii="Calibri" w:hAnsi="Calibri"/>
                <w:color w:val="000000"/>
                <w:sz w:val="22"/>
                <w:szCs w:val="22"/>
                <w:lang w:eastAsia="en-IE"/>
              </w:rPr>
            </w:pPr>
            <w:r w:rsidRPr="00D605A2">
              <w:rPr>
                <w:rFonts w:ascii="Calibri" w:hAnsi="Calibri"/>
                <w:color w:val="000000"/>
                <w:sz w:val="22"/>
                <w:szCs w:val="22"/>
                <w:lang w:eastAsia="en-IE"/>
              </w:rPr>
              <w:t>people with disabilities in education ~</w:t>
            </w:r>
          </w:p>
        </w:tc>
        <w:tc>
          <w:tcPr>
            <w:tcW w:w="2203" w:type="dxa"/>
            <w:hideMark/>
          </w:tcPr>
          <w:p w:rsidR="00D605A2" w:rsidRPr="00D605A2" w:rsidRDefault="0010553B" w:rsidP="00D605A2">
            <w:pPr>
              <w:spacing w:after="0"/>
              <w:jc w:val="center"/>
              <w:rPr>
                <w:rFonts w:ascii="Calibri" w:hAnsi="Calibri"/>
                <w:color w:val="000000"/>
                <w:sz w:val="22"/>
                <w:szCs w:val="22"/>
                <w:lang w:eastAsia="en-IE"/>
              </w:rPr>
            </w:pPr>
            <w:r>
              <w:rPr>
                <w:rFonts w:ascii="Calibri" w:hAnsi="Calibri"/>
                <w:color w:val="000000"/>
                <w:sz w:val="22"/>
                <w:szCs w:val="22"/>
                <w:lang w:eastAsia="en-IE"/>
              </w:rPr>
              <w:t>P</w:t>
            </w:r>
            <w:r w:rsidR="00D605A2" w:rsidRPr="00D605A2">
              <w:rPr>
                <w:rFonts w:ascii="Calibri" w:hAnsi="Calibri"/>
                <w:color w:val="000000"/>
                <w:sz w:val="22"/>
                <w:szCs w:val="22"/>
                <w:lang w:eastAsia="en-IE"/>
              </w:rPr>
              <w:t>eople with a disability who are pupils, students, further training &amp; unpaid work experience.*</w:t>
            </w:r>
          </w:p>
        </w:tc>
        <w:tc>
          <w:tcPr>
            <w:tcW w:w="0" w:type="auto"/>
            <w:hideMark/>
          </w:tcPr>
          <w:p w:rsidR="00D605A2" w:rsidRPr="00D605A2" w:rsidRDefault="0010553B" w:rsidP="00D605A2">
            <w:pPr>
              <w:spacing w:after="0"/>
              <w:jc w:val="center"/>
              <w:rPr>
                <w:rFonts w:ascii="Calibri" w:hAnsi="Calibri"/>
                <w:color w:val="000000"/>
                <w:sz w:val="22"/>
                <w:szCs w:val="22"/>
                <w:lang w:eastAsia="en-IE"/>
              </w:rPr>
            </w:pPr>
            <w:r>
              <w:rPr>
                <w:rFonts w:ascii="Calibri" w:hAnsi="Calibri"/>
                <w:color w:val="000000"/>
                <w:sz w:val="22"/>
                <w:szCs w:val="22"/>
                <w:lang w:eastAsia="en-IE"/>
              </w:rPr>
              <w:t>P</w:t>
            </w:r>
            <w:r w:rsidR="00D605A2" w:rsidRPr="00D605A2">
              <w:rPr>
                <w:rFonts w:ascii="Calibri" w:hAnsi="Calibri"/>
                <w:color w:val="000000"/>
                <w:sz w:val="22"/>
                <w:szCs w:val="22"/>
                <w:lang w:eastAsia="en-IE"/>
              </w:rPr>
              <w:t>eople without a disability who are pupils, students, further training &amp; unpaid work experience.*</w:t>
            </w:r>
          </w:p>
        </w:tc>
      </w:tr>
      <w:tr w:rsidR="0010553B" w:rsidRPr="00D605A2" w:rsidTr="0010553B">
        <w:trPr>
          <w:divId w:val="1196771925"/>
          <w:trHeight w:val="217"/>
        </w:trPr>
        <w:tc>
          <w:tcPr>
            <w:tcW w:w="0" w:type="auto"/>
            <w:noWrap/>
            <w:hideMark/>
          </w:tcPr>
          <w:p w:rsidR="00D605A2" w:rsidRPr="00D605A2" w:rsidRDefault="00D605A2" w:rsidP="0010553B">
            <w:pPr>
              <w:spacing w:after="0"/>
              <w:rPr>
                <w:rFonts w:ascii="Calibri" w:hAnsi="Calibri"/>
                <w:bCs/>
                <w:color w:val="000000"/>
                <w:sz w:val="20"/>
                <w:szCs w:val="20"/>
                <w:lang w:eastAsia="en-IE"/>
              </w:rPr>
            </w:pPr>
            <w:r w:rsidRPr="00D605A2">
              <w:rPr>
                <w:rFonts w:ascii="Calibri" w:hAnsi="Calibri"/>
                <w:bCs/>
                <w:color w:val="000000"/>
                <w:sz w:val="20"/>
                <w:szCs w:val="20"/>
                <w:lang w:val="fr-BE" w:eastAsia="en-IE"/>
              </w:rPr>
              <w:t>AT</w:t>
            </w:r>
          </w:p>
        </w:tc>
        <w:tc>
          <w:tcPr>
            <w:tcW w:w="1348" w:type="dxa"/>
            <w:noWrap/>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28.1</w:t>
            </w:r>
          </w:p>
        </w:tc>
        <w:tc>
          <w:tcPr>
            <w:tcW w:w="1275" w:type="dxa"/>
            <w:noWrap/>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36.3</w:t>
            </w:r>
          </w:p>
        </w:tc>
        <w:tc>
          <w:tcPr>
            <w:tcW w:w="1277" w:type="dxa"/>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25.4</w:t>
            </w:r>
          </w:p>
        </w:tc>
        <w:tc>
          <w:tcPr>
            <w:tcW w:w="2203" w:type="dxa"/>
            <w:hideMark/>
          </w:tcPr>
          <w:p w:rsidR="00D605A2" w:rsidRPr="00D605A2" w:rsidRDefault="00D605A2" w:rsidP="0010553B">
            <w:pPr>
              <w:spacing w:after="0"/>
              <w:jc w:val="right"/>
              <w:rPr>
                <w:rFonts w:ascii="Calibri" w:hAnsi="Calibri"/>
                <w:bCs/>
                <w:color w:val="000000"/>
                <w:sz w:val="20"/>
                <w:szCs w:val="20"/>
                <w:lang w:eastAsia="en-IE"/>
              </w:rPr>
            </w:pPr>
            <w:r w:rsidRPr="00D605A2">
              <w:rPr>
                <w:rFonts w:ascii="Calibri" w:hAnsi="Calibri"/>
                <w:bCs/>
                <w:color w:val="000000"/>
                <w:sz w:val="20"/>
                <w:szCs w:val="20"/>
                <w:lang w:eastAsia="en-IE"/>
              </w:rPr>
              <w:t>17.4</w:t>
            </w:r>
          </w:p>
        </w:tc>
        <w:tc>
          <w:tcPr>
            <w:tcW w:w="0" w:type="auto"/>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26.4</w:t>
            </w:r>
          </w:p>
        </w:tc>
      </w:tr>
      <w:tr w:rsidR="0010553B" w:rsidRPr="00D605A2" w:rsidTr="0010553B">
        <w:trPr>
          <w:divId w:val="1196771925"/>
          <w:trHeight w:val="249"/>
        </w:trPr>
        <w:tc>
          <w:tcPr>
            <w:tcW w:w="0" w:type="auto"/>
            <w:noWrap/>
            <w:hideMark/>
          </w:tcPr>
          <w:p w:rsidR="00D605A2" w:rsidRPr="00D605A2" w:rsidRDefault="00D605A2" w:rsidP="0010553B">
            <w:pPr>
              <w:spacing w:after="0"/>
              <w:rPr>
                <w:rFonts w:ascii="Calibri" w:hAnsi="Calibri"/>
                <w:bCs/>
                <w:color w:val="000000"/>
                <w:sz w:val="20"/>
                <w:szCs w:val="20"/>
                <w:lang w:eastAsia="en-IE"/>
              </w:rPr>
            </w:pPr>
            <w:r w:rsidRPr="00D605A2">
              <w:rPr>
                <w:rFonts w:ascii="Calibri" w:hAnsi="Calibri"/>
                <w:bCs/>
                <w:color w:val="000000"/>
                <w:sz w:val="20"/>
                <w:szCs w:val="20"/>
                <w:lang w:val="fr-BE" w:eastAsia="en-IE"/>
              </w:rPr>
              <w:t>BE</w:t>
            </w:r>
          </w:p>
        </w:tc>
        <w:tc>
          <w:tcPr>
            <w:tcW w:w="1348" w:type="dxa"/>
            <w:noWrap/>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29.2</w:t>
            </w:r>
          </w:p>
        </w:tc>
        <w:tc>
          <w:tcPr>
            <w:tcW w:w="1275" w:type="dxa"/>
            <w:noWrap/>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41.2</w:t>
            </w:r>
          </w:p>
        </w:tc>
        <w:tc>
          <w:tcPr>
            <w:tcW w:w="1277" w:type="dxa"/>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35.2</w:t>
            </w:r>
          </w:p>
        </w:tc>
        <w:tc>
          <w:tcPr>
            <w:tcW w:w="2203" w:type="dxa"/>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32.2</w:t>
            </w:r>
          </w:p>
        </w:tc>
        <w:tc>
          <w:tcPr>
            <w:tcW w:w="0" w:type="auto"/>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37.8</w:t>
            </w:r>
          </w:p>
        </w:tc>
      </w:tr>
      <w:tr w:rsidR="0010553B" w:rsidRPr="00D605A2" w:rsidTr="0010553B">
        <w:trPr>
          <w:divId w:val="1196771925"/>
          <w:trHeight w:val="280"/>
        </w:trPr>
        <w:tc>
          <w:tcPr>
            <w:tcW w:w="0" w:type="auto"/>
            <w:noWrap/>
            <w:hideMark/>
          </w:tcPr>
          <w:p w:rsidR="00D605A2" w:rsidRPr="00D605A2" w:rsidRDefault="00D605A2" w:rsidP="0010553B">
            <w:pPr>
              <w:spacing w:after="0"/>
              <w:rPr>
                <w:rFonts w:ascii="Calibri" w:hAnsi="Calibri"/>
                <w:bCs/>
                <w:color w:val="000000"/>
                <w:sz w:val="20"/>
                <w:szCs w:val="20"/>
                <w:lang w:eastAsia="en-IE"/>
              </w:rPr>
            </w:pPr>
            <w:r w:rsidRPr="00D605A2">
              <w:rPr>
                <w:rFonts w:ascii="Calibri" w:hAnsi="Calibri"/>
                <w:bCs/>
                <w:color w:val="000000"/>
                <w:sz w:val="20"/>
                <w:szCs w:val="20"/>
                <w:lang w:val="fr-BE" w:eastAsia="en-IE"/>
              </w:rPr>
              <w:t>BG</w:t>
            </w:r>
          </w:p>
        </w:tc>
        <w:tc>
          <w:tcPr>
            <w:tcW w:w="1348" w:type="dxa"/>
            <w:noWrap/>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16.4</w:t>
            </w:r>
          </w:p>
        </w:tc>
        <w:tc>
          <w:tcPr>
            <w:tcW w:w="1275" w:type="dxa"/>
            <w:noWrap/>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29.5</w:t>
            </w:r>
          </w:p>
        </w:tc>
        <w:tc>
          <w:tcPr>
            <w:tcW w:w="1277" w:type="dxa"/>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10.7</w:t>
            </w:r>
          </w:p>
        </w:tc>
        <w:tc>
          <w:tcPr>
            <w:tcW w:w="2203" w:type="dxa"/>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11.4</w:t>
            </w:r>
          </w:p>
        </w:tc>
        <w:tc>
          <w:tcPr>
            <w:tcW w:w="0" w:type="auto"/>
            <w:hideMark/>
          </w:tcPr>
          <w:p w:rsidR="00D605A2" w:rsidRPr="00D605A2" w:rsidRDefault="00D605A2" w:rsidP="0010553B">
            <w:pPr>
              <w:spacing w:after="0"/>
              <w:jc w:val="right"/>
              <w:rPr>
                <w:rFonts w:ascii="Calibri" w:hAnsi="Calibri"/>
                <w:color w:val="000000"/>
                <w:sz w:val="20"/>
                <w:szCs w:val="20"/>
                <w:lang w:eastAsia="en-IE"/>
              </w:rPr>
            </w:pPr>
            <w:r w:rsidRPr="00D605A2">
              <w:rPr>
                <w:rFonts w:ascii="Calibri" w:hAnsi="Calibri"/>
                <w:color w:val="000000"/>
                <w:sz w:val="20"/>
                <w:szCs w:val="20"/>
                <w:lang w:val="fr-BE" w:eastAsia="en-IE"/>
              </w:rPr>
              <w:t>24.4</w:t>
            </w:r>
          </w:p>
        </w:tc>
      </w:tr>
      <w:tr w:rsidR="0010553B" w:rsidRPr="00D605A2" w:rsidTr="0010553B">
        <w:trPr>
          <w:divId w:val="1196771925"/>
          <w:trHeight w:val="257"/>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CY</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18.6</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31.6</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15.3</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18.8</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28.7</w:t>
            </w:r>
          </w:p>
        </w:tc>
      </w:tr>
      <w:tr w:rsidR="0010553B" w:rsidRPr="00D605A2" w:rsidTr="0010553B">
        <w:trPr>
          <w:divId w:val="1196771925"/>
          <w:trHeight w:val="289"/>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CZ</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31</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31.9</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16.4</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24.3</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27</w:t>
            </w:r>
          </w:p>
        </w:tc>
      </w:tr>
      <w:tr w:rsidR="0010553B" w:rsidRPr="00D605A2" w:rsidTr="0010553B">
        <w:trPr>
          <w:divId w:val="1196771925"/>
          <w:trHeight w:val="265"/>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DE</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40</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51.9</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42.1</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29</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37.4</w:t>
            </w:r>
          </w:p>
        </w:tc>
      </w:tr>
      <w:tr w:rsidR="0010553B" w:rsidRPr="00D605A2" w:rsidTr="0010553B">
        <w:trPr>
          <w:divId w:val="1196771925"/>
          <w:trHeight w:val="269"/>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DK</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53.6</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63</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38</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42.3</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49.5</w:t>
            </w:r>
          </w:p>
        </w:tc>
      </w:tr>
      <w:tr w:rsidR="0010553B" w:rsidRPr="00D605A2" w:rsidTr="0010553B">
        <w:trPr>
          <w:divId w:val="1196771925"/>
          <w:trHeight w:val="287"/>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EE</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36.7</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39.2</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32.6</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23.3</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26.2</w:t>
            </w:r>
          </w:p>
        </w:tc>
      </w:tr>
      <w:tr w:rsidR="0010553B" w:rsidRPr="00D605A2" w:rsidTr="0010553B">
        <w:trPr>
          <w:divId w:val="1196771925"/>
          <w:trHeight w:val="263"/>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EL</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31</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39.8</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22.4</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27</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34.6</w:t>
            </w:r>
          </w:p>
        </w:tc>
      </w:tr>
      <w:tr w:rsidR="0010553B" w:rsidRPr="00D605A2" w:rsidTr="0010553B">
        <w:trPr>
          <w:divId w:val="1196771925"/>
          <w:trHeight w:val="281"/>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ES</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32.9</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43.9</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30.4</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31.1</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37.8</w:t>
            </w:r>
          </w:p>
        </w:tc>
      </w:tr>
      <w:tr w:rsidR="0010553B" w:rsidRPr="00D605A2" w:rsidTr="0010553B">
        <w:trPr>
          <w:divId w:val="1196771925"/>
          <w:trHeight w:val="257"/>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FI</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44.1</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49</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41</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31.1</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30.9</w:t>
            </w:r>
          </w:p>
        </w:tc>
      </w:tr>
      <w:tr w:rsidR="0010553B" w:rsidRPr="00D605A2" w:rsidTr="0010553B">
        <w:trPr>
          <w:divId w:val="1196771925"/>
          <w:trHeight w:val="289"/>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FR</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28.5</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36.4</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27.9</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26.1</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31.3</w:t>
            </w:r>
          </w:p>
        </w:tc>
      </w:tr>
      <w:tr w:rsidR="0010553B" w:rsidRPr="00D605A2" w:rsidTr="0010553B">
        <w:trPr>
          <w:divId w:val="1196771925"/>
          <w:trHeight w:val="279"/>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HR</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18.3</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34.5</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24.7</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12.8</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30.7</w:t>
            </w:r>
          </w:p>
        </w:tc>
      </w:tr>
      <w:tr w:rsidR="0010553B" w:rsidRPr="00D605A2" w:rsidTr="0010553B">
        <w:trPr>
          <w:divId w:val="1196771925"/>
          <w:trHeight w:val="227"/>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HU</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29.1</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40.8</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33.1</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26.4</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38.2</w:t>
            </w:r>
          </w:p>
        </w:tc>
      </w:tr>
      <w:tr w:rsidR="0010553B" w:rsidRPr="00D605A2" w:rsidTr="0010553B">
        <w:trPr>
          <w:divId w:val="1196771925"/>
          <w:trHeight w:val="259"/>
        </w:trPr>
        <w:tc>
          <w:tcPr>
            <w:tcW w:w="0" w:type="auto"/>
            <w:noWrap/>
            <w:hideMark/>
          </w:tcPr>
          <w:p w:rsidR="00D605A2" w:rsidRPr="00D605A2" w:rsidRDefault="00D605A2" w:rsidP="0010553B">
            <w:pPr>
              <w:spacing w:after="0"/>
              <w:rPr>
                <w:rFonts w:ascii="Calibri" w:hAnsi="Calibri"/>
                <w:b/>
                <w:bCs/>
                <w:color w:val="000000"/>
                <w:sz w:val="22"/>
                <w:szCs w:val="22"/>
                <w:lang w:val="fr-BE" w:eastAsia="en-IE"/>
              </w:rPr>
            </w:pPr>
            <w:r w:rsidRPr="00D605A2">
              <w:rPr>
                <w:rFonts w:ascii="Calibri" w:hAnsi="Calibri"/>
                <w:b/>
                <w:bCs/>
                <w:color w:val="000000"/>
                <w:sz w:val="22"/>
                <w:szCs w:val="22"/>
                <w:lang w:val="fr-BE" w:eastAsia="en-IE"/>
              </w:rPr>
              <w:t>IE</w:t>
            </w:r>
          </w:p>
        </w:tc>
        <w:tc>
          <w:tcPr>
            <w:tcW w:w="1348" w:type="dxa"/>
            <w:noWrap/>
            <w:hideMark/>
          </w:tcPr>
          <w:p w:rsidR="00D605A2" w:rsidRPr="00D605A2" w:rsidRDefault="00D605A2" w:rsidP="0010553B">
            <w:pPr>
              <w:spacing w:after="0"/>
              <w:jc w:val="right"/>
              <w:rPr>
                <w:rFonts w:ascii="Calibri" w:hAnsi="Calibri"/>
                <w:b/>
                <w:bCs/>
                <w:color w:val="000000"/>
                <w:sz w:val="22"/>
                <w:szCs w:val="22"/>
                <w:lang w:val="fr-BE" w:eastAsia="en-IE"/>
              </w:rPr>
            </w:pPr>
            <w:r w:rsidRPr="00D605A2">
              <w:rPr>
                <w:rFonts w:ascii="Calibri" w:hAnsi="Calibri"/>
                <w:b/>
                <w:bCs/>
                <w:color w:val="000000"/>
                <w:sz w:val="22"/>
                <w:szCs w:val="22"/>
                <w:lang w:val="fr-BE" w:eastAsia="en-IE"/>
              </w:rPr>
              <w:t>37.1</w:t>
            </w:r>
          </w:p>
        </w:tc>
        <w:tc>
          <w:tcPr>
            <w:tcW w:w="1275" w:type="dxa"/>
            <w:noWrap/>
            <w:hideMark/>
          </w:tcPr>
          <w:p w:rsidR="00D605A2" w:rsidRPr="00D605A2" w:rsidRDefault="00D605A2" w:rsidP="0010553B">
            <w:pPr>
              <w:spacing w:after="0"/>
              <w:jc w:val="right"/>
              <w:rPr>
                <w:rFonts w:ascii="Calibri" w:hAnsi="Calibri"/>
                <w:b/>
                <w:bCs/>
                <w:color w:val="000000"/>
                <w:sz w:val="22"/>
                <w:szCs w:val="22"/>
                <w:lang w:val="fr-BE" w:eastAsia="en-IE"/>
              </w:rPr>
            </w:pPr>
            <w:r w:rsidRPr="00D605A2">
              <w:rPr>
                <w:rFonts w:ascii="Calibri" w:hAnsi="Calibri"/>
                <w:b/>
                <w:bCs/>
                <w:color w:val="000000"/>
                <w:sz w:val="22"/>
                <w:szCs w:val="22"/>
                <w:lang w:val="fr-BE" w:eastAsia="en-IE"/>
              </w:rPr>
              <w:t>43.7</w:t>
            </w:r>
          </w:p>
        </w:tc>
        <w:tc>
          <w:tcPr>
            <w:tcW w:w="1277" w:type="dxa"/>
            <w:hideMark/>
          </w:tcPr>
          <w:p w:rsidR="00D605A2" w:rsidRPr="00D605A2" w:rsidRDefault="00D605A2" w:rsidP="0010553B">
            <w:pPr>
              <w:spacing w:after="0"/>
              <w:jc w:val="right"/>
              <w:rPr>
                <w:rFonts w:ascii="Calibri" w:hAnsi="Calibri"/>
                <w:b/>
                <w:bCs/>
                <w:color w:val="000000"/>
                <w:sz w:val="22"/>
                <w:szCs w:val="22"/>
                <w:lang w:val="fr-BE" w:eastAsia="en-IE"/>
              </w:rPr>
            </w:pPr>
            <w:r w:rsidRPr="00D605A2">
              <w:rPr>
                <w:rFonts w:ascii="Calibri" w:hAnsi="Calibri"/>
                <w:b/>
                <w:bCs/>
                <w:color w:val="000000"/>
                <w:sz w:val="22"/>
                <w:szCs w:val="22"/>
                <w:lang w:val="fr-BE" w:eastAsia="en-IE"/>
              </w:rPr>
              <w:t>36.9</w:t>
            </w:r>
          </w:p>
        </w:tc>
        <w:tc>
          <w:tcPr>
            <w:tcW w:w="2203" w:type="dxa"/>
            <w:hideMark/>
          </w:tcPr>
          <w:p w:rsidR="00D605A2" w:rsidRPr="00D605A2" w:rsidRDefault="00D605A2" w:rsidP="0010553B">
            <w:pPr>
              <w:spacing w:after="0"/>
              <w:jc w:val="right"/>
              <w:rPr>
                <w:rFonts w:ascii="Calibri" w:hAnsi="Calibri"/>
                <w:b/>
                <w:bCs/>
                <w:color w:val="000000"/>
                <w:sz w:val="22"/>
                <w:szCs w:val="22"/>
                <w:lang w:val="fr-BE" w:eastAsia="en-IE"/>
              </w:rPr>
            </w:pPr>
            <w:r w:rsidRPr="00D605A2">
              <w:rPr>
                <w:rFonts w:ascii="Calibri" w:hAnsi="Calibri"/>
                <w:b/>
                <w:bCs/>
                <w:color w:val="000000"/>
                <w:sz w:val="22"/>
                <w:szCs w:val="22"/>
                <w:lang w:val="fr-BE" w:eastAsia="en-IE"/>
              </w:rPr>
              <w:t>25.4</w:t>
            </w:r>
          </w:p>
        </w:tc>
        <w:tc>
          <w:tcPr>
            <w:tcW w:w="0" w:type="auto"/>
            <w:hideMark/>
          </w:tcPr>
          <w:p w:rsidR="00D605A2" w:rsidRPr="00D605A2" w:rsidRDefault="00D605A2" w:rsidP="0010553B">
            <w:pPr>
              <w:spacing w:after="0"/>
              <w:jc w:val="right"/>
              <w:rPr>
                <w:rFonts w:ascii="Calibri" w:hAnsi="Calibri"/>
                <w:b/>
                <w:bCs/>
                <w:color w:val="000000"/>
                <w:sz w:val="22"/>
                <w:szCs w:val="22"/>
                <w:lang w:val="fr-BE" w:eastAsia="en-IE"/>
              </w:rPr>
            </w:pPr>
            <w:r w:rsidRPr="00D605A2">
              <w:rPr>
                <w:rFonts w:ascii="Calibri" w:hAnsi="Calibri"/>
                <w:b/>
                <w:bCs/>
                <w:color w:val="000000"/>
                <w:sz w:val="22"/>
                <w:szCs w:val="22"/>
                <w:lang w:val="fr-BE" w:eastAsia="en-IE"/>
              </w:rPr>
              <w:t>32</w:t>
            </w:r>
          </w:p>
        </w:tc>
      </w:tr>
      <w:tr w:rsidR="0010553B" w:rsidRPr="00D605A2" w:rsidTr="0010553B">
        <w:trPr>
          <w:divId w:val="1196771925"/>
          <w:trHeight w:val="277"/>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IT</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36.1</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33.9</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21.8</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37.9</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40.2</w:t>
            </w:r>
          </w:p>
        </w:tc>
      </w:tr>
      <w:tr w:rsidR="0010553B" w:rsidRPr="00D605A2" w:rsidTr="0010553B">
        <w:trPr>
          <w:divId w:val="1196771925"/>
          <w:trHeight w:val="267"/>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LT</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16</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40.3</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34.2</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14.9</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31.8</w:t>
            </w:r>
          </w:p>
        </w:tc>
      </w:tr>
      <w:tr w:rsidR="0010553B" w:rsidRPr="00D605A2" w:rsidTr="0010553B">
        <w:trPr>
          <w:divId w:val="1196771925"/>
          <w:trHeight w:val="129"/>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LU</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39.3</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41.8</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36.9</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26.9</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35.6</w:t>
            </w:r>
          </w:p>
        </w:tc>
      </w:tr>
      <w:tr w:rsidR="0010553B" w:rsidRPr="00D605A2" w:rsidTr="0010553B">
        <w:trPr>
          <w:divId w:val="1196771925"/>
          <w:trHeight w:val="161"/>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LV</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28.4</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35.9</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29.3</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21.9</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27.1</w:t>
            </w:r>
          </w:p>
        </w:tc>
      </w:tr>
      <w:tr w:rsidR="0010553B" w:rsidRPr="00D605A2" w:rsidTr="0010553B">
        <w:trPr>
          <w:divId w:val="1196771925"/>
          <w:trHeight w:val="193"/>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MT</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20.1</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31.4</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10.4</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20.3</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23.7</w:t>
            </w:r>
          </w:p>
        </w:tc>
      </w:tr>
      <w:tr w:rsidR="0010553B" w:rsidRPr="00D605A2" w:rsidTr="0010553B">
        <w:trPr>
          <w:divId w:val="1196771925"/>
          <w:trHeight w:val="225"/>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NL</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43.7</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45</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39.5</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33.7</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38.2</w:t>
            </w:r>
          </w:p>
        </w:tc>
      </w:tr>
      <w:tr w:rsidR="0010553B" w:rsidRPr="00D605A2" w:rsidTr="0010553B">
        <w:trPr>
          <w:divId w:val="1196771925"/>
          <w:trHeight w:val="257"/>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PL</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29.5</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36.9</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28.8</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21.5</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28</w:t>
            </w:r>
          </w:p>
        </w:tc>
      </w:tr>
      <w:tr w:rsidR="0010553B" w:rsidRPr="00D605A2" w:rsidTr="0010553B">
        <w:trPr>
          <w:divId w:val="1196771925"/>
          <w:trHeight w:val="275"/>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PT</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29.6</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34</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34.1</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26.1</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32.1</w:t>
            </w:r>
          </w:p>
        </w:tc>
      </w:tr>
      <w:tr w:rsidR="0010553B" w:rsidRPr="00D605A2" w:rsidTr="0010553B">
        <w:trPr>
          <w:divId w:val="1196771925"/>
          <w:trHeight w:val="265"/>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RO</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14.1</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35.5</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27.8</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12.7</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34.8</w:t>
            </w:r>
          </w:p>
        </w:tc>
      </w:tr>
      <w:tr w:rsidR="0010553B" w:rsidRPr="00D605A2" w:rsidTr="0010553B">
        <w:trPr>
          <w:divId w:val="1196771925"/>
          <w:trHeight w:val="227"/>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lastRenderedPageBreak/>
              <w:t>SE</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30.6</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42</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32.1</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17</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36.4</w:t>
            </w:r>
          </w:p>
        </w:tc>
      </w:tr>
      <w:tr w:rsidR="0010553B" w:rsidRPr="00D605A2" w:rsidTr="0010553B">
        <w:trPr>
          <w:divId w:val="1196771925"/>
          <w:trHeight w:val="173"/>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SI</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58.5</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56.8</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59.5</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48.1</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45.4</w:t>
            </w:r>
          </w:p>
        </w:tc>
      </w:tr>
      <w:tr w:rsidR="0010553B" w:rsidRPr="00D605A2" w:rsidTr="0010553B">
        <w:trPr>
          <w:divId w:val="1196771925"/>
          <w:trHeight w:val="191"/>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SK</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30.6</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34.2</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38.5</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28.8</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32.2</w:t>
            </w:r>
          </w:p>
        </w:tc>
      </w:tr>
      <w:tr w:rsidR="0010553B" w:rsidRPr="00D605A2" w:rsidTr="0010553B">
        <w:trPr>
          <w:divId w:val="1196771925"/>
          <w:trHeight w:val="224"/>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UK</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23.4</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25.5</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31.8</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15.4</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17.4</w:t>
            </w:r>
          </w:p>
        </w:tc>
      </w:tr>
      <w:tr w:rsidR="0010553B" w:rsidRPr="00D605A2" w:rsidTr="0010553B">
        <w:trPr>
          <w:divId w:val="1196771925"/>
          <w:trHeight w:val="255"/>
        </w:trPr>
        <w:tc>
          <w:tcPr>
            <w:tcW w:w="0" w:type="auto"/>
            <w:noWrap/>
            <w:hideMark/>
          </w:tcPr>
          <w:p w:rsidR="00D605A2" w:rsidRPr="00D605A2" w:rsidRDefault="00D605A2" w:rsidP="0010553B">
            <w:pPr>
              <w:spacing w:after="0"/>
              <w:rPr>
                <w:rFonts w:ascii="Calibri" w:hAnsi="Calibri"/>
                <w:bCs/>
                <w:color w:val="000000"/>
                <w:sz w:val="20"/>
                <w:szCs w:val="20"/>
                <w:lang w:val="fr-BE" w:eastAsia="en-IE"/>
              </w:rPr>
            </w:pPr>
            <w:r w:rsidRPr="00D605A2">
              <w:rPr>
                <w:rFonts w:ascii="Calibri" w:hAnsi="Calibri"/>
                <w:bCs/>
                <w:color w:val="000000"/>
                <w:sz w:val="20"/>
                <w:szCs w:val="20"/>
                <w:lang w:val="fr-BE" w:eastAsia="en-IE"/>
              </w:rPr>
              <w:t>EU</w:t>
            </w:r>
          </w:p>
        </w:tc>
        <w:tc>
          <w:tcPr>
            <w:tcW w:w="1348"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32.8</w:t>
            </w:r>
          </w:p>
        </w:tc>
        <w:tc>
          <w:tcPr>
            <w:tcW w:w="1275" w:type="dxa"/>
            <w:noWrap/>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38.3</w:t>
            </w:r>
          </w:p>
        </w:tc>
        <w:tc>
          <w:tcPr>
            <w:tcW w:w="1277"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33.1</w:t>
            </w:r>
          </w:p>
        </w:tc>
        <w:tc>
          <w:tcPr>
            <w:tcW w:w="2203" w:type="dxa"/>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26.4</w:t>
            </w:r>
          </w:p>
        </w:tc>
        <w:tc>
          <w:tcPr>
            <w:tcW w:w="0" w:type="auto"/>
            <w:hideMark/>
          </w:tcPr>
          <w:p w:rsidR="00D605A2" w:rsidRPr="00D605A2" w:rsidRDefault="00D605A2" w:rsidP="0010553B">
            <w:pPr>
              <w:spacing w:after="0"/>
              <w:jc w:val="right"/>
              <w:rPr>
                <w:rFonts w:ascii="Calibri" w:hAnsi="Calibri"/>
                <w:bCs/>
                <w:color w:val="000000"/>
                <w:sz w:val="20"/>
                <w:szCs w:val="20"/>
                <w:lang w:val="fr-BE" w:eastAsia="en-IE"/>
              </w:rPr>
            </w:pPr>
            <w:r w:rsidRPr="00D605A2">
              <w:rPr>
                <w:rFonts w:ascii="Calibri" w:hAnsi="Calibri"/>
                <w:bCs/>
                <w:color w:val="000000"/>
                <w:sz w:val="20"/>
                <w:szCs w:val="20"/>
                <w:lang w:val="fr-BE" w:eastAsia="en-IE"/>
              </w:rPr>
              <w:t>32.2</w:t>
            </w:r>
          </w:p>
        </w:tc>
      </w:tr>
    </w:tbl>
    <w:p w:rsidR="005005D6" w:rsidRDefault="00446C2A" w:rsidP="00446C2A">
      <w:pPr>
        <w:pStyle w:val="TableNote"/>
      </w:pPr>
      <w:r>
        <w:t xml:space="preserve">Source: </w:t>
      </w:r>
      <w:hyperlink r:id="rId14" w:history="1">
        <w:r w:rsidR="00D605A2" w:rsidRPr="009347CC">
          <w:rPr>
            <w:rStyle w:val="Hyperlink"/>
          </w:rPr>
          <w:t>https://data.oecd.org/youthinac/youth-not-in-employment-education-or-training-NEET.htm</w:t>
        </w:r>
      </w:hyperlink>
      <w:r w:rsidR="00D605A2">
        <w:t>.  Note *=2014, ~=2010.  Table refers to people aged 18-29.</w:t>
      </w:r>
    </w:p>
    <w:p w:rsidR="005005D6" w:rsidRDefault="005005D6" w:rsidP="005005D6">
      <w:pPr>
        <w:spacing w:after="0"/>
      </w:pPr>
      <w:r>
        <w:t xml:space="preserve">The above table </w:t>
      </w:r>
      <w:r w:rsidR="00176017">
        <w:t>6</w:t>
      </w:r>
      <w:r w:rsidR="004948E2">
        <w:t xml:space="preserve"> </w:t>
      </w:r>
      <w:r>
        <w:t>shows that Ireland is above average for people with a limitation or with a disability aged 18-29 at being in education. However when we look at the p</w:t>
      </w:r>
      <w:r w:rsidRPr="00A008CC">
        <w:t xml:space="preserve">ercent of people declaring </w:t>
      </w:r>
      <w:r>
        <w:t>themselves as ‘</w:t>
      </w:r>
      <w:r w:rsidRPr="00A008CC">
        <w:t>pupils, students, further training &amp; unpaid work experience</w:t>
      </w:r>
      <w:r>
        <w:t>’ we slip below the EU average. This means that while we are good at keeping people with a disability in education we are worse at giving them work experience</w:t>
      </w:r>
      <w:r w:rsidR="00484362">
        <w:t xml:space="preserve"> than other OECD countries</w:t>
      </w:r>
      <w:r>
        <w:t xml:space="preserve">. </w:t>
      </w:r>
    </w:p>
    <w:p w:rsidR="002D505D" w:rsidRDefault="002D505D" w:rsidP="005005D6">
      <w:pPr>
        <w:spacing w:after="0"/>
      </w:pPr>
      <w:r>
        <w:t xml:space="preserve">Another table produced by Eurostat looks NEET (table 7) shows that Ireland has some of the highest level of NEET for people with a disability in Europe.  </w:t>
      </w:r>
    </w:p>
    <w:p w:rsidR="0079724E" w:rsidRDefault="0079724E" w:rsidP="005005D6">
      <w:pPr>
        <w:spacing w:after="0"/>
      </w:pPr>
    </w:p>
    <w:p w:rsidR="002D505D" w:rsidRDefault="002D505D" w:rsidP="002D505D">
      <w:pPr>
        <w:pStyle w:val="Caption"/>
        <w:keepNext/>
      </w:pPr>
      <w:r>
        <w:t xml:space="preserve">Table 7: </w:t>
      </w:r>
      <w:r w:rsidRPr="002D505D">
        <w:t>Young people neither in employment nor in education and training by type of disability, sex and age</w:t>
      </w:r>
      <w:r>
        <w:t xml:space="preserve"> 15-24</w:t>
      </w:r>
    </w:p>
    <w:tbl>
      <w:tblPr>
        <w:tblStyle w:val="TableGrid"/>
        <w:tblW w:w="9067" w:type="dxa"/>
        <w:tblLook w:val="04A0" w:firstRow="1" w:lastRow="0" w:firstColumn="1" w:lastColumn="0" w:noHBand="0" w:noVBand="1"/>
        <w:tblCaption w:val="Table 7: Young people neither in employment nor in education and training by type of disability, sex and age 15-24"/>
      </w:tblPr>
      <w:tblGrid>
        <w:gridCol w:w="1912"/>
        <w:gridCol w:w="1676"/>
        <w:gridCol w:w="1674"/>
        <w:gridCol w:w="1687"/>
        <w:gridCol w:w="2118"/>
      </w:tblGrid>
      <w:tr w:rsidR="002D505D" w:rsidRPr="002D505D" w:rsidTr="005F1589">
        <w:tc>
          <w:tcPr>
            <w:tcW w:w="1912" w:type="dxa"/>
          </w:tcPr>
          <w:p w:rsidR="002D505D" w:rsidRPr="002D505D" w:rsidRDefault="002D505D" w:rsidP="00717854">
            <w:pPr>
              <w:spacing w:after="0"/>
              <w:rPr>
                <w:sz w:val="24"/>
              </w:rPr>
            </w:pPr>
            <w:bookmarkStart w:id="0" w:name="_GoBack" w:colFirst="0" w:colLast="5"/>
          </w:p>
        </w:tc>
        <w:tc>
          <w:tcPr>
            <w:tcW w:w="1676" w:type="dxa"/>
          </w:tcPr>
          <w:p w:rsidR="002D505D" w:rsidRPr="002D505D" w:rsidRDefault="002D505D" w:rsidP="0079724E">
            <w:pPr>
              <w:spacing w:after="0"/>
              <w:jc w:val="right"/>
              <w:rPr>
                <w:sz w:val="24"/>
              </w:rPr>
            </w:pPr>
            <w:r w:rsidRPr="002D505D">
              <w:rPr>
                <w:sz w:val="24"/>
              </w:rPr>
              <w:t>Difficulty in basic activities</w:t>
            </w:r>
          </w:p>
        </w:tc>
        <w:tc>
          <w:tcPr>
            <w:tcW w:w="1674" w:type="dxa"/>
          </w:tcPr>
          <w:p w:rsidR="002D505D" w:rsidRPr="002D505D" w:rsidRDefault="002D505D" w:rsidP="0079724E">
            <w:pPr>
              <w:spacing w:after="0"/>
              <w:jc w:val="right"/>
              <w:rPr>
                <w:sz w:val="24"/>
              </w:rPr>
            </w:pPr>
            <w:r w:rsidRPr="002D505D">
              <w:rPr>
                <w:sz w:val="24"/>
              </w:rPr>
              <w:t>No difficulty in basic activities</w:t>
            </w:r>
          </w:p>
        </w:tc>
        <w:tc>
          <w:tcPr>
            <w:tcW w:w="1687" w:type="dxa"/>
          </w:tcPr>
          <w:p w:rsidR="002D505D" w:rsidRPr="002D505D" w:rsidRDefault="002D505D" w:rsidP="0079724E">
            <w:pPr>
              <w:spacing w:after="0"/>
              <w:jc w:val="right"/>
              <w:rPr>
                <w:sz w:val="24"/>
              </w:rPr>
            </w:pPr>
            <w:r w:rsidRPr="002D505D">
              <w:rPr>
                <w:sz w:val="24"/>
              </w:rPr>
              <w:t>Limitation in work caused by a health condition or difficulty in a basic activity</w:t>
            </w:r>
          </w:p>
        </w:tc>
        <w:tc>
          <w:tcPr>
            <w:tcW w:w="2118" w:type="dxa"/>
          </w:tcPr>
          <w:p w:rsidR="002D505D" w:rsidRPr="002D505D" w:rsidRDefault="002D505D" w:rsidP="0079724E">
            <w:pPr>
              <w:spacing w:after="0"/>
              <w:jc w:val="right"/>
              <w:rPr>
                <w:sz w:val="24"/>
              </w:rPr>
            </w:pPr>
            <w:r w:rsidRPr="002D505D">
              <w:rPr>
                <w:sz w:val="24"/>
              </w:rPr>
              <w:t>No limitation in work caused by a health condition or difficulty in basic activities</w:t>
            </w:r>
          </w:p>
        </w:tc>
      </w:tr>
      <w:bookmarkEnd w:id="0"/>
      <w:tr w:rsidR="002D505D" w:rsidRPr="002D505D" w:rsidTr="005F1589">
        <w:tc>
          <w:tcPr>
            <w:tcW w:w="1912" w:type="dxa"/>
          </w:tcPr>
          <w:p w:rsidR="002D505D" w:rsidRPr="002D505D" w:rsidRDefault="002D505D" w:rsidP="00717854">
            <w:pPr>
              <w:spacing w:after="0"/>
              <w:rPr>
                <w:sz w:val="24"/>
              </w:rPr>
            </w:pPr>
            <w:r w:rsidRPr="002D505D">
              <w:rPr>
                <w:sz w:val="24"/>
              </w:rPr>
              <w:t>Belgium</w:t>
            </w:r>
          </w:p>
        </w:tc>
        <w:tc>
          <w:tcPr>
            <w:tcW w:w="1676" w:type="dxa"/>
          </w:tcPr>
          <w:p w:rsidR="002D505D" w:rsidRPr="002D505D" w:rsidRDefault="002D505D" w:rsidP="0079724E">
            <w:pPr>
              <w:spacing w:after="0"/>
              <w:jc w:val="right"/>
              <w:rPr>
                <w:sz w:val="24"/>
              </w:rPr>
            </w:pPr>
            <w:r w:rsidRPr="002D505D">
              <w:rPr>
                <w:sz w:val="24"/>
              </w:rPr>
              <w:t>20.6</w:t>
            </w:r>
          </w:p>
        </w:tc>
        <w:tc>
          <w:tcPr>
            <w:tcW w:w="1674" w:type="dxa"/>
          </w:tcPr>
          <w:p w:rsidR="002D505D" w:rsidRPr="002D505D" w:rsidRDefault="002D505D" w:rsidP="0079724E">
            <w:pPr>
              <w:spacing w:after="0"/>
              <w:jc w:val="right"/>
              <w:rPr>
                <w:sz w:val="24"/>
              </w:rPr>
            </w:pPr>
            <w:r w:rsidRPr="002D505D">
              <w:rPr>
                <w:sz w:val="24"/>
              </w:rPr>
              <w:t>9.6</w:t>
            </w:r>
          </w:p>
        </w:tc>
        <w:tc>
          <w:tcPr>
            <w:tcW w:w="1687" w:type="dxa"/>
          </w:tcPr>
          <w:p w:rsidR="002D505D" w:rsidRPr="002D505D" w:rsidRDefault="002D505D" w:rsidP="0079724E">
            <w:pPr>
              <w:spacing w:after="0"/>
              <w:jc w:val="right"/>
              <w:rPr>
                <w:sz w:val="24"/>
              </w:rPr>
            </w:pPr>
            <w:r w:rsidRPr="002D505D">
              <w:rPr>
                <w:sz w:val="24"/>
              </w:rPr>
              <w:t>37.1</w:t>
            </w:r>
          </w:p>
        </w:tc>
        <w:tc>
          <w:tcPr>
            <w:tcW w:w="2118" w:type="dxa"/>
          </w:tcPr>
          <w:p w:rsidR="002D505D" w:rsidRPr="002D505D" w:rsidRDefault="002D505D" w:rsidP="0079724E">
            <w:pPr>
              <w:spacing w:after="0"/>
              <w:jc w:val="right"/>
              <w:rPr>
                <w:sz w:val="24"/>
              </w:rPr>
            </w:pPr>
            <w:r w:rsidRPr="002D505D">
              <w:rPr>
                <w:sz w:val="24"/>
              </w:rPr>
              <w:t>9.2</w:t>
            </w:r>
          </w:p>
        </w:tc>
      </w:tr>
      <w:tr w:rsidR="002D505D" w:rsidRPr="002D505D" w:rsidTr="005F1589">
        <w:tc>
          <w:tcPr>
            <w:tcW w:w="1912" w:type="dxa"/>
          </w:tcPr>
          <w:p w:rsidR="002D505D" w:rsidRPr="002D505D" w:rsidRDefault="002D505D" w:rsidP="00717854">
            <w:pPr>
              <w:spacing w:after="0"/>
              <w:rPr>
                <w:sz w:val="24"/>
              </w:rPr>
            </w:pPr>
            <w:r w:rsidRPr="002D505D">
              <w:rPr>
                <w:sz w:val="24"/>
              </w:rPr>
              <w:t>Bulgaria</w:t>
            </w:r>
          </w:p>
        </w:tc>
        <w:tc>
          <w:tcPr>
            <w:tcW w:w="1676" w:type="dxa"/>
          </w:tcPr>
          <w:p w:rsidR="002D505D" w:rsidRPr="002D505D" w:rsidRDefault="002D505D" w:rsidP="0079724E">
            <w:pPr>
              <w:spacing w:after="0"/>
              <w:jc w:val="right"/>
              <w:rPr>
                <w:sz w:val="24"/>
              </w:rPr>
            </w:pPr>
            <w:r w:rsidRPr="002D505D">
              <w:rPr>
                <w:sz w:val="24"/>
              </w:rPr>
              <w:t>77.2</w:t>
            </w:r>
          </w:p>
        </w:tc>
        <w:tc>
          <w:tcPr>
            <w:tcW w:w="1674" w:type="dxa"/>
          </w:tcPr>
          <w:p w:rsidR="002D505D" w:rsidRPr="002D505D" w:rsidRDefault="002D505D" w:rsidP="0079724E">
            <w:pPr>
              <w:spacing w:after="0"/>
              <w:jc w:val="right"/>
              <w:rPr>
                <w:sz w:val="24"/>
              </w:rPr>
            </w:pPr>
            <w:r w:rsidRPr="002D505D">
              <w:rPr>
                <w:sz w:val="24"/>
              </w:rPr>
              <w:t>21.4</w:t>
            </w:r>
          </w:p>
        </w:tc>
        <w:tc>
          <w:tcPr>
            <w:tcW w:w="1687" w:type="dxa"/>
          </w:tcPr>
          <w:p w:rsidR="002D505D" w:rsidRPr="002D505D" w:rsidRDefault="002D505D" w:rsidP="0079724E">
            <w:pPr>
              <w:spacing w:after="0"/>
              <w:jc w:val="right"/>
              <w:rPr>
                <w:sz w:val="24"/>
              </w:rPr>
            </w:pPr>
            <w:r w:rsidRPr="002D505D">
              <w:rPr>
                <w:sz w:val="24"/>
              </w:rPr>
              <w:t>81.2</w:t>
            </w:r>
          </w:p>
        </w:tc>
        <w:tc>
          <w:tcPr>
            <w:tcW w:w="2118" w:type="dxa"/>
          </w:tcPr>
          <w:p w:rsidR="002D505D" w:rsidRPr="002D505D" w:rsidRDefault="002D505D" w:rsidP="0079724E">
            <w:pPr>
              <w:spacing w:after="0"/>
              <w:jc w:val="right"/>
              <w:rPr>
                <w:sz w:val="24"/>
              </w:rPr>
            </w:pPr>
            <w:r w:rsidRPr="002D505D">
              <w:rPr>
                <w:sz w:val="24"/>
              </w:rPr>
              <w:t>21.5</w:t>
            </w:r>
          </w:p>
        </w:tc>
      </w:tr>
      <w:tr w:rsidR="002D505D" w:rsidRPr="002D505D" w:rsidTr="005F1589">
        <w:tc>
          <w:tcPr>
            <w:tcW w:w="1912" w:type="dxa"/>
          </w:tcPr>
          <w:p w:rsidR="002D505D" w:rsidRPr="002D505D" w:rsidRDefault="002D505D" w:rsidP="00717854">
            <w:pPr>
              <w:spacing w:after="0"/>
              <w:rPr>
                <w:sz w:val="24"/>
              </w:rPr>
            </w:pPr>
            <w:r w:rsidRPr="002D505D">
              <w:rPr>
                <w:sz w:val="24"/>
              </w:rPr>
              <w:t>Czechia</w:t>
            </w:r>
          </w:p>
        </w:tc>
        <w:tc>
          <w:tcPr>
            <w:tcW w:w="1676" w:type="dxa"/>
          </w:tcPr>
          <w:p w:rsidR="002D505D" w:rsidRPr="002D505D" w:rsidRDefault="002D505D" w:rsidP="0079724E">
            <w:pPr>
              <w:spacing w:after="0"/>
              <w:jc w:val="right"/>
              <w:rPr>
                <w:sz w:val="24"/>
              </w:rPr>
            </w:pPr>
            <w:r w:rsidRPr="002D505D">
              <w:rPr>
                <w:sz w:val="24"/>
              </w:rPr>
              <w:t>34.9</w:t>
            </w:r>
          </w:p>
        </w:tc>
        <w:tc>
          <w:tcPr>
            <w:tcW w:w="1674" w:type="dxa"/>
          </w:tcPr>
          <w:p w:rsidR="002D505D" w:rsidRPr="002D505D" w:rsidRDefault="002D505D" w:rsidP="0079724E">
            <w:pPr>
              <w:spacing w:after="0"/>
              <w:jc w:val="right"/>
              <w:rPr>
                <w:sz w:val="24"/>
              </w:rPr>
            </w:pPr>
            <w:r w:rsidRPr="002D505D">
              <w:rPr>
                <w:sz w:val="24"/>
              </w:rPr>
              <w:t>7.7</w:t>
            </w:r>
          </w:p>
        </w:tc>
        <w:tc>
          <w:tcPr>
            <w:tcW w:w="1687" w:type="dxa"/>
          </w:tcPr>
          <w:p w:rsidR="002D505D" w:rsidRPr="002D505D" w:rsidRDefault="002D505D" w:rsidP="0079724E">
            <w:pPr>
              <w:spacing w:after="0"/>
              <w:jc w:val="right"/>
              <w:rPr>
                <w:sz w:val="24"/>
              </w:rPr>
            </w:pPr>
            <w:r w:rsidRPr="002D505D">
              <w:rPr>
                <w:sz w:val="24"/>
              </w:rPr>
              <w:t>35.0</w:t>
            </w:r>
          </w:p>
        </w:tc>
        <w:tc>
          <w:tcPr>
            <w:tcW w:w="2118" w:type="dxa"/>
          </w:tcPr>
          <w:p w:rsidR="002D505D" w:rsidRPr="002D505D" w:rsidRDefault="002D505D" w:rsidP="0079724E">
            <w:pPr>
              <w:spacing w:after="0"/>
              <w:jc w:val="right"/>
              <w:rPr>
                <w:sz w:val="24"/>
              </w:rPr>
            </w:pPr>
            <w:r w:rsidRPr="002D505D">
              <w:rPr>
                <w:sz w:val="24"/>
              </w:rPr>
              <w:t>7.4</w:t>
            </w:r>
          </w:p>
        </w:tc>
      </w:tr>
      <w:tr w:rsidR="002D505D" w:rsidRPr="002D505D" w:rsidTr="005F1589">
        <w:tc>
          <w:tcPr>
            <w:tcW w:w="1912" w:type="dxa"/>
          </w:tcPr>
          <w:p w:rsidR="002D505D" w:rsidRPr="002D505D" w:rsidRDefault="002D505D" w:rsidP="00717854">
            <w:pPr>
              <w:spacing w:after="0"/>
              <w:rPr>
                <w:sz w:val="24"/>
              </w:rPr>
            </w:pPr>
            <w:r w:rsidRPr="002D505D">
              <w:rPr>
                <w:sz w:val="24"/>
              </w:rPr>
              <w:t>Denmark</w:t>
            </w:r>
          </w:p>
        </w:tc>
        <w:tc>
          <w:tcPr>
            <w:tcW w:w="1676" w:type="dxa"/>
          </w:tcPr>
          <w:p w:rsidR="002D505D" w:rsidRPr="002D505D" w:rsidRDefault="002D505D" w:rsidP="0079724E">
            <w:pPr>
              <w:spacing w:after="0"/>
              <w:jc w:val="right"/>
              <w:rPr>
                <w:sz w:val="24"/>
              </w:rPr>
            </w:pPr>
            <w:r w:rsidRPr="002D505D">
              <w:rPr>
                <w:sz w:val="24"/>
              </w:rPr>
              <w:t>15.4</w:t>
            </w:r>
          </w:p>
        </w:tc>
        <w:tc>
          <w:tcPr>
            <w:tcW w:w="1674" w:type="dxa"/>
          </w:tcPr>
          <w:p w:rsidR="002D505D" w:rsidRPr="002D505D" w:rsidRDefault="002D505D" w:rsidP="0079724E">
            <w:pPr>
              <w:spacing w:after="0"/>
              <w:jc w:val="right"/>
              <w:rPr>
                <w:sz w:val="24"/>
              </w:rPr>
            </w:pPr>
            <w:r w:rsidRPr="002D505D">
              <w:rPr>
                <w:sz w:val="24"/>
              </w:rPr>
              <w:t>5.4</w:t>
            </w:r>
          </w:p>
        </w:tc>
        <w:tc>
          <w:tcPr>
            <w:tcW w:w="1687" w:type="dxa"/>
          </w:tcPr>
          <w:p w:rsidR="002D505D" w:rsidRPr="002D505D" w:rsidRDefault="002D505D" w:rsidP="0079724E">
            <w:pPr>
              <w:spacing w:after="0"/>
              <w:jc w:val="right"/>
              <w:rPr>
                <w:sz w:val="24"/>
              </w:rPr>
            </w:pPr>
            <w:r w:rsidRPr="002D505D">
              <w:rPr>
                <w:sz w:val="24"/>
              </w:rPr>
              <w:t>17.1</w:t>
            </w:r>
          </w:p>
        </w:tc>
        <w:tc>
          <w:tcPr>
            <w:tcW w:w="2118" w:type="dxa"/>
          </w:tcPr>
          <w:p w:rsidR="002D505D" w:rsidRPr="002D505D" w:rsidRDefault="002D505D" w:rsidP="0079724E">
            <w:pPr>
              <w:spacing w:after="0"/>
              <w:jc w:val="right"/>
              <w:rPr>
                <w:sz w:val="24"/>
              </w:rPr>
            </w:pPr>
            <w:r w:rsidRPr="002D505D">
              <w:rPr>
                <w:sz w:val="24"/>
              </w:rPr>
              <w:t>5.2</w:t>
            </w:r>
          </w:p>
        </w:tc>
      </w:tr>
      <w:tr w:rsidR="002D505D" w:rsidRPr="002D505D" w:rsidTr="005F1589">
        <w:tc>
          <w:tcPr>
            <w:tcW w:w="1912" w:type="dxa"/>
          </w:tcPr>
          <w:p w:rsidR="002D505D" w:rsidRPr="002D505D" w:rsidRDefault="002D505D" w:rsidP="002D505D">
            <w:pPr>
              <w:spacing w:after="0"/>
              <w:rPr>
                <w:sz w:val="24"/>
              </w:rPr>
            </w:pPr>
            <w:r w:rsidRPr="002D505D">
              <w:rPr>
                <w:sz w:val="24"/>
              </w:rPr>
              <w:t xml:space="preserve">Germany </w:t>
            </w:r>
          </w:p>
        </w:tc>
        <w:tc>
          <w:tcPr>
            <w:tcW w:w="1676" w:type="dxa"/>
          </w:tcPr>
          <w:p w:rsidR="002D505D" w:rsidRPr="002D505D" w:rsidRDefault="002D505D" w:rsidP="0079724E">
            <w:pPr>
              <w:spacing w:after="0"/>
              <w:jc w:val="right"/>
              <w:rPr>
                <w:sz w:val="24"/>
              </w:rPr>
            </w:pPr>
            <w:r w:rsidRPr="002D505D">
              <w:rPr>
                <w:sz w:val="24"/>
              </w:rPr>
              <w:t>14.8</w:t>
            </w:r>
          </w:p>
        </w:tc>
        <w:tc>
          <w:tcPr>
            <w:tcW w:w="1674" w:type="dxa"/>
          </w:tcPr>
          <w:p w:rsidR="002D505D" w:rsidRPr="002D505D" w:rsidRDefault="002D505D" w:rsidP="0079724E">
            <w:pPr>
              <w:spacing w:after="0"/>
              <w:jc w:val="right"/>
              <w:rPr>
                <w:sz w:val="24"/>
              </w:rPr>
            </w:pPr>
            <w:r w:rsidRPr="002D505D">
              <w:rPr>
                <w:sz w:val="24"/>
              </w:rPr>
              <w:t>8.0</w:t>
            </w:r>
          </w:p>
        </w:tc>
        <w:tc>
          <w:tcPr>
            <w:tcW w:w="1687" w:type="dxa"/>
          </w:tcPr>
          <w:p w:rsidR="002D505D" w:rsidRPr="002D505D" w:rsidRDefault="002D505D" w:rsidP="0079724E">
            <w:pPr>
              <w:spacing w:after="0"/>
              <w:jc w:val="right"/>
              <w:rPr>
                <w:sz w:val="24"/>
              </w:rPr>
            </w:pPr>
            <w:r w:rsidRPr="002D505D">
              <w:rPr>
                <w:sz w:val="24"/>
              </w:rPr>
              <w:t>31.7</w:t>
            </w:r>
          </w:p>
        </w:tc>
        <w:tc>
          <w:tcPr>
            <w:tcW w:w="2118" w:type="dxa"/>
          </w:tcPr>
          <w:p w:rsidR="002D505D" w:rsidRPr="002D505D" w:rsidRDefault="002D505D" w:rsidP="0079724E">
            <w:pPr>
              <w:spacing w:after="0"/>
              <w:jc w:val="right"/>
              <w:rPr>
                <w:sz w:val="24"/>
              </w:rPr>
            </w:pPr>
            <w:r w:rsidRPr="002D505D">
              <w:rPr>
                <w:sz w:val="24"/>
              </w:rPr>
              <w:t>7.9</w:t>
            </w:r>
          </w:p>
        </w:tc>
      </w:tr>
      <w:tr w:rsidR="002D505D" w:rsidRPr="002D505D" w:rsidTr="005F1589">
        <w:tc>
          <w:tcPr>
            <w:tcW w:w="1912" w:type="dxa"/>
          </w:tcPr>
          <w:p w:rsidR="002D505D" w:rsidRPr="002D505D" w:rsidRDefault="002D505D" w:rsidP="00717854">
            <w:pPr>
              <w:spacing w:after="0"/>
              <w:rPr>
                <w:sz w:val="24"/>
              </w:rPr>
            </w:pPr>
            <w:r w:rsidRPr="002D505D">
              <w:rPr>
                <w:sz w:val="24"/>
              </w:rPr>
              <w:t>Estonia</w:t>
            </w:r>
          </w:p>
        </w:tc>
        <w:tc>
          <w:tcPr>
            <w:tcW w:w="1676" w:type="dxa"/>
          </w:tcPr>
          <w:p w:rsidR="002D505D" w:rsidRPr="002D505D" w:rsidRDefault="002D505D" w:rsidP="0079724E">
            <w:pPr>
              <w:spacing w:after="0"/>
              <w:jc w:val="right"/>
              <w:rPr>
                <w:sz w:val="24"/>
              </w:rPr>
            </w:pPr>
            <w:r w:rsidRPr="002D505D">
              <w:rPr>
                <w:sz w:val="24"/>
              </w:rPr>
              <w:t>23.3</w:t>
            </w:r>
          </w:p>
        </w:tc>
        <w:tc>
          <w:tcPr>
            <w:tcW w:w="1674" w:type="dxa"/>
          </w:tcPr>
          <w:p w:rsidR="002D505D" w:rsidRPr="002D505D" w:rsidRDefault="002D505D" w:rsidP="0079724E">
            <w:pPr>
              <w:spacing w:after="0"/>
              <w:jc w:val="right"/>
              <w:rPr>
                <w:sz w:val="24"/>
              </w:rPr>
            </w:pPr>
            <w:r w:rsidRPr="002D505D">
              <w:rPr>
                <w:sz w:val="24"/>
              </w:rPr>
              <w:t>10.3</w:t>
            </w:r>
          </w:p>
        </w:tc>
        <w:tc>
          <w:tcPr>
            <w:tcW w:w="1687" w:type="dxa"/>
          </w:tcPr>
          <w:p w:rsidR="002D505D" w:rsidRPr="002D505D" w:rsidRDefault="002D505D" w:rsidP="0079724E">
            <w:pPr>
              <w:spacing w:after="0"/>
              <w:jc w:val="right"/>
              <w:rPr>
                <w:sz w:val="24"/>
              </w:rPr>
            </w:pPr>
            <w:r w:rsidRPr="002D505D">
              <w:rPr>
                <w:sz w:val="24"/>
              </w:rPr>
              <w:t>:</w:t>
            </w:r>
          </w:p>
        </w:tc>
        <w:tc>
          <w:tcPr>
            <w:tcW w:w="2118" w:type="dxa"/>
          </w:tcPr>
          <w:p w:rsidR="002D505D" w:rsidRPr="002D505D" w:rsidRDefault="002D505D" w:rsidP="0079724E">
            <w:pPr>
              <w:spacing w:after="0"/>
              <w:jc w:val="right"/>
              <w:rPr>
                <w:sz w:val="24"/>
              </w:rPr>
            </w:pPr>
            <w:r w:rsidRPr="002D505D">
              <w:rPr>
                <w:sz w:val="24"/>
              </w:rPr>
              <w:t>10.5</w:t>
            </w:r>
          </w:p>
        </w:tc>
      </w:tr>
      <w:tr w:rsidR="002D505D" w:rsidRPr="002D505D" w:rsidTr="005F1589">
        <w:tc>
          <w:tcPr>
            <w:tcW w:w="1912" w:type="dxa"/>
          </w:tcPr>
          <w:p w:rsidR="002D505D" w:rsidRPr="002D505D" w:rsidRDefault="002D505D" w:rsidP="00717854">
            <w:pPr>
              <w:spacing w:after="0"/>
              <w:rPr>
                <w:sz w:val="24"/>
              </w:rPr>
            </w:pPr>
            <w:r w:rsidRPr="002D505D">
              <w:rPr>
                <w:sz w:val="24"/>
              </w:rPr>
              <w:t>Ireland</w:t>
            </w:r>
          </w:p>
        </w:tc>
        <w:tc>
          <w:tcPr>
            <w:tcW w:w="1676" w:type="dxa"/>
          </w:tcPr>
          <w:p w:rsidR="002D505D" w:rsidRPr="002D505D" w:rsidRDefault="002D505D" w:rsidP="0079724E">
            <w:pPr>
              <w:spacing w:after="0"/>
              <w:jc w:val="right"/>
              <w:rPr>
                <w:sz w:val="24"/>
              </w:rPr>
            </w:pPr>
            <w:r w:rsidRPr="002D505D">
              <w:rPr>
                <w:sz w:val="24"/>
              </w:rPr>
              <w:t>40.3</w:t>
            </w:r>
          </w:p>
        </w:tc>
        <w:tc>
          <w:tcPr>
            <w:tcW w:w="1674" w:type="dxa"/>
          </w:tcPr>
          <w:p w:rsidR="002D505D" w:rsidRPr="002D505D" w:rsidRDefault="002D505D" w:rsidP="0079724E">
            <w:pPr>
              <w:spacing w:after="0"/>
              <w:jc w:val="right"/>
              <w:rPr>
                <w:sz w:val="24"/>
              </w:rPr>
            </w:pPr>
            <w:r w:rsidRPr="002D505D">
              <w:rPr>
                <w:sz w:val="24"/>
              </w:rPr>
              <w:t>17.8</w:t>
            </w:r>
          </w:p>
        </w:tc>
        <w:tc>
          <w:tcPr>
            <w:tcW w:w="1687" w:type="dxa"/>
          </w:tcPr>
          <w:p w:rsidR="002D505D" w:rsidRPr="002D505D" w:rsidRDefault="002D505D" w:rsidP="0079724E">
            <w:pPr>
              <w:spacing w:after="0"/>
              <w:jc w:val="right"/>
              <w:rPr>
                <w:sz w:val="24"/>
              </w:rPr>
            </w:pPr>
            <w:r w:rsidRPr="002D505D">
              <w:rPr>
                <w:sz w:val="24"/>
              </w:rPr>
              <w:t>49.5</w:t>
            </w:r>
          </w:p>
        </w:tc>
        <w:tc>
          <w:tcPr>
            <w:tcW w:w="2118" w:type="dxa"/>
          </w:tcPr>
          <w:p w:rsidR="002D505D" w:rsidRPr="002D505D" w:rsidRDefault="002D505D" w:rsidP="0079724E">
            <w:pPr>
              <w:spacing w:after="0"/>
              <w:jc w:val="right"/>
              <w:rPr>
                <w:sz w:val="24"/>
              </w:rPr>
            </w:pPr>
            <w:r w:rsidRPr="002D505D">
              <w:rPr>
                <w:sz w:val="24"/>
              </w:rPr>
              <w:t>17.5</w:t>
            </w:r>
          </w:p>
        </w:tc>
      </w:tr>
      <w:tr w:rsidR="002D505D" w:rsidRPr="002D505D" w:rsidTr="005F1589">
        <w:tc>
          <w:tcPr>
            <w:tcW w:w="1912" w:type="dxa"/>
          </w:tcPr>
          <w:p w:rsidR="002D505D" w:rsidRPr="002D505D" w:rsidRDefault="002D505D" w:rsidP="00717854">
            <w:pPr>
              <w:spacing w:after="0"/>
              <w:rPr>
                <w:sz w:val="24"/>
              </w:rPr>
            </w:pPr>
            <w:r w:rsidRPr="002D505D">
              <w:rPr>
                <w:sz w:val="24"/>
              </w:rPr>
              <w:t>Greece</w:t>
            </w:r>
          </w:p>
        </w:tc>
        <w:tc>
          <w:tcPr>
            <w:tcW w:w="1676" w:type="dxa"/>
          </w:tcPr>
          <w:p w:rsidR="002D505D" w:rsidRPr="002D505D" w:rsidRDefault="002D505D" w:rsidP="0079724E">
            <w:pPr>
              <w:spacing w:after="0"/>
              <w:jc w:val="right"/>
              <w:rPr>
                <w:sz w:val="24"/>
              </w:rPr>
            </w:pPr>
            <w:r w:rsidRPr="002D505D">
              <w:rPr>
                <w:sz w:val="24"/>
              </w:rPr>
              <w:t>44.6</w:t>
            </w:r>
          </w:p>
        </w:tc>
        <w:tc>
          <w:tcPr>
            <w:tcW w:w="1674" w:type="dxa"/>
          </w:tcPr>
          <w:p w:rsidR="002D505D" w:rsidRPr="002D505D" w:rsidRDefault="002D505D" w:rsidP="0079724E">
            <w:pPr>
              <w:spacing w:after="0"/>
              <w:jc w:val="right"/>
              <w:rPr>
                <w:sz w:val="24"/>
              </w:rPr>
            </w:pPr>
            <w:r w:rsidRPr="002D505D">
              <w:rPr>
                <w:sz w:val="24"/>
              </w:rPr>
              <w:t>15.9</w:t>
            </w:r>
          </w:p>
        </w:tc>
        <w:tc>
          <w:tcPr>
            <w:tcW w:w="1687" w:type="dxa"/>
          </w:tcPr>
          <w:p w:rsidR="002D505D" w:rsidRPr="002D505D" w:rsidRDefault="002D505D" w:rsidP="0079724E">
            <w:pPr>
              <w:spacing w:after="0"/>
              <w:jc w:val="right"/>
              <w:rPr>
                <w:sz w:val="24"/>
              </w:rPr>
            </w:pPr>
            <w:r w:rsidRPr="002D505D">
              <w:rPr>
                <w:sz w:val="24"/>
              </w:rPr>
              <w:t>52.3</w:t>
            </w:r>
          </w:p>
        </w:tc>
        <w:tc>
          <w:tcPr>
            <w:tcW w:w="2118" w:type="dxa"/>
          </w:tcPr>
          <w:p w:rsidR="002D505D" w:rsidRPr="002D505D" w:rsidRDefault="002D505D" w:rsidP="0079724E">
            <w:pPr>
              <w:spacing w:after="0"/>
              <w:jc w:val="right"/>
              <w:rPr>
                <w:sz w:val="24"/>
              </w:rPr>
            </w:pPr>
            <w:r w:rsidRPr="002D505D">
              <w:rPr>
                <w:sz w:val="24"/>
              </w:rPr>
              <w:t>15.8</w:t>
            </w:r>
          </w:p>
        </w:tc>
      </w:tr>
      <w:tr w:rsidR="002D505D" w:rsidRPr="002D505D" w:rsidTr="005F1589">
        <w:tc>
          <w:tcPr>
            <w:tcW w:w="1912" w:type="dxa"/>
          </w:tcPr>
          <w:p w:rsidR="002D505D" w:rsidRPr="002D505D" w:rsidRDefault="002D505D" w:rsidP="00717854">
            <w:pPr>
              <w:spacing w:after="0"/>
              <w:rPr>
                <w:sz w:val="24"/>
              </w:rPr>
            </w:pPr>
            <w:r w:rsidRPr="002D505D">
              <w:rPr>
                <w:sz w:val="24"/>
              </w:rPr>
              <w:t>Spain</w:t>
            </w:r>
          </w:p>
        </w:tc>
        <w:tc>
          <w:tcPr>
            <w:tcW w:w="1676" w:type="dxa"/>
          </w:tcPr>
          <w:p w:rsidR="002D505D" w:rsidRPr="002D505D" w:rsidRDefault="002D505D" w:rsidP="0079724E">
            <w:pPr>
              <w:spacing w:after="0"/>
              <w:jc w:val="right"/>
              <w:rPr>
                <w:sz w:val="24"/>
              </w:rPr>
            </w:pPr>
            <w:r w:rsidRPr="002D505D">
              <w:rPr>
                <w:sz w:val="24"/>
              </w:rPr>
              <w:t>26.7</w:t>
            </w:r>
          </w:p>
        </w:tc>
        <w:tc>
          <w:tcPr>
            <w:tcW w:w="1674" w:type="dxa"/>
          </w:tcPr>
          <w:p w:rsidR="002D505D" w:rsidRPr="002D505D" w:rsidRDefault="002D505D" w:rsidP="0079724E">
            <w:pPr>
              <w:spacing w:after="0"/>
              <w:jc w:val="right"/>
              <w:rPr>
                <w:sz w:val="24"/>
              </w:rPr>
            </w:pPr>
            <w:r w:rsidRPr="002D505D">
              <w:rPr>
                <w:sz w:val="24"/>
              </w:rPr>
              <w:t>19.4</w:t>
            </w:r>
          </w:p>
        </w:tc>
        <w:tc>
          <w:tcPr>
            <w:tcW w:w="1687" w:type="dxa"/>
          </w:tcPr>
          <w:p w:rsidR="002D505D" w:rsidRPr="002D505D" w:rsidRDefault="002D505D" w:rsidP="0079724E">
            <w:pPr>
              <w:spacing w:after="0"/>
              <w:jc w:val="right"/>
              <w:rPr>
                <w:sz w:val="24"/>
              </w:rPr>
            </w:pPr>
            <w:r w:rsidRPr="002D505D">
              <w:rPr>
                <w:sz w:val="24"/>
              </w:rPr>
              <w:t>32.7</w:t>
            </w:r>
          </w:p>
        </w:tc>
        <w:tc>
          <w:tcPr>
            <w:tcW w:w="2118" w:type="dxa"/>
          </w:tcPr>
          <w:p w:rsidR="002D505D" w:rsidRPr="002D505D" w:rsidRDefault="002D505D" w:rsidP="0079724E">
            <w:pPr>
              <w:spacing w:after="0"/>
              <w:jc w:val="right"/>
              <w:rPr>
                <w:sz w:val="24"/>
              </w:rPr>
            </w:pPr>
            <w:r w:rsidRPr="002D505D">
              <w:rPr>
                <w:sz w:val="24"/>
              </w:rPr>
              <w:t>19.1</w:t>
            </w:r>
          </w:p>
        </w:tc>
      </w:tr>
      <w:tr w:rsidR="002D505D" w:rsidRPr="002D505D" w:rsidTr="005F1589">
        <w:tc>
          <w:tcPr>
            <w:tcW w:w="1912" w:type="dxa"/>
          </w:tcPr>
          <w:p w:rsidR="002D505D" w:rsidRPr="002D505D" w:rsidRDefault="002D505D" w:rsidP="00717854">
            <w:pPr>
              <w:spacing w:after="0"/>
              <w:rPr>
                <w:sz w:val="24"/>
              </w:rPr>
            </w:pPr>
            <w:r w:rsidRPr="002D505D">
              <w:rPr>
                <w:sz w:val="24"/>
              </w:rPr>
              <w:t>France</w:t>
            </w:r>
          </w:p>
        </w:tc>
        <w:tc>
          <w:tcPr>
            <w:tcW w:w="1676" w:type="dxa"/>
          </w:tcPr>
          <w:p w:rsidR="002D505D" w:rsidRPr="002D505D" w:rsidRDefault="002D505D" w:rsidP="0079724E">
            <w:pPr>
              <w:spacing w:after="0"/>
              <w:jc w:val="right"/>
              <w:rPr>
                <w:sz w:val="24"/>
              </w:rPr>
            </w:pPr>
            <w:r w:rsidRPr="002D505D">
              <w:rPr>
                <w:sz w:val="24"/>
              </w:rPr>
              <w:t>19.8</w:t>
            </w:r>
          </w:p>
        </w:tc>
        <w:tc>
          <w:tcPr>
            <w:tcW w:w="1674" w:type="dxa"/>
          </w:tcPr>
          <w:p w:rsidR="002D505D" w:rsidRPr="002D505D" w:rsidRDefault="002D505D" w:rsidP="0079724E">
            <w:pPr>
              <w:spacing w:after="0"/>
              <w:jc w:val="right"/>
              <w:rPr>
                <w:sz w:val="24"/>
              </w:rPr>
            </w:pPr>
            <w:r w:rsidRPr="002D505D">
              <w:rPr>
                <w:sz w:val="24"/>
              </w:rPr>
              <w:t>10.7</w:t>
            </w:r>
          </w:p>
        </w:tc>
        <w:tc>
          <w:tcPr>
            <w:tcW w:w="1687" w:type="dxa"/>
          </w:tcPr>
          <w:p w:rsidR="002D505D" w:rsidRPr="002D505D" w:rsidRDefault="002D505D" w:rsidP="0079724E">
            <w:pPr>
              <w:spacing w:after="0"/>
              <w:jc w:val="right"/>
              <w:rPr>
                <w:sz w:val="24"/>
              </w:rPr>
            </w:pPr>
            <w:r w:rsidRPr="002D505D">
              <w:rPr>
                <w:sz w:val="24"/>
              </w:rPr>
              <w:t>24</w:t>
            </w:r>
          </w:p>
        </w:tc>
        <w:tc>
          <w:tcPr>
            <w:tcW w:w="2118" w:type="dxa"/>
          </w:tcPr>
          <w:p w:rsidR="002D505D" w:rsidRPr="002D505D" w:rsidRDefault="002D505D" w:rsidP="0079724E">
            <w:pPr>
              <w:spacing w:after="0"/>
              <w:jc w:val="right"/>
              <w:rPr>
                <w:sz w:val="24"/>
              </w:rPr>
            </w:pPr>
            <w:r w:rsidRPr="002D505D">
              <w:rPr>
                <w:sz w:val="24"/>
              </w:rPr>
              <w:t>10.7</w:t>
            </w:r>
          </w:p>
        </w:tc>
      </w:tr>
      <w:tr w:rsidR="002D505D" w:rsidRPr="002D505D" w:rsidTr="005F1589">
        <w:tc>
          <w:tcPr>
            <w:tcW w:w="1912" w:type="dxa"/>
          </w:tcPr>
          <w:p w:rsidR="002D505D" w:rsidRPr="002D505D" w:rsidRDefault="002D505D" w:rsidP="00717854">
            <w:pPr>
              <w:spacing w:after="0"/>
              <w:rPr>
                <w:sz w:val="24"/>
              </w:rPr>
            </w:pPr>
            <w:r w:rsidRPr="002D505D">
              <w:rPr>
                <w:sz w:val="24"/>
              </w:rPr>
              <w:t>Italy</w:t>
            </w:r>
          </w:p>
        </w:tc>
        <w:tc>
          <w:tcPr>
            <w:tcW w:w="1676" w:type="dxa"/>
          </w:tcPr>
          <w:p w:rsidR="002D505D" w:rsidRPr="002D505D" w:rsidRDefault="002D505D" w:rsidP="0079724E">
            <w:pPr>
              <w:spacing w:after="0"/>
              <w:jc w:val="right"/>
              <w:rPr>
                <w:sz w:val="24"/>
              </w:rPr>
            </w:pPr>
            <w:r w:rsidRPr="002D505D">
              <w:rPr>
                <w:sz w:val="24"/>
              </w:rPr>
              <w:t>45.9</w:t>
            </w:r>
          </w:p>
        </w:tc>
        <w:tc>
          <w:tcPr>
            <w:tcW w:w="1674" w:type="dxa"/>
          </w:tcPr>
          <w:p w:rsidR="002D505D" w:rsidRPr="002D505D" w:rsidRDefault="002D505D" w:rsidP="0079724E">
            <w:pPr>
              <w:spacing w:after="0"/>
              <w:jc w:val="right"/>
              <w:rPr>
                <w:sz w:val="24"/>
              </w:rPr>
            </w:pPr>
            <w:r w:rsidRPr="002D505D">
              <w:rPr>
                <w:sz w:val="24"/>
              </w:rPr>
              <w:t>18.0</w:t>
            </w:r>
          </w:p>
        </w:tc>
        <w:tc>
          <w:tcPr>
            <w:tcW w:w="1687" w:type="dxa"/>
          </w:tcPr>
          <w:p w:rsidR="002D505D" w:rsidRPr="002D505D" w:rsidRDefault="002D505D" w:rsidP="0079724E">
            <w:pPr>
              <w:spacing w:after="0"/>
              <w:jc w:val="right"/>
              <w:rPr>
                <w:sz w:val="24"/>
              </w:rPr>
            </w:pPr>
            <w:r w:rsidRPr="002D505D">
              <w:rPr>
                <w:sz w:val="24"/>
              </w:rPr>
              <w:t>45.1</w:t>
            </w:r>
          </w:p>
        </w:tc>
        <w:tc>
          <w:tcPr>
            <w:tcW w:w="2118" w:type="dxa"/>
          </w:tcPr>
          <w:p w:rsidR="002D505D" w:rsidRPr="002D505D" w:rsidRDefault="002D505D" w:rsidP="0079724E">
            <w:pPr>
              <w:spacing w:after="0"/>
              <w:jc w:val="right"/>
              <w:rPr>
                <w:sz w:val="24"/>
              </w:rPr>
            </w:pPr>
            <w:r w:rsidRPr="002D505D">
              <w:rPr>
                <w:sz w:val="24"/>
              </w:rPr>
              <w:t>18.0</w:t>
            </w:r>
          </w:p>
        </w:tc>
      </w:tr>
      <w:tr w:rsidR="002D505D" w:rsidRPr="002D505D" w:rsidTr="005F1589">
        <w:tc>
          <w:tcPr>
            <w:tcW w:w="1912" w:type="dxa"/>
          </w:tcPr>
          <w:p w:rsidR="002D505D" w:rsidRPr="002D505D" w:rsidRDefault="002D505D" w:rsidP="00717854">
            <w:pPr>
              <w:spacing w:after="0"/>
              <w:rPr>
                <w:sz w:val="24"/>
              </w:rPr>
            </w:pPr>
            <w:r w:rsidRPr="002D505D">
              <w:rPr>
                <w:sz w:val="24"/>
              </w:rPr>
              <w:lastRenderedPageBreak/>
              <w:t>Cyprus</w:t>
            </w:r>
          </w:p>
        </w:tc>
        <w:tc>
          <w:tcPr>
            <w:tcW w:w="1676" w:type="dxa"/>
          </w:tcPr>
          <w:p w:rsidR="002D505D" w:rsidRPr="002D505D" w:rsidRDefault="002D505D" w:rsidP="0079724E">
            <w:pPr>
              <w:spacing w:after="0"/>
              <w:jc w:val="right"/>
              <w:rPr>
                <w:sz w:val="24"/>
              </w:rPr>
            </w:pPr>
            <w:r w:rsidRPr="002D505D">
              <w:rPr>
                <w:sz w:val="24"/>
              </w:rPr>
              <w:t>41.6</w:t>
            </w:r>
          </w:p>
        </w:tc>
        <w:tc>
          <w:tcPr>
            <w:tcW w:w="1674" w:type="dxa"/>
          </w:tcPr>
          <w:p w:rsidR="002D505D" w:rsidRPr="002D505D" w:rsidRDefault="002D505D" w:rsidP="0079724E">
            <w:pPr>
              <w:spacing w:after="0"/>
              <w:jc w:val="right"/>
              <w:rPr>
                <w:sz w:val="24"/>
              </w:rPr>
            </w:pPr>
            <w:r w:rsidRPr="002D505D">
              <w:rPr>
                <w:sz w:val="24"/>
              </w:rPr>
              <w:t>10.6</w:t>
            </w:r>
          </w:p>
        </w:tc>
        <w:tc>
          <w:tcPr>
            <w:tcW w:w="1687" w:type="dxa"/>
          </w:tcPr>
          <w:p w:rsidR="002D505D" w:rsidRPr="002D505D" w:rsidRDefault="002D505D" w:rsidP="0079724E">
            <w:pPr>
              <w:spacing w:after="0"/>
              <w:jc w:val="right"/>
              <w:rPr>
                <w:sz w:val="24"/>
              </w:rPr>
            </w:pPr>
            <w:r w:rsidRPr="002D505D">
              <w:rPr>
                <w:sz w:val="24"/>
              </w:rPr>
              <w:t>46.3</w:t>
            </w:r>
          </w:p>
        </w:tc>
        <w:tc>
          <w:tcPr>
            <w:tcW w:w="2118" w:type="dxa"/>
          </w:tcPr>
          <w:p w:rsidR="002D505D" w:rsidRPr="002D505D" w:rsidRDefault="002D505D" w:rsidP="0079724E">
            <w:pPr>
              <w:spacing w:after="0"/>
              <w:jc w:val="right"/>
              <w:rPr>
                <w:sz w:val="24"/>
              </w:rPr>
            </w:pPr>
            <w:r w:rsidRPr="002D505D">
              <w:rPr>
                <w:sz w:val="24"/>
              </w:rPr>
              <w:t>10.6</w:t>
            </w:r>
          </w:p>
        </w:tc>
      </w:tr>
      <w:tr w:rsidR="002D505D" w:rsidRPr="002D505D" w:rsidTr="005F1589">
        <w:tc>
          <w:tcPr>
            <w:tcW w:w="1912" w:type="dxa"/>
          </w:tcPr>
          <w:p w:rsidR="002D505D" w:rsidRPr="002D505D" w:rsidRDefault="002D505D" w:rsidP="00717854">
            <w:pPr>
              <w:spacing w:after="0"/>
              <w:rPr>
                <w:sz w:val="24"/>
              </w:rPr>
            </w:pPr>
            <w:r w:rsidRPr="002D505D">
              <w:rPr>
                <w:sz w:val="24"/>
              </w:rPr>
              <w:t>Latvia</w:t>
            </w:r>
          </w:p>
        </w:tc>
        <w:tc>
          <w:tcPr>
            <w:tcW w:w="1676" w:type="dxa"/>
          </w:tcPr>
          <w:p w:rsidR="002D505D" w:rsidRPr="002D505D" w:rsidRDefault="002D505D" w:rsidP="0079724E">
            <w:pPr>
              <w:spacing w:after="0"/>
              <w:jc w:val="right"/>
              <w:rPr>
                <w:sz w:val="24"/>
              </w:rPr>
            </w:pPr>
            <w:r w:rsidRPr="002D505D">
              <w:rPr>
                <w:sz w:val="24"/>
              </w:rPr>
              <w:t>:</w:t>
            </w:r>
          </w:p>
        </w:tc>
        <w:tc>
          <w:tcPr>
            <w:tcW w:w="1674" w:type="dxa"/>
          </w:tcPr>
          <w:p w:rsidR="002D505D" w:rsidRPr="002D505D" w:rsidRDefault="002D505D" w:rsidP="0079724E">
            <w:pPr>
              <w:spacing w:after="0"/>
              <w:jc w:val="right"/>
              <w:rPr>
                <w:sz w:val="24"/>
              </w:rPr>
            </w:pPr>
            <w:r w:rsidRPr="002D505D">
              <w:rPr>
                <w:sz w:val="24"/>
              </w:rPr>
              <w:t>16.6</w:t>
            </w:r>
          </w:p>
        </w:tc>
        <w:tc>
          <w:tcPr>
            <w:tcW w:w="1687" w:type="dxa"/>
          </w:tcPr>
          <w:p w:rsidR="002D505D" w:rsidRPr="002D505D" w:rsidRDefault="002D505D" w:rsidP="0079724E">
            <w:pPr>
              <w:spacing w:after="0"/>
              <w:jc w:val="right"/>
              <w:rPr>
                <w:sz w:val="24"/>
              </w:rPr>
            </w:pPr>
            <w:r w:rsidRPr="002D505D">
              <w:rPr>
                <w:sz w:val="24"/>
              </w:rPr>
              <w:t>:</w:t>
            </w:r>
          </w:p>
        </w:tc>
        <w:tc>
          <w:tcPr>
            <w:tcW w:w="2118" w:type="dxa"/>
          </w:tcPr>
          <w:p w:rsidR="002D505D" w:rsidRPr="002D505D" w:rsidRDefault="002D505D" w:rsidP="0079724E">
            <w:pPr>
              <w:spacing w:after="0"/>
              <w:jc w:val="right"/>
              <w:rPr>
                <w:sz w:val="24"/>
              </w:rPr>
            </w:pPr>
            <w:r w:rsidRPr="002D505D">
              <w:rPr>
                <w:sz w:val="24"/>
              </w:rPr>
              <w:t>16.8</w:t>
            </w:r>
          </w:p>
        </w:tc>
      </w:tr>
      <w:tr w:rsidR="002D505D" w:rsidRPr="002D505D" w:rsidTr="005F1589">
        <w:tc>
          <w:tcPr>
            <w:tcW w:w="1912" w:type="dxa"/>
          </w:tcPr>
          <w:p w:rsidR="002D505D" w:rsidRPr="002D505D" w:rsidRDefault="002D505D" w:rsidP="00717854">
            <w:pPr>
              <w:spacing w:after="0"/>
              <w:rPr>
                <w:sz w:val="24"/>
              </w:rPr>
            </w:pPr>
            <w:r w:rsidRPr="002D505D">
              <w:rPr>
                <w:sz w:val="24"/>
              </w:rPr>
              <w:t>Lithuania</w:t>
            </w:r>
          </w:p>
        </w:tc>
        <w:tc>
          <w:tcPr>
            <w:tcW w:w="1676" w:type="dxa"/>
          </w:tcPr>
          <w:p w:rsidR="002D505D" w:rsidRPr="002D505D" w:rsidRDefault="002D505D" w:rsidP="0079724E">
            <w:pPr>
              <w:spacing w:after="0"/>
              <w:jc w:val="right"/>
              <w:rPr>
                <w:sz w:val="24"/>
              </w:rPr>
            </w:pPr>
            <w:r w:rsidRPr="002D505D">
              <w:rPr>
                <w:sz w:val="24"/>
              </w:rPr>
              <w:t>43.4</w:t>
            </w:r>
          </w:p>
        </w:tc>
        <w:tc>
          <w:tcPr>
            <w:tcW w:w="1674" w:type="dxa"/>
          </w:tcPr>
          <w:p w:rsidR="002D505D" w:rsidRPr="002D505D" w:rsidRDefault="002D505D" w:rsidP="0079724E">
            <w:pPr>
              <w:spacing w:after="0"/>
              <w:jc w:val="right"/>
              <w:rPr>
                <w:sz w:val="24"/>
              </w:rPr>
            </w:pPr>
            <w:r w:rsidRPr="002D505D">
              <w:rPr>
                <w:sz w:val="24"/>
              </w:rPr>
              <w:t>10.4</w:t>
            </w:r>
          </w:p>
        </w:tc>
        <w:tc>
          <w:tcPr>
            <w:tcW w:w="1687" w:type="dxa"/>
          </w:tcPr>
          <w:p w:rsidR="002D505D" w:rsidRPr="002D505D" w:rsidRDefault="002D505D" w:rsidP="0079724E">
            <w:pPr>
              <w:spacing w:after="0"/>
              <w:jc w:val="right"/>
              <w:rPr>
                <w:sz w:val="24"/>
              </w:rPr>
            </w:pPr>
            <w:r w:rsidRPr="002D505D">
              <w:rPr>
                <w:sz w:val="24"/>
              </w:rPr>
              <w:t>53.4</w:t>
            </w:r>
          </w:p>
        </w:tc>
        <w:tc>
          <w:tcPr>
            <w:tcW w:w="2118" w:type="dxa"/>
          </w:tcPr>
          <w:p w:rsidR="002D505D" w:rsidRPr="002D505D" w:rsidRDefault="002D505D" w:rsidP="0079724E">
            <w:pPr>
              <w:spacing w:after="0"/>
              <w:jc w:val="right"/>
              <w:rPr>
                <w:sz w:val="24"/>
              </w:rPr>
            </w:pPr>
            <w:r w:rsidRPr="002D505D">
              <w:rPr>
                <w:sz w:val="24"/>
              </w:rPr>
              <w:t>10.4</w:t>
            </w:r>
          </w:p>
        </w:tc>
      </w:tr>
      <w:tr w:rsidR="002D505D" w:rsidRPr="002D505D" w:rsidTr="005F1589">
        <w:tc>
          <w:tcPr>
            <w:tcW w:w="1912" w:type="dxa"/>
          </w:tcPr>
          <w:p w:rsidR="002D505D" w:rsidRPr="002D505D" w:rsidRDefault="002D505D" w:rsidP="00717854">
            <w:pPr>
              <w:spacing w:after="0"/>
              <w:rPr>
                <w:sz w:val="24"/>
              </w:rPr>
            </w:pPr>
            <w:r w:rsidRPr="002D505D">
              <w:rPr>
                <w:sz w:val="24"/>
              </w:rPr>
              <w:t>Luxembourg</w:t>
            </w:r>
          </w:p>
        </w:tc>
        <w:tc>
          <w:tcPr>
            <w:tcW w:w="1676" w:type="dxa"/>
          </w:tcPr>
          <w:p w:rsidR="002D505D" w:rsidRPr="002D505D" w:rsidRDefault="002D505D" w:rsidP="0079724E">
            <w:pPr>
              <w:spacing w:after="0"/>
              <w:jc w:val="right"/>
              <w:rPr>
                <w:sz w:val="24"/>
              </w:rPr>
            </w:pPr>
            <w:r w:rsidRPr="002D505D">
              <w:rPr>
                <w:sz w:val="24"/>
              </w:rPr>
              <w:t>15.1</w:t>
            </w:r>
          </w:p>
        </w:tc>
        <w:tc>
          <w:tcPr>
            <w:tcW w:w="1674" w:type="dxa"/>
          </w:tcPr>
          <w:p w:rsidR="002D505D" w:rsidRPr="002D505D" w:rsidRDefault="002D505D" w:rsidP="0079724E">
            <w:pPr>
              <w:spacing w:after="0"/>
              <w:jc w:val="right"/>
              <w:rPr>
                <w:sz w:val="24"/>
              </w:rPr>
            </w:pPr>
            <w:r w:rsidRPr="002D505D">
              <w:rPr>
                <w:sz w:val="24"/>
              </w:rPr>
              <w:t>4.2</w:t>
            </w:r>
          </w:p>
        </w:tc>
        <w:tc>
          <w:tcPr>
            <w:tcW w:w="1687" w:type="dxa"/>
          </w:tcPr>
          <w:p w:rsidR="002D505D" w:rsidRPr="002D505D" w:rsidRDefault="002D505D" w:rsidP="0079724E">
            <w:pPr>
              <w:spacing w:after="0"/>
              <w:jc w:val="right"/>
              <w:rPr>
                <w:sz w:val="24"/>
              </w:rPr>
            </w:pPr>
            <w:r w:rsidRPr="002D505D">
              <w:rPr>
                <w:sz w:val="24"/>
              </w:rPr>
              <w:t>:</w:t>
            </w:r>
          </w:p>
        </w:tc>
        <w:tc>
          <w:tcPr>
            <w:tcW w:w="2118" w:type="dxa"/>
          </w:tcPr>
          <w:p w:rsidR="002D505D" w:rsidRPr="002D505D" w:rsidRDefault="002D505D" w:rsidP="0079724E">
            <w:pPr>
              <w:spacing w:after="0"/>
              <w:jc w:val="right"/>
              <w:rPr>
                <w:sz w:val="24"/>
              </w:rPr>
            </w:pPr>
            <w:r w:rsidRPr="002D505D">
              <w:rPr>
                <w:sz w:val="24"/>
              </w:rPr>
              <w:t>4.5</w:t>
            </w:r>
          </w:p>
        </w:tc>
      </w:tr>
      <w:tr w:rsidR="002D505D" w:rsidRPr="002D505D" w:rsidTr="005F1589">
        <w:tc>
          <w:tcPr>
            <w:tcW w:w="1912" w:type="dxa"/>
          </w:tcPr>
          <w:p w:rsidR="002D505D" w:rsidRPr="002D505D" w:rsidRDefault="002D505D" w:rsidP="00717854">
            <w:pPr>
              <w:spacing w:after="0"/>
              <w:rPr>
                <w:sz w:val="24"/>
              </w:rPr>
            </w:pPr>
            <w:r w:rsidRPr="002D505D">
              <w:rPr>
                <w:sz w:val="24"/>
              </w:rPr>
              <w:t>Hungary</w:t>
            </w:r>
          </w:p>
        </w:tc>
        <w:tc>
          <w:tcPr>
            <w:tcW w:w="1676" w:type="dxa"/>
          </w:tcPr>
          <w:p w:rsidR="002D505D" w:rsidRPr="002D505D" w:rsidRDefault="002D505D" w:rsidP="0079724E">
            <w:pPr>
              <w:spacing w:after="0"/>
              <w:jc w:val="right"/>
              <w:rPr>
                <w:sz w:val="24"/>
              </w:rPr>
            </w:pPr>
            <w:r w:rsidRPr="002D505D">
              <w:rPr>
                <w:sz w:val="24"/>
              </w:rPr>
              <w:t>48.5</w:t>
            </w:r>
          </w:p>
        </w:tc>
        <w:tc>
          <w:tcPr>
            <w:tcW w:w="1674" w:type="dxa"/>
          </w:tcPr>
          <w:p w:rsidR="002D505D" w:rsidRPr="002D505D" w:rsidRDefault="002D505D" w:rsidP="0079724E">
            <w:pPr>
              <w:spacing w:after="0"/>
              <w:jc w:val="right"/>
              <w:rPr>
                <w:sz w:val="24"/>
              </w:rPr>
            </w:pPr>
            <w:r w:rsidRPr="002D505D">
              <w:rPr>
                <w:sz w:val="24"/>
              </w:rPr>
              <w:t>11.3</w:t>
            </w:r>
          </w:p>
        </w:tc>
        <w:tc>
          <w:tcPr>
            <w:tcW w:w="1687" w:type="dxa"/>
          </w:tcPr>
          <w:p w:rsidR="002D505D" w:rsidRPr="002D505D" w:rsidRDefault="002D505D" w:rsidP="0079724E">
            <w:pPr>
              <w:spacing w:after="0"/>
              <w:jc w:val="right"/>
              <w:rPr>
                <w:sz w:val="24"/>
              </w:rPr>
            </w:pPr>
            <w:r w:rsidRPr="002D505D">
              <w:rPr>
                <w:sz w:val="24"/>
              </w:rPr>
              <w:t>48.3</w:t>
            </w:r>
          </w:p>
        </w:tc>
        <w:tc>
          <w:tcPr>
            <w:tcW w:w="2118" w:type="dxa"/>
          </w:tcPr>
          <w:p w:rsidR="002D505D" w:rsidRPr="002D505D" w:rsidRDefault="002D505D" w:rsidP="0079724E">
            <w:pPr>
              <w:spacing w:after="0"/>
              <w:jc w:val="right"/>
              <w:rPr>
                <w:sz w:val="24"/>
              </w:rPr>
            </w:pPr>
            <w:r w:rsidRPr="002D505D">
              <w:rPr>
                <w:sz w:val="24"/>
              </w:rPr>
              <w:t>11.3</w:t>
            </w:r>
          </w:p>
        </w:tc>
      </w:tr>
      <w:tr w:rsidR="002D505D" w:rsidRPr="002D505D" w:rsidTr="005F1589">
        <w:tc>
          <w:tcPr>
            <w:tcW w:w="1912" w:type="dxa"/>
          </w:tcPr>
          <w:p w:rsidR="002D505D" w:rsidRPr="002D505D" w:rsidRDefault="002D505D" w:rsidP="00717854">
            <w:pPr>
              <w:spacing w:after="0"/>
              <w:rPr>
                <w:sz w:val="24"/>
              </w:rPr>
            </w:pPr>
            <w:r w:rsidRPr="002D505D">
              <w:rPr>
                <w:sz w:val="24"/>
              </w:rPr>
              <w:t>Netherlands</w:t>
            </w:r>
          </w:p>
        </w:tc>
        <w:tc>
          <w:tcPr>
            <w:tcW w:w="1676" w:type="dxa"/>
          </w:tcPr>
          <w:p w:rsidR="002D505D" w:rsidRPr="002D505D" w:rsidRDefault="002D505D" w:rsidP="0079724E">
            <w:pPr>
              <w:spacing w:after="0"/>
              <w:jc w:val="right"/>
              <w:rPr>
                <w:sz w:val="24"/>
              </w:rPr>
            </w:pPr>
            <w:r w:rsidRPr="002D505D">
              <w:rPr>
                <w:sz w:val="24"/>
              </w:rPr>
              <w:t>17.3</w:t>
            </w:r>
          </w:p>
        </w:tc>
        <w:tc>
          <w:tcPr>
            <w:tcW w:w="1674" w:type="dxa"/>
          </w:tcPr>
          <w:p w:rsidR="002D505D" w:rsidRPr="002D505D" w:rsidRDefault="002D505D" w:rsidP="0079724E">
            <w:pPr>
              <w:spacing w:after="0"/>
              <w:jc w:val="right"/>
              <w:rPr>
                <w:sz w:val="24"/>
              </w:rPr>
            </w:pPr>
            <w:r w:rsidRPr="002D505D">
              <w:rPr>
                <w:sz w:val="24"/>
              </w:rPr>
              <w:t>2.7</w:t>
            </w:r>
          </w:p>
        </w:tc>
        <w:tc>
          <w:tcPr>
            <w:tcW w:w="1687" w:type="dxa"/>
          </w:tcPr>
          <w:p w:rsidR="002D505D" w:rsidRPr="002D505D" w:rsidRDefault="002D505D" w:rsidP="0079724E">
            <w:pPr>
              <w:spacing w:after="0"/>
              <w:jc w:val="right"/>
              <w:rPr>
                <w:sz w:val="24"/>
              </w:rPr>
            </w:pPr>
            <w:r w:rsidRPr="002D505D">
              <w:rPr>
                <w:sz w:val="24"/>
              </w:rPr>
              <w:t>22</w:t>
            </w:r>
          </w:p>
        </w:tc>
        <w:tc>
          <w:tcPr>
            <w:tcW w:w="2118" w:type="dxa"/>
          </w:tcPr>
          <w:p w:rsidR="002D505D" w:rsidRPr="002D505D" w:rsidRDefault="002D505D" w:rsidP="0079724E">
            <w:pPr>
              <w:spacing w:after="0"/>
              <w:jc w:val="right"/>
              <w:rPr>
                <w:sz w:val="24"/>
              </w:rPr>
            </w:pPr>
            <w:r w:rsidRPr="002D505D">
              <w:rPr>
                <w:sz w:val="24"/>
              </w:rPr>
              <w:t>2.6</w:t>
            </w:r>
          </w:p>
        </w:tc>
      </w:tr>
      <w:tr w:rsidR="002D505D" w:rsidRPr="002D505D" w:rsidTr="005F1589">
        <w:tc>
          <w:tcPr>
            <w:tcW w:w="1912" w:type="dxa"/>
          </w:tcPr>
          <w:p w:rsidR="002D505D" w:rsidRPr="002D505D" w:rsidRDefault="002D505D" w:rsidP="00717854">
            <w:pPr>
              <w:spacing w:after="0"/>
              <w:rPr>
                <w:sz w:val="24"/>
              </w:rPr>
            </w:pPr>
            <w:r w:rsidRPr="002D505D">
              <w:rPr>
                <w:sz w:val="24"/>
              </w:rPr>
              <w:t>Austria</w:t>
            </w:r>
          </w:p>
        </w:tc>
        <w:tc>
          <w:tcPr>
            <w:tcW w:w="1676" w:type="dxa"/>
          </w:tcPr>
          <w:p w:rsidR="002D505D" w:rsidRPr="002D505D" w:rsidRDefault="002D505D" w:rsidP="0079724E">
            <w:pPr>
              <w:spacing w:after="0"/>
              <w:jc w:val="right"/>
              <w:rPr>
                <w:sz w:val="24"/>
              </w:rPr>
            </w:pPr>
            <w:r w:rsidRPr="002D505D">
              <w:rPr>
                <w:sz w:val="24"/>
              </w:rPr>
              <w:t>12.7</w:t>
            </w:r>
          </w:p>
        </w:tc>
        <w:tc>
          <w:tcPr>
            <w:tcW w:w="1674" w:type="dxa"/>
          </w:tcPr>
          <w:p w:rsidR="002D505D" w:rsidRPr="002D505D" w:rsidRDefault="002D505D" w:rsidP="0079724E">
            <w:pPr>
              <w:spacing w:after="0"/>
              <w:jc w:val="right"/>
              <w:rPr>
                <w:sz w:val="24"/>
              </w:rPr>
            </w:pPr>
            <w:r w:rsidRPr="002D505D">
              <w:rPr>
                <w:sz w:val="24"/>
              </w:rPr>
              <w:t>6.5</w:t>
            </w:r>
          </w:p>
        </w:tc>
        <w:tc>
          <w:tcPr>
            <w:tcW w:w="1687" w:type="dxa"/>
          </w:tcPr>
          <w:p w:rsidR="002D505D" w:rsidRPr="002D505D" w:rsidRDefault="002D505D" w:rsidP="0079724E">
            <w:pPr>
              <w:spacing w:after="0"/>
              <w:jc w:val="right"/>
              <w:rPr>
                <w:sz w:val="24"/>
              </w:rPr>
            </w:pPr>
            <w:r w:rsidRPr="002D505D">
              <w:rPr>
                <w:sz w:val="24"/>
              </w:rPr>
              <w:t>:</w:t>
            </w:r>
          </w:p>
        </w:tc>
        <w:tc>
          <w:tcPr>
            <w:tcW w:w="2118" w:type="dxa"/>
          </w:tcPr>
          <w:p w:rsidR="002D505D" w:rsidRPr="002D505D" w:rsidRDefault="002D505D" w:rsidP="0079724E">
            <w:pPr>
              <w:spacing w:after="0"/>
              <w:jc w:val="right"/>
              <w:rPr>
                <w:sz w:val="24"/>
              </w:rPr>
            </w:pPr>
            <w:r w:rsidRPr="002D505D">
              <w:rPr>
                <w:sz w:val="24"/>
              </w:rPr>
              <w:t>6.7</w:t>
            </w:r>
          </w:p>
        </w:tc>
      </w:tr>
      <w:tr w:rsidR="002D505D" w:rsidRPr="002D505D" w:rsidTr="005F1589">
        <w:tc>
          <w:tcPr>
            <w:tcW w:w="1912" w:type="dxa"/>
          </w:tcPr>
          <w:p w:rsidR="002D505D" w:rsidRPr="002D505D" w:rsidRDefault="002D505D" w:rsidP="00717854">
            <w:pPr>
              <w:spacing w:after="0"/>
              <w:rPr>
                <w:sz w:val="24"/>
              </w:rPr>
            </w:pPr>
            <w:r w:rsidRPr="002D505D">
              <w:rPr>
                <w:sz w:val="24"/>
              </w:rPr>
              <w:t>Poland</w:t>
            </w:r>
          </w:p>
        </w:tc>
        <w:tc>
          <w:tcPr>
            <w:tcW w:w="1676" w:type="dxa"/>
          </w:tcPr>
          <w:p w:rsidR="002D505D" w:rsidRPr="002D505D" w:rsidRDefault="002D505D" w:rsidP="0079724E">
            <w:pPr>
              <w:spacing w:after="0"/>
              <w:jc w:val="right"/>
              <w:rPr>
                <w:sz w:val="24"/>
              </w:rPr>
            </w:pPr>
            <w:r w:rsidRPr="002D505D">
              <w:rPr>
                <w:sz w:val="24"/>
              </w:rPr>
              <w:t>31.8</w:t>
            </w:r>
          </w:p>
        </w:tc>
        <w:tc>
          <w:tcPr>
            <w:tcW w:w="1674" w:type="dxa"/>
          </w:tcPr>
          <w:p w:rsidR="002D505D" w:rsidRPr="002D505D" w:rsidRDefault="002D505D" w:rsidP="0079724E">
            <w:pPr>
              <w:spacing w:after="0"/>
              <w:jc w:val="right"/>
              <w:rPr>
                <w:sz w:val="24"/>
              </w:rPr>
            </w:pPr>
            <w:r w:rsidRPr="002D505D">
              <w:rPr>
                <w:sz w:val="24"/>
              </w:rPr>
              <w:t>10.0</w:t>
            </w:r>
          </w:p>
        </w:tc>
        <w:tc>
          <w:tcPr>
            <w:tcW w:w="1687" w:type="dxa"/>
          </w:tcPr>
          <w:p w:rsidR="002D505D" w:rsidRPr="002D505D" w:rsidRDefault="002D505D" w:rsidP="0079724E">
            <w:pPr>
              <w:spacing w:after="0"/>
              <w:jc w:val="right"/>
              <w:rPr>
                <w:sz w:val="24"/>
              </w:rPr>
            </w:pPr>
            <w:r w:rsidRPr="002D505D">
              <w:rPr>
                <w:sz w:val="24"/>
              </w:rPr>
              <w:t>35.1</w:t>
            </w:r>
          </w:p>
        </w:tc>
        <w:tc>
          <w:tcPr>
            <w:tcW w:w="2118" w:type="dxa"/>
          </w:tcPr>
          <w:p w:rsidR="002D505D" w:rsidRPr="002D505D" w:rsidRDefault="002D505D" w:rsidP="0079724E">
            <w:pPr>
              <w:spacing w:after="0"/>
              <w:jc w:val="right"/>
              <w:rPr>
                <w:sz w:val="24"/>
              </w:rPr>
            </w:pPr>
            <w:r w:rsidRPr="002D505D">
              <w:rPr>
                <w:sz w:val="24"/>
              </w:rPr>
              <w:t>10.0</w:t>
            </w:r>
          </w:p>
        </w:tc>
      </w:tr>
      <w:tr w:rsidR="002D505D" w:rsidRPr="002D505D" w:rsidTr="005F1589">
        <w:tc>
          <w:tcPr>
            <w:tcW w:w="1912" w:type="dxa"/>
          </w:tcPr>
          <w:p w:rsidR="002D505D" w:rsidRPr="002D505D" w:rsidRDefault="002D505D" w:rsidP="00717854">
            <w:pPr>
              <w:spacing w:after="0"/>
              <w:rPr>
                <w:sz w:val="24"/>
              </w:rPr>
            </w:pPr>
            <w:r w:rsidRPr="002D505D">
              <w:rPr>
                <w:sz w:val="24"/>
              </w:rPr>
              <w:t>Portugal</w:t>
            </w:r>
          </w:p>
        </w:tc>
        <w:tc>
          <w:tcPr>
            <w:tcW w:w="1676" w:type="dxa"/>
          </w:tcPr>
          <w:p w:rsidR="002D505D" w:rsidRPr="002D505D" w:rsidRDefault="002D505D" w:rsidP="0079724E">
            <w:pPr>
              <w:spacing w:after="0"/>
              <w:jc w:val="right"/>
              <w:rPr>
                <w:sz w:val="24"/>
              </w:rPr>
            </w:pPr>
            <w:r w:rsidRPr="002D505D">
              <w:rPr>
                <w:sz w:val="24"/>
              </w:rPr>
              <w:t>23.5</w:t>
            </w:r>
          </w:p>
        </w:tc>
        <w:tc>
          <w:tcPr>
            <w:tcW w:w="1674" w:type="dxa"/>
          </w:tcPr>
          <w:p w:rsidR="002D505D" w:rsidRPr="002D505D" w:rsidRDefault="002D505D" w:rsidP="0079724E">
            <w:pPr>
              <w:spacing w:after="0"/>
              <w:jc w:val="right"/>
              <w:rPr>
                <w:sz w:val="24"/>
              </w:rPr>
            </w:pPr>
            <w:r w:rsidRPr="002D505D">
              <w:rPr>
                <w:sz w:val="24"/>
              </w:rPr>
              <w:t>11.0</w:t>
            </w:r>
          </w:p>
        </w:tc>
        <w:tc>
          <w:tcPr>
            <w:tcW w:w="1687" w:type="dxa"/>
          </w:tcPr>
          <w:p w:rsidR="002D505D" w:rsidRPr="002D505D" w:rsidRDefault="002D505D" w:rsidP="0079724E">
            <w:pPr>
              <w:spacing w:after="0"/>
              <w:jc w:val="right"/>
              <w:rPr>
                <w:sz w:val="24"/>
              </w:rPr>
            </w:pPr>
            <w:r w:rsidRPr="002D505D">
              <w:rPr>
                <w:sz w:val="24"/>
              </w:rPr>
              <w:t>26.5</w:t>
            </w:r>
          </w:p>
        </w:tc>
        <w:tc>
          <w:tcPr>
            <w:tcW w:w="2118" w:type="dxa"/>
          </w:tcPr>
          <w:p w:rsidR="002D505D" w:rsidRPr="002D505D" w:rsidRDefault="002D505D" w:rsidP="0079724E">
            <w:pPr>
              <w:spacing w:after="0"/>
              <w:jc w:val="right"/>
              <w:rPr>
                <w:sz w:val="24"/>
              </w:rPr>
            </w:pPr>
            <w:r w:rsidRPr="002D505D">
              <w:rPr>
                <w:sz w:val="24"/>
              </w:rPr>
              <w:t>10.7</w:t>
            </w:r>
          </w:p>
        </w:tc>
      </w:tr>
      <w:tr w:rsidR="002D505D" w:rsidRPr="002D505D" w:rsidTr="005F1589">
        <w:tc>
          <w:tcPr>
            <w:tcW w:w="1912" w:type="dxa"/>
          </w:tcPr>
          <w:p w:rsidR="002D505D" w:rsidRPr="002D505D" w:rsidRDefault="002D505D" w:rsidP="00717854">
            <w:pPr>
              <w:spacing w:after="0"/>
              <w:rPr>
                <w:sz w:val="24"/>
              </w:rPr>
            </w:pPr>
            <w:r w:rsidRPr="002D505D">
              <w:rPr>
                <w:sz w:val="24"/>
              </w:rPr>
              <w:t>Romania</w:t>
            </w:r>
          </w:p>
        </w:tc>
        <w:tc>
          <w:tcPr>
            <w:tcW w:w="1676" w:type="dxa"/>
          </w:tcPr>
          <w:p w:rsidR="002D505D" w:rsidRPr="002D505D" w:rsidRDefault="002D505D" w:rsidP="0079724E">
            <w:pPr>
              <w:spacing w:after="0"/>
              <w:jc w:val="right"/>
              <w:rPr>
                <w:sz w:val="24"/>
              </w:rPr>
            </w:pPr>
            <w:r w:rsidRPr="002D505D">
              <w:rPr>
                <w:sz w:val="24"/>
              </w:rPr>
              <w:t>61.9</w:t>
            </w:r>
          </w:p>
        </w:tc>
        <w:tc>
          <w:tcPr>
            <w:tcW w:w="1674" w:type="dxa"/>
          </w:tcPr>
          <w:p w:rsidR="002D505D" w:rsidRPr="002D505D" w:rsidRDefault="002D505D" w:rsidP="0079724E">
            <w:pPr>
              <w:spacing w:after="0"/>
              <w:jc w:val="right"/>
              <w:rPr>
                <w:sz w:val="24"/>
              </w:rPr>
            </w:pPr>
            <w:r w:rsidRPr="002D505D">
              <w:rPr>
                <w:sz w:val="24"/>
              </w:rPr>
              <w:t>15.9</w:t>
            </w:r>
          </w:p>
        </w:tc>
        <w:tc>
          <w:tcPr>
            <w:tcW w:w="1687" w:type="dxa"/>
          </w:tcPr>
          <w:p w:rsidR="002D505D" w:rsidRPr="002D505D" w:rsidRDefault="002D505D" w:rsidP="0079724E">
            <w:pPr>
              <w:spacing w:after="0"/>
              <w:jc w:val="right"/>
              <w:rPr>
                <w:sz w:val="24"/>
              </w:rPr>
            </w:pPr>
            <w:r w:rsidRPr="002D505D">
              <w:rPr>
                <w:sz w:val="24"/>
              </w:rPr>
              <w:t>78.1</w:t>
            </w:r>
          </w:p>
        </w:tc>
        <w:tc>
          <w:tcPr>
            <w:tcW w:w="2118" w:type="dxa"/>
          </w:tcPr>
          <w:p w:rsidR="002D505D" w:rsidRPr="002D505D" w:rsidRDefault="002D505D" w:rsidP="0079724E">
            <w:pPr>
              <w:spacing w:after="0"/>
              <w:jc w:val="right"/>
              <w:rPr>
                <w:sz w:val="24"/>
              </w:rPr>
            </w:pPr>
            <w:r w:rsidRPr="002D505D">
              <w:rPr>
                <w:sz w:val="24"/>
              </w:rPr>
              <w:t>15.8</w:t>
            </w:r>
          </w:p>
        </w:tc>
      </w:tr>
      <w:tr w:rsidR="002D505D" w:rsidRPr="002D505D" w:rsidTr="005F1589">
        <w:tc>
          <w:tcPr>
            <w:tcW w:w="1912" w:type="dxa"/>
          </w:tcPr>
          <w:p w:rsidR="002D505D" w:rsidRPr="002D505D" w:rsidRDefault="002D505D" w:rsidP="00717854">
            <w:pPr>
              <w:spacing w:after="0"/>
              <w:rPr>
                <w:sz w:val="24"/>
              </w:rPr>
            </w:pPr>
            <w:r w:rsidRPr="002D505D">
              <w:rPr>
                <w:sz w:val="24"/>
              </w:rPr>
              <w:t>Slovenia</w:t>
            </w:r>
          </w:p>
        </w:tc>
        <w:tc>
          <w:tcPr>
            <w:tcW w:w="1676" w:type="dxa"/>
          </w:tcPr>
          <w:p w:rsidR="002D505D" w:rsidRPr="002D505D" w:rsidRDefault="002D505D" w:rsidP="0079724E">
            <w:pPr>
              <w:spacing w:after="0"/>
              <w:jc w:val="right"/>
              <w:rPr>
                <w:sz w:val="24"/>
              </w:rPr>
            </w:pPr>
            <w:r w:rsidRPr="002D505D">
              <w:rPr>
                <w:sz w:val="24"/>
              </w:rPr>
              <w:t>23.5</w:t>
            </w:r>
          </w:p>
        </w:tc>
        <w:tc>
          <w:tcPr>
            <w:tcW w:w="1674" w:type="dxa"/>
          </w:tcPr>
          <w:p w:rsidR="002D505D" w:rsidRPr="002D505D" w:rsidRDefault="002D505D" w:rsidP="0079724E">
            <w:pPr>
              <w:spacing w:after="0"/>
              <w:jc w:val="right"/>
              <w:rPr>
                <w:sz w:val="24"/>
              </w:rPr>
            </w:pPr>
            <w:r w:rsidRPr="002D505D">
              <w:rPr>
                <w:sz w:val="24"/>
              </w:rPr>
              <w:t>5.6</w:t>
            </w:r>
          </w:p>
        </w:tc>
        <w:tc>
          <w:tcPr>
            <w:tcW w:w="1687" w:type="dxa"/>
          </w:tcPr>
          <w:p w:rsidR="002D505D" w:rsidRPr="002D505D" w:rsidRDefault="002D505D" w:rsidP="0079724E">
            <w:pPr>
              <w:spacing w:after="0"/>
              <w:jc w:val="right"/>
              <w:rPr>
                <w:sz w:val="24"/>
              </w:rPr>
            </w:pPr>
            <w:r w:rsidRPr="002D505D">
              <w:rPr>
                <w:sz w:val="24"/>
              </w:rPr>
              <w:t>16.4</w:t>
            </w:r>
          </w:p>
        </w:tc>
        <w:tc>
          <w:tcPr>
            <w:tcW w:w="2118" w:type="dxa"/>
          </w:tcPr>
          <w:p w:rsidR="002D505D" w:rsidRPr="002D505D" w:rsidRDefault="002D505D" w:rsidP="0079724E">
            <w:pPr>
              <w:spacing w:after="0"/>
              <w:jc w:val="right"/>
              <w:rPr>
                <w:sz w:val="24"/>
              </w:rPr>
            </w:pPr>
            <w:r w:rsidRPr="002D505D">
              <w:rPr>
                <w:sz w:val="24"/>
              </w:rPr>
              <w:t>5.5</w:t>
            </w:r>
          </w:p>
        </w:tc>
      </w:tr>
      <w:tr w:rsidR="002D505D" w:rsidRPr="002D505D" w:rsidTr="005F1589">
        <w:tc>
          <w:tcPr>
            <w:tcW w:w="1912" w:type="dxa"/>
          </w:tcPr>
          <w:p w:rsidR="002D505D" w:rsidRPr="002D505D" w:rsidRDefault="002D505D" w:rsidP="00717854">
            <w:pPr>
              <w:spacing w:after="0"/>
              <w:rPr>
                <w:sz w:val="24"/>
              </w:rPr>
            </w:pPr>
            <w:r w:rsidRPr="002D505D">
              <w:rPr>
                <w:sz w:val="24"/>
              </w:rPr>
              <w:t>Slovakia</w:t>
            </w:r>
          </w:p>
        </w:tc>
        <w:tc>
          <w:tcPr>
            <w:tcW w:w="1676" w:type="dxa"/>
          </w:tcPr>
          <w:p w:rsidR="002D505D" w:rsidRPr="002D505D" w:rsidRDefault="002D505D" w:rsidP="0079724E">
            <w:pPr>
              <w:spacing w:after="0"/>
              <w:jc w:val="right"/>
              <w:rPr>
                <w:sz w:val="24"/>
              </w:rPr>
            </w:pPr>
            <w:r w:rsidRPr="002D505D">
              <w:rPr>
                <w:sz w:val="24"/>
              </w:rPr>
              <w:t>37.4</w:t>
            </w:r>
          </w:p>
        </w:tc>
        <w:tc>
          <w:tcPr>
            <w:tcW w:w="1674" w:type="dxa"/>
          </w:tcPr>
          <w:p w:rsidR="002D505D" w:rsidRPr="002D505D" w:rsidRDefault="002D505D" w:rsidP="0079724E">
            <w:pPr>
              <w:spacing w:after="0"/>
              <w:jc w:val="right"/>
              <w:rPr>
                <w:sz w:val="24"/>
              </w:rPr>
            </w:pPr>
            <w:r w:rsidRPr="002D505D">
              <w:rPr>
                <w:sz w:val="24"/>
              </w:rPr>
              <w:t>12.7</w:t>
            </w:r>
          </w:p>
        </w:tc>
        <w:tc>
          <w:tcPr>
            <w:tcW w:w="1687" w:type="dxa"/>
          </w:tcPr>
          <w:p w:rsidR="002D505D" w:rsidRPr="002D505D" w:rsidRDefault="002D505D" w:rsidP="0079724E">
            <w:pPr>
              <w:spacing w:after="0"/>
              <w:jc w:val="right"/>
              <w:rPr>
                <w:sz w:val="24"/>
              </w:rPr>
            </w:pPr>
            <w:r w:rsidRPr="002D505D">
              <w:rPr>
                <w:sz w:val="24"/>
              </w:rPr>
              <w:t>44.3</w:t>
            </w:r>
          </w:p>
        </w:tc>
        <w:tc>
          <w:tcPr>
            <w:tcW w:w="2118" w:type="dxa"/>
          </w:tcPr>
          <w:p w:rsidR="002D505D" w:rsidRPr="002D505D" w:rsidRDefault="002D505D" w:rsidP="0079724E">
            <w:pPr>
              <w:spacing w:after="0"/>
              <w:jc w:val="right"/>
              <w:rPr>
                <w:sz w:val="24"/>
              </w:rPr>
            </w:pPr>
            <w:r w:rsidRPr="002D505D">
              <w:rPr>
                <w:sz w:val="24"/>
              </w:rPr>
              <w:t>12.5</w:t>
            </w:r>
          </w:p>
        </w:tc>
      </w:tr>
      <w:tr w:rsidR="002D505D" w:rsidRPr="002D505D" w:rsidTr="005F1589">
        <w:tc>
          <w:tcPr>
            <w:tcW w:w="1912" w:type="dxa"/>
          </w:tcPr>
          <w:p w:rsidR="002D505D" w:rsidRPr="002D505D" w:rsidRDefault="002D505D" w:rsidP="00717854">
            <w:pPr>
              <w:spacing w:after="0"/>
              <w:rPr>
                <w:sz w:val="24"/>
              </w:rPr>
            </w:pPr>
            <w:r w:rsidRPr="002D505D">
              <w:rPr>
                <w:sz w:val="24"/>
              </w:rPr>
              <w:t>Finland</w:t>
            </w:r>
          </w:p>
        </w:tc>
        <w:tc>
          <w:tcPr>
            <w:tcW w:w="1676" w:type="dxa"/>
          </w:tcPr>
          <w:p w:rsidR="002D505D" w:rsidRPr="002D505D" w:rsidRDefault="002D505D" w:rsidP="0079724E">
            <w:pPr>
              <w:spacing w:after="0"/>
              <w:jc w:val="right"/>
              <w:rPr>
                <w:sz w:val="24"/>
              </w:rPr>
            </w:pPr>
            <w:r w:rsidRPr="002D505D">
              <w:rPr>
                <w:sz w:val="24"/>
              </w:rPr>
              <w:t>18.1</w:t>
            </w:r>
          </w:p>
        </w:tc>
        <w:tc>
          <w:tcPr>
            <w:tcW w:w="1674" w:type="dxa"/>
          </w:tcPr>
          <w:p w:rsidR="002D505D" w:rsidRPr="002D505D" w:rsidRDefault="002D505D" w:rsidP="0079724E">
            <w:pPr>
              <w:spacing w:after="0"/>
              <w:jc w:val="right"/>
              <w:rPr>
                <w:sz w:val="24"/>
              </w:rPr>
            </w:pPr>
            <w:r w:rsidRPr="002D505D">
              <w:rPr>
                <w:sz w:val="24"/>
              </w:rPr>
              <w:t>6.4</w:t>
            </w:r>
          </w:p>
        </w:tc>
        <w:tc>
          <w:tcPr>
            <w:tcW w:w="1687" w:type="dxa"/>
          </w:tcPr>
          <w:p w:rsidR="002D505D" w:rsidRPr="002D505D" w:rsidRDefault="002D505D" w:rsidP="0079724E">
            <w:pPr>
              <w:spacing w:after="0"/>
              <w:jc w:val="right"/>
              <w:rPr>
                <w:sz w:val="24"/>
              </w:rPr>
            </w:pPr>
            <w:r w:rsidRPr="002D505D">
              <w:rPr>
                <w:sz w:val="24"/>
              </w:rPr>
              <w:t>19.7</w:t>
            </w:r>
          </w:p>
        </w:tc>
        <w:tc>
          <w:tcPr>
            <w:tcW w:w="2118" w:type="dxa"/>
          </w:tcPr>
          <w:p w:rsidR="002D505D" w:rsidRPr="002D505D" w:rsidRDefault="002D505D" w:rsidP="0079724E">
            <w:pPr>
              <w:spacing w:after="0"/>
              <w:jc w:val="right"/>
              <w:rPr>
                <w:sz w:val="24"/>
              </w:rPr>
            </w:pPr>
            <w:r w:rsidRPr="002D505D">
              <w:rPr>
                <w:sz w:val="24"/>
              </w:rPr>
              <w:t>6.4</w:t>
            </w:r>
          </w:p>
        </w:tc>
      </w:tr>
      <w:tr w:rsidR="002D505D" w:rsidRPr="002D505D" w:rsidTr="005F1589">
        <w:tc>
          <w:tcPr>
            <w:tcW w:w="1912" w:type="dxa"/>
          </w:tcPr>
          <w:p w:rsidR="002D505D" w:rsidRPr="002D505D" w:rsidRDefault="002D505D" w:rsidP="00717854">
            <w:pPr>
              <w:spacing w:after="0"/>
              <w:rPr>
                <w:sz w:val="24"/>
              </w:rPr>
            </w:pPr>
            <w:r w:rsidRPr="002D505D">
              <w:rPr>
                <w:sz w:val="24"/>
              </w:rPr>
              <w:t>Sweden</w:t>
            </w:r>
          </w:p>
        </w:tc>
        <w:tc>
          <w:tcPr>
            <w:tcW w:w="1676" w:type="dxa"/>
          </w:tcPr>
          <w:p w:rsidR="002D505D" w:rsidRPr="002D505D" w:rsidRDefault="002D505D" w:rsidP="0079724E">
            <w:pPr>
              <w:spacing w:after="0"/>
              <w:jc w:val="right"/>
              <w:rPr>
                <w:sz w:val="24"/>
              </w:rPr>
            </w:pPr>
            <w:r w:rsidRPr="002D505D">
              <w:rPr>
                <w:sz w:val="24"/>
              </w:rPr>
              <w:t>10.6</w:t>
            </w:r>
          </w:p>
        </w:tc>
        <w:tc>
          <w:tcPr>
            <w:tcW w:w="1674" w:type="dxa"/>
          </w:tcPr>
          <w:p w:rsidR="002D505D" w:rsidRPr="002D505D" w:rsidRDefault="002D505D" w:rsidP="0079724E">
            <w:pPr>
              <w:spacing w:after="0"/>
              <w:jc w:val="right"/>
              <w:rPr>
                <w:sz w:val="24"/>
              </w:rPr>
            </w:pPr>
            <w:r w:rsidRPr="002D505D">
              <w:rPr>
                <w:sz w:val="24"/>
              </w:rPr>
              <w:t>6.4</w:t>
            </w:r>
          </w:p>
        </w:tc>
        <w:tc>
          <w:tcPr>
            <w:tcW w:w="1687" w:type="dxa"/>
          </w:tcPr>
          <w:p w:rsidR="002D505D" w:rsidRPr="002D505D" w:rsidRDefault="002D505D" w:rsidP="0079724E">
            <w:pPr>
              <w:spacing w:after="0"/>
              <w:jc w:val="right"/>
              <w:rPr>
                <w:sz w:val="24"/>
              </w:rPr>
            </w:pPr>
            <w:r w:rsidRPr="002D505D">
              <w:rPr>
                <w:sz w:val="24"/>
              </w:rPr>
              <w:t>10.4</w:t>
            </w:r>
          </w:p>
        </w:tc>
        <w:tc>
          <w:tcPr>
            <w:tcW w:w="2118" w:type="dxa"/>
          </w:tcPr>
          <w:p w:rsidR="002D505D" w:rsidRPr="002D505D" w:rsidRDefault="002D505D" w:rsidP="0079724E">
            <w:pPr>
              <w:spacing w:after="0"/>
              <w:jc w:val="right"/>
              <w:rPr>
                <w:sz w:val="24"/>
              </w:rPr>
            </w:pPr>
            <w:r w:rsidRPr="002D505D">
              <w:rPr>
                <w:sz w:val="24"/>
              </w:rPr>
              <w:t>6.5</w:t>
            </w:r>
          </w:p>
        </w:tc>
      </w:tr>
      <w:tr w:rsidR="002D505D" w:rsidRPr="002D505D" w:rsidTr="005F1589">
        <w:tc>
          <w:tcPr>
            <w:tcW w:w="1912" w:type="dxa"/>
          </w:tcPr>
          <w:p w:rsidR="002D505D" w:rsidRPr="002D505D" w:rsidRDefault="002D505D" w:rsidP="00717854">
            <w:pPr>
              <w:spacing w:after="0"/>
              <w:rPr>
                <w:sz w:val="24"/>
              </w:rPr>
            </w:pPr>
            <w:r w:rsidRPr="002D505D">
              <w:rPr>
                <w:sz w:val="24"/>
              </w:rPr>
              <w:t>United Kingdom</w:t>
            </w:r>
          </w:p>
        </w:tc>
        <w:tc>
          <w:tcPr>
            <w:tcW w:w="1676" w:type="dxa"/>
          </w:tcPr>
          <w:p w:rsidR="002D505D" w:rsidRPr="002D505D" w:rsidRDefault="002D505D" w:rsidP="0079724E">
            <w:pPr>
              <w:spacing w:after="0"/>
              <w:jc w:val="right"/>
              <w:rPr>
                <w:sz w:val="24"/>
              </w:rPr>
            </w:pPr>
            <w:r w:rsidRPr="002D505D">
              <w:rPr>
                <w:sz w:val="24"/>
              </w:rPr>
              <w:t>28.6</w:t>
            </w:r>
          </w:p>
        </w:tc>
        <w:tc>
          <w:tcPr>
            <w:tcW w:w="1674" w:type="dxa"/>
          </w:tcPr>
          <w:p w:rsidR="002D505D" w:rsidRPr="002D505D" w:rsidRDefault="002D505D" w:rsidP="0079724E">
            <w:pPr>
              <w:spacing w:after="0"/>
              <w:jc w:val="right"/>
              <w:rPr>
                <w:sz w:val="24"/>
              </w:rPr>
            </w:pPr>
            <w:r w:rsidRPr="002D505D">
              <w:rPr>
                <w:sz w:val="24"/>
              </w:rPr>
              <w:t>15.9</w:t>
            </w:r>
          </w:p>
        </w:tc>
        <w:tc>
          <w:tcPr>
            <w:tcW w:w="1687" w:type="dxa"/>
          </w:tcPr>
          <w:p w:rsidR="002D505D" w:rsidRPr="002D505D" w:rsidRDefault="002D505D" w:rsidP="0079724E">
            <w:pPr>
              <w:spacing w:after="0"/>
              <w:jc w:val="right"/>
              <w:rPr>
                <w:sz w:val="24"/>
              </w:rPr>
            </w:pPr>
            <w:r w:rsidRPr="002D505D">
              <w:rPr>
                <w:sz w:val="24"/>
              </w:rPr>
              <w:t>39.5</w:t>
            </w:r>
          </w:p>
        </w:tc>
        <w:tc>
          <w:tcPr>
            <w:tcW w:w="2118" w:type="dxa"/>
          </w:tcPr>
          <w:p w:rsidR="002D505D" w:rsidRPr="002D505D" w:rsidRDefault="002D505D" w:rsidP="0079724E">
            <w:pPr>
              <w:spacing w:after="0"/>
              <w:jc w:val="right"/>
              <w:rPr>
                <w:sz w:val="24"/>
              </w:rPr>
            </w:pPr>
            <w:r w:rsidRPr="002D505D">
              <w:rPr>
                <w:sz w:val="24"/>
              </w:rPr>
              <w:t>15.2</w:t>
            </w:r>
          </w:p>
        </w:tc>
      </w:tr>
      <w:tr w:rsidR="002D505D" w:rsidRPr="002D505D" w:rsidTr="005F1589">
        <w:tc>
          <w:tcPr>
            <w:tcW w:w="1912" w:type="dxa"/>
          </w:tcPr>
          <w:p w:rsidR="002D505D" w:rsidRPr="002D505D" w:rsidRDefault="002D505D" w:rsidP="00717854">
            <w:pPr>
              <w:spacing w:after="0"/>
              <w:rPr>
                <w:sz w:val="24"/>
              </w:rPr>
            </w:pPr>
            <w:r w:rsidRPr="002D505D">
              <w:rPr>
                <w:sz w:val="24"/>
              </w:rPr>
              <w:t>Iceland</w:t>
            </w:r>
          </w:p>
        </w:tc>
        <w:tc>
          <w:tcPr>
            <w:tcW w:w="1676" w:type="dxa"/>
          </w:tcPr>
          <w:p w:rsidR="002D505D" w:rsidRPr="002D505D" w:rsidRDefault="002D505D" w:rsidP="0079724E">
            <w:pPr>
              <w:spacing w:after="0"/>
              <w:jc w:val="right"/>
              <w:rPr>
                <w:sz w:val="24"/>
              </w:rPr>
            </w:pPr>
            <w:r w:rsidRPr="002D505D">
              <w:rPr>
                <w:sz w:val="24"/>
              </w:rPr>
              <w:t>:</w:t>
            </w:r>
          </w:p>
        </w:tc>
        <w:tc>
          <w:tcPr>
            <w:tcW w:w="1674" w:type="dxa"/>
          </w:tcPr>
          <w:p w:rsidR="002D505D" w:rsidRPr="002D505D" w:rsidRDefault="002D505D" w:rsidP="0079724E">
            <w:pPr>
              <w:spacing w:after="0"/>
              <w:jc w:val="right"/>
              <w:rPr>
                <w:sz w:val="24"/>
              </w:rPr>
            </w:pPr>
            <w:r w:rsidRPr="002D505D">
              <w:rPr>
                <w:sz w:val="24"/>
              </w:rPr>
              <w:t>7.3</w:t>
            </w:r>
          </w:p>
        </w:tc>
        <w:tc>
          <w:tcPr>
            <w:tcW w:w="1687" w:type="dxa"/>
          </w:tcPr>
          <w:p w:rsidR="002D505D" w:rsidRPr="002D505D" w:rsidRDefault="002D505D" w:rsidP="0079724E">
            <w:pPr>
              <w:spacing w:after="0"/>
              <w:jc w:val="right"/>
              <w:rPr>
                <w:sz w:val="24"/>
              </w:rPr>
            </w:pPr>
            <w:r w:rsidRPr="002D505D">
              <w:rPr>
                <w:sz w:val="24"/>
              </w:rPr>
              <w:t>12.3</w:t>
            </w:r>
          </w:p>
        </w:tc>
        <w:tc>
          <w:tcPr>
            <w:tcW w:w="2118" w:type="dxa"/>
          </w:tcPr>
          <w:p w:rsidR="002D505D" w:rsidRPr="002D505D" w:rsidRDefault="002D505D" w:rsidP="0079724E">
            <w:pPr>
              <w:spacing w:after="0"/>
              <w:jc w:val="right"/>
              <w:rPr>
                <w:sz w:val="24"/>
              </w:rPr>
            </w:pPr>
            <w:r w:rsidRPr="002D505D">
              <w:rPr>
                <w:sz w:val="24"/>
              </w:rPr>
              <w:t>6.8</w:t>
            </w:r>
          </w:p>
        </w:tc>
      </w:tr>
      <w:tr w:rsidR="002D505D" w:rsidRPr="002D505D" w:rsidTr="005F1589">
        <w:tc>
          <w:tcPr>
            <w:tcW w:w="1912" w:type="dxa"/>
          </w:tcPr>
          <w:p w:rsidR="002D505D" w:rsidRPr="002D505D" w:rsidRDefault="002D505D" w:rsidP="00717854">
            <w:pPr>
              <w:spacing w:after="0"/>
              <w:rPr>
                <w:sz w:val="24"/>
              </w:rPr>
            </w:pPr>
            <w:r w:rsidRPr="002D505D">
              <w:rPr>
                <w:sz w:val="24"/>
              </w:rPr>
              <w:t>Switzerland</w:t>
            </w:r>
          </w:p>
        </w:tc>
        <w:tc>
          <w:tcPr>
            <w:tcW w:w="1676" w:type="dxa"/>
          </w:tcPr>
          <w:p w:rsidR="002D505D" w:rsidRPr="002D505D" w:rsidRDefault="002D505D" w:rsidP="0079724E">
            <w:pPr>
              <w:spacing w:after="0"/>
              <w:jc w:val="right"/>
              <w:rPr>
                <w:sz w:val="24"/>
              </w:rPr>
            </w:pPr>
            <w:r w:rsidRPr="002D505D">
              <w:rPr>
                <w:sz w:val="24"/>
              </w:rPr>
              <w:t>7.7</w:t>
            </w:r>
          </w:p>
        </w:tc>
        <w:tc>
          <w:tcPr>
            <w:tcW w:w="1674" w:type="dxa"/>
          </w:tcPr>
          <w:p w:rsidR="002D505D" w:rsidRPr="002D505D" w:rsidRDefault="002D505D" w:rsidP="0079724E">
            <w:pPr>
              <w:spacing w:after="0"/>
              <w:jc w:val="right"/>
              <w:rPr>
                <w:sz w:val="24"/>
              </w:rPr>
            </w:pPr>
            <w:r w:rsidRPr="002D505D">
              <w:rPr>
                <w:sz w:val="24"/>
              </w:rPr>
              <w:t>6.8</w:t>
            </w:r>
          </w:p>
        </w:tc>
        <w:tc>
          <w:tcPr>
            <w:tcW w:w="1687" w:type="dxa"/>
          </w:tcPr>
          <w:p w:rsidR="002D505D" w:rsidRPr="002D505D" w:rsidRDefault="002D505D" w:rsidP="0079724E">
            <w:pPr>
              <w:spacing w:after="0"/>
              <w:jc w:val="right"/>
              <w:rPr>
                <w:sz w:val="24"/>
              </w:rPr>
            </w:pPr>
            <w:r w:rsidRPr="002D505D">
              <w:rPr>
                <w:sz w:val="24"/>
              </w:rPr>
              <w:t>8.7</w:t>
            </w:r>
          </w:p>
        </w:tc>
        <w:tc>
          <w:tcPr>
            <w:tcW w:w="2118" w:type="dxa"/>
          </w:tcPr>
          <w:p w:rsidR="002D505D" w:rsidRPr="002D505D" w:rsidRDefault="002D505D" w:rsidP="0079724E">
            <w:pPr>
              <w:spacing w:after="0"/>
              <w:jc w:val="right"/>
              <w:rPr>
                <w:sz w:val="24"/>
              </w:rPr>
            </w:pPr>
            <w:r w:rsidRPr="002D505D">
              <w:rPr>
                <w:sz w:val="24"/>
              </w:rPr>
              <w:t>6.8</w:t>
            </w:r>
          </w:p>
        </w:tc>
      </w:tr>
      <w:tr w:rsidR="002D505D" w:rsidRPr="002D505D" w:rsidTr="005F1589">
        <w:tc>
          <w:tcPr>
            <w:tcW w:w="1912" w:type="dxa"/>
          </w:tcPr>
          <w:p w:rsidR="002D505D" w:rsidRPr="002D505D" w:rsidRDefault="002D505D" w:rsidP="00717854">
            <w:pPr>
              <w:spacing w:after="0"/>
              <w:rPr>
                <w:sz w:val="24"/>
              </w:rPr>
            </w:pPr>
            <w:r w:rsidRPr="002D505D">
              <w:rPr>
                <w:sz w:val="24"/>
              </w:rPr>
              <w:t>Turkey</w:t>
            </w:r>
          </w:p>
        </w:tc>
        <w:tc>
          <w:tcPr>
            <w:tcW w:w="1676" w:type="dxa"/>
          </w:tcPr>
          <w:p w:rsidR="002D505D" w:rsidRPr="002D505D" w:rsidRDefault="002D505D" w:rsidP="0079724E">
            <w:pPr>
              <w:spacing w:after="0"/>
              <w:jc w:val="right"/>
              <w:rPr>
                <w:sz w:val="24"/>
              </w:rPr>
            </w:pPr>
            <w:r w:rsidRPr="002D505D">
              <w:rPr>
                <w:sz w:val="24"/>
              </w:rPr>
              <w:t>41.5</w:t>
            </w:r>
          </w:p>
        </w:tc>
        <w:tc>
          <w:tcPr>
            <w:tcW w:w="1674" w:type="dxa"/>
          </w:tcPr>
          <w:p w:rsidR="002D505D" w:rsidRPr="002D505D" w:rsidRDefault="002D505D" w:rsidP="0079724E">
            <w:pPr>
              <w:spacing w:after="0"/>
              <w:jc w:val="right"/>
              <w:rPr>
                <w:sz w:val="24"/>
              </w:rPr>
            </w:pPr>
            <w:r w:rsidRPr="002D505D">
              <w:rPr>
                <w:sz w:val="24"/>
              </w:rPr>
              <w:t>26.7</w:t>
            </w:r>
          </w:p>
        </w:tc>
        <w:tc>
          <w:tcPr>
            <w:tcW w:w="1687" w:type="dxa"/>
          </w:tcPr>
          <w:p w:rsidR="002D505D" w:rsidRPr="002D505D" w:rsidRDefault="002D505D" w:rsidP="0079724E">
            <w:pPr>
              <w:spacing w:after="0"/>
              <w:jc w:val="right"/>
              <w:rPr>
                <w:sz w:val="24"/>
              </w:rPr>
            </w:pPr>
            <w:r w:rsidRPr="002D505D">
              <w:rPr>
                <w:sz w:val="24"/>
              </w:rPr>
              <w:t>44.9</w:t>
            </w:r>
          </w:p>
        </w:tc>
        <w:tc>
          <w:tcPr>
            <w:tcW w:w="2118" w:type="dxa"/>
          </w:tcPr>
          <w:p w:rsidR="002D505D" w:rsidRPr="002D505D" w:rsidRDefault="002D505D" w:rsidP="0079724E">
            <w:pPr>
              <w:spacing w:after="0"/>
              <w:jc w:val="right"/>
              <w:rPr>
                <w:sz w:val="24"/>
              </w:rPr>
            </w:pPr>
            <w:r w:rsidRPr="002D505D">
              <w:rPr>
                <w:sz w:val="24"/>
              </w:rPr>
              <w:t>26.6</w:t>
            </w:r>
          </w:p>
        </w:tc>
      </w:tr>
    </w:tbl>
    <w:p w:rsidR="00317379" w:rsidRPr="00446C2A" w:rsidRDefault="002D505D" w:rsidP="002D505D">
      <w:pPr>
        <w:pStyle w:val="TableNote"/>
      </w:pPr>
      <w:r>
        <w:t xml:space="preserve">Source: </w:t>
      </w:r>
      <w:r w:rsidRPr="002D505D">
        <w:t>http://appsso.eurostat.ec.europa.eu/nui/show.do?dataset=hlth_de030&amp;lang=en</w:t>
      </w:r>
    </w:p>
    <w:p w:rsidR="00504A71" w:rsidRDefault="00504A71" w:rsidP="00A02E09">
      <w:pPr>
        <w:pStyle w:val="Heading1"/>
      </w:pPr>
      <w:r>
        <w:t>Conclusion</w:t>
      </w:r>
    </w:p>
    <w:p w:rsidR="003C3DC5" w:rsidRDefault="00504A71" w:rsidP="003C3DC5">
      <w:r>
        <w:t xml:space="preserve">There are </w:t>
      </w:r>
      <w:r w:rsidR="00484362">
        <w:t xml:space="preserve">no </w:t>
      </w:r>
      <w:r>
        <w:t>advantages to being</w:t>
      </w:r>
      <w:r w:rsidR="008104F5">
        <w:t xml:space="preserve"> NEET</w:t>
      </w:r>
      <w:r>
        <w:t xml:space="preserve">. It leads to </w:t>
      </w:r>
      <w:r w:rsidR="007A111B">
        <w:t xml:space="preserve">lower </w:t>
      </w:r>
      <w:r>
        <w:t>wage</w:t>
      </w:r>
      <w:r w:rsidR="007A111B">
        <w:t>s</w:t>
      </w:r>
      <w:r>
        <w:t xml:space="preserve"> </w:t>
      </w:r>
      <w:r w:rsidR="007A111B">
        <w:t xml:space="preserve">(often called wage </w:t>
      </w:r>
      <w:r>
        <w:t>scarring</w:t>
      </w:r>
      <w:r w:rsidR="007A111B">
        <w:t>)</w:t>
      </w:r>
      <w:r>
        <w:t>, reduced employability, increased risk behaviour and overall poorer well-being.</w:t>
      </w:r>
      <w:r w:rsidR="008104F5">
        <w:t xml:space="preserve"> NEET</w:t>
      </w:r>
      <w:r w:rsidR="003C3DC5">
        <w:t xml:space="preserve"> is a particular risk factor for people with a disability</w:t>
      </w:r>
      <w:r w:rsidR="00484362">
        <w:t xml:space="preserve"> and</w:t>
      </w:r>
      <w:r w:rsidR="003C3DC5">
        <w:t xml:space="preserve"> </w:t>
      </w:r>
      <w:r w:rsidR="00484362">
        <w:t>o</w:t>
      </w:r>
      <w:r w:rsidR="003C3DC5">
        <w:t xml:space="preserve">ne in </w:t>
      </w:r>
      <w:r w:rsidR="00446C2A">
        <w:t>f</w:t>
      </w:r>
      <w:r w:rsidR="003C3DC5">
        <w:t>ive</w:t>
      </w:r>
      <w:r w:rsidR="008104F5">
        <w:t xml:space="preserve"> </w:t>
      </w:r>
      <w:r w:rsidR="003B57E4">
        <w:t xml:space="preserve">people who are </w:t>
      </w:r>
      <w:r w:rsidR="008104F5">
        <w:t>NEET</w:t>
      </w:r>
      <w:r w:rsidR="003C3DC5">
        <w:t xml:space="preserve"> have a disability. Not only is this high but it seems to be high by OECD </w:t>
      </w:r>
      <w:r w:rsidR="00176017">
        <w:t xml:space="preserve">and European </w:t>
      </w:r>
      <w:r w:rsidR="003C3DC5">
        <w:t xml:space="preserve">standards. Ireland’s rate of youth disability benefit recipients </w:t>
      </w:r>
      <w:r w:rsidR="0010553B">
        <w:t>at approximately 5% is</w:t>
      </w:r>
      <w:r w:rsidR="003C3DC5">
        <w:t xml:space="preserve"> well above the OECD average of 2% and was the highest of the OECD countries. The rates of young people in</w:t>
      </w:r>
      <w:r w:rsidR="008104F5">
        <w:t xml:space="preserve"> NEET</w:t>
      </w:r>
      <w:r w:rsidR="003C3DC5">
        <w:t xml:space="preserve"> have fallen for both people with and without a disability</w:t>
      </w:r>
      <w:r w:rsidR="0010553B">
        <w:t>. However,</w:t>
      </w:r>
      <w:r w:rsidR="003C3DC5">
        <w:t xml:space="preserve"> they are still higher for people with a disability</w:t>
      </w:r>
      <w:r w:rsidR="00484362">
        <w:t xml:space="preserve"> and are falling at a slower pace compared to people without a disability</w:t>
      </w:r>
      <w:r w:rsidR="003C3DC5">
        <w:t>. If</w:t>
      </w:r>
      <w:r w:rsidR="008104F5">
        <w:t xml:space="preserve"> NEET</w:t>
      </w:r>
      <w:r w:rsidR="003C3DC5">
        <w:t xml:space="preserve"> rates are to fall further then the lack of employment opportunities for people with a disability </w:t>
      </w:r>
      <w:r w:rsidR="00484362">
        <w:t>must be addressed</w:t>
      </w:r>
      <w:r w:rsidR="003C3DC5">
        <w:t>.</w:t>
      </w:r>
    </w:p>
    <w:p w:rsidR="00484362" w:rsidRDefault="00717854" w:rsidP="003C3DC5">
      <w:r>
        <w:lastRenderedPageBreak/>
        <w:t xml:space="preserve">The </w:t>
      </w:r>
      <w:r w:rsidR="009A4DC1">
        <w:t>responses</w:t>
      </w:r>
      <w:r>
        <w:t xml:space="preserve"> needed to reduce the numbers in NEET status are </w:t>
      </w:r>
      <w:r w:rsidR="009A4DC1">
        <w:t xml:space="preserve">multifaceted. </w:t>
      </w:r>
      <w:r w:rsidR="00484362">
        <w:t>The age breakdown of people with a disability who are NEET</w:t>
      </w:r>
      <w:r w:rsidR="009A4DC1">
        <w:t xml:space="preserve"> showed a turning point at the age of 18 – this </w:t>
      </w:r>
      <w:r w:rsidR="00484362">
        <w:t xml:space="preserve">emphasises the </w:t>
      </w:r>
      <w:r w:rsidR="00484362" w:rsidRPr="00484362">
        <w:t xml:space="preserve">importance of early intervention to support school leavers with disabilities to continue with education or training, and to maximise their potential, and to provide bridging into suitable employment opportunities, as envisaged under the Comprehensive Employment Strategy for People with Disabilities. </w:t>
      </w:r>
    </w:p>
    <w:p w:rsidR="00484362" w:rsidRPr="00484362" w:rsidRDefault="00484362" w:rsidP="00484362">
      <w:r w:rsidRPr="00484362">
        <w:t>Elements of the Comprehensive Employment Strategy, including the plans developed by the Department of Employment and Social Affairs around positive engagement with school leavers, could have a potential to lower the proportion of young people with disabilities who see themselves as incapable of work, and to increase the proportion who have a job.</w:t>
      </w:r>
    </w:p>
    <w:p w:rsidR="0039733D" w:rsidRDefault="00484362" w:rsidP="009A4DC1">
      <w:r>
        <w:t xml:space="preserve">Mawn et al (2017), in a systematic review, highlighted that </w:t>
      </w:r>
      <w:r w:rsidRPr="003C3DC5">
        <w:t xml:space="preserve">multi-component </w:t>
      </w:r>
      <w:r w:rsidRPr="002F4F95">
        <w:t xml:space="preserve">(e.g. education, training and work placements, advice, support, and incentives) </w:t>
      </w:r>
      <w:r w:rsidRPr="003C3DC5">
        <w:t>interventions effectively decrease unemployment amongst</w:t>
      </w:r>
      <w:r>
        <w:t xml:space="preserve"> </w:t>
      </w:r>
      <w:r w:rsidR="003B57E4">
        <w:t xml:space="preserve">those who are </w:t>
      </w:r>
      <w:r>
        <w:t>NEET</w:t>
      </w:r>
      <w:r w:rsidRPr="003C3DC5">
        <w:t>.</w:t>
      </w:r>
      <w:r>
        <w:t xml:space="preserve"> Therefore </w:t>
      </w:r>
      <w:r w:rsidR="00B15BF6">
        <w:t>standalone</w:t>
      </w:r>
      <w:r>
        <w:t xml:space="preserve"> apprenticeships are not enough and vulnerable young people need a range of interventions and supports. </w:t>
      </w:r>
      <w:r w:rsidR="0039733D">
        <w:t xml:space="preserve">A review of the Disability Allowance highlighted the importance of ensuring early intervention on the part of activation services if the risk of longer-term welfare dependency is to be addressed effectively (Judge et al, </w:t>
      </w:r>
      <w:r w:rsidR="0039733D" w:rsidRPr="0039733D">
        <w:t>2017)</w:t>
      </w:r>
      <w:r w:rsidR="0039733D">
        <w:t xml:space="preserve">. The review also highlighted the need to shift to focussing on actual capacity to engage in work, training or education. Also a need to ensure that appropriate supports are directed to all those who need them and to identify a level of capacity to engage in education, training or employment. The report highlighted that such interventions are likely to be multi-agency interventions if they are to be effective. </w:t>
      </w:r>
    </w:p>
    <w:p w:rsidR="00504A71" w:rsidRDefault="003C3DC5" w:rsidP="003C3DC5">
      <w:r>
        <w:t>Apprenticeships are one element of giving people with a disability</w:t>
      </w:r>
      <w:r w:rsidR="00446C2A">
        <w:t xml:space="preserve"> an opportunity for </w:t>
      </w:r>
      <w:r>
        <w:t xml:space="preserve">employment. </w:t>
      </w:r>
    </w:p>
    <w:p w:rsidR="003C3DC5" w:rsidRDefault="00D818F8" w:rsidP="00D818F8">
      <w:r w:rsidRPr="00D818F8">
        <w:t>Ireland continue</w:t>
      </w:r>
      <w:r w:rsidR="00446C2A">
        <w:t>s</w:t>
      </w:r>
      <w:r w:rsidRPr="00D818F8">
        <w:t xml:space="preserve"> to expand its apprenticeship system to higher qualification levels and to new sectors. This action is part of the 2025 national skills strategy, published in 2016, and aims to significantly increase work-based learning opportunities for school graduates who choose not to go to general higher education, as well as for employees (DES, 2016). </w:t>
      </w:r>
    </w:p>
    <w:p w:rsidR="00D818F8" w:rsidRDefault="003C3DC5" w:rsidP="00D818F8">
      <w:r>
        <w:lastRenderedPageBreak/>
        <w:t>T</w:t>
      </w:r>
      <w:r w:rsidR="00D818F8" w:rsidRPr="00D818F8">
        <w:t xml:space="preserve">he National Skills Council is continuing its work to identify and prioritise skills demands and pinpoint how the education and training sector and other relevant stakeholders can best respond to this challenge. </w:t>
      </w:r>
      <w:r>
        <w:t xml:space="preserve">A disability focus is essential. </w:t>
      </w:r>
      <w:r w:rsidR="00D818F8" w:rsidRPr="00D818F8">
        <w:t xml:space="preserve">  </w:t>
      </w:r>
    </w:p>
    <w:p w:rsidR="009A4DC1" w:rsidRPr="00D818F8" w:rsidRDefault="009A4DC1" w:rsidP="00D818F8">
      <w:r>
        <w:t xml:space="preserve">At the same time it must be remembered that some people who are NEET neither want to, or can, work or engage in training. Rather a range of choices must be afforded to people so they engage at the level and to the extent they desire. That said the level of NEET among people with a disability is far in excess of those without a disability and indicates that many are being deterred and excluded unnecessarily. </w:t>
      </w:r>
    </w:p>
    <w:p w:rsidR="001967B2" w:rsidRDefault="001967B2">
      <w:pPr>
        <w:spacing w:after="0"/>
      </w:pPr>
      <w:r>
        <w:br w:type="page"/>
      </w:r>
    </w:p>
    <w:p w:rsidR="00A02E09" w:rsidRDefault="00A02E09" w:rsidP="00A02E09">
      <w:pPr>
        <w:pStyle w:val="Heading1"/>
      </w:pPr>
      <w:r>
        <w:lastRenderedPageBreak/>
        <w:t xml:space="preserve">References </w:t>
      </w:r>
    </w:p>
    <w:p w:rsidR="007A111B" w:rsidRDefault="007A111B" w:rsidP="00176017">
      <w:r w:rsidRPr="007A111B">
        <w:t xml:space="preserve">Academic Network of European Disability Experts </w:t>
      </w:r>
      <w:r>
        <w:t>(</w:t>
      </w:r>
      <w:r w:rsidRPr="007A111B">
        <w:t>2017</w:t>
      </w:r>
      <w:r>
        <w:t>)</w:t>
      </w:r>
      <w:r w:rsidRPr="007A111B">
        <w:t xml:space="preserve"> https://www.disability-europe.net/theme/statistical-indicators</w:t>
      </w:r>
    </w:p>
    <w:p w:rsidR="00D818F8" w:rsidRDefault="00D818F8" w:rsidP="00176017">
      <w:r>
        <w:t xml:space="preserve">Irish Government. (2013). Pathways to Work: The implementation of the EU Council Recommendation for a Youth </w:t>
      </w:r>
      <w:r w:rsidR="00B15BF6">
        <w:t>Guarantee</w:t>
      </w:r>
      <w:r>
        <w:t>. Retrieved from https://www.welfare.ie/en/downloads/Youth-Guarantee-Implementation-Plan.pdf</w:t>
      </w:r>
    </w:p>
    <w:p w:rsidR="00D818F8" w:rsidRDefault="00D818F8" w:rsidP="00176017">
      <w:r>
        <w:t>Irish Government. (2015). Pathways to Work. Dublin: Irish Government. Retrieved from http://www.welfare.ie/en/downloads/pathways-to-work-2015.pdf</w:t>
      </w:r>
    </w:p>
    <w:p w:rsidR="005005D6" w:rsidRDefault="00D818F8" w:rsidP="00176017">
      <w:r>
        <w:t>Irish Government. (n.d.). Action Plan for Jobs 2017. Dublin: Irish Government. Retrieved from https://www.djei.ie/en/Publications/Publication-files/Action-Plan-for-Jobs-2017.pdf</w:t>
      </w:r>
    </w:p>
    <w:p w:rsidR="002B1CCB" w:rsidRDefault="002B1CCB" w:rsidP="00176017">
      <w:r>
        <w:t>Mawn L, Oliver</w:t>
      </w:r>
      <w:r w:rsidRPr="002B1CCB">
        <w:t xml:space="preserve"> </w:t>
      </w:r>
      <w:r>
        <w:t>EJ, Akhter</w:t>
      </w:r>
      <w:r w:rsidRPr="002B1CCB">
        <w:t xml:space="preserve"> </w:t>
      </w:r>
      <w:r>
        <w:t>N</w:t>
      </w:r>
      <w:r w:rsidR="00B15BF6" w:rsidRPr="002B1CCB">
        <w:t>,</w:t>
      </w:r>
      <w:r w:rsidRPr="002B1CCB">
        <w:t xml:space="preserve"> Bambra</w:t>
      </w:r>
      <w:r>
        <w:t xml:space="preserve"> C</w:t>
      </w:r>
      <w:r w:rsidRPr="002B1CCB">
        <w:t>, Torgerson</w:t>
      </w:r>
      <w:r>
        <w:t xml:space="preserve"> C</w:t>
      </w:r>
      <w:r w:rsidRPr="002B1CCB">
        <w:t xml:space="preserve">, Bridle </w:t>
      </w:r>
      <w:r>
        <w:t>C</w:t>
      </w:r>
      <w:r w:rsidR="00B15BF6">
        <w:t xml:space="preserve"> </w:t>
      </w:r>
      <w:r w:rsidRPr="002B1CCB">
        <w:t>and</w:t>
      </w:r>
      <w:r>
        <w:t xml:space="preserve"> </w:t>
      </w:r>
      <w:r w:rsidRPr="002B1CCB">
        <w:t>Stain</w:t>
      </w:r>
      <w:r>
        <w:t xml:space="preserve"> H (2017) - </w:t>
      </w:r>
      <w:r w:rsidRPr="002B1CCB">
        <w:t>Are we failing young people not in employment, education or training (NEETs)? A systematic review and meta-analysis of re-engagement Systematic Reviews20176:16</w:t>
      </w:r>
    </w:p>
    <w:p w:rsidR="001967B2" w:rsidRDefault="002B1CCB" w:rsidP="00176017">
      <w:r>
        <w:t xml:space="preserve">UK </w:t>
      </w:r>
      <w:r w:rsidR="001967B2">
        <w:t xml:space="preserve">Social Exclusion Unit (1999) Bridging the Gap: New Opportunities </w:t>
      </w:r>
      <w:r w:rsidR="00B15BF6">
        <w:t>for</w:t>
      </w:r>
      <w:r w:rsidR="001967B2">
        <w:t xml:space="preserve"> 16 –18 Year Olds Not in Education, Employment or Training </w:t>
      </w:r>
      <w:hyperlink r:id="rId15" w:history="1">
        <w:r w:rsidRPr="00FB43F4">
          <w:rPr>
            <w:rStyle w:val="Hyperlink"/>
          </w:rPr>
          <w:t>http://www.cabinetoffice.gov.uk/media/cabinetoffice/social_exclusion_task_force/assets/publications_1997_to_2006/bridging_gap.pdf</w:t>
        </w:r>
      </w:hyperlink>
      <w:r>
        <w:t xml:space="preserve"> </w:t>
      </w:r>
    </w:p>
    <w:p w:rsidR="00504A71" w:rsidRDefault="00504A71" w:rsidP="00176017">
      <w:r>
        <w:t>Gardner, C., Dermody, A., O’Donoghue, R., Davis, S., Isard, P. (2017) Kickboxing, kindness and going the extra mile: Good practice for working with</w:t>
      </w:r>
      <w:r w:rsidR="008104F5">
        <w:t xml:space="preserve"> NEET</w:t>
      </w:r>
      <w:r>
        <w:t>s under SICAP. Pobal. Ireland</w:t>
      </w:r>
    </w:p>
    <w:p w:rsidR="00E23EC0" w:rsidRPr="00E23EC0" w:rsidRDefault="00E23EC0" w:rsidP="00176017">
      <w:r w:rsidRPr="00E23EC0">
        <w:t>Judge</w:t>
      </w:r>
      <w:r>
        <w:t>,</w:t>
      </w:r>
      <w:r w:rsidRPr="00E23EC0">
        <w:t xml:space="preserve"> </w:t>
      </w:r>
      <w:r>
        <w:t>Rossi, Hardiman and Oman</w:t>
      </w:r>
      <w:r w:rsidRPr="00E23EC0">
        <w:t xml:space="preserve"> et al (2017) </w:t>
      </w:r>
      <w:r>
        <w:t>Department of Social Protection Report on Disability Allowance Survey 2015</w:t>
      </w:r>
      <w:r w:rsidR="0039733D">
        <w:t xml:space="preserve"> </w:t>
      </w:r>
      <w:r w:rsidR="0039733D" w:rsidRPr="0039733D">
        <w:t>https://www.welfare.ie/en/downloads/Value-for-Money-Review-of-the-Disability-Allowance-Scheme.pdf</w:t>
      </w:r>
    </w:p>
    <w:sectPr w:rsidR="00E23EC0" w:rsidRPr="00E23EC0">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77" w:rsidRDefault="00C23E77">
      <w:r>
        <w:separator/>
      </w:r>
    </w:p>
  </w:endnote>
  <w:endnote w:type="continuationSeparator" w:id="0">
    <w:p w:rsidR="00C23E77" w:rsidRDefault="00C2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09" w:rsidRDefault="00A02E09">
    <w:pPr>
      <w:pStyle w:val="Footer"/>
    </w:pPr>
    <w:r>
      <w:tab/>
    </w:r>
    <w:r>
      <w:tab/>
    </w:r>
    <w:r>
      <w:fldChar w:fldCharType="begin"/>
    </w:r>
    <w:r>
      <w:instrText xml:space="preserve"> PAGE  \* Arabic  \* MERGEFORMAT </w:instrText>
    </w:r>
    <w:r>
      <w:fldChar w:fldCharType="separate"/>
    </w:r>
    <w:r w:rsidR="005F1589">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77" w:rsidRDefault="00C23E77">
      <w:r>
        <w:separator/>
      </w:r>
    </w:p>
  </w:footnote>
  <w:footnote w:type="continuationSeparator" w:id="0">
    <w:p w:rsidR="00C23E77" w:rsidRDefault="00C23E77">
      <w:r>
        <w:continuationSeparator/>
      </w:r>
    </w:p>
  </w:footnote>
  <w:footnote w:id="1">
    <w:p w:rsidR="00A02E09" w:rsidRDefault="00A02E09">
      <w:pPr>
        <w:pStyle w:val="FootnoteText"/>
      </w:pPr>
      <w:r>
        <w:rPr>
          <w:rStyle w:val="FootnoteReference"/>
        </w:rPr>
        <w:footnoteRef/>
      </w:r>
      <w:r>
        <w:t xml:space="preserve"> For instance see O’Dea et al (2014) ‘</w:t>
      </w:r>
      <w:r w:rsidRPr="00F25ABC">
        <w:t>A cross-sectional exploration of the clinical characteristics of disengaged (NEET) young people in primary mental healthcare</w:t>
      </w:r>
      <w:r>
        <w:t xml:space="preserve">’ </w:t>
      </w:r>
      <w:r w:rsidRPr="00163187">
        <w:t>https://bmjopen.bmj.com/content/4/12/e006378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1C278C5"/>
    <w:multiLevelType w:val="hybridMultilevel"/>
    <w:tmpl w:val="578AB596"/>
    <w:lvl w:ilvl="0" w:tplc="969C8582">
      <w:numFmt w:val="bullet"/>
      <w:lvlText w:val="•"/>
      <w:lvlJc w:val="left"/>
      <w:pPr>
        <w:ind w:left="1080" w:hanging="72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7D7EF3"/>
    <w:multiLevelType w:val="hybridMultilevel"/>
    <w:tmpl w:val="0BD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AD618A"/>
    <w:multiLevelType w:val="hybridMultilevel"/>
    <w:tmpl w:val="4DAE7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B65B9B"/>
    <w:multiLevelType w:val="hybridMultilevel"/>
    <w:tmpl w:val="1A048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E01FB5"/>
    <w:multiLevelType w:val="hybridMultilevel"/>
    <w:tmpl w:val="37AC3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9029EE"/>
    <w:multiLevelType w:val="hybridMultilevel"/>
    <w:tmpl w:val="82A8CE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74F3047"/>
    <w:multiLevelType w:val="hybridMultilevel"/>
    <w:tmpl w:val="B50C2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FBA230C"/>
    <w:multiLevelType w:val="hybridMultilevel"/>
    <w:tmpl w:val="8C8E84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E8214A3"/>
    <w:multiLevelType w:val="hybridMultilevel"/>
    <w:tmpl w:val="B84CB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7"/>
  </w:num>
  <w:num w:numId="18">
    <w:abstractNumId w:val="12"/>
  </w:num>
  <w:num w:numId="19">
    <w:abstractNumId w:val="18"/>
  </w:num>
  <w:num w:numId="20">
    <w:abstractNumId w:val="16"/>
  </w:num>
  <w:num w:numId="21">
    <w:abstractNumId w:val="15"/>
  </w:num>
  <w:num w:numId="22">
    <w:abstractNumId w:val="13"/>
  </w:num>
  <w:num w:numId="23">
    <w:abstractNumId w:val="11"/>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C1"/>
    <w:rsid w:val="000213BC"/>
    <w:rsid w:val="00021584"/>
    <w:rsid w:val="00046B75"/>
    <w:rsid w:val="0008387D"/>
    <w:rsid w:val="000A47F2"/>
    <w:rsid w:val="000C01BB"/>
    <w:rsid w:val="000D008A"/>
    <w:rsid w:val="000D49DE"/>
    <w:rsid w:val="000E1844"/>
    <w:rsid w:val="000E564B"/>
    <w:rsid w:val="000E6CB0"/>
    <w:rsid w:val="000F60FE"/>
    <w:rsid w:val="00104579"/>
    <w:rsid w:val="0010553B"/>
    <w:rsid w:val="001207A0"/>
    <w:rsid w:val="0012352B"/>
    <w:rsid w:val="00134763"/>
    <w:rsid w:val="0016213C"/>
    <w:rsid w:val="00163187"/>
    <w:rsid w:val="00176017"/>
    <w:rsid w:val="00181FE6"/>
    <w:rsid w:val="00184A13"/>
    <w:rsid w:val="00185F93"/>
    <w:rsid w:val="00187BA5"/>
    <w:rsid w:val="00191AC4"/>
    <w:rsid w:val="001967B2"/>
    <w:rsid w:val="001B7684"/>
    <w:rsid w:val="001C496B"/>
    <w:rsid w:val="001D62E5"/>
    <w:rsid w:val="001F4CB6"/>
    <w:rsid w:val="00207B19"/>
    <w:rsid w:val="002138B9"/>
    <w:rsid w:val="002223FA"/>
    <w:rsid w:val="00246321"/>
    <w:rsid w:val="002532EE"/>
    <w:rsid w:val="00265EE9"/>
    <w:rsid w:val="00287B8E"/>
    <w:rsid w:val="0029099A"/>
    <w:rsid w:val="00293BD9"/>
    <w:rsid w:val="002B1CCB"/>
    <w:rsid w:val="002B5289"/>
    <w:rsid w:val="002D2A3A"/>
    <w:rsid w:val="002D505D"/>
    <w:rsid w:val="002F4F95"/>
    <w:rsid w:val="00300C41"/>
    <w:rsid w:val="003102EF"/>
    <w:rsid w:val="00317379"/>
    <w:rsid w:val="00326574"/>
    <w:rsid w:val="00327912"/>
    <w:rsid w:val="00351E98"/>
    <w:rsid w:val="003556BA"/>
    <w:rsid w:val="00370A15"/>
    <w:rsid w:val="003718AC"/>
    <w:rsid w:val="0038054C"/>
    <w:rsid w:val="00380989"/>
    <w:rsid w:val="0039733D"/>
    <w:rsid w:val="003A279B"/>
    <w:rsid w:val="003A293E"/>
    <w:rsid w:val="003A44C8"/>
    <w:rsid w:val="003B10EC"/>
    <w:rsid w:val="003B57E4"/>
    <w:rsid w:val="003C3DC5"/>
    <w:rsid w:val="003D05DC"/>
    <w:rsid w:val="003D24C9"/>
    <w:rsid w:val="003D2930"/>
    <w:rsid w:val="003D5061"/>
    <w:rsid w:val="003E10C4"/>
    <w:rsid w:val="003E7271"/>
    <w:rsid w:val="003E7EE9"/>
    <w:rsid w:val="003F3247"/>
    <w:rsid w:val="003F4B49"/>
    <w:rsid w:val="00416A7C"/>
    <w:rsid w:val="00446C2A"/>
    <w:rsid w:val="004514CC"/>
    <w:rsid w:val="00454FF5"/>
    <w:rsid w:val="00463F7D"/>
    <w:rsid w:val="00473835"/>
    <w:rsid w:val="00473E54"/>
    <w:rsid w:val="00484362"/>
    <w:rsid w:val="004934C9"/>
    <w:rsid w:val="004948E2"/>
    <w:rsid w:val="004C5836"/>
    <w:rsid w:val="004F0EC1"/>
    <w:rsid w:val="004F16A7"/>
    <w:rsid w:val="005005D6"/>
    <w:rsid w:val="00504A71"/>
    <w:rsid w:val="00511D0A"/>
    <w:rsid w:val="00531758"/>
    <w:rsid w:val="00552DAE"/>
    <w:rsid w:val="00567477"/>
    <w:rsid w:val="0057344F"/>
    <w:rsid w:val="005756B3"/>
    <w:rsid w:val="005B1D59"/>
    <w:rsid w:val="005B260F"/>
    <w:rsid w:val="005B3D47"/>
    <w:rsid w:val="005D30E7"/>
    <w:rsid w:val="005D35F0"/>
    <w:rsid w:val="005F1589"/>
    <w:rsid w:val="005F58CB"/>
    <w:rsid w:val="00622CA6"/>
    <w:rsid w:val="00625ECC"/>
    <w:rsid w:val="006349ED"/>
    <w:rsid w:val="00683C71"/>
    <w:rsid w:val="00694794"/>
    <w:rsid w:val="0069728E"/>
    <w:rsid w:val="006A7FD5"/>
    <w:rsid w:val="006B1D77"/>
    <w:rsid w:val="006B4441"/>
    <w:rsid w:val="006C34A0"/>
    <w:rsid w:val="006C592A"/>
    <w:rsid w:val="006E34C5"/>
    <w:rsid w:val="00700A6B"/>
    <w:rsid w:val="00712690"/>
    <w:rsid w:val="00717854"/>
    <w:rsid w:val="00743909"/>
    <w:rsid w:val="007534BF"/>
    <w:rsid w:val="007618D7"/>
    <w:rsid w:val="007748EF"/>
    <w:rsid w:val="007761E1"/>
    <w:rsid w:val="007865B7"/>
    <w:rsid w:val="0079724E"/>
    <w:rsid w:val="007A111B"/>
    <w:rsid w:val="007C02F9"/>
    <w:rsid w:val="007C1D90"/>
    <w:rsid w:val="007F16CD"/>
    <w:rsid w:val="008104F5"/>
    <w:rsid w:val="00814F6F"/>
    <w:rsid w:val="00822C14"/>
    <w:rsid w:val="00831FA1"/>
    <w:rsid w:val="008354B1"/>
    <w:rsid w:val="00835C59"/>
    <w:rsid w:val="00852C92"/>
    <w:rsid w:val="00863134"/>
    <w:rsid w:val="00867962"/>
    <w:rsid w:val="00880905"/>
    <w:rsid w:val="0089712C"/>
    <w:rsid w:val="008B71EA"/>
    <w:rsid w:val="008C6987"/>
    <w:rsid w:val="008E7592"/>
    <w:rsid w:val="008F062C"/>
    <w:rsid w:val="008F29EC"/>
    <w:rsid w:val="009241E9"/>
    <w:rsid w:val="0093716F"/>
    <w:rsid w:val="00964A34"/>
    <w:rsid w:val="009652C8"/>
    <w:rsid w:val="009829B5"/>
    <w:rsid w:val="009976D6"/>
    <w:rsid w:val="009A451C"/>
    <w:rsid w:val="009A4DC1"/>
    <w:rsid w:val="009C3BD7"/>
    <w:rsid w:val="009C4D62"/>
    <w:rsid w:val="009E3E4B"/>
    <w:rsid w:val="009F3CCE"/>
    <w:rsid w:val="00A008CC"/>
    <w:rsid w:val="00A02E09"/>
    <w:rsid w:val="00A05270"/>
    <w:rsid w:val="00A1516E"/>
    <w:rsid w:val="00A268FD"/>
    <w:rsid w:val="00A27740"/>
    <w:rsid w:val="00A434F5"/>
    <w:rsid w:val="00A71048"/>
    <w:rsid w:val="00A7300C"/>
    <w:rsid w:val="00A82AD4"/>
    <w:rsid w:val="00AA2632"/>
    <w:rsid w:val="00AB36DD"/>
    <w:rsid w:val="00AC6100"/>
    <w:rsid w:val="00AE299C"/>
    <w:rsid w:val="00AE5EF5"/>
    <w:rsid w:val="00AF4838"/>
    <w:rsid w:val="00B14618"/>
    <w:rsid w:val="00B15BF6"/>
    <w:rsid w:val="00B17A55"/>
    <w:rsid w:val="00B20DDC"/>
    <w:rsid w:val="00B24675"/>
    <w:rsid w:val="00B33AFD"/>
    <w:rsid w:val="00B411BF"/>
    <w:rsid w:val="00B632C0"/>
    <w:rsid w:val="00B76547"/>
    <w:rsid w:val="00BA2579"/>
    <w:rsid w:val="00BC066C"/>
    <w:rsid w:val="00BC2968"/>
    <w:rsid w:val="00BC74C2"/>
    <w:rsid w:val="00BD44B6"/>
    <w:rsid w:val="00BE3889"/>
    <w:rsid w:val="00BE3DCC"/>
    <w:rsid w:val="00BE5638"/>
    <w:rsid w:val="00C154AE"/>
    <w:rsid w:val="00C23E77"/>
    <w:rsid w:val="00C35B37"/>
    <w:rsid w:val="00C4282E"/>
    <w:rsid w:val="00C867C9"/>
    <w:rsid w:val="00CA2598"/>
    <w:rsid w:val="00CC277F"/>
    <w:rsid w:val="00D1271E"/>
    <w:rsid w:val="00D16615"/>
    <w:rsid w:val="00D17045"/>
    <w:rsid w:val="00D17FF0"/>
    <w:rsid w:val="00D21A89"/>
    <w:rsid w:val="00D264AB"/>
    <w:rsid w:val="00D476B1"/>
    <w:rsid w:val="00D523C1"/>
    <w:rsid w:val="00D605A2"/>
    <w:rsid w:val="00D70522"/>
    <w:rsid w:val="00D70D51"/>
    <w:rsid w:val="00D76BEA"/>
    <w:rsid w:val="00D777A2"/>
    <w:rsid w:val="00D8081F"/>
    <w:rsid w:val="00D818F8"/>
    <w:rsid w:val="00DE645F"/>
    <w:rsid w:val="00DF00F3"/>
    <w:rsid w:val="00DF69B5"/>
    <w:rsid w:val="00E23EC0"/>
    <w:rsid w:val="00E72869"/>
    <w:rsid w:val="00E7594D"/>
    <w:rsid w:val="00E76713"/>
    <w:rsid w:val="00E83AF4"/>
    <w:rsid w:val="00E90214"/>
    <w:rsid w:val="00EA50F0"/>
    <w:rsid w:val="00EA5F30"/>
    <w:rsid w:val="00EC71F7"/>
    <w:rsid w:val="00EE66E6"/>
    <w:rsid w:val="00EF4F6A"/>
    <w:rsid w:val="00F25ABC"/>
    <w:rsid w:val="00F32E09"/>
    <w:rsid w:val="00F351D6"/>
    <w:rsid w:val="00F42C51"/>
    <w:rsid w:val="00F9141C"/>
    <w:rsid w:val="00F954A9"/>
    <w:rsid w:val="00FA4CBE"/>
    <w:rsid w:val="00FB200B"/>
    <w:rsid w:val="00FB7937"/>
    <w:rsid w:val="00FD08D5"/>
    <w:rsid w:val="00FE0F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3B4BD3-97F0-47A0-8EDC-3C63813E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75"/>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BalloonText">
    <w:name w:val="Balloon Text"/>
    <w:basedOn w:val="Normal"/>
    <w:link w:val="BalloonTextChar"/>
    <w:rsid w:val="00AF4838"/>
    <w:pPr>
      <w:spacing w:after="0"/>
    </w:pPr>
    <w:rPr>
      <w:rFonts w:ascii="Segoe UI" w:hAnsi="Segoe UI" w:cs="Segoe UI"/>
      <w:sz w:val="18"/>
      <w:szCs w:val="18"/>
    </w:rPr>
  </w:style>
  <w:style w:type="character" w:customStyle="1" w:styleId="BalloonTextChar">
    <w:name w:val="Balloon Text Char"/>
    <w:basedOn w:val="DefaultParagraphFont"/>
    <w:link w:val="BalloonText"/>
    <w:rsid w:val="00AF4838"/>
    <w:rPr>
      <w:rFonts w:ascii="Segoe UI" w:eastAsia="Times New Roman" w:hAnsi="Segoe UI" w:cs="Segoe UI"/>
      <w:sz w:val="18"/>
      <w:szCs w:val="18"/>
      <w:lang w:eastAsia="en-US"/>
    </w:rPr>
  </w:style>
  <w:style w:type="character" w:styleId="CommentReference">
    <w:name w:val="annotation reference"/>
    <w:basedOn w:val="DefaultParagraphFont"/>
    <w:rsid w:val="00AF4838"/>
    <w:rPr>
      <w:sz w:val="16"/>
      <w:szCs w:val="16"/>
    </w:rPr>
  </w:style>
  <w:style w:type="paragraph" w:styleId="CommentSubject">
    <w:name w:val="annotation subject"/>
    <w:basedOn w:val="CommentText"/>
    <w:next w:val="CommentText"/>
    <w:link w:val="CommentSubjectChar"/>
    <w:rsid w:val="00AF4838"/>
    <w:rPr>
      <w:rFonts w:ascii="Gill Sans MT" w:hAnsi="Gill Sans MT"/>
      <w:b/>
      <w:bCs/>
      <w:szCs w:val="20"/>
      <w:lang w:val="en-IE"/>
    </w:rPr>
  </w:style>
  <w:style w:type="character" w:customStyle="1" w:styleId="CommentSubjectChar">
    <w:name w:val="Comment Subject Char"/>
    <w:basedOn w:val="CommentTextChar"/>
    <w:link w:val="CommentSubject"/>
    <w:rsid w:val="00AF4838"/>
    <w:rPr>
      <w:rFonts w:ascii="Gill Sans MT" w:eastAsia="Times New Roman" w:hAnsi="Gill Sans MT"/>
      <w:b/>
      <w:bCs/>
      <w:szCs w:val="24"/>
      <w:lang w:eastAsia="en-US"/>
    </w:rPr>
  </w:style>
  <w:style w:type="paragraph" w:styleId="Revision">
    <w:name w:val="Revision"/>
    <w:hidden/>
    <w:uiPriority w:val="99"/>
    <w:semiHidden/>
    <w:rsid w:val="00AF4838"/>
    <w:rPr>
      <w:rFonts w:ascii="Gill Sans MT" w:eastAsia="Times New Roman" w:hAnsi="Gill Sans MT"/>
      <w:sz w:val="26"/>
      <w:szCs w:val="24"/>
      <w:lang w:eastAsia="en-US"/>
    </w:rPr>
  </w:style>
  <w:style w:type="paragraph" w:styleId="ListParagraph">
    <w:name w:val="List Paragraph"/>
    <w:basedOn w:val="Normal"/>
    <w:uiPriority w:val="34"/>
    <w:qFormat/>
    <w:rsid w:val="003F3247"/>
    <w:pPr>
      <w:ind w:left="720"/>
      <w:contextualSpacing/>
    </w:pPr>
  </w:style>
  <w:style w:type="character" w:customStyle="1" w:styleId="Heading2Char">
    <w:name w:val="Heading 2 Char"/>
    <w:basedOn w:val="DefaultParagraphFont"/>
    <w:link w:val="Heading2"/>
    <w:rsid w:val="00AC6100"/>
    <w:rPr>
      <w:rFonts w:ascii="Gill Sans MT" w:eastAsia="Times New Roman" w:hAnsi="Gill Sans MT" w:cs="Arial Bold"/>
      <w:b/>
      <w:bCs/>
      <w:iCs/>
      <w:sz w:val="28"/>
      <w:szCs w:val="28"/>
      <w:lang w:eastAsia="en-US"/>
    </w:rPr>
  </w:style>
  <w:style w:type="table" w:styleId="TableGridLight">
    <w:name w:val="Grid Table Light"/>
    <w:basedOn w:val="TableNormal"/>
    <w:uiPriority w:val="40"/>
    <w:rsid w:val="00AC61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AC6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138B9"/>
    <w:rPr>
      <w:rFonts w:ascii="Gill Sans MT" w:eastAsia="Times New Roman" w:hAnsi="Gill Sans MT" w:cs="Arial"/>
      <w:b/>
      <w:bCs/>
      <w:kern w:val="28"/>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53">
      <w:bodyDiv w:val="1"/>
      <w:marLeft w:val="0"/>
      <w:marRight w:val="0"/>
      <w:marTop w:val="0"/>
      <w:marBottom w:val="0"/>
      <w:divBdr>
        <w:top w:val="none" w:sz="0" w:space="0" w:color="auto"/>
        <w:left w:val="none" w:sz="0" w:space="0" w:color="auto"/>
        <w:bottom w:val="none" w:sz="0" w:space="0" w:color="auto"/>
        <w:right w:val="none" w:sz="0" w:space="0" w:color="auto"/>
      </w:divBdr>
    </w:div>
    <w:div w:id="47650073">
      <w:bodyDiv w:val="1"/>
      <w:marLeft w:val="0"/>
      <w:marRight w:val="0"/>
      <w:marTop w:val="0"/>
      <w:marBottom w:val="0"/>
      <w:divBdr>
        <w:top w:val="none" w:sz="0" w:space="0" w:color="auto"/>
        <w:left w:val="none" w:sz="0" w:space="0" w:color="auto"/>
        <w:bottom w:val="none" w:sz="0" w:space="0" w:color="auto"/>
        <w:right w:val="none" w:sz="0" w:space="0" w:color="auto"/>
      </w:divBdr>
    </w:div>
    <w:div w:id="52391441">
      <w:bodyDiv w:val="1"/>
      <w:marLeft w:val="0"/>
      <w:marRight w:val="0"/>
      <w:marTop w:val="0"/>
      <w:marBottom w:val="0"/>
      <w:divBdr>
        <w:top w:val="none" w:sz="0" w:space="0" w:color="auto"/>
        <w:left w:val="none" w:sz="0" w:space="0" w:color="auto"/>
        <w:bottom w:val="none" w:sz="0" w:space="0" w:color="auto"/>
        <w:right w:val="none" w:sz="0" w:space="0" w:color="auto"/>
      </w:divBdr>
    </w:div>
    <w:div w:id="95293534">
      <w:bodyDiv w:val="1"/>
      <w:marLeft w:val="0"/>
      <w:marRight w:val="0"/>
      <w:marTop w:val="0"/>
      <w:marBottom w:val="0"/>
      <w:divBdr>
        <w:top w:val="none" w:sz="0" w:space="0" w:color="auto"/>
        <w:left w:val="none" w:sz="0" w:space="0" w:color="auto"/>
        <w:bottom w:val="none" w:sz="0" w:space="0" w:color="auto"/>
        <w:right w:val="none" w:sz="0" w:space="0" w:color="auto"/>
      </w:divBdr>
    </w:div>
    <w:div w:id="95369825">
      <w:bodyDiv w:val="1"/>
      <w:marLeft w:val="0"/>
      <w:marRight w:val="0"/>
      <w:marTop w:val="0"/>
      <w:marBottom w:val="0"/>
      <w:divBdr>
        <w:top w:val="none" w:sz="0" w:space="0" w:color="auto"/>
        <w:left w:val="none" w:sz="0" w:space="0" w:color="auto"/>
        <w:bottom w:val="none" w:sz="0" w:space="0" w:color="auto"/>
        <w:right w:val="none" w:sz="0" w:space="0" w:color="auto"/>
      </w:divBdr>
    </w:div>
    <w:div w:id="134152232">
      <w:bodyDiv w:val="1"/>
      <w:marLeft w:val="0"/>
      <w:marRight w:val="0"/>
      <w:marTop w:val="0"/>
      <w:marBottom w:val="0"/>
      <w:divBdr>
        <w:top w:val="none" w:sz="0" w:space="0" w:color="auto"/>
        <w:left w:val="none" w:sz="0" w:space="0" w:color="auto"/>
        <w:bottom w:val="none" w:sz="0" w:space="0" w:color="auto"/>
        <w:right w:val="none" w:sz="0" w:space="0" w:color="auto"/>
      </w:divBdr>
    </w:div>
    <w:div w:id="173804797">
      <w:bodyDiv w:val="1"/>
      <w:marLeft w:val="0"/>
      <w:marRight w:val="0"/>
      <w:marTop w:val="0"/>
      <w:marBottom w:val="0"/>
      <w:divBdr>
        <w:top w:val="none" w:sz="0" w:space="0" w:color="auto"/>
        <w:left w:val="none" w:sz="0" w:space="0" w:color="auto"/>
        <w:bottom w:val="none" w:sz="0" w:space="0" w:color="auto"/>
        <w:right w:val="none" w:sz="0" w:space="0" w:color="auto"/>
      </w:divBdr>
    </w:div>
    <w:div w:id="238100729">
      <w:bodyDiv w:val="1"/>
      <w:marLeft w:val="0"/>
      <w:marRight w:val="0"/>
      <w:marTop w:val="0"/>
      <w:marBottom w:val="0"/>
      <w:divBdr>
        <w:top w:val="none" w:sz="0" w:space="0" w:color="auto"/>
        <w:left w:val="none" w:sz="0" w:space="0" w:color="auto"/>
        <w:bottom w:val="none" w:sz="0" w:space="0" w:color="auto"/>
        <w:right w:val="none" w:sz="0" w:space="0" w:color="auto"/>
      </w:divBdr>
    </w:div>
    <w:div w:id="257062396">
      <w:bodyDiv w:val="1"/>
      <w:marLeft w:val="0"/>
      <w:marRight w:val="0"/>
      <w:marTop w:val="0"/>
      <w:marBottom w:val="0"/>
      <w:divBdr>
        <w:top w:val="none" w:sz="0" w:space="0" w:color="auto"/>
        <w:left w:val="none" w:sz="0" w:space="0" w:color="auto"/>
        <w:bottom w:val="none" w:sz="0" w:space="0" w:color="auto"/>
        <w:right w:val="none" w:sz="0" w:space="0" w:color="auto"/>
      </w:divBdr>
    </w:div>
    <w:div w:id="304316226">
      <w:bodyDiv w:val="1"/>
      <w:marLeft w:val="0"/>
      <w:marRight w:val="0"/>
      <w:marTop w:val="0"/>
      <w:marBottom w:val="0"/>
      <w:divBdr>
        <w:top w:val="none" w:sz="0" w:space="0" w:color="auto"/>
        <w:left w:val="none" w:sz="0" w:space="0" w:color="auto"/>
        <w:bottom w:val="none" w:sz="0" w:space="0" w:color="auto"/>
        <w:right w:val="none" w:sz="0" w:space="0" w:color="auto"/>
      </w:divBdr>
    </w:div>
    <w:div w:id="357588516">
      <w:bodyDiv w:val="1"/>
      <w:marLeft w:val="0"/>
      <w:marRight w:val="0"/>
      <w:marTop w:val="0"/>
      <w:marBottom w:val="0"/>
      <w:divBdr>
        <w:top w:val="none" w:sz="0" w:space="0" w:color="auto"/>
        <w:left w:val="none" w:sz="0" w:space="0" w:color="auto"/>
        <w:bottom w:val="none" w:sz="0" w:space="0" w:color="auto"/>
        <w:right w:val="none" w:sz="0" w:space="0" w:color="auto"/>
      </w:divBdr>
    </w:div>
    <w:div w:id="389546009">
      <w:bodyDiv w:val="1"/>
      <w:marLeft w:val="0"/>
      <w:marRight w:val="0"/>
      <w:marTop w:val="0"/>
      <w:marBottom w:val="0"/>
      <w:divBdr>
        <w:top w:val="none" w:sz="0" w:space="0" w:color="auto"/>
        <w:left w:val="none" w:sz="0" w:space="0" w:color="auto"/>
        <w:bottom w:val="none" w:sz="0" w:space="0" w:color="auto"/>
        <w:right w:val="none" w:sz="0" w:space="0" w:color="auto"/>
      </w:divBdr>
    </w:div>
    <w:div w:id="519515163">
      <w:bodyDiv w:val="1"/>
      <w:marLeft w:val="0"/>
      <w:marRight w:val="0"/>
      <w:marTop w:val="0"/>
      <w:marBottom w:val="0"/>
      <w:divBdr>
        <w:top w:val="none" w:sz="0" w:space="0" w:color="auto"/>
        <w:left w:val="none" w:sz="0" w:space="0" w:color="auto"/>
        <w:bottom w:val="none" w:sz="0" w:space="0" w:color="auto"/>
        <w:right w:val="none" w:sz="0" w:space="0" w:color="auto"/>
      </w:divBdr>
    </w:div>
    <w:div w:id="624432893">
      <w:bodyDiv w:val="1"/>
      <w:marLeft w:val="0"/>
      <w:marRight w:val="0"/>
      <w:marTop w:val="0"/>
      <w:marBottom w:val="0"/>
      <w:divBdr>
        <w:top w:val="none" w:sz="0" w:space="0" w:color="auto"/>
        <w:left w:val="none" w:sz="0" w:space="0" w:color="auto"/>
        <w:bottom w:val="none" w:sz="0" w:space="0" w:color="auto"/>
        <w:right w:val="none" w:sz="0" w:space="0" w:color="auto"/>
      </w:divBdr>
    </w:div>
    <w:div w:id="631982654">
      <w:bodyDiv w:val="1"/>
      <w:marLeft w:val="0"/>
      <w:marRight w:val="0"/>
      <w:marTop w:val="0"/>
      <w:marBottom w:val="0"/>
      <w:divBdr>
        <w:top w:val="none" w:sz="0" w:space="0" w:color="auto"/>
        <w:left w:val="none" w:sz="0" w:space="0" w:color="auto"/>
        <w:bottom w:val="none" w:sz="0" w:space="0" w:color="auto"/>
        <w:right w:val="none" w:sz="0" w:space="0" w:color="auto"/>
      </w:divBdr>
    </w:div>
    <w:div w:id="639923222">
      <w:bodyDiv w:val="1"/>
      <w:marLeft w:val="0"/>
      <w:marRight w:val="0"/>
      <w:marTop w:val="0"/>
      <w:marBottom w:val="0"/>
      <w:divBdr>
        <w:top w:val="none" w:sz="0" w:space="0" w:color="auto"/>
        <w:left w:val="none" w:sz="0" w:space="0" w:color="auto"/>
        <w:bottom w:val="none" w:sz="0" w:space="0" w:color="auto"/>
        <w:right w:val="none" w:sz="0" w:space="0" w:color="auto"/>
      </w:divBdr>
    </w:div>
    <w:div w:id="665862420">
      <w:bodyDiv w:val="1"/>
      <w:marLeft w:val="0"/>
      <w:marRight w:val="0"/>
      <w:marTop w:val="0"/>
      <w:marBottom w:val="0"/>
      <w:divBdr>
        <w:top w:val="none" w:sz="0" w:space="0" w:color="auto"/>
        <w:left w:val="none" w:sz="0" w:space="0" w:color="auto"/>
        <w:bottom w:val="none" w:sz="0" w:space="0" w:color="auto"/>
        <w:right w:val="none" w:sz="0" w:space="0" w:color="auto"/>
      </w:divBdr>
    </w:div>
    <w:div w:id="672757025">
      <w:bodyDiv w:val="1"/>
      <w:marLeft w:val="0"/>
      <w:marRight w:val="0"/>
      <w:marTop w:val="0"/>
      <w:marBottom w:val="0"/>
      <w:divBdr>
        <w:top w:val="none" w:sz="0" w:space="0" w:color="auto"/>
        <w:left w:val="none" w:sz="0" w:space="0" w:color="auto"/>
        <w:bottom w:val="none" w:sz="0" w:space="0" w:color="auto"/>
        <w:right w:val="none" w:sz="0" w:space="0" w:color="auto"/>
      </w:divBdr>
    </w:div>
    <w:div w:id="794829006">
      <w:bodyDiv w:val="1"/>
      <w:marLeft w:val="0"/>
      <w:marRight w:val="0"/>
      <w:marTop w:val="0"/>
      <w:marBottom w:val="0"/>
      <w:divBdr>
        <w:top w:val="none" w:sz="0" w:space="0" w:color="auto"/>
        <w:left w:val="none" w:sz="0" w:space="0" w:color="auto"/>
        <w:bottom w:val="none" w:sz="0" w:space="0" w:color="auto"/>
        <w:right w:val="none" w:sz="0" w:space="0" w:color="auto"/>
      </w:divBdr>
    </w:div>
    <w:div w:id="904685381">
      <w:bodyDiv w:val="1"/>
      <w:marLeft w:val="0"/>
      <w:marRight w:val="0"/>
      <w:marTop w:val="0"/>
      <w:marBottom w:val="0"/>
      <w:divBdr>
        <w:top w:val="none" w:sz="0" w:space="0" w:color="auto"/>
        <w:left w:val="none" w:sz="0" w:space="0" w:color="auto"/>
        <w:bottom w:val="none" w:sz="0" w:space="0" w:color="auto"/>
        <w:right w:val="none" w:sz="0" w:space="0" w:color="auto"/>
      </w:divBdr>
    </w:div>
    <w:div w:id="951203255">
      <w:bodyDiv w:val="1"/>
      <w:marLeft w:val="0"/>
      <w:marRight w:val="0"/>
      <w:marTop w:val="0"/>
      <w:marBottom w:val="0"/>
      <w:divBdr>
        <w:top w:val="none" w:sz="0" w:space="0" w:color="auto"/>
        <w:left w:val="none" w:sz="0" w:space="0" w:color="auto"/>
        <w:bottom w:val="none" w:sz="0" w:space="0" w:color="auto"/>
        <w:right w:val="none" w:sz="0" w:space="0" w:color="auto"/>
      </w:divBdr>
    </w:div>
    <w:div w:id="969826654">
      <w:bodyDiv w:val="1"/>
      <w:marLeft w:val="0"/>
      <w:marRight w:val="0"/>
      <w:marTop w:val="0"/>
      <w:marBottom w:val="0"/>
      <w:divBdr>
        <w:top w:val="none" w:sz="0" w:space="0" w:color="auto"/>
        <w:left w:val="none" w:sz="0" w:space="0" w:color="auto"/>
        <w:bottom w:val="none" w:sz="0" w:space="0" w:color="auto"/>
        <w:right w:val="none" w:sz="0" w:space="0" w:color="auto"/>
      </w:divBdr>
    </w:div>
    <w:div w:id="981302272">
      <w:bodyDiv w:val="1"/>
      <w:marLeft w:val="0"/>
      <w:marRight w:val="0"/>
      <w:marTop w:val="0"/>
      <w:marBottom w:val="0"/>
      <w:divBdr>
        <w:top w:val="none" w:sz="0" w:space="0" w:color="auto"/>
        <w:left w:val="none" w:sz="0" w:space="0" w:color="auto"/>
        <w:bottom w:val="none" w:sz="0" w:space="0" w:color="auto"/>
        <w:right w:val="none" w:sz="0" w:space="0" w:color="auto"/>
      </w:divBdr>
    </w:div>
    <w:div w:id="1030376272">
      <w:bodyDiv w:val="1"/>
      <w:marLeft w:val="0"/>
      <w:marRight w:val="0"/>
      <w:marTop w:val="0"/>
      <w:marBottom w:val="0"/>
      <w:divBdr>
        <w:top w:val="none" w:sz="0" w:space="0" w:color="auto"/>
        <w:left w:val="none" w:sz="0" w:space="0" w:color="auto"/>
        <w:bottom w:val="none" w:sz="0" w:space="0" w:color="auto"/>
        <w:right w:val="none" w:sz="0" w:space="0" w:color="auto"/>
      </w:divBdr>
    </w:div>
    <w:div w:id="1077752180">
      <w:bodyDiv w:val="1"/>
      <w:marLeft w:val="0"/>
      <w:marRight w:val="0"/>
      <w:marTop w:val="0"/>
      <w:marBottom w:val="0"/>
      <w:divBdr>
        <w:top w:val="none" w:sz="0" w:space="0" w:color="auto"/>
        <w:left w:val="none" w:sz="0" w:space="0" w:color="auto"/>
        <w:bottom w:val="none" w:sz="0" w:space="0" w:color="auto"/>
        <w:right w:val="none" w:sz="0" w:space="0" w:color="auto"/>
      </w:divBdr>
    </w:div>
    <w:div w:id="1142115311">
      <w:bodyDiv w:val="1"/>
      <w:marLeft w:val="0"/>
      <w:marRight w:val="0"/>
      <w:marTop w:val="0"/>
      <w:marBottom w:val="0"/>
      <w:divBdr>
        <w:top w:val="none" w:sz="0" w:space="0" w:color="auto"/>
        <w:left w:val="none" w:sz="0" w:space="0" w:color="auto"/>
        <w:bottom w:val="none" w:sz="0" w:space="0" w:color="auto"/>
        <w:right w:val="none" w:sz="0" w:space="0" w:color="auto"/>
      </w:divBdr>
    </w:div>
    <w:div w:id="1164860857">
      <w:bodyDiv w:val="1"/>
      <w:marLeft w:val="0"/>
      <w:marRight w:val="0"/>
      <w:marTop w:val="0"/>
      <w:marBottom w:val="0"/>
      <w:divBdr>
        <w:top w:val="none" w:sz="0" w:space="0" w:color="auto"/>
        <w:left w:val="none" w:sz="0" w:space="0" w:color="auto"/>
        <w:bottom w:val="none" w:sz="0" w:space="0" w:color="auto"/>
        <w:right w:val="none" w:sz="0" w:space="0" w:color="auto"/>
      </w:divBdr>
    </w:div>
    <w:div w:id="1196771925">
      <w:bodyDiv w:val="1"/>
      <w:marLeft w:val="0"/>
      <w:marRight w:val="0"/>
      <w:marTop w:val="0"/>
      <w:marBottom w:val="0"/>
      <w:divBdr>
        <w:top w:val="none" w:sz="0" w:space="0" w:color="auto"/>
        <w:left w:val="none" w:sz="0" w:space="0" w:color="auto"/>
        <w:bottom w:val="none" w:sz="0" w:space="0" w:color="auto"/>
        <w:right w:val="none" w:sz="0" w:space="0" w:color="auto"/>
      </w:divBdr>
    </w:div>
    <w:div w:id="1220244026">
      <w:bodyDiv w:val="1"/>
      <w:marLeft w:val="0"/>
      <w:marRight w:val="0"/>
      <w:marTop w:val="0"/>
      <w:marBottom w:val="0"/>
      <w:divBdr>
        <w:top w:val="none" w:sz="0" w:space="0" w:color="auto"/>
        <w:left w:val="none" w:sz="0" w:space="0" w:color="auto"/>
        <w:bottom w:val="none" w:sz="0" w:space="0" w:color="auto"/>
        <w:right w:val="none" w:sz="0" w:space="0" w:color="auto"/>
      </w:divBdr>
    </w:div>
    <w:div w:id="1324579914">
      <w:bodyDiv w:val="1"/>
      <w:marLeft w:val="0"/>
      <w:marRight w:val="0"/>
      <w:marTop w:val="0"/>
      <w:marBottom w:val="0"/>
      <w:divBdr>
        <w:top w:val="none" w:sz="0" w:space="0" w:color="auto"/>
        <w:left w:val="none" w:sz="0" w:space="0" w:color="auto"/>
        <w:bottom w:val="none" w:sz="0" w:space="0" w:color="auto"/>
        <w:right w:val="none" w:sz="0" w:space="0" w:color="auto"/>
      </w:divBdr>
    </w:div>
    <w:div w:id="1429498410">
      <w:bodyDiv w:val="1"/>
      <w:marLeft w:val="0"/>
      <w:marRight w:val="0"/>
      <w:marTop w:val="0"/>
      <w:marBottom w:val="0"/>
      <w:divBdr>
        <w:top w:val="none" w:sz="0" w:space="0" w:color="auto"/>
        <w:left w:val="none" w:sz="0" w:space="0" w:color="auto"/>
        <w:bottom w:val="none" w:sz="0" w:space="0" w:color="auto"/>
        <w:right w:val="none" w:sz="0" w:space="0" w:color="auto"/>
      </w:divBdr>
    </w:div>
    <w:div w:id="1458723014">
      <w:bodyDiv w:val="1"/>
      <w:marLeft w:val="0"/>
      <w:marRight w:val="0"/>
      <w:marTop w:val="0"/>
      <w:marBottom w:val="0"/>
      <w:divBdr>
        <w:top w:val="none" w:sz="0" w:space="0" w:color="auto"/>
        <w:left w:val="none" w:sz="0" w:space="0" w:color="auto"/>
        <w:bottom w:val="none" w:sz="0" w:space="0" w:color="auto"/>
        <w:right w:val="none" w:sz="0" w:space="0" w:color="auto"/>
      </w:divBdr>
    </w:div>
    <w:div w:id="1481116723">
      <w:bodyDiv w:val="1"/>
      <w:marLeft w:val="0"/>
      <w:marRight w:val="0"/>
      <w:marTop w:val="0"/>
      <w:marBottom w:val="0"/>
      <w:divBdr>
        <w:top w:val="none" w:sz="0" w:space="0" w:color="auto"/>
        <w:left w:val="none" w:sz="0" w:space="0" w:color="auto"/>
        <w:bottom w:val="none" w:sz="0" w:space="0" w:color="auto"/>
        <w:right w:val="none" w:sz="0" w:space="0" w:color="auto"/>
      </w:divBdr>
    </w:div>
    <w:div w:id="1497724331">
      <w:bodyDiv w:val="1"/>
      <w:marLeft w:val="0"/>
      <w:marRight w:val="0"/>
      <w:marTop w:val="0"/>
      <w:marBottom w:val="0"/>
      <w:divBdr>
        <w:top w:val="none" w:sz="0" w:space="0" w:color="auto"/>
        <w:left w:val="none" w:sz="0" w:space="0" w:color="auto"/>
        <w:bottom w:val="none" w:sz="0" w:space="0" w:color="auto"/>
        <w:right w:val="none" w:sz="0" w:space="0" w:color="auto"/>
      </w:divBdr>
    </w:div>
    <w:div w:id="1610814139">
      <w:bodyDiv w:val="1"/>
      <w:marLeft w:val="0"/>
      <w:marRight w:val="0"/>
      <w:marTop w:val="0"/>
      <w:marBottom w:val="0"/>
      <w:divBdr>
        <w:top w:val="none" w:sz="0" w:space="0" w:color="auto"/>
        <w:left w:val="none" w:sz="0" w:space="0" w:color="auto"/>
        <w:bottom w:val="none" w:sz="0" w:space="0" w:color="auto"/>
        <w:right w:val="none" w:sz="0" w:space="0" w:color="auto"/>
      </w:divBdr>
    </w:div>
    <w:div w:id="1638802144">
      <w:bodyDiv w:val="1"/>
      <w:marLeft w:val="0"/>
      <w:marRight w:val="0"/>
      <w:marTop w:val="0"/>
      <w:marBottom w:val="0"/>
      <w:divBdr>
        <w:top w:val="none" w:sz="0" w:space="0" w:color="auto"/>
        <w:left w:val="none" w:sz="0" w:space="0" w:color="auto"/>
        <w:bottom w:val="none" w:sz="0" w:space="0" w:color="auto"/>
        <w:right w:val="none" w:sz="0" w:space="0" w:color="auto"/>
      </w:divBdr>
    </w:div>
    <w:div w:id="1657294170">
      <w:bodyDiv w:val="1"/>
      <w:marLeft w:val="0"/>
      <w:marRight w:val="0"/>
      <w:marTop w:val="0"/>
      <w:marBottom w:val="0"/>
      <w:divBdr>
        <w:top w:val="none" w:sz="0" w:space="0" w:color="auto"/>
        <w:left w:val="none" w:sz="0" w:space="0" w:color="auto"/>
        <w:bottom w:val="none" w:sz="0" w:space="0" w:color="auto"/>
        <w:right w:val="none" w:sz="0" w:space="0" w:color="auto"/>
      </w:divBdr>
    </w:div>
    <w:div w:id="1660696593">
      <w:bodyDiv w:val="1"/>
      <w:marLeft w:val="0"/>
      <w:marRight w:val="0"/>
      <w:marTop w:val="0"/>
      <w:marBottom w:val="0"/>
      <w:divBdr>
        <w:top w:val="none" w:sz="0" w:space="0" w:color="auto"/>
        <w:left w:val="none" w:sz="0" w:space="0" w:color="auto"/>
        <w:bottom w:val="none" w:sz="0" w:space="0" w:color="auto"/>
        <w:right w:val="none" w:sz="0" w:space="0" w:color="auto"/>
      </w:divBdr>
    </w:div>
    <w:div w:id="1665863524">
      <w:bodyDiv w:val="1"/>
      <w:marLeft w:val="0"/>
      <w:marRight w:val="0"/>
      <w:marTop w:val="0"/>
      <w:marBottom w:val="0"/>
      <w:divBdr>
        <w:top w:val="none" w:sz="0" w:space="0" w:color="auto"/>
        <w:left w:val="none" w:sz="0" w:space="0" w:color="auto"/>
        <w:bottom w:val="none" w:sz="0" w:space="0" w:color="auto"/>
        <w:right w:val="none" w:sz="0" w:space="0" w:color="auto"/>
      </w:divBdr>
    </w:div>
    <w:div w:id="1796875125">
      <w:bodyDiv w:val="1"/>
      <w:marLeft w:val="0"/>
      <w:marRight w:val="0"/>
      <w:marTop w:val="0"/>
      <w:marBottom w:val="0"/>
      <w:divBdr>
        <w:top w:val="none" w:sz="0" w:space="0" w:color="auto"/>
        <w:left w:val="none" w:sz="0" w:space="0" w:color="auto"/>
        <w:bottom w:val="none" w:sz="0" w:space="0" w:color="auto"/>
        <w:right w:val="none" w:sz="0" w:space="0" w:color="auto"/>
      </w:divBdr>
    </w:div>
    <w:div w:id="1801874758">
      <w:bodyDiv w:val="1"/>
      <w:marLeft w:val="0"/>
      <w:marRight w:val="0"/>
      <w:marTop w:val="0"/>
      <w:marBottom w:val="0"/>
      <w:divBdr>
        <w:top w:val="none" w:sz="0" w:space="0" w:color="auto"/>
        <w:left w:val="none" w:sz="0" w:space="0" w:color="auto"/>
        <w:bottom w:val="none" w:sz="0" w:space="0" w:color="auto"/>
        <w:right w:val="none" w:sz="0" w:space="0" w:color="auto"/>
      </w:divBdr>
    </w:div>
    <w:div w:id="1833060795">
      <w:bodyDiv w:val="1"/>
      <w:marLeft w:val="0"/>
      <w:marRight w:val="0"/>
      <w:marTop w:val="0"/>
      <w:marBottom w:val="0"/>
      <w:divBdr>
        <w:top w:val="none" w:sz="0" w:space="0" w:color="auto"/>
        <w:left w:val="none" w:sz="0" w:space="0" w:color="auto"/>
        <w:bottom w:val="none" w:sz="0" w:space="0" w:color="auto"/>
        <w:right w:val="none" w:sz="0" w:space="0" w:color="auto"/>
      </w:divBdr>
    </w:div>
    <w:div w:id="1873224265">
      <w:bodyDiv w:val="1"/>
      <w:marLeft w:val="0"/>
      <w:marRight w:val="0"/>
      <w:marTop w:val="0"/>
      <w:marBottom w:val="0"/>
      <w:divBdr>
        <w:top w:val="none" w:sz="0" w:space="0" w:color="auto"/>
        <w:left w:val="none" w:sz="0" w:space="0" w:color="auto"/>
        <w:bottom w:val="none" w:sz="0" w:space="0" w:color="auto"/>
        <w:right w:val="none" w:sz="0" w:space="0" w:color="auto"/>
      </w:divBdr>
    </w:div>
    <w:div w:id="1925454596">
      <w:bodyDiv w:val="1"/>
      <w:marLeft w:val="0"/>
      <w:marRight w:val="0"/>
      <w:marTop w:val="0"/>
      <w:marBottom w:val="0"/>
      <w:divBdr>
        <w:top w:val="none" w:sz="0" w:space="0" w:color="auto"/>
        <w:left w:val="none" w:sz="0" w:space="0" w:color="auto"/>
        <w:bottom w:val="none" w:sz="0" w:space="0" w:color="auto"/>
        <w:right w:val="none" w:sz="0" w:space="0" w:color="auto"/>
      </w:divBdr>
    </w:div>
    <w:div w:id="1992517628">
      <w:bodyDiv w:val="1"/>
      <w:marLeft w:val="0"/>
      <w:marRight w:val="0"/>
      <w:marTop w:val="0"/>
      <w:marBottom w:val="0"/>
      <w:divBdr>
        <w:top w:val="none" w:sz="0" w:space="0" w:color="auto"/>
        <w:left w:val="none" w:sz="0" w:space="0" w:color="auto"/>
        <w:bottom w:val="none" w:sz="0" w:space="0" w:color="auto"/>
        <w:right w:val="none" w:sz="0" w:space="0" w:color="auto"/>
      </w:divBdr>
    </w:div>
    <w:div w:id="1999337988">
      <w:bodyDiv w:val="1"/>
      <w:marLeft w:val="0"/>
      <w:marRight w:val="0"/>
      <w:marTop w:val="0"/>
      <w:marBottom w:val="0"/>
      <w:divBdr>
        <w:top w:val="none" w:sz="0" w:space="0" w:color="auto"/>
        <w:left w:val="none" w:sz="0" w:space="0" w:color="auto"/>
        <w:bottom w:val="none" w:sz="0" w:space="0" w:color="auto"/>
        <w:right w:val="none" w:sz="0" w:space="0" w:color="auto"/>
      </w:divBdr>
    </w:div>
    <w:div w:id="2006931192">
      <w:bodyDiv w:val="1"/>
      <w:marLeft w:val="0"/>
      <w:marRight w:val="0"/>
      <w:marTop w:val="0"/>
      <w:marBottom w:val="0"/>
      <w:divBdr>
        <w:top w:val="none" w:sz="0" w:space="0" w:color="auto"/>
        <w:left w:val="none" w:sz="0" w:space="0" w:color="auto"/>
        <w:bottom w:val="none" w:sz="0" w:space="0" w:color="auto"/>
        <w:right w:val="none" w:sz="0" w:space="0" w:color="auto"/>
      </w:divBdr>
    </w:div>
    <w:div w:id="2038847845">
      <w:bodyDiv w:val="1"/>
      <w:marLeft w:val="0"/>
      <w:marRight w:val="0"/>
      <w:marTop w:val="0"/>
      <w:marBottom w:val="0"/>
      <w:divBdr>
        <w:top w:val="none" w:sz="0" w:space="0" w:color="auto"/>
        <w:left w:val="none" w:sz="0" w:space="0" w:color="auto"/>
        <w:bottom w:val="none" w:sz="0" w:space="0" w:color="auto"/>
        <w:right w:val="none" w:sz="0" w:space="0" w:color="auto"/>
      </w:divBdr>
    </w:div>
    <w:div w:id="20925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abinetoffice.gov.uk/media/cabinetoffice/social_exclusion_task_force/assets/publications_1997_to_2006/bridging_gap.pdf"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ata.oecd.org/youthinac/youth-not-in-employment-education-or-training-NEE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ojfileclusvp01\home$\collinsgm\My%20Documents\PROJECTS\stats%20sheets\stats%20sheet%20%20empoylmen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Graph 2: NEET</a:t>
            </a:r>
            <a:r>
              <a:rPr lang="en-IE" baseline="0"/>
              <a:t> by disability type</a:t>
            </a:r>
            <a:endParaRPr lang="en-I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2"/>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CE4E-4BB1-8B64-60AF8C4564F1}"/>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CE4E-4BB1-8B64-60AF8C4564F1}"/>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CE4E-4BB1-8B64-60AF8C4564F1}"/>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CE4E-4BB1-8B64-60AF8C4564F1}"/>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CE4E-4BB1-8B64-60AF8C4564F1}"/>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CE4E-4BB1-8B64-60AF8C4564F1}"/>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CE4E-4BB1-8B64-60AF8C4564F1}"/>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CE4E-4BB1-8B64-60AF8C4564F1}"/>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CE4E-4BB1-8B64-60AF8C4564F1}"/>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CE4E-4BB1-8B64-60AF8C4564F1}"/>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CE4E-4BB1-8B64-60AF8C4564F1}"/>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CE4E-4BB1-8B64-60AF8C4564F1}"/>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CE4E-4BB1-8B64-60AF8C4564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NEET2!$H$22:$H$34</c:f>
              <c:strCache>
                <c:ptCount val="12"/>
                <c:pt idx="0">
                  <c:v>Without a disability</c:v>
                </c:pt>
                <c:pt idx="1">
                  <c:v>Other disability, including chronic illness</c:v>
                </c:pt>
                <c:pt idx="2">
                  <c:v>Blindness or a serious vision impairment</c:v>
                </c:pt>
                <c:pt idx="3">
                  <c:v>Difficulty in learning, remembering or concentrating</c:v>
                </c:pt>
                <c:pt idx="4">
                  <c:v>Deafness or a serious hearing impairment</c:v>
                </c:pt>
                <c:pt idx="5">
                  <c:v>Psychological or emotional condition</c:v>
                </c:pt>
                <c:pt idx="6">
                  <c:v>An intellectual disability</c:v>
                </c:pt>
                <c:pt idx="7">
                  <c:v>Difficulty in participating in other activities</c:v>
                </c:pt>
                <c:pt idx="8">
                  <c:v>Difficulty in working or attending school/college</c:v>
                </c:pt>
                <c:pt idx="9">
                  <c:v>A condition that substantially limits one or more basic physical activities</c:v>
                </c:pt>
                <c:pt idx="10">
                  <c:v>Difficulty in dressing, bathing or getting around inside the home</c:v>
                </c:pt>
                <c:pt idx="11">
                  <c:v>Difficulty in going outside home alone</c:v>
                </c:pt>
              </c:strCache>
            </c:strRef>
          </c:cat>
          <c:val>
            <c:numRef>
              <c:f>NEET2!$I$22:$I$34</c:f>
              <c:numCache>
                <c:formatCode>0%</c:formatCode>
                <c:ptCount val="13"/>
                <c:pt idx="0">
                  <c:v>9.5606582955216859E-2</c:v>
                </c:pt>
                <c:pt idx="1">
                  <c:v>0.22343469292700779</c:v>
                </c:pt>
                <c:pt idx="2">
                  <c:v>0.23977474807350327</c:v>
                </c:pt>
                <c:pt idx="3">
                  <c:v>0.24312311304931231</c:v>
                </c:pt>
                <c:pt idx="4">
                  <c:v>0.25408900722708255</c:v>
                </c:pt>
                <c:pt idx="5">
                  <c:v>0.30742229880656075</c:v>
                </c:pt>
                <c:pt idx="6">
                  <c:v>0.32828926409684611</c:v>
                </c:pt>
                <c:pt idx="7">
                  <c:v>0.36021300874857359</c:v>
                </c:pt>
                <c:pt idx="8">
                  <c:v>0.37168141592920356</c:v>
                </c:pt>
                <c:pt idx="9">
                  <c:v>0.42318934719064633</c:v>
                </c:pt>
                <c:pt idx="10">
                  <c:v>0.43362295413214791</c:v>
                </c:pt>
                <c:pt idx="11">
                  <c:v>0.43971924029727499</c:v>
                </c:pt>
              </c:numCache>
            </c:numRef>
          </c:val>
          <c:extLst>
            <c:ext xmlns:c16="http://schemas.microsoft.com/office/drawing/2014/chart" uri="{C3380CC4-5D6E-409C-BE32-E72D297353CC}">
              <c16:uniqueId val="{0000001A-CE4E-4BB1-8B64-60AF8C4564F1}"/>
            </c:ext>
          </c:extLst>
        </c:ser>
        <c:dLbls>
          <c:showLegendKey val="0"/>
          <c:showVal val="0"/>
          <c:showCatName val="0"/>
          <c:showSerName val="0"/>
          <c:showPercent val="0"/>
          <c:showBubbleSize val="0"/>
        </c:dLbls>
        <c:gapWidth val="219"/>
        <c:overlap val="-27"/>
        <c:axId val="409138976"/>
        <c:axId val="214732064"/>
      </c:barChart>
      <c:catAx>
        <c:axId val="40913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84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732064"/>
        <c:crosses val="autoZero"/>
        <c:auto val="1"/>
        <c:lblAlgn val="ctr"/>
        <c:lblOffset val="100"/>
        <c:noMultiLvlLbl val="0"/>
      </c:catAx>
      <c:valAx>
        <c:axId val="214732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13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1C8B-3E73-45C8-8FE3-AFCCB678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4</TotalTime>
  <Pages>18</Pages>
  <Words>4086</Words>
  <Characters>21670</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collinsgm</dc:creator>
  <cp:keywords/>
  <dc:description/>
  <cp:lastModifiedBy>Heather C. O'Leary</cp:lastModifiedBy>
  <cp:revision>3</cp:revision>
  <cp:lastPrinted>2019-09-05T10:55:00Z</cp:lastPrinted>
  <dcterms:created xsi:type="dcterms:W3CDTF">2022-03-23T14:46:00Z</dcterms:created>
  <dcterms:modified xsi:type="dcterms:W3CDTF">2022-03-23T14:50:00Z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ies>
</file>