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4A69" w:rsidRDefault="00114A69" w:rsidP="00114A69">
      <w:pPr>
        <w:pStyle w:val="Title"/>
        <w:spacing w:before="960" w:after="2040"/>
        <w:jc w:val="left"/>
        <w:rPr>
          <w:sz w:val="96"/>
          <w:szCs w:val="96"/>
        </w:rPr>
      </w:pPr>
      <w:r>
        <w:rPr>
          <w:sz w:val="96"/>
          <w:szCs w:val="96"/>
        </w:rPr>
        <w:t>NDA Factsheet 4</w:t>
      </w:r>
      <w:r>
        <w:rPr>
          <w:sz w:val="96"/>
          <w:szCs w:val="96"/>
        </w:rPr>
        <w:t xml:space="preserve">: </w:t>
      </w:r>
      <w:r>
        <w:rPr>
          <w:sz w:val="96"/>
          <w:szCs w:val="96"/>
        </w:rPr>
        <w:t>Retaining people with a disability in the workforce</w:t>
      </w:r>
    </w:p>
    <w:p w:rsidR="00114A69" w:rsidRDefault="00114A69" w:rsidP="00114A69">
      <w:pPr>
        <w:spacing w:after="600"/>
        <w:rPr>
          <w:b/>
          <w:sz w:val="32"/>
          <w:szCs w:val="32"/>
        </w:rPr>
      </w:pPr>
      <w:r>
        <w:rPr>
          <w:b/>
          <w:sz w:val="32"/>
          <w:szCs w:val="32"/>
        </w:rPr>
        <w:t>January 2020</w:t>
      </w:r>
      <w:bookmarkStart w:id="0" w:name="_GoBack"/>
      <w:bookmarkEnd w:id="0"/>
    </w:p>
    <w:p w:rsidR="00114A69" w:rsidRDefault="00114A69" w:rsidP="00114A69">
      <w:pPr>
        <w:spacing w:after="0"/>
      </w:pPr>
      <w:r>
        <w:rPr>
          <w:noProof/>
          <w:lang w:eastAsia="en-IE"/>
        </w:rPr>
        <w:drawing>
          <wp:inline distT="0" distB="0" distL="0" distR="0" wp14:anchorId="5FA38E30" wp14:editId="2092A09B">
            <wp:extent cx="2524125" cy="1800225"/>
            <wp:effectExtent l="0" t="0" r="0" b="9525"/>
            <wp:docPr id="5" name="Picture 5" descr="NDA Logo" title="NDA Logo"/>
            <wp:cNvGraphicFramePr/>
            <a:graphic xmlns:a="http://schemas.openxmlformats.org/drawingml/2006/main">
              <a:graphicData uri="http://schemas.openxmlformats.org/drawingml/2006/picture">
                <pic:pic xmlns:pic="http://schemas.openxmlformats.org/drawingml/2006/picture">
                  <pic:nvPicPr>
                    <pic:cNvPr id="5" name="Picture 5" descr="NDA Logo" title="NDA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0315" cy="1800860"/>
                    </a:xfrm>
                    <a:prstGeom prst="rect">
                      <a:avLst/>
                    </a:prstGeom>
                  </pic:spPr>
                </pic:pic>
              </a:graphicData>
            </a:graphic>
          </wp:inline>
        </w:drawing>
      </w:r>
      <w:r>
        <w:br w:type="page"/>
      </w:r>
    </w:p>
    <w:p w:rsidR="006114B2" w:rsidRDefault="006114B2" w:rsidP="0061202A">
      <w:pPr>
        <w:pStyle w:val="Heading1"/>
      </w:pPr>
      <w:r>
        <w:lastRenderedPageBreak/>
        <w:t>Disability Factsheet 4: retaining people with a disability in the workforce</w:t>
      </w:r>
    </w:p>
    <w:p w:rsidR="009C3BD7" w:rsidRDefault="006114B2" w:rsidP="0061202A">
      <w:pPr>
        <w:pStyle w:val="Heading2"/>
      </w:pPr>
      <w:r>
        <w:t xml:space="preserve">Introduction </w:t>
      </w:r>
    </w:p>
    <w:p w:rsidR="00C901CC" w:rsidRDefault="006114B2" w:rsidP="006114B2">
      <w:r>
        <w:t xml:space="preserve">Approximately </w:t>
      </w:r>
      <w:r w:rsidR="00470BF3">
        <w:t>70%</w:t>
      </w:r>
      <w:r>
        <w:t xml:space="preserve"> of people of working age acquired their disability after the age of 16 years (</w:t>
      </w:r>
      <w:r w:rsidR="00602EB0">
        <w:t>Watson and colleagues, 2015</w:t>
      </w:r>
      <w:r>
        <w:t xml:space="preserve">). Therefore when we talk of people with a disability and employment we are mainly talking about people with an acquired disability. </w:t>
      </w:r>
    </w:p>
    <w:p w:rsidR="006114B2" w:rsidRDefault="006114B2" w:rsidP="006114B2">
      <w:r>
        <w:t xml:space="preserve">People acquire disability due </w:t>
      </w:r>
      <w:r w:rsidR="00470BF3">
        <w:t>becoming ill</w:t>
      </w:r>
      <w:r>
        <w:t xml:space="preserve">, </w:t>
      </w:r>
      <w:r w:rsidR="00470BF3">
        <w:t xml:space="preserve">having </w:t>
      </w:r>
      <w:r>
        <w:t xml:space="preserve">an accident, or for other reasons. The two most frequent reasons for </w:t>
      </w:r>
      <w:r w:rsidR="00470BF3">
        <w:t>being out of work in the long-term</w:t>
      </w:r>
      <w:r>
        <w:t xml:space="preserve"> are musculoskeletal problems</w:t>
      </w:r>
      <w:r w:rsidR="00463EF4">
        <w:t xml:space="preserve"> </w:t>
      </w:r>
      <w:r w:rsidR="00470BF3">
        <w:t>(</w:t>
      </w:r>
      <w:r>
        <w:t>such as back pain</w:t>
      </w:r>
      <w:r w:rsidR="00470BF3">
        <w:t>)</w:t>
      </w:r>
      <w:r w:rsidR="00602EB0">
        <w:t>,</w:t>
      </w:r>
      <w:r>
        <w:t xml:space="preserve"> and mental health issues </w:t>
      </w:r>
      <w:r w:rsidR="00470BF3">
        <w:t>(</w:t>
      </w:r>
      <w:r>
        <w:t>such as depression and anxiety</w:t>
      </w:r>
      <w:r w:rsidR="00470BF3">
        <w:t>)</w:t>
      </w:r>
      <w:r w:rsidR="00884761">
        <w:t xml:space="preserve"> (NDA 2011).  These two reasons are also the most common causes of disability</w:t>
      </w:r>
      <w:r>
        <w:t xml:space="preserve"> </w:t>
      </w:r>
      <w:r w:rsidR="00995D5D">
        <w:t xml:space="preserve">caused by work </w:t>
      </w:r>
      <w:r>
        <w:t>(</w:t>
      </w:r>
      <w:r w:rsidR="00602EB0">
        <w:t>Russell and colleagues 2016</w:t>
      </w:r>
      <w:r>
        <w:t>).</w:t>
      </w:r>
      <w:r w:rsidR="00463EF4">
        <w:t xml:space="preserve"> </w:t>
      </w:r>
      <w:r>
        <w:t xml:space="preserve"> </w:t>
      </w:r>
      <w:proofErr w:type="spellStart"/>
      <w:r w:rsidR="00463EF4" w:rsidRPr="00463EF4">
        <w:t>Privalko</w:t>
      </w:r>
      <w:proofErr w:type="spellEnd"/>
      <w:r w:rsidR="00463EF4" w:rsidRPr="00463EF4">
        <w:t xml:space="preserve"> </w:t>
      </w:r>
      <w:r w:rsidR="00463EF4">
        <w:t xml:space="preserve">and colleagues (2019) found that illness and disability was the second most common cause of leaving the workforce early in Ireland. </w:t>
      </w:r>
      <w:r>
        <w:t>For people with an acquired disability</w:t>
      </w:r>
      <w:r w:rsidR="00470BF3">
        <w:t>, the disability may come on gradually, while for others it might be more sudden. Some people only experience a disability every so often (episodically).</w:t>
      </w:r>
      <w:r>
        <w:t xml:space="preserve"> </w:t>
      </w:r>
    </w:p>
    <w:p w:rsidR="00873872" w:rsidRDefault="00ED4784" w:rsidP="00873872">
      <w:r>
        <w:t xml:space="preserve">There is a </w:t>
      </w:r>
      <w:r w:rsidR="00470BF3">
        <w:t>lot</w:t>
      </w:r>
      <w:r>
        <w:t xml:space="preserve"> of evidence on effective interventions that help workers stay in work after a</w:t>
      </w:r>
      <w:r w:rsidR="00C901CC">
        <w:t>cquiring a disability</w:t>
      </w:r>
      <w:r>
        <w:t xml:space="preserve"> (see Ben-Shalom and colleagues 2017 for an annotated bibliography). </w:t>
      </w:r>
      <w:r w:rsidR="00873872">
        <w:t>Interventions include things like providing assistance with interview skills and writing a curriculum vitae, training and apprenticeships or directly creating jobs for the unemployed. These interventions are typically short-term measures which are designed to allow the unemployed to build up work experience and get new skills.</w:t>
      </w:r>
    </w:p>
    <w:p w:rsidR="00ED4784" w:rsidRDefault="00ED4784" w:rsidP="00873872">
      <w:r>
        <w:t xml:space="preserve">The </w:t>
      </w:r>
      <w:r w:rsidR="00470BF3">
        <w:t>evidence almost always</w:t>
      </w:r>
      <w:r>
        <w:t xml:space="preserve"> favours early over late intervention - ideally, before the worker has left the workplace or at least before their </w:t>
      </w:r>
      <w:r w:rsidR="00C901CC">
        <w:t>contributory</w:t>
      </w:r>
      <w:r>
        <w:t xml:space="preserve"> benefits</w:t>
      </w:r>
      <w:r w:rsidR="00470BF3">
        <w:t xml:space="preserve"> stop</w:t>
      </w:r>
      <w:r w:rsidR="00995D5D">
        <w:t xml:space="preserve"> </w:t>
      </w:r>
      <w:r w:rsidR="00267DEB">
        <w:t>(NDA 2011)</w:t>
      </w:r>
      <w:r>
        <w:t>.</w:t>
      </w:r>
      <w:r w:rsidR="00E60F9A">
        <w:rPr>
          <w:rStyle w:val="FootnoteReference"/>
        </w:rPr>
        <w:footnoteReference w:id="1"/>
      </w:r>
    </w:p>
    <w:p w:rsidR="00ED4784" w:rsidRDefault="00ED4784" w:rsidP="00ED4784">
      <w:r>
        <w:t xml:space="preserve">Successful interventions are </w:t>
      </w:r>
      <w:r w:rsidR="0036083F">
        <w:t>particularly</w:t>
      </w:r>
      <w:r>
        <w:t xml:space="preserve"> associated with providing supports to workers with musculoskeletal conditions (particularly lower back pain), mental health conditions, and other chronic conditions </w:t>
      </w:r>
      <w:r w:rsidR="00470BF3">
        <w:t>which need the person to stick carefully to their treatment</w:t>
      </w:r>
      <w:r>
        <w:t xml:space="preserve"> (Stapleton et al. 2015 quoted in</w:t>
      </w:r>
      <w:r w:rsidRPr="00ED4784">
        <w:t xml:space="preserve"> Ben-Shalom and colleagues 2017</w:t>
      </w:r>
      <w:r>
        <w:t xml:space="preserve"> ). </w:t>
      </w:r>
      <w:r w:rsidR="00470BF3">
        <w:t xml:space="preserve">The success of the interventions depends on lots of factors but </w:t>
      </w:r>
      <w:r w:rsidR="00470BF3">
        <w:lastRenderedPageBreak/>
        <w:t>w</w:t>
      </w:r>
      <w:r>
        <w:t xml:space="preserve">orker motivation is </w:t>
      </w:r>
      <w:r w:rsidR="00470BF3">
        <w:t>very</w:t>
      </w:r>
      <w:r>
        <w:t xml:space="preserve"> important </w:t>
      </w:r>
      <w:r w:rsidR="00470BF3">
        <w:t xml:space="preserve">– even more important </w:t>
      </w:r>
      <w:r w:rsidR="00C901CC">
        <w:t>than</w:t>
      </w:r>
      <w:r>
        <w:t xml:space="preserve"> </w:t>
      </w:r>
      <w:r w:rsidR="00470BF3">
        <w:t xml:space="preserve">the worker’s </w:t>
      </w:r>
      <w:r>
        <w:t xml:space="preserve">age or gender in predicting </w:t>
      </w:r>
      <w:r w:rsidR="00470BF3">
        <w:t>that they will re-engage with their workplace</w:t>
      </w:r>
      <w:r>
        <w:t xml:space="preserve">. </w:t>
      </w:r>
    </w:p>
    <w:p w:rsidR="00267DEB" w:rsidRDefault="00995D5D" w:rsidP="00ED4784">
      <w:r>
        <w:t>R</w:t>
      </w:r>
      <w:r w:rsidR="0036083F">
        <w:t xml:space="preserve">esearch </w:t>
      </w:r>
      <w:r w:rsidR="00C901CC">
        <w:t xml:space="preserve">shows that </w:t>
      </w:r>
      <w:r w:rsidR="00470BF3">
        <w:t xml:space="preserve">the </w:t>
      </w:r>
      <w:r w:rsidR="00C901CC">
        <w:t xml:space="preserve">success of </w:t>
      </w:r>
      <w:r w:rsidR="0036083F">
        <w:t>interventions</w:t>
      </w:r>
      <w:r w:rsidR="00470BF3">
        <w:t xml:space="preserve"> is much more mixed</w:t>
      </w:r>
      <w:r w:rsidR="0036083F">
        <w:t xml:space="preserve"> once a person has left the </w:t>
      </w:r>
      <w:r w:rsidR="00F53F43">
        <w:t>labour</w:t>
      </w:r>
      <w:r w:rsidR="0036083F">
        <w:t xml:space="preserve"> force.  </w:t>
      </w:r>
      <w:r w:rsidR="00470BF3">
        <w:t>A</w:t>
      </w:r>
      <w:r w:rsidR="0036083F">
        <w:t xml:space="preserve">ctive </w:t>
      </w:r>
      <w:r w:rsidR="00F53F43">
        <w:t>labour</w:t>
      </w:r>
      <w:r w:rsidR="0036083F">
        <w:t xml:space="preserve"> </w:t>
      </w:r>
      <w:r w:rsidR="00F53F43">
        <w:t>mar</w:t>
      </w:r>
      <w:r w:rsidR="00873872">
        <w:t>ket policies can be effective if governments pay more than ‘lip service’ to them – by this researchers mean that interventions are tailored to the individual and the needs of the local labour markets and not generic interventions.</w:t>
      </w:r>
      <w:r w:rsidR="00873872" w:rsidRPr="00873872">
        <w:t xml:space="preserve"> Research indicates that activation measures for unemployed persons with disabilities have a low success rate</w:t>
      </w:r>
      <w:r w:rsidR="00C901CC">
        <w:t xml:space="preserve"> (M</w:t>
      </w:r>
      <w:r w:rsidR="0036083F">
        <w:t>artin 2015).</w:t>
      </w:r>
      <w:r w:rsidR="00267DEB">
        <w:rPr>
          <w:rStyle w:val="FootnoteReference"/>
        </w:rPr>
        <w:footnoteReference w:id="2"/>
      </w:r>
    </w:p>
    <w:p w:rsidR="00F53F43" w:rsidRDefault="00F53F43" w:rsidP="00ED4784">
      <w:r>
        <w:t xml:space="preserve">The lessons coming </w:t>
      </w:r>
      <w:r w:rsidR="00E60F9A">
        <w:t>from</w:t>
      </w:r>
      <w:r>
        <w:t xml:space="preserve"> the academic evaluations of retention and re</w:t>
      </w:r>
      <w:r w:rsidR="00470BF3">
        <w:t>-</w:t>
      </w:r>
      <w:r>
        <w:t xml:space="preserve">employment is </w:t>
      </w:r>
      <w:r w:rsidR="00E60F9A">
        <w:t xml:space="preserve">that </w:t>
      </w:r>
      <w:r>
        <w:t xml:space="preserve">it is better to catch the individual before </w:t>
      </w:r>
      <w:r w:rsidR="00995D5D">
        <w:t>quit work</w:t>
      </w:r>
      <w:r w:rsidR="00873872">
        <w:t>.</w:t>
      </w:r>
      <w:r>
        <w:t xml:space="preserve"> </w:t>
      </w:r>
      <w:r w:rsidR="00470BF3">
        <w:t>I</w:t>
      </w:r>
      <w:r>
        <w:t xml:space="preserve">f this </w:t>
      </w:r>
      <w:r w:rsidR="00C901CC">
        <w:t>cannot</w:t>
      </w:r>
      <w:r>
        <w:t xml:space="preserve"> be done</w:t>
      </w:r>
      <w:r w:rsidR="00470BF3">
        <w:t>,</w:t>
      </w:r>
      <w:r>
        <w:t xml:space="preserve"> the next best</w:t>
      </w:r>
      <w:r w:rsidR="00C901CC">
        <w:t xml:space="preserve"> solution is</w:t>
      </w:r>
      <w:r w:rsidR="00995D5D">
        <w:t xml:space="preserve"> for the Government</w:t>
      </w:r>
      <w:r w:rsidR="00C901CC">
        <w:t xml:space="preserve"> to intervene </w:t>
      </w:r>
      <w:r>
        <w:t xml:space="preserve">as soon as possible </w:t>
      </w:r>
      <w:r w:rsidR="00C901CC">
        <w:t>after they become unemployed</w:t>
      </w:r>
      <w:r w:rsidR="00995D5D">
        <w:t xml:space="preserve"> and apply for benefits</w:t>
      </w:r>
      <w:r w:rsidR="00470BF3">
        <w:t>.</w:t>
      </w:r>
      <w:r w:rsidR="00C901CC">
        <w:t xml:space="preserve"> </w:t>
      </w:r>
      <w:r w:rsidR="00470BF3">
        <w:t>A</w:t>
      </w:r>
      <w:r>
        <w:t xml:space="preserve">ny intervention has to be </w:t>
      </w:r>
      <w:r w:rsidR="00E60F9A">
        <w:t>made</w:t>
      </w:r>
      <w:r w:rsidR="00873872">
        <w:t xml:space="preserve"> by Governments</w:t>
      </w:r>
      <w:r w:rsidR="00E60F9A">
        <w:t xml:space="preserve"> </w:t>
      </w:r>
      <w:r>
        <w:t>in a determined fashion</w:t>
      </w:r>
      <w:r w:rsidR="00873872">
        <w:t xml:space="preserve"> and specific to the individual</w:t>
      </w:r>
      <w:r>
        <w:t>.</w:t>
      </w:r>
      <w:r w:rsidR="00C901CC">
        <w:t xml:space="preserve"> </w:t>
      </w:r>
      <w:r w:rsidR="00E60F9A">
        <w:t>(</w:t>
      </w:r>
      <w:r w:rsidR="00C901CC">
        <w:t xml:space="preserve">See </w:t>
      </w:r>
      <w:r w:rsidR="00C901CC" w:rsidRPr="00C901CC">
        <w:t>Hollenbeck</w:t>
      </w:r>
      <w:r w:rsidR="00C901CC">
        <w:t xml:space="preserve"> </w:t>
      </w:r>
      <w:r w:rsidR="00C901CC" w:rsidRPr="00C901CC">
        <w:t>2015</w:t>
      </w:r>
      <w:r w:rsidR="00C901CC">
        <w:t xml:space="preserve"> for a discussion of r</w:t>
      </w:r>
      <w:r w:rsidR="00C901CC" w:rsidRPr="00C901CC">
        <w:t xml:space="preserve">etention </w:t>
      </w:r>
      <w:r w:rsidR="00C901CC">
        <w:t>interventions</w:t>
      </w:r>
      <w:r w:rsidR="00267DEB">
        <w:t>.</w:t>
      </w:r>
      <w:r w:rsidR="00E60F9A">
        <w:t>)</w:t>
      </w:r>
      <w:r w:rsidR="00C901CC">
        <w:t xml:space="preserve"> </w:t>
      </w:r>
    </w:p>
    <w:p w:rsidR="00AC4E77" w:rsidRDefault="00247DFF" w:rsidP="006114B2">
      <w:r>
        <w:t>Reasonable accommodation can be one intervention to keep a person employed.</w:t>
      </w:r>
      <w:r w:rsidR="00AC4E77">
        <w:t xml:space="preserve"> Reasonable accommodation means that the employer puts in place appropriate measures that meet the needs of the employee with a disability to do their job. </w:t>
      </w:r>
      <w:r>
        <w:t xml:space="preserve"> </w:t>
      </w:r>
      <w:r w:rsidR="006114B2">
        <w:t>What reasonable accommodations consist of will vary by the disabilit</w:t>
      </w:r>
      <w:r w:rsidR="00E60F9A">
        <w:t xml:space="preserve">y, the job and the individual. </w:t>
      </w:r>
      <w:r w:rsidR="006114B2">
        <w:t xml:space="preserve">These could involve </w:t>
      </w:r>
    </w:p>
    <w:p w:rsidR="00AC4E77" w:rsidRDefault="006114B2" w:rsidP="00995D5D">
      <w:pPr>
        <w:pStyle w:val="ListParagraph"/>
        <w:numPr>
          <w:ilvl w:val="0"/>
          <w:numId w:val="19"/>
        </w:numPr>
      </w:pPr>
      <w:r>
        <w:t xml:space="preserve">rehabilitation services to make the return to work easier </w:t>
      </w:r>
    </w:p>
    <w:p w:rsidR="00AC4E77" w:rsidRDefault="00AC4E77" w:rsidP="00995D5D">
      <w:pPr>
        <w:pStyle w:val="ListParagraph"/>
        <w:numPr>
          <w:ilvl w:val="0"/>
          <w:numId w:val="19"/>
        </w:numPr>
      </w:pPr>
      <w:r>
        <w:t>r</w:t>
      </w:r>
      <w:r w:rsidR="006114B2">
        <w:t xml:space="preserve">emoving physical barriers so people can better access the workplace and facilities </w:t>
      </w:r>
    </w:p>
    <w:p w:rsidR="00AC4E77" w:rsidRDefault="006114B2" w:rsidP="00995D5D">
      <w:pPr>
        <w:pStyle w:val="ListParagraph"/>
        <w:numPr>
          <w:ilvl w:val="0"/>
          <w:numId w:val="19"/>
        </w:numPr>
      </w:pPr>
      <w:r>
        <w:t>ICT support</w:t>
      </w:r>
      <w:r w:rsidR="00AC4E77">
        <w:t>,</w:t>
      </w:r>
      <w:r>
        <w:t xml:space="preserve"> or </w:t>
      </w:r>
    </w:p>
    <w:p w:rsidR="006114B2" w:rsidRDefault="006114B2" w:rsidP="00995D5D">
      <w:pPr>
        <w:pStyle w:val="ListParagraph"/>
        <w:numPr>
          <w:ilvl w:val="0"/>
          <w:numId w:val="19"/>
        </w:numPr>
      </w:pPr>
      <w:r>
        <w:t>changed working practices.</w:t>
      </w:r>
    </w:p>
    <w:p w:rsidR="006114B2" w:rsidRDefault="006114B2" w:rsidP="006114B2">
      <w:r>
        <w:t xml:space="preserve">In </w:t>
      </w:r>
      <w:r w:rsidR="00995D5D">
        <w:t>many</w:t>
      </w:r>
      <w:r>
        <w:t xml:space="preserve"> cases, the person will be capable of continuing to work, provided some simple steps are taken. Often the steps needed to support an employee with an </w:t>
      </w:r>
      <w:r>
        <w:lastRenderedPageBreak/>
        <w:t>acquired disability to stay in work are very simple, do not take a lot of effort, and may cost little or nothing.</w:t>
      </w:r>
      <w:r w:rsidR="00B11EFB">
        <w:rPr>
          <w:rStyle w:val="FootnoteReference"/>
        </w:rPr>
        <w:footnoteReference w:id="3"/>
      </w:r>
    </w:p>
    <w:p w:rsidR="006114B2" w:rsidRDefault="006114B2" w:rsidP="00071B1E">
      <w:r>
        <w:t xml:space="preserve">Creating and maintaining an inclusive workplace that promotes and supports diversity is </w:t>
      </w:r>
      <w:r w:rsidR="00B9773C">
        <w:t>very important</w:t>
      </w:r>
      <w:r>
        <w:t xml:space="preserve"> in retaining employees who acquire a disability (</w:t>
      </w:r>
      <w:proofErr w:type="spellStart"/>
      <w:r w:rsidR="00267DEB" w:rsidRPr="00267DEB">
        <w:t>McAnaney</w:t>
      </w:r>
      <w:proofErr w:type="spellEnd"/>
      <w:r w:rsidR="00267DEB">
        <w:t xml:space="preserve"> and </w:t>
      </w:r>
      <w:r w:rsidR="00267DEB" w:rsidRPr="00267DEB">
        <w:t>Wynne</w:t>
      </w:r>
      <w:r w:rsidR="00267DEB">
        <w:t>, 2016</w:t>
      </w:r>
      <w:r>
        <w:t>).</w:t>
      </w:r>
      <w:r w:rsidR="001A54C7">
        <w:t xml:space="preserve">  </w:t>
      </w:r>
      <w:r w:rsidR="00B9773C">
        <w:t>Studies which look at managing disabilities all agree</w:t>
      </w:r>
      <w:r w:rsidR="001A54C7">
        <w:t xml:space="preserve"> that </w:t>
      </w:r>
      <w:r w:rsidR="00B9773C">
        <w:t xml:space="preserve">early intervention is </w:t>
      </w:r>
      <w:r w:rsidR="001A54C7">
        <w:t xml:space="preserve">the single most important tool in </w:t>
      </w:r>
      <w:r w:rsidR="00B9773C">
        <w:t xml:space="preserve">helping a person with an acquired disability stay in their job. These interventions include </w:t>
      </w:r>
      <w:r w:rsidR="001A54C7">
        <w:t xml:space="preserve">early return to work policies and supports (see </w:t>
      </w:r>
      <w:proofErr w:type="spellStart"/>
      <w:r w:rsidR="001A54C7" w:rsidRPr="001A54C7">
        <w:t>Lefever</w:t>
      </w:r>
      <w:proofErr w:type="spellEnd"/>
      <w:r w:rsidR="001A54C7">
        <w:t xml:space="preserve"> and </w:t>
      </w:r>
      <w:r w:rsidR="00E52169">
        <w:t>colleagues</w:t>
      </w:r>
      <w:r w:rsidR="001A54C7">
        <w:t xml:space="preserve"> 2018).</w:t>
      </w:r>
      <w:r w:rsidR="00B9773C">
        <w:t xml:space="preserve"> Supporting people to remain in employment when there is a risk that they will leave because of an acquired disability has lots of positives. For example, it has </w:t>
      </w:r>
      <w:r w:rsidR="00071B1E">
        <w:t>the potential to enhance the quality of life of the individuals</w:t>
      </w:r>
      <w:r w:rsidR="00B9773C">
        <w:t xml:space="preserve"> and also to reduce payments made through the disability</w:t>
      </w:r>
      <w:r w:rsidR="00071B1E">
        <w:t xml:space="preserve"> and pensions system </w:t>
      </w:r>
      <w:r w:rsidR="00071B1E" w:rsidRPr="00071B1E">
        <w:t>(</w:t>
      </w:r>
      <w:proofErr w:type="spellStart"/>
      <w:r w:rsidR="00071B1E" w:rsidRPr="00071B1E">
        <w:t>McAnaney</w:t>
      </w:r>
      <w:proofErr w:type="spellEnd"/>
      <w:r w:rsidR="00071B1E" w:rsidRPr="00071B1E">
        <w:t xml:space="preserve"> and Wynne, 2016).  </w:t>
      </w:r>
    </w:p>
    <w:p w:rsidR="006114B2" w:rsidRDefault="00B9773C" w:rsidP="006114B2">
      <w:r>
        <w:t>In t</w:t>
      </w:r>
      <w:r w:rsidR="006114B2">
        <w:t>his paper</w:t>
      </w:r>
      <w:r>
        <w:t>, we</w:t>
      </w:r>
      <w:r w:rsidR="006114B2">
        <w:t xml:space="preserve"> look at the characteristics of people who have left work</w:t>
      </w:r>
      <w:r w:rsidR="009B599A">
        <w:t xml:space="preserve"> and that may need particular policy attention if they are to keep working.</w:t>
      </w:r>
      <w:r w:rsidR="006114B2">
        <w:t xml:space="preserve"> </w:t>
      </w:r>
      <w:r w:rsidR="009B599A">
        <w:t xml:space="preserve">We also look at the relationship between different factors that might affect whether they stayed in work or not (these relationships are known as correlations). Correlations cannot tell us the cause of something but they can show where there is a strong relationship between different things and where these ‘move’ together. For example, </w:t>
      </w:r>
      <w:r w:rsidR="006114B2">
        <w:t xml:space="preserve">we </w:t>
      </w:r>
      <w:r w:rsidR="00E60F9A">
        <w:t>cannot</w:t>
      </w:r>
      <w:r w:rsidR="006114B2">
        <w:t xml:space="preserve"> be sure that </w:t>
      </w:r>
      <w:r w:rsidR="009B599A">
        <w:t xml:space="preserve">people leave the workplace because of a lack of </w:t>
      </w:r>
      <w:r w:rsidR="006114B2">
        <w:t xml:space="preserve">reasonable accommodations </w:t>
      </w:r>
      <w:r w:rsidR="009B599A">
        <w:t>but we do know that there is a relationship between people staying in work and reasonable accommodations being provided</w:t>
      </w:r>
      <w:r w:rsidR="006114B2">
        <w:t xml:space="preserve">. </w:t>
      </w:r>
    </w:p>
    <w:p w:rsidR="006114B2" w:rsidRDefault="006114B2" w:rsidP="006114B2">
      <w:r>
        <w:t>This paper only looks at people aged 20 to 64.</w:t>
      </w:r>
    </w:p>
    <w:p w:rsidR="006114B2" w:rsidRDefault="006114B2" w:rsidP="0061202A">
      <w:pPr>
        <w:pStyle w:val="Heading2"/>
      </w:pPr>
      <w:r>
        <w:t>Employment</w:t>
      </w:r>
      <w:r w:rsidR="009B599A">
        <w:t xml:space="preserve">, </w:t>
      </w:r>
      <w:r>
        <w:t xml:space="preserve">disability </w:t>
      </w:r>
      <w:r w:rsidR="009B599A">
        <w:t>and</w:t>
      </w:r>
      <w:r>
        <w:t xml:space="preserve"> age</w:t>
      </w:r>
    </w:p>
    <w:p w:rsidR="006114B2" w:rsidRDefault="006114B2" w:rsidP="006114B2">
      <w:r>
        <w:t xml:space="preserve">The 2016 census collects information on both economic status and disability.  </w:t>
      </w:r>
      <w:r w:rsidR="009B599A">
        <w:t xml:space="preserve">This allows us to examine people with and without a disability. </w:t>
      </w:r>
    </w:p>
    <w:p w:rsidR="006114B2" w:rsidRDefault="006114B2" w:rsidP="006114B2">
      <w:r>
        <w:t>People generally gradually join the workforce through their 20s</w:t>
      </w:r>
      <w:r w:rsidR="00D8449A">
        <w:t>,</w:t>
      </w:r>
      <w:r>
        <w:t xml:space="preserve"> work until their late 50s and early 60s</w:t>
      </w:r>
      <w:r w:rsidR="00D8449A">
        <w:t>,</w:t>
      </w:r>
      <w:r>
        <w:t xml:space="preserve"> and then retire. </w:t>
      </w:r>
      <w:r w:rsidR="00D8449A">
        <w:t>You can see this pattern in Graph 1</w:t>
      </w:r>
      <w:r>
        <w:t>.</w:t>
      </w:r>
    </w:p>
    <w:p w:rsidR="007D18EB" w:rsidRDefault="006114B2" w:rsidP="007D18EB">
      <w:pPr>
        <w:keepNext/>
      </w:pPr>
      <w:r>
        <w:lastRenderedPageBreak/>
        <w:t xml:space="preserve"> </w:t>
      </w:r>
      <w:r w:rsidRPr="00245B8C">
        <w:rPr>
          <w:noProof/>
          <w:lang w:eastAsia="en-IE"/>
        </w:rPr>
        <w:drawing>
          <wp:inline distT="0" distB="0" distL="0" distR="0" wp14:anchorId="223336FB" wp14:editId="1FCE5629">
            <wp:extent cx="4581525" cy="2914650"/>
            <wp:effectExtent l="0" t="0" r="9525" b="0"/>
            <wp:docPr id="2" name="Chart 1" descr="This graph shows how the rates of employment change for people with and without a disability as they age.  For both groups employment climbs from the teenage years, hits a maxium in middle age and then declines towards retiremetn age.  However employment rates are higher for people without a disability and stay higher without declining for longer." title="Employment by age"/>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114B2" w:rsidRDefault="006114B2" w:rsidP="001979C2">
      <w:pPr>
        <w:pStyle w:val="TableNote"/>
      </w:pPr>
      <w:r>
        <w:t>Source: Census 2016</w:t>
      </w:r>
    </w:p>
    <w:p w:rsidR="006114B2" w:rsidRDefault="006114B2" w:rsidP="006114B2">
      <w:r>
        <w:t xml:space="preserve">The percentage of the population in employment increases until middle age and then starts to </w:t>
      </w:r>
      <w:r w:rsidR="00D8449A">
        <w:t xml:space="preserve">go down </w:t>
      </w:r>
      <w:r>
        <w:t xml:space="preserve">for both people with and without a disability.  </w:t>
      </w:r>
    </w:p>
    <w:p w:rsidR="00D8449A" w:rsidRDefault="006114B2" w:rsidP="006114B2">
      <w:r>
        <w:t>For people without a disability the peak for working is aged 35-39</w:t>
      </w:r>
      <w:r w:rsidR="00D8449A">
        <w:t>. After this age, employment</w:t>
      </w:r>
      <w:r w:rsidR="00CB145B">
        <w:t xml:space="preserve"> </w:t>
      </w:r>
      <w:r>
        <w:t xml:space="preserve">remains relatively stable and starts to fall from the age of 50.   For people with a disability the pattern is </w:t>
      </w:r>
      <w:r w:rsidR="00742AF8">
        <w:t>slightly different</w:t>
      </w:r>
      <w:r>
        <w:t xml:space="preserve"> – peak employment is reached</w:t>
      </w:r>
      <w:r w:rsidR="002E1C4C">
        <w:t xml:space="preserve"> slightly</w:t>
      </w:r>
      <w:r>
        <w:t xml:space="preserve"> earlier</w:t>
      </w:r>
      <w:r w:rsidR="00D8449A">
        <w:t>,</w:t>
      </w:r>
      <w:r>
        <w:t xml:space="preserve"> between </w:t>
      </w:r>
      <w:r w:rsidR="00D8449A">
        <w:t xml:space="preserve">the ages of </w:t>
      </w:r>
      <w:r>
        <w:t>30 and 34 and falls slightly faster after that point</w:t>
      </w:r>
      <w:r w:rsidR="00E60F9A">
        <w:t xml:space="preserve">. </w:t>
      </w:r>
    </w:p>
    <w:p w:rsidR="006114B2" w:rsidRDefault="00742AF8" w:rsidP="006114B2">
      <w:r>
        <w:t xml:space="preserve">We can compare the employment rates of people with a disability to people without a disability. We call this ‘relative employment rate’. That is, the amount of people with a disability who are employed as a percentage of the amount of people without a disability who are employed. </w:t>
      </w:r>
      <w:r w:rsidR="006114B2">
        <w:t xml:space="preserve">The following graph </w:t>
      </w:r>
      <w:r w:rsidR="00E60F9A">
        <w:t xml:space="preserve">compares employment rates for men and women with a disability compared to men and women without a disability </w:t>
      </w:r>
      <w:r w:rsidR="006114B2">
        <w:t>(graph 2).</w:t>
      </w:r>
    </w:p>
    <w:p w:rsidR="006114B2" w:rsidRDefault="006114B2" w:rsidP="00DF3281">
      <w:pPr>
        <w:spacing w:after="0"/>
      </w:pPr>
      <w:r>
        <w:lastRenderedPageBreak/>
        <w:t xml:space="preserve"> </w:t>
      </w:r>
      <w:r w:rsidR="001979C2">
        <w:rPr>
          <w:noProof/>
          <w:lang w:eastAsia="en-IE"/>
        </w:rPr>
        <w:drawing>
          <wp:inline distT="0" distB="0" distL="0" distR="0" wp14:anchorId="6A4639B3" wp14:editId="22BFADD9">
            <wp:extent cx="4572000" cy="2743200"/>
            <wp:effectExtent l="0" t="0" r="0" b="0"/>
            <wp:docPr id="10" name="Chart 10" descr="at the age of 20 to 24 women with a disability have over 60% of the employment rates of women without a disability and this worsens over time so that by the age of 60 it is only about 40%. For men with a disability they start over - under 60% and it also falls so that they have about 40% of the employment rate of people without a disability by the age of 60." title="Relative employment rates by age and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114B2" w:rsidRDefault="006114B2" w:rsidP="00DF3281">
      <w:pPr>
        <w:pStyle w:val="TableNote"/>
        <w:spacing w:before="0"/>
      </w:pPr>
      <w:r>
        <w:t>Source: Census 2016</w:t>
      </w:r>
    </w:p>
    <w:p w:rsidR="001979C2" w:rsidRDefault="006114B2" w:rsidP="006114B2">
      <w:r>
        <w:t>If you compare women with a disability to women without a disability, younger women with a disability do relatively well</w:t>
      </w:r>
      <w:r w:rsidR="00D8449A">
        <w:t>.</w:t>
      </w:r>
      <w:r>
        <w:t xml:space="preserve">  Wom</w:t>
      </w:r>
      <w:r w:rsidR="00D8449A">
        <w:t>e</w:t>
      </w:r>
      <w:r>
        <w:t>n with a disability aged 20 to 24 have a</w:t>
      </w:r>
      <w:r w:rsidR="00D8449A">
        <w:t xml:space="preserve"> relative</w:t>
      </w:r>
      <w:r>
        <w:t xml:space="preserve"> employment rate of 66% of that of women without a disability of the same age.  </w:t>
      </w:r>
      <w:r w:rsidR="00A95C3D">
        <w:t xml:space="preserve">This means that for every 3 women aged 20-24 without a disability who are employed, only two women with a disability are employed. </w:t>
      </w:r>
      <w:r>
        <w:t xml:space="preserve">However, this falls for older women with a disability.  Women with a disability aged 60 to 64 have an employment rate </w:t>
      </w:r>
      <w:r w:rsidR="00DF7D60">
        <w:t xml:space="preserve">equivalent to just </w:t>
      </w:r>
      <w:r>
        <w:t xml:space="preserve">38% </w:t>
      </w:r>
      <w:r w:rsidR="00DF7D60">
        <w:t xml:space="preserve">of </w:t>
      </w:r>
      <w:r>
        <w:t xml:space="preserve">the rate of women without a disability.  </w:t>
      </w:r>
    </w:p>
    <w:p w:rsidR="006114B2" w:rsidRDefault="006114B2" w:rsidP="006114B2">
      <w:r>
        <w:t>Men with a disability start at a lower rate</w:t>
      </w:r>
      <w:r w:rsidR="00D8449A">
        <w:t xml:space="preserve"> -</w:t>
      </w:r>
      <w:r>
        <w:t xml:space="preserve"> 60% for those aged 20-24 </w:t>
      </w:r>
      <w:r w:rsidR="00A95C3D">
        <w:t xml:space="preserve">and it follows </w:t>
      </w:r>
      <w:r>
        <w:t>a similar pattern to women with a disability</w:t>
      </w:r>
      <w:r w:rsidR="00A95C3D">
        <w:t xml:space="preserve"> as they get older</w:t>
      </w:r>
      <w:r>
        <w:t xml:space="preserve">. Therefore as men and women with a disability age they are less likely to be employed compared to people without a disability. For both genders, the relative employment rates fall almost continually throughout their lives.  </w:t>
      </w:r>
      <w:r w:rsidR="00A95C3D">
        <w:t xml:space="preserve">This means that the older you are, </w:t>
      </w:r>
      <w:r>
        <w:t xml:space="preserve">the less likely you are to be working if you have a disability compared to people without a disability.  </w:t>
      </w:r>
    </w:p>
    <w:p w:rsidR="006114B2" w:rsidRDefault="00A95C3D" w:rsidP="006114B2">
      <w:r>
        <w:t>Because</w:t>
      </w:r>
      <w:r w:rsidR="006114B2">
        <w:t xml:space="preserve"> the differences for the younger </w:t>
      </w:r>
      <w:r>
        <w:t xml:space="preserve">age groups </w:t>
      </w:r>
      <w:r w:rsidR="006114B2">
        <w:t xml:space="preserve">are </w:t>
      </w:r>
      <w:r w:rsidR="001979C2">
        <w:t>smaller</w:t>
      </w:r>
      <w:r w:rsidR="006114B2">
        <w:t xml:space="preserve">, </w:t>
      </w:r>
      <w:r>
        <w:t xml:space="preserve">it </w:t>
      </w:r>
      <w:r w:rsidR="006114B2">
        <w:t xml:space="preserve">means that either as people with a disability age they do not feel able to </w:t>
      </w:r>
      <w:r>
        <w:t xml:space="preserve">stay </w:t>
      </w:r>
      <w:r w:rsidR="006114B2">
        <w:t>working or as people acquire a disability they leave the workforce (or both</w:t>
      </w:r>
      <w:r>
        <w:t xml:space="preserve"> reasons together</w:t>
      </w:r>
      <w:r w:rsidR="006114B2">
        <w:t>).</w:t>
      </w:r>
      <w:r>
        <w:t xml:space="preserve"> </w:t>
      </w:r>
      <w:r w:rsidR="00E60F9A">
        <w:t xml:space="preserve"> Both highlight the need for appropriate retention policies and reasonable accommodation. </w:t>
      </w:r>
    </w:p>
    <w:p w:rsidR="0098089D" w:rsidRDefault="0098089D" w:rsidP="006114B2"/>
    <w:p w:rsidR="0098089D" w:rsidRDefault="0098089D" w:rsidP="0098089D">
      <w:pPr>
        <w:pStyle w:val="Heading2"/>
      </w:pPr>
      <w:r>
        <w:lastRenderedPageBreak/>
        <w:t xml:space="preserve">Reasons for not working </w:t>
      </w:r>
    </w:p>
    <w:p w:rsidR="006114B2" w:rsidRDefault="006114B2" w:rsidP="006114B2">
      <w:r>
        <w:t xml:space="preserve">The next graph looks at just those who are unable to work because of permanent sickness </w:t>
      </w:r>
      <w:r w:rsidR="00DF7D60">
        <w:t xml:space="preserve">or </w:t>
      </w:r>
      <w:r>
        <w:t>disability (graph 3).</w:t>
      </w:r>
      <w:r w:rsidR="001979C2">
        <w:rPr>
          <w:rStyle w:val="FootnoteReference"/>
        </w:rPr>
        <w:footnoteReference w:id="4"/>
      </w:r>
      <w:r w:rsidR="001979C2">
        <w:t xml:space="preserve"> </w:t>
      </w:r>
      <w:r>
        <w:t xml:space="preserve"> </w:t>
      </w:r>
      <w:r w:rsidR="00742AF8">
        <w:t>The number of people who are unable to work due to permanent sickness or disability is almost entirely made up of people with a disability</w:t>
      </w:r>
      <w:r w:rsidR="00DC39E7">
        <w:t xml:space="preserve"> (some people with long term illness such as cancer or </w:t>
      </w:r>
      <w:r w:rsidR="00DC39E7" w:rsidRPr="00DC39E7">
        <w:t xml:space="preserve">debilitating mental health concerns </w:t>
      </w:r>
      <w:r w:rsidR="00DC39E7">
        <w:t>or may not consider they have a disability)</w:t>
      </w:r>
      <w:r w:rsidR="00742AF8">
        <w:t xml:space="preserve">. </w:t>
      </w:r>
      <w:r>
        <w:t xml:space="preserve">As </w:t>
      </w:r>
      <w:r w:rsidR="001E762E">
        <w:t>people get older</w:t>
      </w:r>
      <w:r>
        <w:t xml:space="preserve"> the number of people who cannot work increases. Also </w:t>
      </w:r>
      <w:r w:rsidR="001E762E">
        <w:t>80%</w:t>
      </w:r>
      <w:r>
        <w:t xml:space="preserve"> of people who are unable to work due to permanent sickness or disability are people with a disability.</w:t>
      </w:r>
    </w:p>
    <w:p w:rsidR="006114B2" w:rsidRDefault="006114B2" w:rsidP="00DF3281">
      <w:pPr>
        <w:spacing w:after="0"/>
      </w:pPr>
      <w:r>
        <w:t xml:space="preserve">  </w:t>
      </w:r>
      <w:r w:rsidR="001B32DD">
        <w:rPr>
          <w:noProof/>
          <w:lang w:eastAsia="en-IE"/>
        </w:rPr>
        <w:drawing>
          <wp:inline distT="0" distB="0" distL="0" distR="0" wp14:anchorId="785C959E" wp14:editId="5A03A1C2">
            <wp:extent cx="4572000" cy="2743200"/>
            <wp:effectExtent l="0" t="0" r="0" b="0"/>
            <wp:docPr id="7" name="Chart 7" descr="at the age of 20 there are less than 5000 people who can't work because they are sick or disabled. This climbs as you go up the age groups 15000 by age 45, 25000 by age 55. Nearly all of these people say they are disbaled." title="numbers unable to work due to permant disability or sickness"/>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114B2" w:rsidRDefault="006114B2" w:rsidP="001979C2">
      <w:pPr>
        <w:pStyle w:val="TableNote"/>
      </w:pPr>
      <w:r>
        <w:t>Source: Census 2016</w:t>
      </w:r>
    </w:p>
    <w:p w:rsidR="00DF3281" w:rsidRDefault="006114B2" w:rsidP="00DF3281">
      <w:r>
        <w:t>However</w:t>
      </w:r>
      <w:r w:rsidR="001E762E">
        <w:t>, not</w:t>
      </w:r>
      <w:r>
        <w:t xml:space="preserve"> all</w:t>
      </w:r>
      <w:r w:rsidR="001E762E">
        <w:t xml:space="preserve"> types of</w:t>
      </w:r>
      <w:r>
        <w:t xml:space="preserve"> disabilities are equally affected</w:t>
      </w:r>
      <w:r w:rsidR="00742AF8">
        <w:t xml:space="preserve"> by being unable to work</w:t>
      </w:r>
      <w:r>
        <w:t xml:space="preserve">.  </w:t>
      </w:r>
      <w:r w:rsidR="00DF3281" w:rsidRPr="00DF3281">
        <w:t xml:space="preserve">Graph 4 </w:t>
      </w:r>
      <w:r w:rsidR="00DF3281">
        <w:t xml:space="preserve">looks at the relative numbers of </w:t>
      </w:r>
      <w:r w:rsidR="001E762E">
        <w:t xml:space="preserve">people </w:t>
      </w:r>
      <w:r w:rsidR="00DF3281" w:rsidRPr="00DF3281">
        <w:t>who cannot work because of permanent sickness or disability</w:t>
      </w:r>
      <w:r w:rsidR="001E762E">
        <w:t xml:space="preserve"> and the type of disability they report</w:t>
      </w:r>
      <w:r w:rsidR="00DF3281" w:rsidRPr="00DF3281">
        <w:t xml:space="preserve">.  </w:t>
      </w:r>
    </w:p>
    <w:p w:rsidR="006114B2" w:rsidRPr="00DF3281" w:rsidRDefault="009C3203" w:rsidP="00DF3281">
      <w:pPr>
        <w:jc w:val="center"/>
        <w:rPr>
          <w:sz w:val="20"/>
          <w:szCs w:val="20"/>
        </w:rPr>
      </w:pPr>
      <w:r>
        <w:rPr>
          <w:noProof/>
          <w:lang w:eastAsia="en-IE"/>
        </w:rPr>
        <w:lastRenderedPageBreak/>
        <w:drawing>
          <wp:inline distT="0" distB="0" distL="0" distR="0" wp14:anchorId="37E4A180" wp14:editId="2202AD27">
            <wp:extent cx="5486400" cy="2837180"/>
            <wp:effectExtent l="0" t="0" r="0" b="1270"/>
            <wp:docPr id="3" name="Chart 3" descr="This graph looks at the % of each disability group in the category who can't work because they have a permanent sickness or disability.  Those with a psychological or emotional condition have a disproportionate chance of being in this category. " title="Unable to work due to permanent sickness or disabil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6114B2" w:rsidRPr="00DF3281">
        <w:rPr>
          <w:sz w:val="20"/>
          <w:szCs w:val="20"/>
        </w:rPr>
        <w:t>Source: Census 2016</w:t>
      </w:r>
    </w:p>
    <w:p w:rsidR="001E762E" w:rsidRDefault="006114B2" w:rsidP="006114B2">
      <w:r>
        <w:t xml:space="preserve">The overall percentage of the population who cannot work because of a permanent sickness or disability </w:t>
      </w:r>
      <w:r w:rsidR="00DF3281">
        <w:t xml:space="preserve">is </w:t>
      </w:r>
      <w:r>
        <w:t xml:space="preserve">7.1%. It is clear that three groups </w:t>
      </w:r>
      <w:r w:rsidR="001E762E">
        <w:t>are above this figure</w:t>
      </w:r>
      <w:r>
        <w:t xml:space="preserve">: </w:t>
      </w:r>
    </w:p>
    <w:p w:rsidR="001E762E" w:rsidRDefault="006114B2" w:rsidP="00742AF8">
      <w:pPr>
        <w:pStyle w:val="ListParagraph"/>
        <w:numPr>
          <w:ilvl w:val="0"/>
          <w:numId w:val="20"/>
        </w:numPr>
      </w:pPr>
      <w:r>
        <w:t xml:space="preserve">those with an intellectual disability, </w:t>
      </w:r>
    </w:p>
    <w:p w:rsidR="001E762E" w:rsidRDefault="001E762E" w:rsidP="00742AF8">
      <w:pPr>
        <w:pStyle w:val="ListParagraph"/>
        <w:numPr>
          <w:ilvl w:val="0"/>
          <w:numId w:val="20"/>
        </w:numPr>
      </w:pPr>
      <w:r>
        <w:t xml:space="preserve">those with </w:t>
      </w:r>
      <w:r w:rsidR="006114B2">
        <w:t>difficulty in learning, remembering or concentrating</w:t>
      </w:r>
      <w:r>
        <w:t>, and</w:t>
      </w:r>
    </w:p>
    <w:p w:rsidR="001E762E" w:rsidRDefault="006114B2" w:rsidP="00742AF8">
      <w:pPr>
        <w:pStyle w:val="ListParagraph"/>
        <w:numPr>
          <w:ilvl w:val="0"/>
          <w:numId w:val="20"/>
        </w:numPr>
      </w:pPr>
      <w:r>
        <w:t xml:space="preserve">those with psychological or emotional condition.  </w:t>
      </w:r>
    </w:p>
    <w:p w:rsidR="006114B2" w:rsidRDefault="001E762E" w:rsidP="001E762E">
      <w:r>
        <w:t xml:space="preserve">The people who are unable to work due to a psychological or emotional condition </w:t>
      </w:r>
      <w:r w:rsidR="006114B2">
        <w:t xml:space="preserve">is 50% more likely to be unable to work due to permanent sickness or disability than the total population. </w:t>
      </w:r>
    </w:p>
    <w:p w:rsidR="006114B2" w:rsidRDefault="00DF3281" w:rsidP="006114B2">
      <w:r>
        <w:t>Graph 4</w:t>
      </w:r>
      <w:r w:rsidR="006114B2">
        <w:t xml:space="preserve"> </w:t>
      </w:r>
      <w:r w:rsidR="00742AF8">
        <w:t>the percentage</w:t>
      </w:r>
      <w:r w:rsidR="006114B2">
        <w:t xml:space="preserve"> of those who are unable to work due to permanent sickness or disability.  If absolute numbers are examined </w:t>
      </w:r>
      <w:r w:rsidR="00492846">
        <w:t xml:space="preserve">(graph 5) </w:t>
      </w:r>
      <w:r w:rsidR="006114B2">
        <w:t xml:space="preserve">it is clear that the </w:t>
      </w:r>
      <w:r w:rsidR="001E762E">
        <w:t>largest</w:t>
      </w:r>
      <w:r w:rsidR="006114B2">
        <w:t xml:space="preserve"> number</w:t>
      </w:r>
      <w:r w:rsidR="004C7E40">
        <w:t xml:space="preserve"> of people </w:t>
      </w:r>
      <w:r w:rsidR="004C7E40" w:rsidRPr="004C7E40">
        <w:t>who cannot work due to permanent sickness or disability</w:t>
      </w:r>
      <w:r w:rsidR="004C7E40" w:rsidRPr="004C7E40" w:rsidDel="004C7E40">
        <w:t xml:space="preserve"> </w:t>
      </w:r>
      <w:r w:rsidR="006114B2">
        <w:t xml:space="preserve">are </w:t>
      </w:r>
      <w:r w:rsidR="004C7E40">
        <w:t xml:space="preserve">those that have: </w:t>
      </w:r>
      <w:r w:rsidR="006114B2">
        <w:t xml:space="preserve">‘A condition that substantially limits one or more basic physical activities’. </w:t>
      </w:r>
      <w:r w:rsidR="00492846">
        <w:t xml:space="preserve">The number of people with a physical disability who are unable to work due to a permanent sickness or disability is similar to other groups until middle age.  After the age </w:t>
      </w:r>
      <w:r w:rsidR="004C7E40">
        <w:t xml:space="preserve">of </w:t>
      </w:r>
      <w:r w:rsidR="00492846">
        <w:t>40 the numbers in this cat</w:t>
      </w:r>
      <w:r w:rsidR="00FE7CBB">
        <w:t xml:space="preserve">egory increase dramatically.  </w:t>
      </w:r>
      <w:r w:rsidR="004C7E40">
        <w:t>H</w:t>
      </w:r>
      <w:r w:rsidR="004C7E40" w:rsidRPr="004C7E40">
        <w:t xml:space="preserve">alf of all people </w:t>
      </w:r>
      <w:r w:rsidR="00FE7CBB">
        <w:t xml:space="preserve">in their </w:t>
      </w:r>
      <w:r w:rsidR="006114B2">
        <w:t xml:space="preserve">50s </w:t>
      </w:r>
      <w:r w:rsidR="00FE7CBB">
        <w:t xml:space="preserve">who are </w:t>
      </w:r>
      <w:r w:rsidR="002E1C4C">
        <w:t xml:space="preserve">unable to work </w:t>
      </w:r>
      <w:r w:rsidR="00FE7CBB">
        <w:t>due to permanent sickness or disability have a condition that substantially limits one or more basic physical activities.</w:t>
      </w:r>
    </w:p>
    <w:p w:rsidR="006114B2" w:rsidRDefault="006114B2" w:rsidP="006114B2">
      <w:r>
        <w:lastRenderedPageBreak/>
        <w:t xml:space="preserve"> </w:t>
      </w:r>
      <w:r w:rsidR="009C3203">
        <w:rPr>
          <w:noProof/>
          <w:lang w:eastAsia="en-IE"/>
        </w:rPr>
        <w:drawing>
          <wp:inline distT="0" distB="0" distL="0" distR="0" wp14:anchorId="34D300CB" wp14:editId="74EA9797">
            <wp:extent cx="5486400" cy="3314700"/>
            <wp:effectExtent l="0" t="0" r="0" b="0"/>
            <wp:docPr id="4" name="Chart 4" descr="This graph shows how the numbers in this category change by age.  it is low for all groups until the age of 30 and then starts to climb for a condition that sunstantialy limits one or more physical activites. By the age of 60 this category dominates - there are almost 15000 people with a physcial disability who are unable to work but for all other disabilities it is less than 5000 people. " title="unable to work due to permanent sickness or disabil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114B2" w:rsidRDefault="006114B2" w:rsidP="001979C2">
      <w:pPr>
        <w:pStyle w:val="TableNote"/>
      </w:pPr>
      <w:r>
        <w:t>Source: Census 2016</w:t>
      </w:r>
    </w:p>
    <w:p w:rsidR="006114B2" w:rsidRDefault="006114B2" w:rsidP="006114B2">
      <w:r>
        <w:t xml:space="preserve">The census also breaks down economic status by those who are ‘Unemployed having lost or given up previous job’. </w:t>
      </w:r>
      <w:r w:rsidR="0076132F">
        <w:t xml:space="preserve">Of all the people aged 20-64 without a disability </w:t>
      </w:r>
      <w:r>
        <w:t xml:space="preserve">8.6% </w:t>
      </w:r>
      <w:r w:rsidR="0076132F">
        <w:t>are u</w:t>
      </w:r>
      <w:r w:rsidR="0076132F" w:rsidRPr="0076132F">
        <w:t>nemployed having lost or given up previous job’</w:t>
      </w:r>
      <w:r w:rsidR="0076132F">
        <w:t xml:space="preserve"> for </w:t>
      </w:r>
      <w:r>
        <w:t xml:space="preserve">people with a disability </w:t>
      </w:r>
      <w:r w:rsidR="0076132F">
        <w:t xml:space="preserve">it is higher </w:t>
      </w:r>
      <w:r>
        <w:t>at 12.3%</w:t>
      </w:r>
      <w:r w:rsidR="00FE7CBB">
        <w:t xml:space="preserve"> (graph </w:t>
      </w:r>
      <w:r w:rsidR="0076132F">
        <w:t>6</w:t>
      </w:r>
      <w:r w:rsidR="00FE7CBB">
        <w:t>)</w:t>
      </w:r>
      <w:r>
        <w:t>.</w:t>
      </w:r>
    </w:p>
    <w:p w:rsidR="00FE7CBB" w:rsidRDefault="0076132F" w:rsidP="006114B2">
      <w:r>
        <w:rPr>
          <w:noProof/>
          <w:lang w:eastAsia="en-IE"/>
        </w:rPr>
        <w:drawing>
          <wp:inline distT="0" distB="0" distL="0" distR="0" wp14:anchorId="4180E519" wp14:editId="15809772">
            <wp:extent cx="4572000" cy="2743200"/>
            <wp:effectExtent l="0" t="0" r="0" b="0"/>
            <wp:docPr id="8" name="Chart 8" descr="This is an interesting graph as it doesn't follow the pattern of previous graphs.  the percentage of unemployed who lost or gave up work increases between 20 and 25 and then falls slightly to 34 and is flat after that age.  The line for people with and withuot a disability is pretty similar. " title="unemployed having given up or lost a job"/>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114B2" w:rsidRDefault="006114B2" w:rsidP="001979C2">
      <w:pPr>
        <w:pStyle w:val="TableNote"/>
      </w:pPr>
      <w:r>
        <w:t>Source: Census 2016</w:t>
      </w:r>
    </w:p>
    <w:p w:rsidR="006114B2" w:rsidRDefault="006114B2" w:rsidP="006114B2">
      <w:r>
        <w:lastRenderedPageBreak/>
        <w:t>People with a disability have a much greater probability of being unemployed having lost or given up a job than people without a disability. The gap between the groups is highest between the ages of 35 and 44 and narrows towards retirement age.</w:t>
      </w:r>
    </w:p>
    <w:p w:rsidR="006114B2" w:rsidRDefault="00FE7CBB" w:rsidP="006114B2">
      <w:r>
        <w:t xml:space="preserve">If we </w:t>
      </w:r>
      <w:r w:rsidR="00FC10ED">
        <w:t>compare men and women with a disability who are unemployed having lost or given up a job</w:t>
      </w:r>
      <w:r>
        <w:t xml:space="preserve"> </w:t>
      </w:r>
      <w:r w:rsidR="006114B2">
        <w:t xml:space="preserve">(graph </w:t>
      </w:r>
      <w:r w:rsidR="00077419">
        <w:t>7</w:t>
      </w:r>
      <w:r w:rsidR="006114B2">
        <w:t xml:space="preserve">) </w:t>
      </w:r>
      <w:r>
        <w:t xml:space="preserve">we see that the </w:t>
      </w:r>
      <w:r w:rsidR="006114B2">
        <w:t xml:space="preserve">differences </w:t>
      </w:r>
      <w:r>
        <w:t xml:space="preserve">are </w:t>
      </w:r>
      <w:r w:rsidR="006114B2">
        <w:t>particularly stark for men with a disability.</w:t>
      </w:r>
      <w:r w:rsidR="00800EDE">
        <w:t xml:space="preserve"> </w:t>
      </w:r>
      <w:r w:rsidR="00800EDE">
        <w:rPr>
          <w:rStyle w:val="FootnoteReference"/>
        </w:rPr>
        <w:footnoteReference w:id="5"/>
      </w:r>
    </w:p>
    <w:p w:rsidR="006114B2" w:rsidRDefault="006114B2" w:rsidP="006114B2">
      <w:r>
        <w:t xml:space="preserve"> </w:t>
      </w:r>
      <w:r w:rsidR="005E13D2">
        <w:rPr>
          <w:noProof/>
          <w:lang w:eastAsia="en-IE"/>
        </w:rPr>
        <w:drawing>
          <wp:inline distT="0" distB="0" distL="0" distR="0" wp14:anchorId="3AA01F1C" wp14:editId="6CDB97E7">
            <wp:extent cx="5219700" cy="2743200"/>
            <wp:effectExtent l="0" t="0" r="0" b="0"/>
            <wp:docPr id="1" name="Chart 1" descr="men are much more liekly than women to have given up or lost work.  This is regardless of age. However except for people in their 60s man and women with a disability are more likelyt o have lost or given up work than people without a disability." title="lost work by gender and 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114B2" w:rsidRDefault="006114B2" w:rsidP="001979C2">
      <w:pPr>
        <w:pStyle w:val="TableNote"/>
      </w:pPr>
      <w:r>
        <w:t>Source: Census 2016</w:t>
      </w:r>
    </w:p>
    <w:p w:rsidR="006114B2" w:rsidRDefault="00FE7CBB" w:rsidP="006114B2">
      <w:r w:rsidRPr="00FE7CBB">
        <w:t xml:space="preserve">Graph </w:t>
      </w:r>
      <w:r w:rsidR="00077419">
        <w:t>8</w:t>
      </w:r>
      <w:r w:rsidRPr="00FE7CBB">
        <w:t xml:space="preserve"> </w:t>
      </w:r>
      <w:r w:rsidR="00FC10ED">
        <w:t xml:space="preserve">shows how likely it is that someone is unemployed </w:t>
      </w:r>
      <w:r w:rsidRPr="00FE7CBB">
        <w:t xml:space="preserve">having lost </w:t>
      </w:r>
      <w:r w:rsidR="008C19E1" w:rsidRPr="00FE7CBB">
        <w:t>o</w:t>
      </w:r>
      <w:r w:rsidR="008C19E1">
        <w:t xml:space="preserve">r </w:t>
      </w:r>
      <w:r w:rsidRPr="00FE7CBB">
        <w:t>given up a previous job</w:t>
      </w:r>
      <w:r w:rsidR="00FC10ED">
        <w:t xml:space="preserve"> compared</w:t>
      </w:r>
      <w:r w:rsidRPr="00FE7CBB">
        <w:t xml:space="preserve"> to people without a disability.  </w:t>
      </w:r>
      <w:r w:rsidR="003C3ACA">
        <w:t>I</w:t>
      </w:r>
      <w:r w:rsidRPr="00FE7CBB">
        <w:t>f the chan</w:t>
      </w:r>
      <w:r>
        <w:t>c</w:t>
      </w:r>
      <w:r w:rsidRPr="00FE7CBB">
        <w:t xml:space="preserve">es of being in this category are the same </w:t>
      </w:r>
      <w:r>
        <w:t xml:space="preserve">for someone with or without a disability </w:t>
      </w:r>
      <w:r w:rsidRPr="00FE7CBB">
        <w:t xml:space="preserve">the score would be </w:t>
      </w:r>
      <w:r w:rsidR="00FC10ED">
        <w:t>one</w:t>
      </w:r>
      <w:r w:rsidRPr="00FE7CBB">
        <w:t xml:space="preserve">.  </w:t>
      </w:r>
      <w:r w:rsidR="00FC10ED">
        <w:t>When the lines go above one,</w:t>
      </w:r>
      <w:r w:rsidRPr="00FE7CBB">
        <w:t xml:space="preserve"> </w:t>
      </w:r>
      <w:r w:rsidR="00FC10ED">
        <w:t>i</w:t>
      </w:r>
      <w:r w:rsidRPr="00FE7CBB">
        <w:t xml:space="preserve">t means that you are more likely to be unemployed having lost </w:t>
      </w:r>
      <w:r w:rsidR="003C3ACA" w:rsidRPr="00FE7CBB">
        <w:t>o</w:t>
      </w:r>
      <w:r w:rsidR="003C3ACA">
        <w:t>r</w:t>
      </w:r>
      <w:r w:rsidR="003C3ACA" w:rsidRPr="00FE7CBB">
        <w:t xml:space="preserve"> </w:t>
      </w:r>
      <w:r w:rsidRPr="00FE7CBB">
        <w:t xml:space="preserve">given up a previous job compared to people without a disability.  </w:t>
      </w:r>
      <w:r w:rsidR="00FC10ED">
        <w:t>When they are b</w:t>
      </w:r>
      <w:r w:rsidRPr="00FE7CBB">
        <w:t>elow one</w:t>
      </w:r>
      <w:r w:rsidR="00FC10ED">
        <w:t>, it means</w:t>
      </w:r>
      <w:r w:rsidRPr="00FE7CBB">
        <w:t xml:space="preserve"> you are less likely to be in this category compared to people without a disability.  For </w:t>
      </w:r>
      <w:r w:rsidR="003C3ACA">
        <w:t>all</w:t>
      </w:r>
      <w:r w:rsidR="003C3ACA" w:rsidRPr="00FE7CBB">
        <w:t xml:space="preserve"> disabilities,</w:t>
      </w:r>
      <w:r w:rsidRPr="00FE7CBB">
        <w:t xml:space="preserve"> the likelihood of being </w:t>
      </w:r>
      <w:r w:rsidR="00FC10ED">
        <w:t xml:space="preserve">unemployed </w:t>
      </w:r>
      <w:r w:rsidR="00FC10ED" w:rsidRPr="00FE7CBB">
        <w:t>having lost o</w:t>
      </w:r>
      <w:r w:rsidR="00FC10ED">
        <w:t xml:space="preserve">r </w:t>
      </w:r>
      <w:r w:rsidR="00FC10ED" w:rsidRPr="00FE7CBB">
        <w:t>given up a previous job</w:t>
      </w:r>
      <w:r w:rsidR="00FC10ED" w:rsidRPr="00FE7CBB" w:rsidDel="00FC10ED">
        <w:t xml:space="preserve"> </w:t>
      </w:r>
      <w:r w:rsidRPr="00FE7CBB">
        <w:t>is greater than one</w:t>
      </w:r>
      <w:r w:rsidR="00FC10ED">
        <w:t>.</w:t>
      </w:r>
      <w:r w:rsidR="003C3ACA">
        <w:t xml:space="preserve"> The likelihood</w:t>
      </w:r>
      <w:r w:rsidR="003C3ACA" w:rsidRPr="00FE7CBB">
        <w:t xml:space="preserve"> </w:t>
      </w:r>
      <w:r w:rsidRPr="00FE7CBB">
        <w:t xml:space="preserve">rises with middle age and then falls as retirement approaches.  The highest relative occurrence are for two groups: </w:t>
      </w:r>
      <w:r w:rsidR="003C3ACA">
        <w:t xml:space="preserve">persons that </w:t>
      </w:r>
      <w:r w:rsidR="003C3ACA" w:rsidRPr="00FE7CBB">
        <w:lastRenderedPageBreak/>
        <w:t>hav</w:t>
      </w:r>
      <w:r w:rsidR="003C3ACA">
        <w:t>e</w:t>
      </w:r>
      <w:r w:rsidR="003C3ACA" w:rsidRPr="00FE7CBB">
        <w:t xml:space="preserve"> </w:t>
      </w:r>
      <w:r w:rsidRPr="00FE7CBB">
        <w:t xml:space="preserve">a psychological or emotional condition </w:t>
      </w:r>
      <w:r w:rsidR="003C3ACA">
        <w:t>and persons that have</w:t>
      </w:r>
      <w:r w:rsidR="003C3ACA" w:rsidRPr="00FE7CBB">
        <w:t xml:space="preserve"> </w:t>
      </w:r>
      <w:r w:rsidRPr="00FE7CBB">
        <w:t>a condition that substantially limits one or more basic physical activities.</w:t>
      </w:r>
    </w:p>
    <w:p w:rsidR="006114B2" w:rsidRDefault="005E13D2" w:rsidP="006114B2">
      <w:r>
        <w:rPr>
          <w:noProof/>
          <w:lang w:eastAsia="en-IE"/>
        </w:rPr>
        <w:drawing>
          <wp:inline distT="0" distB="0" distL="0" distR="0" wp14:anchorId="12039980" wp14:editId="7E688791">
            <wp:extent cx="5486400" cy="3591560"/>
            <wp:effectExtent l="0" t="0" r="0" b="8890"/>
            <wp:docPr id="11" name="Chart 11" descr="regardless of disability you are more likely to have lost or given up a job if you have a disability compared to someone without a disability. However this discrepancy is highest in middle age." title="Unemployment havign lost or given up a job by sleclected disabilt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114B2" w:rsidRDefault="006114B2" w:rsidP="001979C2">
      <w:pPr>
        <w:pStyle w:val="TableNote"/>
      </w:pPr>
      <w:r>
        <w:t>Source: Census 2016</w:t>
      </w:r>
    </w:p>
    <w:p w:rsidR="006114B2" w:rsidRDefault="006114B2" w:rsidP="006114B2">
      <w:r>
        <w:t xml:space="preserve">When the data is broken down further by gender (graph </w:t>
      </w:r>
      <w:r w:rsidR="00077419">
        <w:t>9</w:t>
      </w:r>
      <w:r>
        <w:t>) it is clear that gender differences are hiding how high some of these rates are for men.  For instance</w:t>
      </w:r>
      <w:r w:rsidR="004C7BBA">
        <w:t>,</w:t>
      </w:r>
      <w:r>
        <w:t xml:space="preserve"> </w:t>
      </w:r>
      <w:r w:rsidR="00CB6D28">
        <w:t xml:space="preserve">in some age groups </w:t>
      </w:r>
      <w:r>
        <w:t xml:space="preserve">one in five men with a mental health problem are unemployed </w:t>
      </w:r>
      <w:r w:rsidR="006F31DA">
        <w:t>having lost or given up a previous job</w:t>
      </w:r>
      <w:r w:rsidR="00CB6D28">
        <w:t xml:space="preserve">. </w:t>
      </w:r>
      <w:r>
        <w:t>For men with a physical disability the rates are not as high but it is still one in six men with a physical disability</w:t>
      </w:r>
      <w:r w:rsidR="006F31DA">
        <w:t xml:space="preserve"> are out of the workforce even though they previously </w:t>
      </w:r>
      <w:r>
        <w:t xml:space="preserve">worked. </w:t>
      </w:r>
    </w:p>
    <w:p w:rsidR="006114B2" w:rsidRDefault="003B6C17" w:rsidP="006114B2">
      <w:r>
        <w:rPr>
          <w:noProof/>
          <w:lang w:eastAsia="en-IE"/>
        </w:rPr>
        <w:lastRenderedPageBreak/>
        <w:drawing>
          <wp:inline distT="0" distB="0" distL="0" distR="0" wp14:anchorId="6072A939" wp14:editId="3F000F8F">
            <wp:extent cx="5253038" cy="4224337"/>
            <wp:effectExtent l="0" t="0" r="5080" b="5080"/>
            <wp:docPr id="12" name="Chart 12" descr="this graph only looks at those who are unemployed having lost or given up a job for those with a mental health or a physical disability. For men and women mental health issues are higher than phsycial disability issues. The highest category is men with mental health issues. this rises sharly between 20 and 25 and then stays high and only declines slowily after the age of 40." title="age, sex and disabil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114B2" w:rsidRDefault="001979C2" w:rsidP="001979C2">
      <w:pPr>
        <w:pStyle w:val="TableNote"/>
      </w:pPr>
      <w:r>
        <w:t>Source: Census 2016</w:t>
      </w:r>
    </w:p>
    <w:p w:rsidR="006114B2" w:rsidRDefault="006114B2" w:rsidP="00077419">
      <w:pPr>
        <w:pStyle w:val="Heading2"/>
      </w:pPr>
      <w:r>
        <w:t>Change over time</w:t>
      </w:r>
    </w:p>
    <w:p w:rsidR="006114B2" w:rsidRDefault="006114B2" w:rsidP="006114B2">
      <w:r>
        <w:t>There ha</w:t>
      </w:r>
      <w:r w:rsidR="004C7BBA">
        <w:t>ve</w:t>
      </w:r>
      <w:r>
        <w:t xml:space="preserve"> been improvements between 2011 and 2016 for both those </w:t>
      </w:r>
      <w:r w:rsidR="00077419">
        <w:t>‘</w:t>
      </w:r>
      <w:r>
        <w:t>Unable to work due to permanent sickness or disability</w:t>
      </w:r>
      <w:r w:rsidR="00077419">
        <w:t>’</w:t>
      </w:r>
      <w:r>
        <w:t xml:space="preserve"> and </w:t>
      </w:r>
      <w:r w:rsidR="00077419">
        <w:t>‘</w:t>
      </w:r>
      <w:r>
        <w:t>Unemployed having lost or given up previous job</w:t>
      </w:r>
      <w:r w:rsidR="00077419">
        <w:t>’ (table 1).</w:t>
      </w:r>
    </w:p>
    <w:p w:rsidR="001979C2" w:rsidRDefault="001979C2" w:rsidP="001979C2">
      <w:pPr>
        <w:pStyle w:val="Caption"/>
        <w:keepNext/>
      </w:pPr>
      <w:r>
        <w:lastRenderedPageBreak/>
        <w:t xml:space="preserve">Table </w:t>
      </w:r>
      <w:r w:rsidR="006F31DA" w:rsidRPr="006F31DA">
        <w:t>1</w:t>
      </w:r>
      <w:r>
        <w:t>: change in selected economic status between 2011 and 2016</w:t>
      </w:r>
    </w:p>
    <w:tbl>
      <w:tblPr>
        <w:tblStyle w:val="TableGrid"/>
        <w:tblW w:w="0" w:type="auto"/>
        <w:tblLook w:val="04A0" w:firstRow="1" w:lastRow="0" w:firstColumn="1" w:lastColumn="0" w:noHBand="0" w:noVBand="1"/>
        <w:tblDescription w:val="This table shows the change in unemployment for 2 groups between 2011 and 2016."/>
      </w:tblPr>
      <w:tblGrid>
        <w:gridCol w:w="1682"/>
        <w:gridCol w:w="1923"/>
        <w:gridCol w:w="1923"/>
        <w:gridCol w:w="1391"/>
        <w:gridCol w:w="1391"/>
      </w:tblGrid>
      <w:tr w:rsidR="001979C2" w:rsidRPr="00B16DF9" w:rsidTr="0061202A">
        <w:trPr>
          <w:tblHeader/>
        </w:trPr>
        <w:tc>
          <w:tcPr>
            <w:tcW w:w="1682" w:type="dxa"/>
          </w:tcPr>
          <w:p w:rsidR="001979C2" w:rsidRPr="00B16DF9" w:rsidRDefault="001979C2" w:rsidP="0061202A">
            <w:pPr>
              <w:pStyle w:val="TableRowHead"/>
            </w:pPr>
            <w:r>
              <w:t>age</w:t>
            </w:r>
          </w:p>
        </w:tc>
        <w:tc>
          <w:tcPr>
            <w:tcW w:w="1923" w:type="dxa"/>
          </w:tcPr>
          <w:p w:rsidR="001979C2" w:rsidRPr="00B16DF9" w:rsidRDefault="001979C2" w:rsidP="0061202A">
            <w:pPr>
              <w:pStyle w:val="TableHead"/>
            </w:pPr>
            <w:r>
              <w:t xml:space="preserve">2011 </w:t>
            </w:r>
          </w:p>
          <w:p w:rsidR="001979C2" w:rsidRPr="00B16DF9" w:rsidRDefault="001979C2" w:rsidP="0061202A">
            <w:pPr>
              <w:pStyle w:val="TableHead"/>
            </w:pPr>
            <w:r>
              <w:rPr>
                <w:rFonts w:ascii="Calibri" w:hAnsi="Calibri"/>
                <w:color w:val="000000"/>
                <w:sz w:val="22"/>
                <w:szCs w:val="22"/>
              </w:rPr>
              <w:t>Unable to work due to permanent sickness or disability</w:t>
            </w:r>
          </w:p>
        </w:tc>
        <w:tc>
          <w:tcPr>
            <w:tcW w:w="1923" w:type="dxa"/>
          </w:tcPr>
          <w:p w:rsidR="001979C2" w:rsidRPr="00B16DF9" w:rsidRDefault="001979C2" w:rsidP="0061202A">
            <w:pPr>
              <w:pStyle w:val="TableHead"/>
            </w:pPr>
            <w:r>
              <w:t xml:space="preserve">2016 </w:t>
            </w:r>
          </w:p>
          <w:p w:rsidR="001979C2" w:rsidRPr="00B16DF9" w:rsidRDefault="001979C2" w:rsidP="0061202A">
            <w:pPr>
              <w:pStyle w:val="TableHead"/>
            </w:pPr>
            <w:r>
              <w:rPr>
                <w:rFonts w:ascii="Calibri" w:hAnsi="Calibri"/>
                <w:color w:val="000000"/>
                <w:sz w:val="22"/>
                <w:szCs w:val="22"/>
              </w:rPr>
              <w:t>Unable to work due to permanent sickness or disability</w:t>
            </w:r>
          </w:p>
        </w:tc>
        <w:tc>
          <w:tcPr>
            <w:tcW w:w="1384" w:type="dxa"/>
          </w:tcPr>
          <w:p w:rsidR="001979C2" w:rsidRPr="00B16DF9" w:rsidRDefault="001979C2" w:rsidP="0061202A">
            <w:pPr>
              <w:pStyle w:val="TableHead"/>
            </w:pPr>
            <w:r>
              <w:t xml:space="preserve">2011 </w:t>
            </w:r>
          </w:p>
          <w:p w:rsidR="001979C2" w:rsidRPr="00B16DF9" w:rsidRDefault="001979C2" w:rsidP="0061202A">
            <w:pPr>
              <w:pStyle w:val="TableHead"/>
            </w:pPr>
            <w:r w:rsidRPr="00EA0BD1">
              <w:rPr>
                <w:rFonts w:ascii="Calibri" w:hAnsi="Calibri"/>
                <w:color w:val="000000"/>
                <w:sz w:val="22"/>
                <w:szCs w:val="22"/>
              </w:rPr>
              <w:t>Unemployed having lost or given up previous job</w:t>
            </w:r>
          </w:p>
        </w:tc>
        <w:tc>
          <w:tcPr>
            <w:tcW w:w="1384" w:type="dxa"/>
          </w:tcPr>
          <w:p w:rsidR="001979C2" w:rsidRPr="00B16DF9" w:rsidRDefault="001979C2" w:rsidP="0061202A">
            <w:pPr>
              <w:pStyle w:val="TableHead"/>
            </w:pPr>
            <w:r>
              <w:t xml:space="preserve">2016 </w:t>
            </w:r>
          </w:p>
          <w:p w:rsidR="001979C2" w:rsidRPr="00B16DF9" w:rsidRDefault="001979C2" w:rsidP="0061202A">
            <w:pPr>
              <w:pStyle w:val="TableHead"/>
            </w:pPr>
            <w:r w:rsidRPr="00EA0BD1">
              <w:rPr>
                <w:rFonts w:ascii="Calibri" w:hAnsi="Calibri"/>
                <w:color w:val="000000"/>
                <w:sz w:val="22"/>
                <w:szCs w:val="22"/>
              </w:rPr>
              <w:t>Unemployed having lost or given up previous job</w:t>
            </w:r>
          </w:p>
        </w:tc>
      </w:tr>
      <w:tr w:rsidR="001979C2" w:rsidRPr="00EA0BD1" w:rsidTr="001E762E">
        <w:tc>
          <w:tcPr>
            <w:tcW w:w="1682" w:type="dxa"/>
          </w:tcPr>
          <w:p w:rsidR="001979C2" w:rsidRPr="00B16DF9" w:rsidRDefault="001979C2" w:rsidP="0061202A">
            <w:pPr>
              <w:pStyle w:val="TableRowHead"/>
            </w:pPr>
            <w:r w:rsidRPr="00B16DF9">
              <w:t>20 - 24 years</w:t>
            </w:r>
          </w:p>
        </w:tc>
        <w:tc>
          <w:tcPr>
            <w:tcW w:w="1923" w:type="dxa"/>
          </w:tcPr>
          <w:p w:rsidR="001979C2" w:rsidRPr="00B16DF9" w:rsidRDefault="001979C2" w:rsidP="001979C2">
            <w:pPr>
              <w:spacing w:after="0"/>
            </w:pPr>
            <w:r w:rsidRPr="00B16DF9">
              <w:t>15.3%</w:t>
            </w:r>
          </w:p>
        </w:tc>
        <w:tc>
          <w:tcPr>
            <w:tcW w:w="1923" w:type="dxa"/>
          </w:tcPr>
          <w:p w:rsidR="001979C2" w:rsidRPr="00B16DF9" w:rsidRDefault="001979C2" w:rsidP="00CB6D28">
            <w:pPr>
              <w:spacing w:after="0"/>
            </w:pPr>
            <w:r w:rsidRPr="00B16DF9">
              <w:t>14.9</w:t>
            </w:r>
            <w:r w:rsidRPr="00CB6D28">
              <w:rPr>
                <w:rFonts w:ascii="Arial" w:hAnsi="Arial" w:cs="Arial"/>
              </w:rPr>
              <w:t>%</w:t>
            </w:r>
            <w:r w:rsidR="00CB6D28" w:rsidRPr="00CB6D28">
              <w:rPr>
                <w:rFonts w:ascii="Arial" w:hAnsi="Arial" w:cs="Arial"/>
              </w:rPr>
              <w:t>↓</w:t>
            </w:r>
          </w:p>
        </w:tc>
        <w:tc>
          <w:tcPr>
            <w:tcW w:w="1384" w:type="dxa"/>
          </w:tcPr>
          <w:p w:rsidR="001979C2" w:rsidRPr="00EA0BD1" w:rsidRDefault="001979C2" w:rsidP="001979C2">
            <w:pPr>
              <w:spacing w:after="0"/>
            </w:pPr>
            <w:r w:rsidRPr="00EA0BD1">
              <w:t>19.3%</w:t>
            </w:r>
          </w:p>
        </w:tc>
        <w:tc>
          <w:tcPr>
            <w:tcW w:w="1384" w:type="dxa"/>
          </w:tcPr>
          <w:p w:rsidR="001979C2" w:rsidRPr="00EA0BD1" w:rsidRDefault="001979C2" w:rsidP="001979C2">
            <w:pPr>
              <w:spacing w:after="0"/>
            </w:pPr>
            <w:r w:rsidRPr="00EA0BD1">
              <w:t>11.6%</w:t>
            </w:r>
            <w:r w:rsidR="00CB6D28" w:rsidRPr="00CB6D28">
              <w:rPr>
                <w:rFonts w:ascii="Arial" w:hAnsi="Arial" w:cs="Arial"/>
              </w:rPr>
              <w:t>↓</w:t>
            </w:r>
          </w:p>
        </w:tc>
      </w:tr>
      <w:tr w:rsidR="001979C2" w:rsidRPr="00EA0BD1" w:rsidTr="001E762E">
        <w:tc>
          <w:tcPr>
            <w:tcW w:w="1682" w:type="dxa"/>
          </w:tcPr>
          <w:p w:rsidR="001979C2" w:rsidRPr="00B16DF9" w:rsidRDefault="001979C2" w:rsidP="0061202A">
            <w:pPr>
              <w:pStyle w:val="TableRowHead"/>
            </w:pPr>
            <w:r w:rsidRPr="00B16DF9">
              <w:t>25 - 29 years</w:t>
            </w:r>
          </w:p>
        </w:tc>
        <w:tc>
          <w:tcPr>
            <w:tcW w:w="1923" w:type="dxa"/>
          </w:tcPr>
          <w:p w:rsidR="001979C2" w:rsidRPr="00B16DF9" w:rsidRDefault="001979C2" w:rsidP="001979C2">
            <w:pPr>
              <w:spacing w:after="0"/>
            </w:pPr>
            <w:r w:rsidRPr="00B16DF9">
              <w:t>19.3%</w:t>
            </w:r>
          </w:p>
        </w:tc>
        <w:tc>
          <w:tcPr>
            <w:tcW w:w="1923" w:type="dxa"/>
          </w:tcPr>
          <w:p w:rsidR="001979C2" w:rsidRPr="00B16DF9" w:rsidRDefault="001979C2" w:rsidP="001979C2">
            <w:pPr>
              <w:spacing w:after="0"/>
            </w:pPr>
            <w:r w:rsidRPr="00B16DF9">
              <w:t>18.4%</w:t>
            </w:r>
            <w:r w:rsidR="00CB6D28" w:rsidRPr="00CB6D28">
              <w:rPr>
                <w:rFonts w:ascii="Arial" w:hAnsi="Arial" w:cs="Arial"/>
              </w:rPr>
              <w:t>↓</w:t>
            </w:r>
          </w:p>
        </w:tc>
        <w:tc>
          <w:tcPr>
            <w:tcW w:w="1384" w:type="dxa"/>
          </w:tcPr>
          <w:p w:rsidR="001979C2" w:rsidRPr="00EA0BD1" w:rsidRDefault="001979C2" w:rsidP="001979C2">
            <w:pPr>
              <w:spacing w:after="0"/>
            </w:pPr>
            <w:r w:rsidRPr="00EA0BD1">
              <w:t>19.8%</w:t>
            </w:r>
          </w:p>
        </w:tc>
        <w:tc>
          <w:tcPr>
            <w:tcW w:w="1384" w:type="dxa"/>
          </w:tcPr>
          <w:p w:rsidR="001979C2" w:rsidRPr="00EA0BD1" w:rsidRDefault="001979C2" w:rsidP="001979C2">
            <w:pPr>
              <w:spacing w:after="0"/>
            </w:pPr>
            <w:r w:rsidRPr="00EA0BD1">
              <w:t>15.9%</w:t>
            </w:r>
            <w:r w:rsidR="00CB6D28" w:rsidRPr="00CB6D28">
              <w:rPr>
                <w:rFonts w:ascii="Arial" w:hAnsi="Arial" w:cs="Arial"/>
              </w:rPr>
              <w:t>↓</w:t>
            </w:r>
          </w:p>
        </w:tc>
      </w:tr>
      <w:tr w:rsidR="001979C2" w:rsidRPr="00EA0BD1" w:rsidTr="001E762E">
        <w:tc>
          <w:tcPr>
            <w:tcW w:w="1682" w:type="dxa"/>
          </w:tcPr>
          <w:p w:rsidR="001979C2" w:rsidRPr="00B16DF9" w:rsidRDefault="001979C2" w:rsidP="0061202A">
            <w:pPr>
              <w:pStyle w:val="TableRowHead"/>
            </w:pPr>
            <w:r w:rsidRPr="00B16DF9">
              <w:t>30 - 34 years</w:t>
            </w:r>
          </w:p>
        </w:tc>
        <w:tc>
          <w:tcPr>
            <w:tcW w:w="1923" w:type="dxa"/>
          </w:tcPr>
          <w:p w:rsidR="001979C2" w:rsidRPr="00B16DF9" w:rsidRDefault="001979C2" w:rsidP="001979C2">
            <w:pPr>
              <w:spacing w:after="0"/>
            </w:pPr>
            <w:r w:rsidRPr="00B16DF9">
              <w:t>22.4%</w:t>
            </w:r>
          </w:p>
        </w:tc>
        <w:tc>
          <w:tcPr>
            <w:tcW w:w="1923" w:type="dxa"/>
          </w:tcPr>
          <w:p w:rsidR="001979C2" w:rsidRPr="00B16DF9" w:rsidRDefault="001979C2" w:rsidP="001979C2">
            <w:pPr>
              <w:spacing w:after="0"/>
            </w:pPr>
            <w:r w:rsidRPr="00B16DF9">
              <w:t>21.2%</w:t>
            </w:r>
            <w:r w:rsidR="00CB6D28" w:rsidRPr="00CB6D28">
              <w:rPr>
                <w:rFonts w:ascii="Arial" w:hAnsi="Arial" w:cs="Arial"/>
              </w:rPr>
              <w:t>↓</w:t>
            </w:r>
          </w:p>
        </w:tc>
        <w:tc>
          <w:tcPr>
            <w:tcW w:w="1384" w:type="dxa"/>
          </w:tcPr>
          <w:p w:rsidR="001979C2" w:rsidRPr="00EA0BD1" w:rsidRDefault="001979C2" w:rsidP="001979C2">
            <w:pPr>
              <w:spacing w:after="0"/>
            </w:pPr>
            <w:r w:rsidRPr="00EA0BD1">
              <w:t>18.0%</w:t>
            </w:r>
          </w:p>
        </w:tc>
        <w:tc>
          <w:tcPr>
            <w:tcW w:w="1384" w:type="dxa"/>
          </w:tcPr>
          <w:p w:rsidR="001979C2" w:rsidRPr="00EA0BD1" w:rsidRDefault="001979C2" w:rsidP="001979C2">
            <w:pPr>
              <w:spacing w:after="0"/>
            </w:pPr>
            <w:r w:rsidRPr="00EA0BD1">
              <w:t>14.2%</w:t>
            </w:r>
            <w:r w:rsidR="00CB6D28" w:rsidRPr="00CB6D28">
              <w:rPr>
                <w:rFonts w:ascii="Arial" w:hAnsi="Arial" w:cs="Arial"/>
              </w:rPr>
              <w:t>↓</w:t>
            </w:r>
          </w:p>
        </w:tc>
      </w:tr>
      <w:tr w:rsidR="001979C2" w:rsidRPr="00EA0BD1" w:rsidTr="001E762E">
        <w:tc>
          <w:tcPr>
            <w:tcW w:w="1682" w:type="dxa"/>
          </w:tcPr>
          <w:p w:rsidR="001979C2" w:rsidRPr="00B16DF9" w:rsidRDefault="001979C2" w:rsidP="0061202A">
            <w:pPr>
              <w:pStyle w:val="TableRowHead"/>
            </w:pPr>
            <w:r w:rsidRPr="00B16DF9">
              <w:t>35 - 39 years</w:t>
            </w:r>
          </w:p>
        </w:tc>
        <w:tc>
          <w:tcPr>
            <w:tcW w:w="1923" w:type="dxa"/>
          </w:tcPr>
          <w:p w:rsidR="001979C2" w:rsidRPr="00B16DF9" w:rsidRDefault="001979C2" w:rsidP="001979C2">
            <w:pPr>
              <w:spacing w:after="0"/>
            </w:pPr>
            <w:r w:rsidRPr="00B16DF9">
              <w:t>26.5%</w:t>
            </w:r>
          </w:p>
        </w:tc>
        <w:tc>
          <w:tcPr>
            <w:tcW w:w="1923" w:type="dxa"/>
          </w:tcPr>
          <w:p w:rsidR="001979C2" w:rsidRPr="00B16DF9" w:rsidRDefault="001979C2" w:rsidP="001979C2">
            <w:pPr>
              <w:spacing w:after="0"/>
            </w:pPr>
            <w:r w:rsidRPr="00B16DF9">
              <w:t>24.2%</w:t>
            </w:r>
            <w:r w:rsidR="00CB6D28" w:rsidRPr="00CB6D28">
              <w:rPr>
                <w:rFonts w:ascii="Arial" w:hAnsi="Arial" w:cs="Arial"/>
              </w:rPr>
              <w:t>↓</w:t>
            </w:r>
          </w:p>
        </w:tc>
        <w:tc>
          <w:tcPr>
            <w:tcW w:w="1384" w:type="dxa"/>
          </w:tcPr>
          <w:p w:rsidR="001979C2" w:rsidRPr="00EA0BD1" w:rsidRDefault="001979C2" w:rsidP="001979C2">
            <w:pPr>
              <w:spacing w:after="0"/>
            </w:pPr>
            <w:r w:rsidRPr="00EA0BD1">
              <w:t>16.7%</w:t>
            </w:r>
          </w:p>
        </w:tc>
        <w:tc>
          <w:tcPr>
            <w:tcW w:w="1384" w:type="dxa"/>
          </w:tcPr>
          <w:p w:rsidR="001979C2" w:rsidRPr="00EA0BD1" w:rsidRDefault="001979C2" w:rsidP="001979C2">
            <w:pPr>
              <w:spacing w:after="0"/>
            </w:pPr>
            <w:r w:rsidRPr="00EA0BD1">
              <w:t>13.7%</w:t>
            </w:r>
            <w:r w:rsidR="00CB6D28" w:rsidRPr="00CB6D28">
              <w:rPr>
                <w:rFonts w:ascii="Arial" w:hAnsi="Arial" w:cs="Arial"/>
              </w:rPr>
              <w:t>↓</w:t>
            </w:r>
          </w:p>
        </w:tc>
      </w:tr>
      <w:tr w:rsidR="001979C2" w:rsidRPr="00EA0BD1" w:rsidTr="001E762E">
        <w:tc>
          <w:tcPr>
            <w:tcW w:w="1682" w:type="dxa"/>
          </w:tcPr>
          <w:p w:rsidR="001979C2" w:rsidRPr="00B16DF9" w:rsidRDefault="001979C2" w:rsidP="0061202A">
            <w:pPr>
              <w:pStyle w:val="TableRowHead"/>
            </w:pPr>
            <w:r w:rsidRPr="00B16DF9">
              <w:t>40 - 44 years</w:t>
            </w:r>
          </w:p>
        </w:tc>
        <w:tc>
          <w:tcPr>
            <w:tcW w:w="1923" w:type="dxa"/>
          </w:tcPr>
          <w:p w:rsidR="001979C2" w:rsidRPr="00B16DF9" w:rsidRDefault="001979C2" w:rsidP="001979C2">
            <w:pPr>
              <w:spacing w:after="0"/>
            </w:pPr>
            <w:r w:rsidRPr="00B16DF9">
              <w:t>31.1%</w:t>
            </w:r>
          </w:p>
        </w:tc>
        <w:tc>
          <w:tcPr>
            <w:tcW w:w="1923" w:type="dxa"/>
          </w:tcPr>
          <w:p w:rsidR="001979C2" w:rsidRPr="00B16DF9" w:rsidRDefault="001979C2" w:rsidP="001979C2">
            <w:pPr>
              <w:spacing w:after="0"/>
            </w:pPr>
            <w:r w:rsidRPr="00B16DF9">
              <w:t>29.1%</w:t>
            </w:r>
            <w:r w:rsidR="00CB6D28" w:rsidRPr="00CB6D28">
              <w:rPr>
                <w:rFonts w:ascii="Arial" w:hAnsi="Arial" w:cs="Arial"/>
              </w:rPr>
              <w:t>↓</w:t>
            </w:r>
          </w:p>
        </w:tc>
        <w:tc>
          <w:tcPr>
            <w:tcW w:w="1384" w:type="dxa"/>
          </w:tcPr>
          <w:p w:rsidR="001979C2" w:rsidRPr="00EA0BD1" w:rsidRDefault="001979C2" w:rsidP="001979C2">
            <w:pPr>
              <w:spacing w:after="0"/>
            </w:pPr>
            <w:r w:rsidRPr="00EA0BD1">
              <w:t>15.5%</w:t>
            </w:r>
          </w:p>
        </w:tc>
        <w:tc>
          <w:tcPr>
            <w:tcW w:w="1384" w:type="dxa"/>
          </w:tcPr>
          <w:p w:rsidR="001979C2" w:rsidRPr="00EA0BD1" w:rsidRDefault="001979C2" w:rsidP="001979C2">
            <w:pPr>
              <w:spacing w:after="0"/>
            </w:pPr>
            <w:r w:rsidRPr="00EA0BD1">
              <w:t>13.0%</w:t>
            </w:r>
            <w:r w:rsidR="00CB6D28" w:rsidRPr="00CB6D28">
              <w:rPr>
                <w:rFonts w:ascii="Arial" w:hAnsi="Arial" w:cs="Arial"/>
              </w:rPr>
              <w:t>↓</w:t>
            </w:r>
          </w:p>
        </w:tc>
      </w:tr>
      <w:tr w:rsidR="001979C2" w:rsidRPr="00EA0BD1" w:rsidTr="001E762E">
        <w:tc>
          <w:tcPr>
            <w:tcW w:w="1682" w:type="dxa"/>
          </w:tcPr>
          <w:p w:rsidR="001979C2" w:rsidRPr="00B16DF9" w:rsidRDefault="001979C2" w:rsidP="0061202A">
            <w:pPr>
              <w:pStyle w:val="TableRowHead"/>
            </w:pPr>
            <w:r w:rsidRPr="00B16DF9">
              <w:t>45 - 49 years</w:t>
            </w:r>
          </w:p>
        </w:tc>
        <w:tc>
          <w:tcPr>
            <w:tcW w:w="1923" w:type="dxa"/>
          </w:tcPr>
          <w:p w:rsidR="001979C2" w:rsidRPr="00B16DF9" w:rsidRDefault="001979C2" w:rsidP="001979C2">
            <w:pPr>
              <w:spacing w:after="0"/>
            </w:pPr>
            <w:r w:rsidRPr="00B16DF9">
              <w:t>36.2%</w:t>
            </w:r>
          </w:p>
        </w:tc>
        <w:tc>
          <w:tcPr>
            <w:tcW w:w="1923" w:type="dxa"/>
          </w:tcPr>
          <w:p w:rsidR="001979C2" w:rsidRPr="00B16DF9" w:rsidRDefault="001979C2" w:rsidP="001979C2">
            <w:pPr>
              <w:spacing w:after="0"/>
            </w:pPr>
            <w:r w:rsidRPr="00B16DF9">
              <w:t>34.7%</w:t>
            </w:r>
            <w:r w:rsidR="00CB6D28" w:rsidRPr="00CB6D28">
              <w:rPr>
                <w:rFonts w:ascii="Arial" w:hAnsi="Arial" w:cs="Arial"/>
              </w:rPr>
              <w:t>↓</w:t>
            </w:r>
          </w:p>
        </w:tc>
        <w:tc>
          <w:tcPr>
            <w:tcW w:w="1384" w:type="dxa"/>
          </w:tcPr>
          <w:p w:rsidR="001979C2" w:rsidRPr="00EA0BD1" w:rsidRDefault="001979C2" w:rsidP="001979C2">
            <w:pPr>
              <w:spacing w:after="0"/>
            </w:pPr>
            <w:r w:rsidRPr="00EA0BD1">
              <w:t>14.3%</w:t>
            </w:r>
          </w:p>
        </w:tc>
        <w:tc>
          <w:tcPr>
            <w:tcW w:w="1384" w:type="dxa"/>
          </w:tcPr>
          <w:p w:rsidR="001979C2" w:rsidRPr="00EA0BD1" w:rsidRDefault="001979C2" w:rsidP="001979C2">
            <w:pPr>
              <w:spacing w:after="0"/>
            </w:pPr>
            <w:r w:rsidRPr="00EA0BD1">
              <w:t>12.8%</w:t>
            </w:r>
            <w:r w:rsidR="00CB6D28" w:rsidRPr="00CB6D28">
              <w:rPr>
                <w:rFonts w:ascii="Arial" w:hAnsi="Arial" w:cs="Arial"/>
              </w:rPr>
              <w:t>↓</w:t>
            </w:r>
          </w:p>
        </w:tc>
      </w:tr>
      <w:tr w:rsidR="001979C2" w:rsidRPr="00EA0BD1" w:rsidTr="001E762E">
        <w:tc>
          <w:tcPr>
            <w:tcW w:w="1682" w:type="dxa"/>
          </w:tcPr>
          <w:p w:rsidR="001979C2" w:rsidRPr="00B16DF9" w:rsidRDefault="001979C2" w:rsidP="0061202A">
            <w:pPr>
              <w:pStyle w:val="TableRowHead"/>
            </w:pPr>
            <w:r w:rsidRPr="00B16DF9">
              <w:t>50 - 54 years</w:t>
            </w:r>
          </w:p>
        </w:tc>
        <w:tc>
          <w:tcPr>
            <w:tcW w:w="1923" w:type="dxa"/>
          </w:tcPr>
          <w:p w:rsidR="001979C2" w:rsidRPr="00B16DF9" w:rsidRDefault="001979C2" w:rsidP="001979C2">
            <w:pPr>
              <w:spacing w:after="0"/>
            </w:pPr>
            <w:r w:rsidRPr="00B16DF9">
              <w:t>39.7%</w:t>
            </w:r>
          </w:p>
        </w:tc>
        <w:tc>
          <w:tcPr>
            <w:tcW w:w="1923" w:type="dxa"/>
          </w:tcPr>
          <w:p w:rsidR="001979C2" w:rsidRPr="00B16DF9" w:rsidRDefault="001979C2" w:rsidP="001979C2">
            <w:pPr>
              <w:spacing w:after="0"/>
            </w:pPr>
            <w:r w:rsidRPr="00B16DF9">
              <w:t>40.0%</w:t>
            </w:r>
            <w:r w:rsidR="00CB6D28" w:rsidRPr="00CB6D28">
              <w:rPr>
                <w:rFonts w:ascii="Arial" w:hAnsi="Arial" w:cs="Arial"/>
              </w:rPr>
              <w:t>↑</w:t>
            </w:r>
          </w:p>
        </w:tc>
        <w:tc>
          <w:tcPr>
            <w:tcW w:w="1384" w:type="dxa"/>
          </w:tcPr>
          <w:p w:rsidR="001979C2" w:rsidRPr="00EA0BD1" w:rsidRDefault="001979C2" w:rsidP="001979C2">
            <w:pPr>
              <w:spacing w:after="0"/>
            </w:pPr>
            <w:r w:rsidRPr="00EA0BD1">
              <w:t>13.4%</w:t>
            </w:r>
          </w:p>
        </w:tc>
        <w:tc>
          <w:tcPr>
            <w:tcW w:w="1384" w:type="dxa"/>
          </w:tcPr>
          <w:p w:rsidR="001979C2" w:rsidRPr="00EA0BD1" w:rsidRDefault="001979C2" w:rsidP="001979C2">
            <w:pPr>
              <w:spacing w:after="0"/>
            </w:pPr>
            <w:r w:rsidRPr="00EA0BD1">
              <w:t>12.1%</w:t>
            </w:r>
            <w:r w:rsidR="00CB6D28" w:rsidRPr="00CB6D28">
              <w:rPr>
                <w:rFonts w:ascii="Arial" w:hAnsi="Arial" w:cs="Arial"/>
              </w:rPr>
              <w:t>↓</w:t>
            </w:r>
          </w:p>
        </w:tc>
      </w:tr>
      <w:tr w:rsidR="001979C2" w:rsidRPr="00EA0BD1" w:rsidTr="001E762E">
        <w:tc>
          <w:tcPr>
            <w:tcW w:w="1682" w:type="dxa"/>
          </w:tcPr>
          <w:p w:rsidR="001979C2" w:rsidRPr="00B16DF9" w:rsidRDefault="001979C2" w:rsidP="0061202A">
            <w:pPr>
              <w:pStyle w:val="TableRowHead"/>
            </w:pPr>
            <w:r w:rsidRPr="00B16DF9">
              <w:t>55 - 59 years</w:t>
            </w:r>
          </w:p>
        </w:tc>
        <w:tc>
          <w:tcPr>
            <w:tcW w:w="1923" w:type="dxa"/>
          </w:tcPr>
          <w:p w:rsidR="001979C2" w:rsidRPr="00B16DF9" w:rsidRDefault="001979C2" w:rsidP="001979C2">
            <w:pPr>
              <w:spacing w:after="0"/>
            </w:pPr>
            <w:r w:rsidRPr="00B16DF9">
              <w:t>43.5%</w:t>
            </w:r>
          </w:p>
        </w:tc>
        <w:tc>
          <w:tcPr>
            <w:tcW w:w="1923" w:type="dxa"/>
          </w:tcPr>
          <w:p w:rsidR="001979C2" w:rsidRPr="00B16DF9" w:rsidRDefault="001979C2" w:rsidP="001979C2">
            <w:pPr>
              <w:spacing w:after="0"/>
            </w:pPr>
            <w:r w:rsidRPr="00B16DF9">
              <w:t>43.2%</w:t>
            </w:r>
            <w:r w:rsidR="00CB6D28" w:rsidRPr="00CB6D28">
              <w:rPr>
                <w:rFonts w:ascii="Arial" w:hAnsi="Arial" w:cs="Arial"/>
              </w:rPr>
              <w:t>↓</w:t>
            </w:r>
          </w:p>
        </w:tc>
        <w:tc>
          <w:tcPr>
            <w:tcW w:w="1384" w:type="dxa"/>
          </w:tcPr>
          <w:p w:rsidR="001979C2" w:rsidRPr="00EA0BD1" w:rsidRDefault="001979C2" w:rsidP="001979C2">
            <w:pPr>
              <w:spacing w:after="0"/>
            </w:pPr>
            <w:r w:rsidRPr="00EA0BD1">
              <w:t>11.4%</w:t>
            </w:r>
          </w:p>
        </w:tc>
        <w:tc>
          <w:tcPr>
            <w:tcW w:w="1384" w:type="dxa"/>
          </w:tcPr>
          <w:p w:rsidR="001979C2" w:rsidRPr="00EA0BD1" w:rsidRDefault="001979C2" w:rsidP="001979C2">
            <w:pPr>
              <w:spacing w:after="0"/>
            </w:pPr>
            <w:r w:rsidRPr="00EA0BD1">
              <w:t>11.0%</w:t>
            </w:r>
            <w:r w:rsidR="00CB6D28" w:rsidRPr="00CB6D28">
              <w:rPr>
                <w:rFonts w:ascii="Arial" w:hAnsi="Arial" w:cs="Arial"/>
              </w:rPr>
              <w:t>↓</w:t>
            </w:r>
          </w:p>
        </w:tc>
      </w:tr>
      <w:tr w:rsidR="001979C2" w:rsidRPr="00EA0BD1" w:rsidTr="001E762E">
        <w:tc>
          <w:tcPr>
            <w:tcW w:w="1682" w:type="dxa"/>
          </w:tcPr>
          <w:p w:rsidR="001979C2" w:rsidRPr="00B16DF9" w:rsidRDefault="001979C2" w:rsidP="0061202A">
            <w:pPr>
              <w:pStyle w:val="TableRowHead"/>
            </w:pPr>
            <w:r w:rsidRPr="00B16DF9">
              <w:t>60 - 64 years</w:t>
            </w:r>
          </w:p>
        </w:tc>
        <w:tc>
          <w:tcPr>
            <w:tcW w:w="1923" w:type="dxa"/>
          </w:tcPr>
          <w:p w:rsidR="001979C2" w:rsidRPr="00B16DF9" w:rsidRDefault="001979C2" w:rsidP="001979C2">
            <w:pPr>
              <w:spacing w:after="0"/>
            </w:pPr>
            <w:r w:rsidRPr="00B16DF9">
              <w:t>43.1%</w:t>
            </w:r>
          </w:p>
        </w:tc>
        <w:tc>
          <w:tcPr>
            <w:tcW w:w="1923" w:type="dxa"/>
          </w:tcPr>
          <w:p w:rsidR="001979C2" w:rsidRPr="00B16DF9" w:rsidRDefault="001979C2" w:rsidP="001979C2">
            <w:pPr>
              <w:spacing w:after="0"/>
            </w:pPr>
            <w:r w:rsidRPr="00B16DF9">
              <w:t>43.3%</w:t>
            </w:r>
            <w:r w:rsidR="00CB6D28" w:rsidRPr="00CB6D28">
              <w:rPr>
                <w:rFonts w:ascii="Arial" w:hAnsi="Arial" w:cs="Arial"/>
              </w:rPr>
              <w:t>↑</w:t>
            </w:r>
          </w:p>
        </w:tc>
        <w:tc>
          <w:tcPr>
            <w:tcW w:w="1384" w:type="dxa"/>
          </w:tcPr>
          <w:p w:rsidR="001979C2" w:rsidRPr="00EA0BD1" w:rsidRDefault="001979C2" w:rsidP="001979C2">
            <w:pPr>
              <w:spacing w:after="0"/>
            </w:pPr>
            <w:r w:rsidRPr="00EA0BD1">
              <w:t>8.1%</w:t>
            </w:r>
          </w:p>
        </w:tc>
        <w:tc>
          <w:tcPr>
            <w:tcW w:w="1384" w:type="dxa"/>
          </w:tcPr>
          <w:p w:rsidR="001979C2" w:rsidRPr="00EA0BD1" w:rsidRDefault="001979C2" w:rsidP="001979C2">
            <w:pPr>
              <w:spacing w:after="0"/>
            </w:pPr>
            <w:r w:rsidRPr="00EA0BD1">
              <w:t>9.4%</w:t>
            </w:r>
            <w:r w:rsidR="00CB6D28" w:rsidRPr="00CB6D28">
              <w:rPr>
                <w:rFonts w:ascii="Arial" w:hAnsi="Arial" w:cs="Arial"/>
              </w:rPr>
              <w:t>↑</w:t>
            </w:r>
          </w:p>
        </w:tc>
      </w:tr>
      <w:tr w:rsidR="001979C2" w:rsidRPr="00EA0BD1" w:rsidTr="001E762E">
        <w:tc>
          <w:tcPr>
            <w:tcW w:w="1682" w:type="dxa"/>
          </w:tcPr>
          <w:p w:rsidR="001979C2" w:rsidRPr="00B16DF9" w:rsidRDefault="001979C2" w:rsidP="0061202A">
            <w:pPr>
              <w:pStyle w:val="TableRowHead"/>
            </w:pPr>
            <w:r w:rsidRPr="00B16DF9">
              <w:t>20-64</w:t>
            </w:r>
          </w:p>
        </w:tc>
        <w:tc>
          <w:tcPr>
            <w:tcW w:w="1923" w:type="dxa"/>
          </w:tcPr>
          <w:p w:rsidR="001979C2" w:rsidRPr="00B16DF9" w:rsidRDefault="001979C2" w:rsidP="001979C2">
            <w:pPr>
              <w:spacing w:after="0"/>
            </w:pPr>
            <w:r w:rsidRPr="00B16DF9">
              <w:t>33.2%</w:t>
            </w:r>
          </w:p>
        </w:tc>
        <w:tc>
          <w:tcPr>
            <w:tcW w:w="1923" w:type="dxa"/>
          </w:tcPr>
          <w:p w:rsidR="001979C2" w:rsidRPr="00B16DF9" w:rsidRDefault="001979C2" w:rsidP="001979C2">
            <w:pPr>
              <w:spacing w:after="0"/>
            </w:pPr>
            <w:r w:rsidRPr="00B16DF9">
              <w:t>32.4%</w:t>
            </w:r>
            <w:r w:rsidR="00CB6D28" w:rsidRPr="00CB6D28">
              <w:rPr>
                <w:rFonts w:ascii="Arial" w:hAnsi="Arial" w:cs="Arial"/>
              </w:rPr>
              <w:t>↓</w:t>
            </w:r>
          </w:p>
        </w:tc>
        <w:tc>
          <w:tcPr>
            <w:tcW w:w="1384" w:type="dxa"/>
          </w:tcPr>
          <w:p w:rsidR="001979C2" w:rsidRPr="00EA0BD1" w:rsidRDefault="001979C2" w:rsidP="001979C2">
            <w:pPr>
              <w:spacing w:after="0"/>
            </w:pPr>
            <w:r w:rsidRPr="00EA0BD1">
              <w:t>14.3%</w:t>
            </w:r>
          </w:p>
        </w:tc>
        <w:tc>
          <w:tcPr>
            <w:tcW w:w="1384" w:type="dxa"/>
          </w:tcPr>
          <w:p w:rsidR="001979C2" w:rsidRPr="00EA0BD1" w:rsidRDefault="001979C2" w:rsidP="001979C2">
            <w:pPr>
              <w:spacing w:after="0"/>
            </w:pPr>
            <w:r w:rsidRPr="00EA0BD1">
              <w:t>12.3%</w:t>
            </w:r>
            <w:r w:rsidR="00CB6D28" w:rsidRPr="00CB6D28">
              <w:rPr>
                <w:rFonts w:ascii="Arial" w:hAnsi="Arial" w:cs="Arial"/>
              </w:rPr>
              <w:t>↓</w:t>
            </w:r>
          </w:p>
        </w:tc>
      </w:tr>
    </w:tbl>
    <w:p w:rsidR="006114B2" w:rsidRDefault="001979C2" w:rsidP="001979C2">
      <w:pPr>
        <w:pStyle w:val="TableNote"/>
      </w:pPr>
      <w:r>
        <w:t>Source: Census 2016</w:t>
      </w:r>
    </w:p>
    <w:p w:rsidR="006114B2" w:rsidRDefault="006114B2" w:rsidP="006114B2">
      <w:r>
        <w:t>Th</w:t>
      </w:r>
      <w:r w:rsidR="006F31DA">
        <w:t>e numbers no</w:t>
      </w:r>
      <w:r w:rsidR="00077419">
        <w:t>t</w:t>
      </w:r>
      <w:r w:rsidR="006F31DA">
        <w:t xml:space="preserve"> working </w:t>
      </w:r>
      <w:r w:rsidR="00077419">
        <w:t xml:space="preserve">for these reasons </w:t>
      </w:r>
      <w:r w:rsidR="006F31DA">
        <w:t>have</w:t>
      </w:r>
      <w:r>
        <w:t xml:space="preserve"> </w:t>
      </w:r>
      <w:r w:rsidR="00CB6D28">
        <w:t>usually</w:t>
      </w:r>
      <w:r>
        <w:t xml:space="preserve"> improved however if we look at the two disabilities which we have seen are particularly problematic (a condition that substantially limits one or more basic physical activities and a psychological or emotional condition) the picture is more mixed.  For both groups the numbers reporting that </w:t>
      </w:r>
      <w:r w:rsidR="001979C2">
        <w:t>they</w:t>
      </w:r>
      <w:r>
        <w:t xml:space="preserve"> </w:t>
      </w:r>
      <w:r w:rsidR="001979C2">
        <w:t>are u</w:t>
      </w:r>
      <w:r>
        <w:t>nemployed having lost or given up previous job has fallen</w:t>
      </w:r>
      <w:r w:rsidR="00FD2B3A">
        <w:t xml:space="preserve"> </w:t>
      </w:r>
      <w:r w:rsidR="00BF75C0">
        <w:t>a little</w:t>
      </w:r>
      <w:r>
        <w:t xml:space="preserve">.  </w:t>
      </w:r>
      <w:r w:rsidR="0038539D">
        <w:t xml:space="preserve">For </w:t>
      </w:r>
      <w:r w:rsidR="00FD2B3A">
        <w:t xml:space="preserve">those </w:t>
      </w:r>
      <w:r w:rsidR="00E52169">
        <w:t>with</w:t>
      </w:r>
      <w:r w:rsidR="00FD2B3A">
        <w:t xml:space="preserve"> a </w:t>
      </w:r>
      <w:r w:rsidR="00E52169">
        <w:t>psychological</w:t>
      </w:r>
      <w:r w:rsidR="00FD2B3A">
        <w:t xml:space="preserve"> and emotional condition the </w:t>
      </w:r>
      <w:r w:rsidR="00E52169">
        <w:t>numbers</w:t>
      </w:r>
      <w:r w:rsidR="00FD2B3A">
        <w:t xml:space="preserve"> who are unable to work due to a permanent sickness or disability </w:t>
      </w:r>
      <w:r w:rsidR="00077419">
        <w:t>has</w:t>
      </w:r>
      <w:r w:rsidR="00FD2B3A">
        <w:t xml:space="preserve"> </w:t>
      </w:r>
      <w:r w:rsidR="00C13B40">
        <w:t>also de</w:t>
      </w:r>
      <w:r w:rsidR="00FD2B3A">
        <w:t xml:space="preserve">creased.  However for those with a </w:t>
      </w:r>
      <w:r w:rsidR="00FD2B3A" w:rsidRPr="00FD2B3A">
        <w:t xml:space="preserve">condition that substantially limits one or more basic physical </w:t>
      </w:r>
      <w:r w:rsidR="00077419" w:rsidRPr="00FD2B3A">
        <w:t xml:space="preserve">activities </w:t>
      </w:r>
      <w:r w:rsidR="00077419">
        <w:t>the</w:t>
      </w:r>
      <w:r w:rsidR="00FD2B3A">
        <w:t xml:space="preserve"> numbers rep</w:t>
      </w:r>
      <w:r w:rsidR="00E52169">
        <w:t>orting being u</w:t>
      </w:r>
      <w:r w:rsidR="00FD2B3A">
        <w:t xml:space="preserve">nable to work due to a permanent sickness or disability has increased. </w:t>
      </w:r>
    </w:p>
    <w:p w:rsidR="001979C2" w:rsidRDefault="006F31DA" w:rsidP="001979C2">
      <w:pPr>
        <w:pStyle w:val="Caption"/>
        <w:keepNext/>
      </w:pPr>
      <w:r>
        <w:lastRenderedPageBreak/>
        <w:t xml:space="preserve">Table 2: change between 2011 and 2016 </w:t>
      </w:r>
      <w:r w:rsidR="00BE4A3C">
        <w:t xml:space="preserve">in reason for unemployment </w:t>
      </w:r>
    </w:p>
    <w:tbl>
      <w:tblPr>
        <w:tblStyle w:val="TableGrid"/>
        <w:tblW w:w="0" w:type="auto"/>
        <w:tblLook w:val="04A0" w:firstRow="1" w:lastRow="0" w:firstColumn="1" w:lastColumn="0" w:noHBand="0" w:noVBand="1"/>
        <w:tblDescription w:val="this shows the change between 2011 and 2016 for those with a physical disability or a mental health issue."/>
      </w:tblPr>
      <w:tblGrid>
        <w:gridCol w:w="2184"/>
        <w:gridCol w:w="1698"/>
        <w:gridCol w:w="1698"/>
        <w:gridCol w:w="1525"/>
        <w:gridCol w:w="1525"/>
      </w:tblGrid>
      <w:tr w:rsidR="00C13B40" w:rsidTr="0098089D">
        <w:trPr>
          <w:tblHeader/>
        </w:trPr>
        <w:tc>
          <w:tcPr>
            <w:tcW w:w="0" w:type="auto"/>
          </w:tcPr>
          <w:p w:rsidR="00C13B40" w:rsidRPr="00C4725D" w:rsidRDefault="00C13B40" w:rsidP="00C13B40"/>
        </w:tc>
        <w:tc>
          <w:tcPr>
            <w:tcW w:w="0" w:type="auto"/>
          </w:tcPr>
          <w:p w:rsidR="00C13B40" w:rsidRDefault="0098089D" w:rsidP="00C13B40">
            <w:r w:rsidRPr="00FD2B3A">
              <w:t>Unemployed having lost or given up previous job</w:t>
            </w:r>
            <w:r>
              <w:t xml:space="preserve"> % </w:t>
            </w:r>
            <w:r w:rsidR="00C13B40">
              <w:t xml:space="preserve">2011 </w:t>
            </w:r>
          </w:p>
        </w:tc>
        <w:tc>
          <w:tcPr>
            <w:tcW w:w="0" w:type="auto"/>
          </w:tcPr>
          <w:p w:rsidR="00C13B40" w:rsidRDefault="0098089D" w:rsidP="00C13B40">
            <w:r w:rsidRPr="0098089D">
              <w:t xml:space="preserve">Unemployed having lost or given up previous job % </w:t>
            </w:r>
            <w:r w:rsidR="00C13B40">
              <w:t xml:space="preserve">2016 </w:t>
            </w:r>
          </w:p>
        </w:tc>
        <w:tc>
          <w:tcPr>
            <w:tcW w:w="0" w:type="auto"/>
          </w:tcPr>
          <w:p w:rsidR="00C13B40" w:rsidRDefault="0098089D" w:rsidP="00C13B40">
            <w:r w:rsidRPr="0098089D">
              <w:t>Unable to work due to permanent sickness or disability %</w:t>
            </w:r>
            <w:r>
              <w:t xml:space="preserve"> </w:t>
            </w:r>
            <w:r w:rsidR="00C13B40" w:rsidRPr="0014140A">
              <w:t xml:space="preserve">2011 </w:t>
            </w:r>
          </w:p>
        </w:tc>
        <w:tc>
          <w:tcPr>
            <w:tcW w:w="0" w:type="auto"/>
          </w:tcPr>
          <w:p w:rsidR="00C13B40" w:rsidRDefault="0098089D" w:rsidP="00C13B40">
            <w:r w:rsidRPr="0098089D">
              <w:t>Unable to work due to permanent sickness or disability %</w:t>
            </w:r>
            <w:r>
              <w:t xml:space="preserve"> </w:t>
            </w:r>
            <w:r w:rsidR="00C13B40" w:rsidRPr="0014140A">
              <w:t xml:space="preserve">2016 </w:t>
            </w:r>
          </w:p>
        </w:tc>
      </w:tr>
      <w:tr w:rsidR="00C13B40" w:rsidTr="00C13B40">
        <w:tc>
          <w:tcPr>
            <w:tcW w:w="0" w:type="auto"/>
          </w:tcPr>
          <w:p w:rsidR="00C13B40" w:rsidRDefault="00C13B40" w:rsidP="0061202A">
            <w:pPr>
              <w:pStyle w:val="TableRowHead"/>
            </w:pPr>
            <w:r w:rsidRPr="00C4725D">
              <w:t>A condition that substantially limits one or more basic physical activities</w:t>
            </w:r>
          </w:p>
        </w:tc>
        <w:tc>
          <w:tcPr>
            <w:tcW w:w="0" w:type="auto"/>
          </w:tcPr>
          <w:p w:rsidR="00C13B40" w:rsidRDefault="00C13B40" w:rsidP="00C13B40">
            <w:r>
              <w:t>11.0</w:t>
            </w:r>
          </w:p>
        </w:tc>
        <w:tc>
          <w:tcPr>
            <w:tcW w:w="0" w:type="auto"/>
          </w:tcPr>
          <w:p w:rsidR="00C13B40" w:rsidRDefault="00C13B40" w:rsidP="00C13B40">
            <w:r>
              <w:t>10.8</w:t>
            </w:r>
            <w:r w:rsidRPr="00C13B40">
              <w:rPr>
                <w:rFonts w:ascii="Arial" w:hAnsi="Arial" w:cs="Arial"/>
              </w:rPr>
              <w:t>↓</w:t>
            </w:r>
          </w:p>
        </w:tc>
        <w:tc>
          <w:tcPr>
            <w:tcW w:w="0" w:type="auto"/>
          </w:tcPr>
          <w:p w:rsidR="00C13B40" w:rsidRDefault="00C13B40" w:rsidP="00C13B40">
            <w:r>
              <w:t>53.7</w:t>
            </w:r>
          </w:p>
        </w:tc>
        <w:tc>
          <w:tcPr>
            <w:tcW w:w="0" w:type="auto"/>
          </w:tcPr>
          <w:p w:rsidR="00C13B40" w:rsidRDefault="00C13B40" w:rsidP="00C13B40">
            <w:r>
              <w:t>54.7</w:t>
            </w:r>
            <w:r w:rsidRPr="00C13B40">
              <w:rPr>
                <w:rFonts w:ascii="Arial" w:hAnsi="Arial" w:cs="Arial"/>
              </w:rPr>
              <w:t>↑</w:t>
            </w:r>
          </w:p>
        </w:tc>
      </w:tr>
      <w:tr w:rsidR="00C13B40" w:rsidTr="00C13B40">
        <w:tc>
          <w:tcPr>
            <w:tcW w:w="0" w:type="auto"/>
          </w:tcPr>
          <w:p w:rsidR="00C13B40" w:rsidRDefault="00C13B40" w:rsidP="0061202A">
            <w:pPr>
              <w:pStyle w:val="TableRowHead"/>
            </w:pPr>
            <w:r w:rsidRPr="00C4725D">
              <w:t>Psychological or emotional condition</w:t>
            </w:r>
          </w:p>
        </w:tc>
        <w:tc>
          <w:tcPr>
            <w:tcW w:w="0" w:type="auto"/>
          </w:tcPr>
          <w:p w:rsidR="00C13B40" w:rsidRDefault="00C13B40" w:rsidP="00C13B40">
            <w:r>
              <w:t>15.1</w:t>
            </w:r>
          </w:p>
        </w:tc>
        <w:tc>
          <w:tcPr>
            <w:tcW w:w="0" w:type="auto"/>
          </w:tcPr>
          <w:p w:rsidR="00C13B40" w:rsidRDefault="00C13B40" w:rsidP="00C13B40">
            <w:r>
              <w:t>13.9</w:t>
            </w:r>
            <w:r w:rsidRPr="00C13B40">
              <w:rPr>
                <w:rFonts w:ascii="Arial" w:hAnsi="Arial" w:cs="Arial"/>
              </w:rPr>
              <w:t>↓</w:t>
            </w:r>
          </w:p>
        </w:tc>
        <w:tc>
          <w:tcPr>
            <w:tcW w:w="0" w:type="auto"/>
          </w:tcPr>
          <w:p w:rsidR="00C13B40" w:rsidRDefault="00C13B40" w:rsidP="00C13B40">
            <w:r>
              <w:t>44.5</w:t>
            </w:r>
          </w:p>
        </w:tc>
        <w:tc>
          <w:tcPr>
            <w:tcW w:w="0" w:type="auto"/>
          </w:tcPr>
          <w:p w:rsidR="00C13B40" w:rsidRDefault="00C13B40" w:rsidP="00C13B40">
            <w:r>
              <w:t>40.4</w:t>
            </w:r>
            <w:r w:rsidRPr="00C13B40">
              <w:rPr>
                <w:rFonts w:ascii="Arial" w:hAnsi="Arial" w:cs="Arial"/>
              </w:rPr>
              <w:t>↓</w:t>
            </w:r>
          </w:p>
        </w:tc>
      </w:tr>
    </w:tbl>
    <w:p w:rsidR="001979C2" w:rsidRDefault="001979C2" w:rsidP="001979C2">
      <w:pPr>
        <w:pStyle w:val="TableNote"/>
      </w:pPr>
      <w:r>
        <w:t>Source: Census 2016</w:t>
      </w:r>
    </w:p>
    <w:p w:rsidR="00DF7115" w:rsidRDefault="003543FC" w:rsidP="001A54C7">
      <w:r>
        <w:t xml:space="preserve">A final piece of evidence </w:t>
      </w:r>
      <w:r w:rsidR="008C19E1">
        <w:t xml:space="preserve">regarding </w:t>
      </w:r>
      <w:r>
        <w:t xml:space="preserve">the importance of these two disabilities is </w:t>
      </w:r>
      <w:r w:rsidR="00077419">
        <w:t xml:space="preserve">a </w:t>
      </w:r>
      <w:r>
        <w:t xml:space="preserve">review of </w:t>
      </w:r>
      <w:r w:rsidR="00DF7115" w:rsidRPr="00DF7115">
        <w:t>Partial Capacity Benefit (PCB)</w:t>
      </w:r>
      <w:r>
        <w:t>.  PCB</w:t>
      </w:r>
      <w:r w:rsidR="00DF7115" w:rsidRPr="00DF7115">
        <w:t xml:space="preserve"> is designed for people </w:t>
      </w:r>
      <w:r w:rsidR="00EF6B9B">
        <w:t>receive</w:t>
      </w:r>
      <w:r w:rsidR="00DF7115" w:rsidRPr="00DF7115">
        <w:t xml:space="preserve"> Invalid</w:t>
      </w:r>
      <w:r w:rsidR="00DF7115">
        <w:t xml:space="preserve">ity Pension or Illness Benefit </w:t>
      </w:r>
      <w:r w:rsidR="00DF7115" w:rsidRPr="00DF7115">
        <w:t xml:space="preserve">for at least six months and who have some capacity for work.  </w:t>
      </w:r>
      <w:r>
        <w:t>Table 3 l</w:t>
      </w:r>
      <w:r w:rsidR="000529A2">
        <w:t>ists the top 10 reasons people receive PCB</w:t>
      </w:r>
      <w:r>
        <w:t xml:space="preserve">. </w:t>
      </w:r>
      <w:r w:rsidR="00077419">
        <w:t xml:space="preserve">Physical and mental health issues are </w:t>
      </w:r>
      <w:r w:rsidR="000529A2">
        <w:t>consistently</w:t>
      </w:r>
      <w:r w:rsidR="00077419">
        <w:t xml:space="preserve"> listed as </w:t>
      </w:r>
      <w:r w:rsidR="00EF6B9B">
        <w:t xml:space="preserve">common </w:t>
      </w:r>
      <w:r w:rsidR="00077419">
        <w:t xml:space="preserve">reasons why people are on </w:t>
      </w:r>
      <w:r w:rsidR="00EF6B9B">
        <w:t>P</w:t>
      </w:r>
      <w:r w:rsidR="00077419">
        <w:t xml:space="preserve">artial </w:t>
      </w:r>
      <w:r w:rsidR="00EF6B9B">
        <w:t>C</w:t>
      </w:r>
      <w:r w:rsidR="00077419">
        <w:t xml:space="preserve">apacity </w:t>
      </w:r>
      <w:r w:rsidR="00EF6B9B">
        <w:t>B</w:t>
      </w:r>
      <w:r w:rsidR="00077419">
        <w:t xml:space="preserve">enefit. </w:t>
      </w:r>
    </w:p>
    <w:p w:rsidR="001A54C7" w:rsidRDefault="00DF7115" w:rsidP="001A54C7">
      <w:pPr>
        <w:pStyle w:val="Caption"/>
        <w:keepNext/>
      </w:pPr>
      <w:r>
        <w:lastRenderedPageBreak/>
        <w:t xml:space="preserve">Table </w:t>
      </w:r>
      <w:r w:rsidR="003543FC">
        <w:t>3</w:t>
      </w:r>
      <w:r>
        <w:t>: Top Ten Ailments of PCB Recipients</w:t>
      </w:r>
    </w:p>
    <w:tbl>
      <w:tblPr>
        <w:tblStyle w:val="TableGrid"/>
        <w:tblW w:w="0" w:type="auto"/>
        <w:tblLook w:val="04A0" w:firstRow="1" w:lastRow="0" w:firstColumn="1" w:lastColumn="0" w:noHBand="0" w:noVBand="1"/>
        <w:tblDescription w:val="This table lists the 10 most common ailments for the years 2012, 2013, 2014 and up to febuaury 2015."/>
      </w:tblPr>
      <w:tblGrid>
        <w:gridCol w:w="407"/>
        <w:gridCol w:w="2055"/>
        <w:gridCol w:w="2056"/>
        <w:gridCol w:w="2056"/>
        <w:gridCol w:w="2056"/>
      </w:tblGrid>
      <w:tr w:rsidR="00DF7115" w:rsidRPr="001A54C7" w:rsidTr="0061202A">
        <w:trPr>
          <w:tblHeader/>
        </w:trPr>
        <w:tc>
          <w:tcPr>
            <w:tcW w:w="846" w:type="dxa"/>
          </w:tcPr>
          <w:p w:rsidR="00DF7115" w:rsidRPr="001A54C7" w:rsidRDefault="00DF7115" w:rsidP="001E762E"/>
        </w:tc>
        <w:tc>
          <w:tcPr>
            <w:tcW w:w="1604" w:type="dxa"/>
          </w:tcPr>
          <w:p w:rsidR="00DF7115" w:rsidRPr="001A54C7" w:rsidRDefault="00DF7115" w:rsidP="0061202A">
            <w:pPr>
              <w:pStyle w:val="TableHead"/>
            </w:pPr>
            <w:r w:rsidRPr="001A54C7">
              <w:t>2012</w:t>
            </w:r>
          </w:p>
        </w:tc>
        <w:tc>
          <w:tcPr>
            <w:tcW w:w="0" w:type="auto"/>
          </w:tcPr>
          <w:p w:rsidR="00DF7115" w:rsidRPr="001A54C7" w:rsidRDefault="00DF7115" w:rsidP="0061202A">
            <w:pPr>
              <w:pStyle w:val="TableHead"/>
            </w:pPr>
            <w:r w:rsidRPr="001A54C7">
              <w:t>2013</w:t>
            </w:r>
          </w:p>
        </w:tc>
        <w:tc>
          <w:tcPr>
            <w:tcW w:w="0" w:type="auto"/>
          </w:tcPr>
          <w:p w:rsidR="00DF7115" w:rsidRPr="001A54C7" w:rsidRDefault="00DF7115" w:rsidP="0061202A">
            <w:pPr>
              <w:pStyle w:val="TableHead"/>
            </w:pPr>
            <w:r w:rsidRPr="001A54C7">
              <w:t>2014</w:t>
            </w:r>
          </w:p>
        </w:tc>
        <w:tc>
          <w:tcPr>
            <w:tcW w:w="0" w:type="auto"/>
          </w:tcPr>
          <w:p w:rsidR="00DF7115" w:rsidRPr="001A54C7" w:rsidRDefault="00DF7115" w:rsidP="0061202A">
            <w:pPr>
              <w:pStyle w:val="TableHead"/>
            </w:pPr>
            <w:r w:rsidRPr="001A54C7">
              <w:t>2015(Feb)</w:t>
            </w:r>
          </w:p>
        </w:tc>
      </w:tr>
      <w:tr w:rsidR="00DF7115" w:rsidRPr="001A54C7" w:rsidTr="003543FC">
        <w:tc>
          <w:tcPr>
            <w:tcW w:w="846" w:type="dxa"/>
          </w:tcPr>
          <w:p w:rsidR="00DF7115" w:rsidRPr="001A54C7" w:rsidRDefault="00DF7115" w:rsidP="0061202A">
            <w:pPr>
              <w:pStyle w:val="TableRowHead"/>
            </w:pPr>
            <w:r w:rsidRPr="001A54C7">
              <w:t>1</w:t>
            </w:r>
          </w:p>
        </w:tc>
        <w:tc>
          <w:tcPr>
            <w:tcW w:w="1604" w:type="dxa"/>
          </w:tcPr>
          <w:p w:rsidR="00DF7115" w:rsidRPr="001A54C7" w:rsidRDefault="00DF7115" w:rsidP="001E762E">
            <w:r w:rsidRPr="001A54C7">
              <w:t>Anxiety/Depression</w:t>
            </w:r>
          </w:p>
        </w:tc>
        <w:tc>
          <w:tcPr>
            <w:tcW w:w="0" w:type="auto"/>
          </w:tcPr>
          <w:p w:rsidR="00DF7115" w:rsidRPr="001A54C7" w:rsidRDefault="00DF7115" w:rsidP="001E762E">
            <w:r w:rsidRPr="001A54C7">
              <w:t>Anxiety/Depression</w:t>
            </w:r>
          </w:p>
        </w:tc>
        <w:tc>
          <w:tcPr>
            <w:tcW w:w="0" w:type="auto"/>
          </w:tcPr>
          <w:p w:rsidR="00DF7115" w:rsidRPr="001A54C7" w:rsidRDefault="00DF7115" w:rsidP="001E762E">
            <w:r w:rsidRPr="001A54C7">
              <w:t>Anxiety/Depression</w:t>
            </w:r>
          </w:p>
        </w:tc>
        <w:tc>
          <w:tcPr>
            <w:tcW w:w="0" w:type="auto"/>
          </w:tcPr>
          <w:p w:rsidR="00DF7115" w:rsidRPr="001A54C7" w:rsidRDefault="00DF7115" w:rsidP="001E762E">
            <w:r w:rsidRPr="001A54C7">
              <w:t>Anxiety/Depression</w:t>
            </w:r>
          </w:p>
        </w:tc>
      </w:tr>
      <w:tr w:rsidR="00DF7115" w:rsidRPr="001A54C7" w:rsidTr="003543FC">
        <w:tc>
          <w:tcPr>
            <w:tcW w:w="846" w:type="dxa"/>
          </w:tcPr>
          <w:p w:rsidR="00DF7115" w:rsidRPr="001A54C7" w:rsidRDefault="00DF7115" w:rsidP="0061202A">
            <w:pPr>
              <w:pStyle w:val="TableRowHead"/>
            </w:pPr>
            <w:r w:rsidRPr="001A54C7">
              <w:t>2</w:t>
            </w:r>
          </w:p>
        </w:tc>
        <w:tc>
          <w:tcPr>
            <w:tcW w:w="1604" w:type="dxa"/>
          </w:tcPr>
          <w:p w:rsidR="00DF7115" w:rsidRPr="001A54C7" w:rsidRDefault="00DF7115" w:rsidP="001E762E">
            <w:r w:rsidRPr="001A54C7">
              <w:t>Cancer</w:t>
            </w:r>
          </w:p>
        </w:tc>
        <w:tc>
          <w:tcPr>
            <w:tcW w:w="0" w:type="auto"/>
          </w:tcPr>
          <w:p w:rsidR="00DF7115" w:rsidRPr="001A54C7" w:rsidRDefault="00DF7115" w:rsidP="001E762E">
            <w:r w:rsidRPr="001A54C7">
              <w:t>Cancer</w:t>
            </w:r>
          </w:p>
        </w:tc>
        <w:tc>
          <w:tcPr>
            <w:tcW w:w="0" w:type="auto"/>
          </w:tcPr>
          <w:p w:rsidR="00DF7115" w:rsidRPr="001A54C7" w:rsidRDefault="00DF7115" w:rsidP="001E762E">
            <w:r w:rsidRPr="001A54C7">
              <w:t>Cancer</w:t>
            </w:r>
          </w:p>
        </w:tc>
        <w:tc>
          <w:tcPr>
            <w:tcW w:w="0" w:type="auto"/>
          </w:tcPr>
          <w:p w:rsidR="00DF7115" w:rsidRPr="001A54C7" w:rsidRDefault="00DF7115" w:rsidP="001E762E">
            <w:r w:rsidRPr="001A54C7">
              <w:t>Cancer</w:t>
            </w:r>
          </w:p>
        </w:tc>
      </w:tr>
      <w:tr w:rsidR="00DF7115" w:rsidRPr="001A54C7" w:rsidTr="003543FC">
        <w:tc>
          <w:tcPr>
            <w:tcW w:w="846" w:type="dxa"/>
          </w:tcPr>
          <w:p w:rsidR="00DF7115" w:rsidRPr="001A54C7" w:rsidRDefault="00DF7115" w:rsidP="0061202A">
            <w:pPr>
              <w:pStyle w:val="TableRowHead"/>
            </w:pPr>
            <w:r w:rsidRPr="001A54C7">
              <w:t>3</w:t>
            </w:r>
          </w:p>
        </w:tc>
        <w:tc>
          <w:tcPr>
            <w:tcW w:w="1604" w:type="dxa"/>
          </w:tcPr>
          <w:p w:rsidR="00DF7115" w:rsidRPr="001A54C7" w:rsidRDefault="00DF7115" w:rsidP="001E762E">
            <w:r w:rsidRPr="001A54C7">
              <w:t>Back/Neck/Rib/Disc</w:t>
            </w:r>
          </w:p>
        </w:tc>
        <w:tc>
          <w:tcPr>
            <w:tcW w:w="0" w:type="auto"/>
          </w:tcPr>
          <w:p w:rsidR="00DF7115" w:rsidRPr="001A54C7" w:rsidRDefault="00DF7115" w:rsidP="001E762E">
            <w:r w:rsidRPr="001A54C7">
              <w:t>Back/Neck/Rib/Disc</w:t>
            </w:r>
          </w:p>
        </w:tc>
        <w:tc>
          <w:tcPr>
            <w:tcW w:w="0" w:type="auto"/>
          </w:tcPr>
          <w:p w:rsidR="00DF7115" w:rsidRPr="001A54C7" w:rsidRDefault="00DF7115" w:rsidP="001E762E">
            <w:r w:rsidRPr="001A54C7">
              <w:t>Back/Neck/Rib/Disc</w:t>
            </w:r>
          </w:p>
        </w:tc>
        <w:tc>
          <w:tcPr>
            <w:tcW w:w="0" w:type="auto"/>
          </w:tcPr>
          <w:p w:rsidR="00DF7115" w:rsidRPr="001A54C7" w:rsidRDefault="00DF7115" w:rsidP="001E762E">
            <w:r w:rsidRPr="001A54C7">
              <w:t>Back/Neck/Rib/Disc</w:t>
            </w:r>
          </w:p>
        </w:tc>
      </w:tr>
      <w:tr w:rsidR="00DF7115" w:rsidRPr="001A54C7" w:rsidTr="003543FC">
        <w:tc>
          <w:tcPr>
            <w:tcW w:w="846" w:type="dxa"/>
          </w:tcPr>
          <w:p w:rsidR="00DF7115" w:rsidRPr="001A54C7" w:rsidRDefault="00DF7115" w:rsidP="0061202A">
            <w:pPr>
              <w:pStyle w:val="TableRowHead"/>
            </w:pPr>
            <w:r w:rsidRPr="001A54C7">
              <w:t>4</w:t>
            </w:r>
          </w:p>
        </w:tc>
        <w:tc>
          <w:tcPr>
            <w:tcW w:w="1604" w:type="dxa"/>
          </w:tcPr>
          <w:p w:rsidR="00DF7115" w:rsidRPr="001A54C7" w:rsidRDefault="00DF7115" w:rsidP="001E762E">
            <w:r w:rsidRPr="001A54C7">
              <w:t>Other Incapacity</w:t>
            </w:r>
          </w:p>
        </w:tc>
        <w:tc>
          <w:tcPr>
            <w:tcW w:w="0" w:type="auto"/>
          </w:tcPr>
          <w:p w:rsidR="00DF7115" w:rsidRPr="001A54C7" w:rsidRDefault="00DF7115" w:rsidP="001E762E">
            <w:r w:rsidRPr="00DF7115">
              <w:t>Other Incapacity</w:t>
            </w:r>
          </w:p>
        </w:tc>
        <w:tc>
          <w:tcPr>
            <w:tcW w:w="0" w:type="auto"/>
          </w:tcPr>
          <w:p w:rsidR="00DF7115" w:rsidRPr="001A54C7" w:rsidRDefault="00DF7115" w:rsidP="001E762E">
            <w:r w:rsidRPr="00DF7115">
              <w:t>Other Incapacity</w:t>
            </w:r>
          </w:p>
        </w:tc>
        <w:tc>
          <w:tcPr>
            <w:tcW w:w="0" w:type="auto"/>
          </w:tcPr>
          <w:p w:rsidR="00DF7115" w:rsidRPr="001A54C7" w:rsidRDefault="00DF7115" w:rsidP="001E762E">
            <w:r w:rsidRPr="00DF7115">
              <w:t>Other Incapacity</w:t>
            </w:r>
          </w:p>
        </w:tc>
      </w:tr>
      <w:tr w:rsidR="00DF7115" w:rsidRPr="001A54C7" w:rsidTr="003543FC">
        <w:tc>
          <w:tcPr>
            <w:tcW w:w="846" w:type="dxa"/>
          </w:tcPr>
          <w:p w:rsidR="00DF7115" w:rsidRPr="001A54C7" w:rsidRDefault="00DF7115" w:rsidP="0061202A">
            <w:pPr>
              <w:pStyle w:val="TableRowHead"/>
            </w:pPr>
            <w:r w:rsidRPr="001A54C7">
              <w:t>5</w:t>
            </w:r>
          </w:p>
        </w:tc>
        <w:tc>
          <w:tcPr>
            <w:tcW w:w="1604" w:type="dxa"/>
          </w:tcPr>
          <w:p w:rsidR="00DF7115" w:rsidRPr="001A54C7" w:rsidRDefault="00DF7115" w:rsidP="001E762E">
            <w:r w:rsidRPr="001A54C7">
              <w:t>Arthritis/Rheumatism/O.A</w:t>
            </w:r>
          </w:p>
        </w:tc>
        <w:tc>
          <w:tcPr>
            <w:tcW w:w="0" w:type="auto"/>
          </w:tcPr>
          <w:p w:rsidR="00DF7115" w:rsidRPr="001A54C7" w:rsidRDefault="00DF7115" w:rsidP="001E762E">
            <w:r w:rsidRPr="001A54C7">
              <w:t>Arthritis/Rheumatism/O.A</w:t>
            </w:r>
          </w:p>
        </w:tc>
        <w:tc>
          <w:tcPr>
            <w:tcW w:w="0" w:type="auto"/>
          </w:tcPr>
          <w:p w:rsidR="00DF7115" w:rsidRPr="001A54C7" w:rsidRDefault="00DF7115" w:rsidP="001E762E">
            <w:r w:rsidRPr="001A54C7">
              <w:t>Arthritis/Rheumatism/O.A</w:t>
            </w:r>
          </w:p>
        </w:tc>
        <w:tc>
          <w:tcPr>
            <w:tcW w:w="0" w:type="auto"/>
          </w:tcPr>
          <w:p w:rsidR="00DF7115" w:rsidRPr="001A54C7" w:rsidRDefault="00DF7115" w:rsidP="001E762E">
            <w:r w:rsidRPr="001A54C7">
              <w:t>Arthritis/Rheumatism/O.A</w:t>
            </w:r>
          </w:p>
        </w:tc>
      </w:tr>
      <w:tr w:rsidR="00DF7115" w:rsidRPr="001A54C7" w:rsidTr="003543FC">
        <w:tc>
          <w:tcPr>
            <w:tcW w:w="846" w:type="dxa"/>
          </w:tcPr>
          <w:p w:rsidR="00DF7115" w:rsidRPr="001A54C7" w:rsidRDefault="00DF7115" w:rsidP="0061202A">
            <w:pPr>
              <w:pStyle w:val="TableRowHead"/>
            </w:pPr>
            <w:r w:rsidRPr="001A54C7">
              <w:t>6</w:t>
            </w:r>
          </w:p>
        </w:tc>
        <w:tc>
          <w:tcPr>
            <w:tcW w:w="1604" w:type="dxa"/>
          </w:tcPr>
          <w:p w:rsidR="00DF7115" w:rsidRPr="001A54C7" w:rsidRDefault="00DF7115" w:rsidP="00DF7115">
            <w:r w:rsidRPr="001A54C7">
              <w:t>Multiple Sclerosis</w:t>
            </w:r>
          </w:p>
        </w:tc>
        <w:tc>
          <w:tcPr>
            <w:tcW w:w="0" w:type="auto"/>
          </w:tcPr>
          <w:p w:rsidR="00DF7115" w:rsidRDefault="00DF7115" w:rsidP="00DF7115">
            <w:r w:rsidRPr="00C6344B">
              <w:t>Multiple Sclerosis</w:t>
            </w:r>
          </w:p>
        </w:tc>
        <w:tc>
          <w:tcPr>
            <w:tcW w:w="0" w:type="auto"/>
          </w:tcPr>
          <w:p w:rsidR="00DF7115" w:rsidRDefault="00DF7115" w:rsidP="00DF7115">
            <w:r w:rsidRPr="00C6344B">
              <w:t>Multiple Sclerosis</w:t>
            </w:r>
          </w:p>
        </w:tc>
        <w:tc>
          <w:tcPr>
            <w:tcW w:w="0" w:type="auto"/>
          </w:tcPr>
          <w:p w:rsidR="00DF7115" w:rsidRDefault="00DF7115" w:rsidP="00DF7115">
            <w:r w:rsidRPr="00C6344B">
              <w:t>Multiple Sclerosis</w:t>
            </w:r>
          </w:p>
        </w:tc>
      </w:tr>
      <w:tr w:rsidR="00DF7115" w:rsidRPr="001A54C7" w:rsidTr="003543FC">
        <w:tc>
          <w:tcPr>
            <w:tcW w:w="846" w:type="dxa"/>
          </w:tcPr>
          <w:p w:rsidR="00DF7115" w:rsidRPr="001A54C7" w:rsidRDefault="00DF7115" w:rsidP="0061202A">
            <w:pPr>
              <w:pStyle w:val="TableRowHead"/>
            </w:pPr>
            <w:r w:rsidRPr="001A54C7">
              <w:t>7</w:t>
            </w:r>
          </w:p>
        </w:tc>
        <w:tc>
          <w:tcPr>
            <w:tcW w:w="1604" w:type="dxa"/>
          </w:tcPr>
          <w:p w:rsidR="00DF7115" w:rsidRPr="001A54C7" w:rsidRDefault="00DF7115" w:rsidP="00DF7115">
            <w:r w:rsidRPr="001A54C7">
              <w:t>Heart/Coronary Condition</w:t>
            </w:r>
          </w:p>
        </w:tc>
        <w:tc>
          <w:tcPr>
            <w:tcW w:w="0" w:type="auto"/>
          </w:tcPr>
          <w:p w:rsidR="00DF7115" w:rsidRDefault="00DF7115" w:rsidP="00DF7115">
            <w:r w:rsidRPr="00193750">
              <w:t>Heart/Coronary Condition</w:t>
            </w:r>
          </w:p>
        </w:tc>
        <w:tc>
          <w:tcPr>
            <w:tcW w:w="0" w:type="auto"/>
          </w:tcPr>
          <w:p w:rsidR="00DF7115" w:rsidRDefault="00DF7115" w:rsidP="00DF7115">
            <w:r w:rsidRPr="00193750">
              <w:t>Heart/Coronary Condition</w:t>
            </w:r>
          </w:p>
        </w:tc>
        <w:tc>
          <w:tcPr>
            <w:tcW w:w="0" w:type="auto"/>
          </w:tcPr>
          <w:p w:rsidR="00DF7115" w:rsidRDefault="00DF7115" w:rsidP="00DF7115">
            <w:r w:rsidRPr="00193750">
              <w:t>Heart/Coronary Condition</w:t>
            </w:r>
          </w:p>
        </w:tc>
      </w:tr>
      <w:tr w:rsidR="00DF7115" w:rsidRPr="001A54C7" w:rsidTr="003543FC">
        <w:tc>
          <w:tcPr>
            <w:tcW w:w="846" w:type="dxa"/>
          </w:tcPr>
          <w:p w:rsidR="00DF7115" w:rsidRPr="001A54C7" w:rsidRDefault="00DF7115" w:rsidP="0061202A">
            <w:pPr>
              <w:pStyle w:val="TableRowHead"/>
            </w:pPr>
            <w:r w:rsidRPr="001A54C7">
              <w:t>8</w:t>
            </w:r>
          </w:p>
        </w:tc>
        <w:tc>
          <w:tcPr>
            <w:tcW w:w="1604" w:type="dxa"/>
          </w:tcPr>
          <w:p w:rsidR="00DF7115" w:rsidRPr="001A54C7" w:rsidRDefault="00DF7115" w:rsidP="001E762E">
            <w:r w:rsidRPr="001A54C7">
              <w:t>Schizophrenia</w:t>
            </w:r>
          </w:p>
        </w:tc>
        <w:tc>
          <w:tcPr>
            <w:tcW w:w="0" w:type="auto"/>
          </w:tcPr>
          <w:p w:rsidR="00DF7115" w:rsidRPr="001A54C7" w:rsidRDefault="00DF7115" w:rsidP="001E762E">
            <w:r w:rsidRPr="001A54C7">
              <w:t>Stress</w:t>
            </w:r>
          </w:p>
        </w:tc>
        <w:tc>
          <w:tcPr>
            <w:tcW w:w="0" w:type="auto"/>
          </w:tcPr>
          <w:p w:rsidR="00DF7115" w:rsidRPr="001A54C7" w:rsidRDefault="00DF7115" w:rsidP="001E762E">
            <w:r w:rsidRPr="001A54C7">
              <w:t>Stroke/Paralysis</w:t>
            </w:r>
          </w:p>
        </w:tc>
        <w:tc>
          <w:tcPr>
            <w:tcW w:w="0" w:type="auto"/>
          </w:tcPr>
          <w:p w:rsidR="00DF7115" w:rsidRPr="001A54C7" w:rsidRDefault="00DF7115" w:rsidP="001E762E">
            <w:r w:rsidRPr="001A54C7">
              <w:t>Stroke/Paralysis</w:t>
            </w:r>
          </w:p>
        </w:tc>
      </w:tr>
      <w:tr w:rsidR="00DF7115" w:rsidRPr="001A54C7" w:rsidTr="003543FC">
        <w:tc>
          <w:tcPr>
            <w:tcW w:w="846" w:type="dxa"/>
          </w:tcPr>
          <w:p w:rsidR="00DF7115" w:rsidRPr="001A54C7" w:rsidRDefault="00DF7115" w:rsidP="0061202A">
            <w:pPr>
              <w:pStyle w:val="TableRowHead"/>
            </w:pPr>
            <w:r w:rsidRPr="001A54C7">
              <w:t>9</w:t>
            </w:r>
          </w:p>
        </w:tc>
        <w:tc>
          <w:tcPr>
            <w:tcW w:w="1604" w:type="dxa"/>
          </w:tcPr>
          <w:p w:rsidR="00DF7115" w:rsidRPr="001A54C7" w:rsidRDefault="00DF7115" w:rsidP="001E762E">
            <w:r w:rsidRPr="001A54C7">
              <w:t>Stress</w:t>
            </w:r>
          </w:p>
        </w:tc>
        <w:tc>
          <w:tcPr>
            <w:tcW w:w="0" w:type="auto"/>
          </w:tcPr>
          <w:p w:rsidR="00DF7115" w:rsidRPr="001A54C7" w:rsidRDefault="00DF7115" w:rsidP="001E762E">
            <w:r w:rsidRPr="001A54C7">
              <w:t>Stroke/Paralysis</w:t>
            </w:r>
          </w:p>
        </w:tc>
        <w:tc>
          <w:tcPr>
            <w:tcW w:w="0" w:type="auto"/>
          </w:tcPr>
          <w:p w:rsidR="00DF7115" w:rsidRPr="001A54C7" w:rsidRDefault="00DF7115" w:rsidP="001E762E">
            <w:r w:rsidRPr="001A54C7">
              <w:t>Fracture/Broken</w:t>
            </w:r>
          </w:p>
        </w:tc>
        <w:tc>
          <w:tcPr>
            <w:tcW w:w="0" w:type="auto"/>
          </w:tcPr>
          <w:p w:rsidR="00DF7115" w:rsidRPr="001A54C7" w:rsidRDefault="00DF7115" w:rsidP="001E762E">
            <w:r w:rsidRPr="001A54C7">
              <w:t>Stress</w:t>
            </w:r>
          </w:p>
        </w:tc>
      </w:tr>
      <w:tr w:rsidR="00DF7115" w:rsidRPr="001A54C7" w:rsidTr="003543FC">
        <w:tc>
          <w:tcPr>
            <w:tcW w:w="846" w:type="dxa"/>
          </w:tcPr>
          <w:p w:rsidR="00DF7115" w:rsidRPr="001A54C7" w:rsidRDefault="00DF7115" w:rsidP="0061202A">
            <w:pPr>
              <w:pStyle w:val="TableRowHead"/>
            </w:pPr>
            <w:r w:rsidRPr="001A54C7">
              <w:t>10</w:t>
            </w:r>
          </w:p>
        </w:tc>
        <w:tc>
          <w:tcPr>
            <w:tcW w:w="1604" w:type="dxa"/>
          </w:tcPr>
          <w:p w:rsidR="00DF7115" w:rsidRPr="001A54C7" w:rsidRDefault="00DF7115" w:rsidP="001E762E">
            <w:r w:rsidRPr="001A54C7">
              <w:t>Stroke/Paralysis</w:t>
            </w:r>
          </w:p>
        </w:tc>
        <w:tc>
          <w:tcPr>
            <w:tcW w:w="0" w:type="auto"/>
          </w:tcPr>
          <w:p w:rsidR="00DF7115" w:rsidRPr="001A54C7" w:rsidRDefault="00DF7115" w:rsidP="001E762E">
            <w:r w:rsidRPr="001A54C7">
              <w:t>Schizophrenia</w:t>
            </w:r>
          </w:p>
        </w:tc>
        <w:tc>
          <w:tcPr>
            <w:tcW w:w="0" w:type="auto"/>
          </w:tcPr>
          <w:p w:rsidR="00DF7115" w:rsidRPr="001A54C7" w:rsidRDefault="00DF7115" w:rsidP="001E762E">
            <w:r w:rsidRPr="001A54C7">
              <w:t>Stress</w:t>
            </w:r>
          </w:p>
        </w:tc>
        <w:tc>
          <w:tcPr>
            <w:tcW w:w="0" w:type="auto"/>
          </w:tcPr>
          <w:p w:rsidR="00DF7115" w:rsidRPr="001A54C7" w:rsidRDefault="00DF7115" w:rsidP="001E762E">
            <w:r w:rsidRPr="001A54C7">
              <w:t>Leg/Knee/Ankle Injury</w:t>
            </w:r>
          </w:p>
        </w:tc>
      </w:tr>
    </w:tbl>
    <w:p w:rsidR="00DF7115" w:rsidRDefault="00DF7115" w:rsidP="00DF7115">
      <w:pPr>
        <w:pStyle w:val="NormalBeforeList"/>
      </w:pPr>
      <w:r>
        <w:t>Source: DSP 2015</w:t>
      </w:r>
    </w:p>
    <w:p w:rsidR="006114B2" w:rsidRDefault="006114B2" w:rsidP="0061202A">
      <w:pPr>
        <w:pStyle w:val="Heading2"/>
      </w:pPr>
      <w:r>
        <w:t xml:space="preserve">Conclusions </w:t>
      </w:r>
    </w:p>
    <w:p w:rsidR="006F2763" w:rsidRDefault="00077419" w:rsidP="006114B2">
      <w:r>
        <w:t>This paper has shown that the</w:t>
      </w:r>
      <w:r w:rsidR="00C13B40">
        <w:t xml:space="preserve">re is a correlation between people who have left the labour force and </w:t>
      </w:r>
      <w:r>
        <w:t>disability</w:t>
      </w:r>
      <w:r w:rsidR="006F2763">
        <w:t xml:space="preserve">. </w:t>
      </w:r>
      <w:r>
        <w:t xml:space="preserve"> </w:t>
      </w:r>
      <w:r w:rsidR="006F2763">
        <w:t>People with a disability are much more likely be unemployed having lost or given up a job or unable to work due to permanent sickness or disability.</w:t>
      </w:r>
      <w:r>
        <w:t xml:space="preserve"> This gap increases with age.  The gap is also particularly high for two groups – those with physical or mental health issues</w:t>
      </w:r>
      <w:r w:rsidR="008C19E1">
        <w:t>.</w:t>
      </w:r>
      <w:r>
        <w:t xml:space="preserve"> </w:t>
      </w:r>
      <w:r w:rsidR="008C19E1">
        <w:t>M</w:t>
      </w:r>
      <w:r>
        <w:t xml:space="preserve">en with these conditions seem to be particularly negatively affected. </w:t>
      </w:r>
    </w:p>
    <w:p w:rsidR="00EF6B9B" w:rsidRDefault="00077419" w:rsidP="006114B2">
      <w:r>
        <w:t>T</w:t>
      </w:r>
      <w:r w:rsidR="006F2763">
        <w:t>he</w:t>
      </w:r>
      <w:r>
        <w:t>s</w:t>
      </w:r>
      <w:r w:rsidR="006F2763">
        <w:t>e findings are correlations</w:t>
      </w:r>
      <w:r>
        <w:t xml:space="preserve"> – </w:t>
      </w:r>
      <w:r w:rsidR="006F2763">
        <w:t xml:space="preserve">women and especially </w:t>
      </w:r>
      <w:r>
        <w:t>men with these conditions are much more likely to have exited the workforce.  What we cannot show is that they exited the workforce because of the</w:t>
      </w:r>
      <w:r w:rsidR="006F2763">
        <w:t xml:space="preserve"> onset of these </w:t>
      </w:r>
      <w:r>
        <w:t xml:space="preserve">conditions.  </w:t>
      </w:r>
      <w:r w:rsidR="00EF6B9B">
        <w:t xml:space="preserve"> To understand th</w:t>
      </w:r>
      <w:r w:rsidR="006F2763">
        <w:t xml:space="preserve">e dynamics </w:t>
      </w:r>
      <w:r w:rsidR="00EF6B9B">
        <w:t>better, we would need to examine</w:t>
      </w:r>
      <w:r w:rsidR="006F2763">
        <w:t xml:space="preserve"> </w:t>
      </w:r>
      <w:r w:rsidR="006114B2">
        <w:t xml:space="preserve">time series data that </w:t>
      </w:r>
      <w:r w:rsidR="00EF6B9B">
        <w:t xml:space="preserve">showed </w:t>
      </w:r>
      <w:r w:rsidR="006F2763">
        <w:t>when the person acquired</w:t>
      </w:r>
      <w:r w:rsidR="006114B2">
        <w:t xml:space="preserve"> a disability and link this to a change in employment status.  </w:t>
      </w:r>
      <w:r w:rsidR="001A64AE">
        <w:t>However,</w:t>
      </w:r>
      <w:r w:rsidR="00463EF4">
        <w:t xml:space="preserve"> a recent study by </w:t>
      </w:r>
      <w:proofErr w:type="spellStart"/>
      <w:r w:rsidR="00463EF4" w:rsidRPr="00463EF4">
        <w:t>Privalko</w:t>
      </w:r>
      <w:proofErr w:type="spellEnd"/>
      <w:r w:rsidR="00463EF4">
        <w:t xml:space="preserve"> and colleagues (2019) </w:t>
      </w:r>
      <w:r w:rsidR="00463EF4">
        <w:lastRenderedPageBreak/>
        <w:t xml:space="preserve">found that people gave illness and disability as the second most common reason for leaving the workforce early. </w:t>
      </w:r>
    </w:p>
    <w:p w:rsidR="00071B1E" w:rsidRDefault="00071B1E" w:rsidP="006114B2">
      <w:r>
        <w:t>As far back as 2008 the OECD criticised Ireland for poor coordination of polices towards people with a disability to enter employment and to be retained in employment upon acquiring a disability (OECD 2008)</w:t>
      </w:r>
      <w:r w:rsidR="009F179B">
        <w:t xml:space="preserve">. </w:t>
      </w:r>
      <w:proofErr w:type="spellStart"/>
      <w:r w:rsidR="009F179B">
        <w:t>McAnaney</w:t>
      </w:r>
      <w:proofErr w:type="spellEnd"/>
      <w:r w:rsidR="009F179B">
        <w:t xml:space="preserve"> and </w:t>
      </w:r>
      <w:r w:rsidR="009F179B" w:rsidRPr="009F179B">
        <w:t>Wynne</w:t>
      </w:r>
      <w:r w:rsidR="009F179B">
        <w:t xml:space="preserve"> (2016) summarised the recommendations that had been made to </w:t>
      </w:r>
      <w:r w:rsidR="00A25868">
        <w:t xml:space="preserve">improve </w:t>
      </w:r>
      <w:r w:rsidR="00A25868" w:rsidRPr="009F179B">
        <w:t>vocational</w:t>
      </w:r>
      <w:r w:rsidR="009F179B">
        <w:t xml:space="preserve"> rehabilitation in Ireland: </w:t>
      </w:r>
    </w:p>
    <w:p w:rsidR="00071B1E" w:rsidRDefault="009F179B" w:rsidP="00071B1E">
      <w:pPr>
        <w:pStyle w:val="ListParagraph"/>
        <w:numPr>
          <w:ilvl w:val="0"/>
          <w:numId w:val="18"/>
        </w:numPr>
      </w:pPr>
      <w:r>
        <w:t>“</w:t>
      </w:r>
      <w:r w:rsidR="00071B1E">
        <w:t>Reduce the inflow into sickness and disability benefits by recognising that sick leave is the most frequent route into disability benefit</w:t>
      </w:r>
    </w:p>
    <w:p w:rsidR="00071B1E" w:rsidRDefault="00071B1E" w:rsidP="00071B1E">
      <w:pPr>
        <w:pStyle w:val="ListParagraph"/>
        <w:numPr>
          <w:ilvl w:val="0"/>
          <w:numId w:val="18"/>
        </w:numPr>
      </w:pPr>
      <w:r>
        <w:t>Intervene early at the point at which people encounter the welfare system for the first time with activation measures</w:t>
      </w:r>
    </w:p>
    <w:p w:rsidR="00071B1E" w:rsidRDefault="00071B1E" w:rsidP="00071B1E">
      <w:pPr>
        <w:pStyle w:val="ListParagraph"/>
        <w:numPr>
          <w:ilvl w:val="0"/>
          <w:numId w:val="18"/>
        </w:numPr>
      </w:pPr>
      <w:r>
        <w:t>Introduce early intervention to avoid health conditions developing into more serious problems, potentially resulting in a disability benefit claim</w:t>
      </w:r>
    </w:p>
    <w:p w:rsidR="00071B1E" w:rsidRDefault="00071B1E" w:rsidP="00071B1E">
      <w:pPr>
        <w:pStyle w:val="ListParagraph"/>
        <w:numPr>
          <w:ilvl w:val="0"/>
          <w:numId w:val="18"/>
        </w:numPr>
      </w:pPr>
      <w:r>
        <w:t>Use profiling to reduce inflow into the systems by establishing claimants’ employment status and work capacity at around 12 weeks based on the potential for job retention, redeployment or early retirement</w:t>
      </w:r>
    </w:p>
    <w:p w:rsidR="00071B1E" w:rsidRDefault="00071B1E" w:rsidP="00071B1E">
      <w:pPr>
        <w:pStyle w:val="ListParagraph"/>
        <w:numPr>
          <w:ilvl w:val="0"/>
          <w:numId w:val="18"/>
        </w:numPr>
      </w:pPr>
      <w:r>
        <w:t>Introduce employment assessment into procedures for qualifying for income support and a systematic referral to employment services to increase the activation options</w:t>
      </w:r>
    </w:p>
    <w:p w:rsidR="00071B1E" w:rsidRDefault="00071B1E" w:rsidP="00071B1E">
      <w:pPr>
        <w:pStyle w:val="ListParagraph"/>
        <w:numPr>
          <w:ilvl w:val="0"/>
          <w:numId w:val="18"/>
        </w:numPr>
      </w:pPr>
      <w:r>
        <w:t>Provide vocational and occupational guidance as part of the qualification procedure for income support</w:t>
      </w:r>
    </w:p>
    <w:p w:rsidR="00071B1E" w:rsidRDefault="00071B1E" w:rsidP="001E762E">
      <w:pPr>
        <w:pStyle w:val="ListParagraph"/>
        <w:numPr>
          <w:ilvl w:val="0"/>
          <w:numId w:val="18"/>
        </w:numPr>
      </w:pPr>
      <w:r>
        <w:t>Raise employment rates for people with acquired disabilities by identifying and assisting them when they are not regularly employed, or unemployed but do not have a disability designation</w:t>
      </w:r>
    </w:p>
    <w:p w:rsidR="009F179B" w:rsidRDefault="00071B1E" w:rsidP="001E762E">
      <w:pPr>
        <w:pStyle w:val="ListParagraph"/>
        <w:numPr>
          <w:ilvl w:val="0"/>
          <w:numId w:val="18"/>
        </w:numPr>
      </w:pPr>
      <w:r>
        <w:t xml:space="preserve">Support people to develop an individualised plan to </w:t>
      </w:r>
      <w:r w:rsidR="009F179B">
        <w:t>gain or retain employment</w:t>
      </w:r>
    </w:p>
    <w:p w:rsidR="009F179B" w:rsidRDefault="009F179B" w:rsidP="009F179B">
      <w:pPr>
        <w:pStyle w:val="ListParagraph"/>
        <w:numPr>
          <w:ilvl w:val="0"/>
          <w:numId w:val="18"/>
        </w:numPr>
      </w:pPr>
      <w:r>
        <w:t>Actively engage employers in the retention of long-term absent workers</w:t>
      </w:r>
    </w:p>
    <w:p w:rsidR="009F179B" w:rsidRDefault="009F179B" w:rsidP="001E762E">
      <w:pPr>
        <w:pStyle w:val="ListParagraph"/>
        <w:numPr>
          <w:ilvl w:val="0"/>
          <w:numId w:val="18"/>
        </w:numPr>
      </w:pPr>
      <w:r>
        <w:t xml:space="preserve">Raise employers’ awareness of the support available to assist in job retention </w:t>
      </w:r>
    </w:p>
    <w:p w:rsidR="00071B1E" w:rsidRDefault="009F179B" w:rsidP="001E762E">
      <w:pPr>
        <w:pStyle w:val="ListParagraph"/>
        <w:numPr>
          <w:ilvl w:val="0"/>
          <w:numId w:val="18"/>
        </w:numPr>
      </w:pPr>
      <w:r>
        <w:t>Introduce incentives for employers to engage in active recruitment and to retain employees who acquire a disability” (page 63)</w:t>
      </w:r>
    </w:p>
    <w:p w:rsidR="009F179B" w:rsidRDefault="009F179B" w:rsidP="009F179B">
      <w:proofErr w:type="spellStart"/>
      <w:r w:rsidRPr="009F179B">
        <w:t>McAnaney</w:t>
      </w:r>
      <w:proofErr w:type="spellEnd"/>
      <w:r w:rsidRPr="009F179B">
        <w:t xml:space="preserve"> and Wynne (2016)</w:t>
      </w:r>
      <w:r>
        <w:t xml:space="preserve"> added to </w:t>
      </w:r>
      <w:r w:rsidR="002E1C4C">
        <w:t>these recommendations</w:t>
      </w:r>
      <w:r>
        <w:t xml:space="preserve"> the need to </w:t>
      </w:r>
      <w:r w:rsidR="000529A2">
        <w:t>refocus payments to stop people leaving work.</w:t>
      </w:r>
    </w:p>
    <w:p w:rsidR="00071B1E" w:rsidRDefault="009F179B" w:rsidP="009F179B">
      <w:r>
        <w:t xml:space="preserve">The recommendations from previous studies </w:t>
      </w:r>
      <w:r w:rsidR="00304302">
        <w:t xml:space="preserve">are still </w:t>
      </w:r>
      <w:r>
        <w:t xml:space="preserve">relevant to what is </w:t>
      </w:r>
      <w:r w:rsidR="00304302">
        <w:t xml:space="preserve">needed </w:t>
      </w:r>
      <w:r>
        <w:t xml:space="preserve">to </w:t>
      </w:r>
      <w:r w:rsidR="00304302">
        <w:t>improve</w:t>
      </w:r>
      <w:r>
        <w:t xml:space="preserve"> the current Irish system in order to support people with acquired disabilities to </w:t>
      </w:r>
      <w:r w:rsidR="00304302">
        <w:t xml:space="preserve">stay in </w:t>
      </w:r>
      <w:r>
        <w:t>their jobs, return to work or find alternative employment.</w:t>
      </w:r>
      <w:r w:rsidR="00A25868">
        <w:t xml:space="preserve"> Appendix 1 lists the supports that are </w:t>
      </w:r>
      <w:r w:rsidR="00DA2BDE">
        <w:t>available</w:t>
      </w:r>
      <w:r w:rsidR="00A25868">
        <w:t xml:space="preserve"> to people who </w:t>
      </w:r>
      <w:r w:rsidR="00DA2BDE">
        <w:t>acquire</w:t>
      </w:r>
      <w:r w:rsidR="00A25868">
        <w:t xml:space="preserve"> a disability.  However apart from some supports to help workplaces re</w:t>
      </w:r>
      <w:r w:rsidR="00DA2BDE">
        <w:t>-orientate</w:t>
      </w:r>
      <w:r w:rsidR="00A25868">
        <w:t xml:space="preserve"> themselves </w:t>
      </w:r>
      <w:r w:rsidR="003F3D99">
        <w:t>when a person acquires a</w:t>
      </w:r>
      <w:r w:rsidR="00A25868">
        <w:t xml:space="preserve"> disability and some grants to refit the workplace there </w:t>
      </w:r>
      <w:r w:rsidR="00A25868">
        <w:lastRenderedPageBreak/>
        <w:t xml:space="preserve">are no </w:t>
      </w:r>
      <w:r w:rsidR="003F3D99">
        <w:t xml:space="preserve">direct </w:t>
      </w:r>
      <w:r w:rsidR="00A25868">
        <w:t>support</w:t>
      </w:r>
      <w:r w:rsidR="00304302">
        <w:t>s</w:t>
      </w:r>
      <w:r w:rsidR="00A25868">
        <w:t xml:space="preserve"> for the </w:t>
      </w:r>
      <w:r w:rsidR="00DA2BDE">
        <w:t>individual</w:t>
      </w:r>
      <w:r w:rsidR="00A25868">
        <w:t xml:space="preserve"> to retain them in the workplace.  All the support kicks in once a person has left the workplace</w:t>
      </w:r>
      <w:r w:rsidR="006F2763">
        <w:t>, little is available for the employee prior to leaving the workplace</w:t>
      </w:r>
      <w:r w:rsidR="00A25868">
        <w:t xml:space="preserve">. </w:t>
      </w:r>
    </w:p>
    <w:p w:rsidR="006114B2" w:rsidRDefault="006114B2" w:rsidP="006114B2">
      <w:r>
        <w:t xml:space="preserve">The easiest way to increase the employment rate of people with a disability is to keep them in employment </w:t>
      </w:r>
      <w:r w:rsidR="000529A2">
        <w:t>when</w:t>
      </w:r>
      <w:r>
        <w:t xml:space="preserve"> they acquire a disability.  They have work experience</w:t>
      </w:r>
      <w:r w:rsidR="00A25868">
        <w:t>,</w:t>
      </w:r>
      <w:r>
        <w:t xml:space="preserve"> they are known to an employer, </w:t>
      </w:r>
      <w:r w:rsidR="00304302">
        <w:t xml:space="preserve">and </w:t>
      </w:r>
      <w:r>
        <w:t>they have employment skills.  However</w:t>
      </w:r>
      <w:r w:rsidR="00304302">
        <w:t xml:space="preserve">, retaining these employees will </w:t>
      </w:r>
      <w:r w:rsidR="000529A2">
        <w:t>relies</w:t>
      </w:r>
      <w:r w:rsidR="00304302">
        <w:t xml:space="preserve"> </w:t>
      </w:r>
      <w:r>
        <w:t>on them being given the correct supports to retrain</w:t>
      </w:r>
      <w:r w:rsidR="00A25868">
        <w:t xml:space="preserve"> or the correct incentives to remain working</w:t>
      </w:r>
      <w:r>
        <w:t>.</w:t>
      </w:r>
    </w:p>
    <w:p w:rsidR="006114B2" w:rsidRDefault="006114B2" w:rsidP="006114B2">
      <w:r>
        <w:t xml:space="preserve">Despite the Irish employment rate having recovered since the recession the disability employment gap </w:t>
      </w:r>
      <w:r w:rsidR="00304302">
        <w:t>is still a</w:t>
      </w:r>
      <w:r>
        <w:t xml:space="preserve"> central challenge for our society. This challenge is not a new one, and successive governments have engaged with the policy landscape to improve the position of people with a disability in the labour market.  However, so far these have </w:t>
      </w:r>
      <w:r w:rsidR="00304302">
        <w:t>only made</w:t>
      </w:r>
      <w:r>
        <w:t xml:space="preserve"> modest improvements to overall employment outcomes.  More needs to be done to </w:t>
      </w:r>
      <w:r w:rsidR="000A1E41">
        <w:t xml:space="preserve">assist </w:t>
      </w:r>
      <w:r>
        <w:t xml:space="preserve">people who have a </w:t>
      </w:r>
      <w:r w:rsidR="000A1E41">
        <w:t>lifelong</w:t>
      </w:r>
      <w:r>
        <w:t xml:space="preserve"> disability to enter the labour market and to retain people who acquire a disability in the labour market. </w:t>
      </w:r>
      <w:r w:rsidR="003F3D99">
        <w:t>International r</w:t>
      </w:r>
      <w:r>
        <w:t>esearch shows that the longer you are away from work the harder it is to re</w:t>
      </w:r>
      <w:r w:rsidR="001979C2">
        <w:t>-</w:t>
      </w:r>
      <w:r>
        <w:t>enter the labour market.  Therefore</w:t>
      </w:r>
      <w:r w:rsidR="000A1E41">
        <w:t>,</w:t>
      </w:r>
      <w:r>
        <w:t xml:space="preserve"> the focus must be on immediate, flexible support so that when a person acquires a disability they are helped to stay linked with the labour market</w:t>
      </w:r>
      <w:r w:rsidR="00A25868">
        <w:t xml:space="preserve">. </w:t>
      </w:r>
    </w:p>
    <w:p w:rsidR="001A54C7" w:rsidRDefault="001A54C7" w:rsidP="001A54C7">
      <w:r>
        <w:br w:type="page"/>
      </w:r>
    </w:p>
    <w:p w:rsidR="0061202A" w:rsidRDefault="0061202A" w:rsidP="0061202A">
      <w:pPr>
        <w:pStyle w:val="Heading2"/>
      </w:pPr>
      <w:r>
        <w:lastRenderedPageBreak/>
        <w:t xml:space="preserve">References </w:t>
      </w:r>
    </w:p>
    <w:p w:rsidR="00ED4784" w:rsidRDefault="00ED4784" w:rsidP="00ED4784">
      <w:r>
        <w:t>Ben-Shalom</w:t>
      </w:r>
      <w:r w:rsidRPr="00ED4784">
        <w:t xml:space="preserve"> </w:t>
      </w:r>
      <w:r>
        <w:t xml:space="preserve">Yonatan, </w:t>
      </w:r>
      <w:proofErr w:type="spellStart"/>
      <w:r>
        <w:t>Bruns</w:t>
      </w:r>
      <w:proofErr w:type="spellEnd"/>
      <w:r w:rsidRPr="00ED4784">
        <w:t xml:space="preserve"> </w:t>
      </w:r>
      <w:r>
        <w:t xml:space="preserve">Steve, </w:t>
      </w:r>
      <w:proofErr w:type="spellStart"/>
      <w:r>
        <w:t>Contreary</w:t>
      </w:r>
      <w:proofErr w:type="spellEnd"/>
      <w:r w:rsidRPr="00ED4784">
        <w:t xml:space="preserve"> </w:t>
      </w:r>
      <w:r>
        <w:t xml:space="preserve">Kara, Stapleton David (2017) Stay-at-Work/Return-to-Work: Key Facts, Critical Information Gaps, and Current Practices and Proposals </w:t>
      </w:r>
      <w:r w:rsidRPr="00ED4784">
        <w:t>https://www.mathematica-mpr.com/our-publications-and-findings/publications/stay-at-work-return-to-work-key-facts-critical-information-gaps-and-current-practices-and-proposals</w:t>
      </w:r>
    </w:p>
    <w:p w:rsidR="0036083F" w:rsidRDefault="0036083F" w:rsidP="0036083F">
      <w:r>
        <w:t>Card</w:t>
      </w:r>
      <w:r w:rsidR="00F53F43">
        <w:t xml:space="preserve"> D</w:t>
      </w:r>
      <w:r>
        <w:t xml:space="preserve">, </w:t>
      </w:r>
      <w:proofErr w:type="spellStart"/>
      <w:r>
        <w:t>Kluve</w:t>
      </w:r>
      <w:proofErr w:type="spellEnd"/>
      <w:r w:rsidR="00F53F43">
        <w:t xml:space="preserve"> J</w:t>
      </w:r>
      <w:r>
        <w:t>, Weber</w:t>
      </w:r>
      <w:r w:rsidR="00F53F43">
        <w:t xml:space="preserve"> A (2018) </w:t>
      </w:r>
      <w:r>
        <w:t xml:space="preserve">What works? A </w:t>
      </w:r>
      <w:proofErr w:type="spellStart"/>
      <w:r>
        <w:t>meta analysis</w:t>
      </w:r>
      <w:proofErr w:type="spellEnd"/>
      <w:r>
        <w:t xml:space="preserve"> of recent active </w:t>
      </w:r>
      <w:proofErr w:type="spellStart"/>
      <w:r>
        <w:t>labor</w:t>
      </w:r>
      <w:proofErr w:type="spellEnd"/>
      <w:r>
        <w:t xml:space="preserve"> market program evaluations</w:t>
      </w:r>
      <w:r w:rsidR="00F53F43">
        <w:t xml:space="preserve"> </w:t>
      </w:r>
      <w:r>
        <w:t>Journal of the European Economic Association 16 (3), 894-931</w:t>
      </w:r>
    </w:p>
    <w:p w:rsidR="001A54C7" w:rsidRDefault="001A54C7" w:rsidP="006114B2">
      <w:r>
        <w:t>DSP (2015) A Review of Partial Capacity Benefit</w:t>
      </w:r>
      <w:r w:rsidRPr="001A54C7">
        <w:t xml:space="preserve"> </w:t>
      </w:r>
      <w:hyperlink r:id="rId18" w:history="1">
        <w:r w:rsidR="00C901CC" w:rsidRPr="00156863">
          <w:rPr>
            <w:rStyle w:val="Hyperlink"/>
          </w:rPr>
          <w:t>https://www.welfare.ie/en/downloads/A%20Review%20of%20Partial%20Capacity%20Benefit.pdf</w:t>
        </w:r>
      </w:hyperlink>
    </w:p>
    <w:p w:rsidR="00C901CC" w:rsidRDefault="00C901CC" w:rsidP="006114B2">
      <w:r w:rsidRPr="00C901CC">
        <w:t>Hollenbeck, Kevin. 2015. "Promoting Retention or Reemployment of Workers after a Significant Injury or Illness." Washington, DC: Mathematica .</w:t>
      </w:r>
    </w:p>
    <w:p w:rsidR="006114B2" w:rsidRDefault="001A54C7" w:rsidP="006114B2">
      <w:proofErr w:type="spellStart"/>
      <w:r w:rsidRPr="001A54C7">
        <w:t>Lefever</w:t>
      </w:r>
      <w:proofErr w:type="spellEnd"/>
      <w:r w:rsidRPr="001A54C7">
        <w:t xml:space="preserve">, </w:t>
      </w:r>
      <w:proofErr w:type="spellStart"/>
      <w:r w:rsidRPr="001A54C7">
        <w:t>Marlies</w:t>
      </w:r>
      <w:proofErr w:type="spellEnd"/>
      <w:r w:rsidRPr="001A54C7">
        <w:t xml:space="preserve">, </w:t>
      </w:r>
      <w:proofErr w:type="spellStart"/>
      <w:r w:rsidRPr="001A54C7">
        <w:t>Saskia</w:t>
      </w:r>
      <w:proofErr w:type="spellEnd"/>
      <w:r w:rsidRPr="001A54C7">
        <w:t xml:space="preserve"> </w:t>
      </w:r>
      <w:proofErr w:type="spellStart"/>
      <w:r w:rsidRPr="001A54C7">
        <w:t>Decuman</w:t>
      </w:r>
      <w:proofErr w:type="spellEnd"/>
      <w:r w:rsidRPr="001A54C7">
        <w:t xml:space="preserve">, François Perl, </w:t>
      </w:r>
      <w:proofErr w:type="spellStart"/>
      <w:r w:rsidRPr="001A54C7">
        <w:t>Lutgart</w:t>
      </w:r>
      <w:proofErr w:type="spellEnd"/>
      <w:r w:rsidRPr="001A54C7">
        <w:t xml:space="preserve"> </w:t>
      </w:r>
      <w:proofErr w:type="spellStart"/>
      <w:r w:rsidRPr="001A54C7">
        <w:t>Braeckman</w:t>
      </w:r>
      <w:proofErr w:type="spellEnd"/>
      <w:r w:rsidRPr="001A54C7">
        <w:t xml:space="preserve">, and Dominique Van de </w:t>
      </w:r>
      <w:proofErr w:type="spellStart"/>
      <w:r w:rsidRPr="001A54C7">
        <w:t>Velde</w:t>
      </w:r>
      <w:proofErr w:type="spellEnd"/>
      <w:r w:rsidRPr="001A54C7">
        <w:t>. 2018. “The Efficacy and Efficiency of Disability Management in Job-retention and Job-reintegration</w:t>
      </w:r>
      <w:r w:rsidRPr="001A54C7">
        <w:rPr>
          <w:rFonts w:ascii="Arial" w:hAnsi="Arial" w:cs="Arial"/>
        </w:rPr>
        <w:t> </w:t>
      </w:r>
      <w:r w:rsidRPr="001A54C7">
        <w:t>: a Systematic Review.</w:t>
      </w:r>
      <w:r w:rsidRPr="001A54C7">
        <w:rPr>
          <w:rFonts w:cs="Gill Sans MT"/>
        </w:rPr>
        <w:t>”</w:t>
      </w:r>
      <w:r w:rsidRPr="001A54C7">
        <w:t xml:space="preserve"> Work-a Journal of Prevention Assessment &amp; Rehabilitation 59 (4): 501–534.</w:t>
      </w:r>
    </w:p>
    <w:p w:rsidR="00083D1E" w:rsidRDefault="00083D1E" w:rsidP="006114B2">
      <w:r>
        <w:t xml:space="preserve">Martina J (2015) </w:t>
      </w:r>
      <w:r w:rsidRPr="00083D1E">
        <w:t>Activation and Active Labour Market Policies in OECD Countries: Stylized Facts and Evidence on their Effect</w:t>
      </w:r>
      <w:r w:rsidR="00267DEB">
        <w:t>iveness IZA Policy Paper No. 84.</w:t>
      </w:r>
    </w:p>
    <w:p w:rsidR="00267DEB" w:rsidRDefault="00267DEB" w:rsidP="00267DEB">
      <w:proofErr w:type="spellStart"/>
      <w:r>
        <w:t>McAnaney</w:t>
      </w:r>
      <w:proofErr w:type="spellEnd"/>
      <w:r>
        <w:t xml:space="preserve"> D, Wynne R (2016) International Good Practice in Vocational Rehabilitation: Lessons for Ireland </w:t>
      </w:r>
      <w:r w:rsidRPr="00267DEB">
        <w:t>http://nda.ie/File-upload/International-Good-Practice-in-Vocational-Rehabilitation-Lessons-for-Ireland.pdf</w:t>
      </w:r>
    </w:p>
    <w:p w:rsidR="00884761" w:rsidRDefault="00884761" w:rsidP="00884761">
      <w:r>
        <w:t xml:space="preserve">National Disability Authority (2011) Literature review: Guidance on retaining employees with a disability </w:t>
      </w:r>
      <w:hyperlink r:id="rId19" w:history="1">
        <w:r w:rsidR="00071B1E" w:rsidRPr="00386DC0">
          <w:rPr>
            <w:rStyle w:val="Hyperlink"/>
          </w:rPr>
          <w:t>http://nda.ie/Publications/Employment/Employment-Publications/Literature-review-Guidance-on-retaining-employees-with-a-disability1.pdf</w:t>
        </w:r>
      </w:hyperlink>
    </w:p>
    <w:p w:rsidR="00071B1E" w:rsidRDefault="00071B1E" w:rsidP="00071B1E">
      <w:r>
        <w:t>OECD (2008) Sickness, Disability and Work: Breaking the Barriers Vol. 3. Denmark, Finland, Ireland and the Netherlands. Paris, FR: Organisation for Economic Cooperation and Development.</w:t>
      </w:r>
    </w:p>
    <w:p w:rsidR="00463EF4" w:rsidRDefault="00463EF4" w:rsidP="00071B1E">
      <w:proofErr w:type="spellStart"/>
      <w:r w:rsidRPr="00463EF4">
        <w:t>Privalko</w:t>
      </w:r>
      <w:proofErr w:type="spellEnd"/>
      <w:r w:rsidRPr="00463EF4">
        <w:t xml:space="preserve"> Ivan, Russell Helen and Bertrand Maître (2019) The ageing workforce in Ireland: Working conditions, health and extending working lives https://www.esri.ie/publications/the-ageing-workforce-in-ireland-working-conditions-health-and-extending-working-lives</w:t>
      </w:r>
    </w:p>
    <w:p w:rsidR="00884761" w:rsidRDefault="00884761" w:rsidP="00884761">
      <w:r>
        <w:lastRenderedPageBreak/>
        <w:t>Russell</w:t>
      </w:r>
      <w:r w:rsidRPr="00884761">
        <w:t xml:space="preserve"> </w:t>
      </w:r>
      <w:r>
        <w:t xml:space="preserve">H, Maître B and Watson D (2016) Work-related Musculoskeletal Disorders and Stress, Anxiety and Depression in Ireland: Evidence from the QNHS 2002–2013 </w:t>
      </w:r>
      <w:r w:rsidRPr="00884761">
        <w:t>https://www.esri.ie/system/files/media/file-uploads/2016-09/RS53.pdf</w:t>
      </w:r>
    </w:p>
    <w:p w:rsidR="00B11EFB" w:rsidRDefault="00B11EFB" w:rsidP="00B11EFB">
      <w:pPr>
        <w:spacing w:after="0"/>
      </w:pPr>
      <w:r>
        <w:t xml:space="preserve">Tatiana I. </w:t>
      </w:r>
      <w:proofErr w:type="spellStart"/>
      <w:r>
        <w:t>Solovieva</w:t>
      </w:r>
      <w:proofErr w:type="spellEnd"/>
      <w:r>
        <w:t xml:space="preserve">, Richard T. Walls, Deborah J. Hendricks, </w:t>
      </w:r>
      <w:proofErr w:type="spellStart"/>
      <w:r>
        <w:t>Denetta</w:t>
      </w:r>
      <w:proofErr w:type="spellEnd"/>
      <w:r>
        <w:t xml:space="preserve"> L. </w:t>
      </w:r>
      <w:proofErr w:type="spellStart"/>
      <w:r>
        <w:t>Dowler</w:t>
      </w:r>
      <w:proofErr w:type="spellEnd"/>
      <w:r>
        <w:t>, (2009) Cost of workplace accommodations for individuals with disabilities: with or without personal assistance services, Disability and Health Journal, Volume 2, Issue 4, 2009, Pages 196-205,</w:t>
      </w:r>
    </w:p>
    <w:p w:rsidR="00602EB0" w:rsidRDefault="00602EB0" w:rsidP="00602EB0">
      <w:r>
        <w:t>Watson, D., J. Banks and S. Lyons (2015). Educational and Employment Experiences of People with a Disability in Ireland: An Analysis of the National Disability Survey, Research Series No.41. Dublin: ESRI.</w:t>
      </w:r>
    </w:p>
    <w:p w:rsidR="00CB7761" w:rsidRDefault="00CB7761">
      <w:pPr>
        <w:spacing w:after="0"/>
      </w:pPr>
      <w:r>
        <w:br w:type="page"/>
      </w:r>
    </w:p>
    <w:p w:rsidR="00CB7761" w:rsidRDefault="00CB7761" w:rsidP="00CB7761">
      <w:pPr>
        <w:pStyle w:val="Heading1"/>
      </w:pPr>
      <w:r>
        <w:lastRenderedPageBreak/>
        <w:t>Appendix 1: Irelands support for employment for people with a disability</w:t>
      </w:r>
    </w:p>
    <w:p w:rsidR="00CB7761" w:rsidRDefault="00CB7761" w:rsidP="00CB7761">
      <w:pPr>
        <w:pStyle w:val="Heading2"/>
      </w:pPr>
      <w:r>
        <w:t xml:space="preserve">DEASP </w:t>
      </w:r>
      <w:proofErr w:type="spellStart"/>
      <w:r>
        <w:t>Intreo</w:t>
      </w:r>
      <w:proofErr w:type="spellEnd"/>
      <w:r>
        <w:t xml:space="preserve"> Service</w:t>
      </w:r>
    </w:p>
    <w:p w:rsidR="00CB7761" w:rsidRDefault="00CB7761" w:rsidP="00CB7761">
      <w:r>
        <w:t xml:space="preserve">Jobseekers (including jobseekers with disabilities) who seek support from their local </w:t>
      </w:r>
      <w:proofErr w:type="spellStart"/>
      <w:r>
        <w:t>Intreo</w:t>
      </w:r>
      <w:proofErr w:type="spellEnd"/>
      <w:r>
        <w:t xml:space="preserve"> Centre, will have a meeting arranged with a case officer with a view to agreeing a suitable personal progression plan in order to access the full range of employment supports available with a view to them achieving their employment ambitions.</w:t>
      </w:r>
    </w:p>
    <w:p w:rsidR="00CB7761" w:rsidRDefault="00CB7761" w:rsidP="00CB7761">
      <w:pPr>
        <w:pStyle w:val="Heading2"/>
      </w:pPr>
      <w:r>
        <w:t>Local Employment Service</w:t>
      </w:r>
    </w:p>
    <w:p w:rsidR="00CB7761" w:rsidRDefault="00CB7761" w:rsidP="00CB7761">
      <w:r>
        <w:t>The Department contracts for the provision of the Local Employment Service (LES) with 22 organisations. The LES provide a local gateway, or access point, to the full range of services and facilities that are available to help jobseekers, including jobseekers with disabilities, to enter or return to employment.</w:t>
      </w:r>
    </w:p>
    <w:p w:rsidR="00CB7761" w:rsidRDefault="00CB7761" w:rsidP="00CB7761">
      <w:pPr>
        <w:pStyle w:val="Heading2"/>
      </w:pPr>
      <w:proofErr w:type="spellStart"/>
      <w:r>
        <w:t>EmployAbility</w:t>
      </w:r>
      <w:proofErr w:type="spellEnd"/>
      <w:r>
        <w:t xml:space="preserve"> Service.</w:t>
      </w:r>
    </w:p>
    <w:p w:rsidR="00CB7761" w:rsidRDefault="00CB7761" w:rsidP="00CB7761">
      <w:r>
        <w:t xml:space="preserve">The Department has contracts for the provision of the </w:t>
      </w:r>
      <w:proofErr w:type="spellStart"/>
      <w:r>
        <w:t>EmployAbility</w:t>
      </w:r>
      <w:proofErr w:type="spellEnd"/>
      <w:r>
        <w:t xml:space="preserve"> Service with 24 companies. This is a specialist employment service designed to improve employment outcomes for jobseekers with a disability. The service includes the provision of dedicated job coach support as well as both pre-employment and in employment support and assistance.</w:t>
      </w:r>
    </w:p>
    <w:p w:rsidR="00CB7761" w:rsidRDefault="00CB7761" w:rsidP="00CB7761">
      <w:pPr>
        <w:pStyle w:val="Heading2"/>
      </w:pPr>
      <w:r>
        <w:t>AHEAD (Support For Graduates With Disabilities)</w:t>
      </w:r>
    </w:p>
    <w:p w:rsidR="00CB7761" w:rsidRDefault="00CB7761" w:rsidP="00CB7761">
      <w:r>
        <w:t>The Department contracts AHEAD (Association for Higher Education Access and Disability) to deliver the Willing Able Mentoring (WAM) and ‘Get Ahead’ programmes. These programmes provide supports for graduates with disabilities seeking to enter the workforce.</w:t>
      </w:r>
    </w:p>
    <w:p w:rsidR="00CB7761" w:rsidRDefault="00CB7761" w:rsidP="00CB7761">
      <w:pPr>
        <w:pStyle w:val="Heading2"/>
      </w:pPr>
      <w:r>
        <w:t>Ability</w:t>
      </w:r>
    </w:p>
    <w:p w:rsidR="00CB7761" w:rsidRDefault="00CB7761" w:rsidP="00CB7761">
      <w:r>
        <w:t xml:space="preserve">The ‘Ability’ programme is co-funded by the Irish Exchequer and the EU's ESF Programme for Employability, Inclusion and Learning Operational Programme (PEIL, 2014 – 20). Under this programme funding has been provided, through </w:t>
      </w:r>
      <w:proofErr w:type="spellStart"/>
      <w:r>
        <w:t>Pobal</w:t>
      </w:r>
      <w:proofErr w:type="spellEnd"/>
      <w:r>
        <w:t>, for 27 organisations to support young people (aged 15-29) with disabilities in their transition into further education or employment.</w:t>
      </w:r>
    </w:p>
    <w:p w:rsidR="00CB7761" w:rsidRDefault="00CB7761" w:rsidP="00CB7761">
      <w:pPr>
        <w:pStyle w:val="Heading2"/>
      </w:pPr>
      <w:r>
        <w:t>Employment Supports for Employers:</w:t>
      </w:r>
    </w:p>
    <w:p w:rsidR="00CB7761" w:rsidRDefault="00CB7761" w:rsidP="00CB7761">
      <w:pPr>
        <w:pStyle w:val="Heading2"/>
      </w:pPr>
      <w:r>
        <w:t>Wage Subsidy Scheme</w:t>
      </w:r>
    </w:p>
    <w:p w:rsidR="00CB7761" w:rsidRDefault="00CB7761" w:rsidP="00CB7761">
      <w:r>
        <w:t>The Wage Subsidy Scheme is targeted at private sector employers and is aimed at encouraging the employment of people with disabilities through the provision of financial incentives (a wage subsidy). The subsidy is delivered in three strands:</w:t>
      </w:r>
    </w:p>
    <w:p w:rsidR="00CB7761" w:rsidRDefault="00CB7761" w:rsidP="00CB7761">
      <w:r>
        <w:lastRenderedPageBreak/>
        <w:t>- Strand I subsidy is a general subsidy for any productivity shortfall in excess of 20% for a person with a disability, in comparison to a colleague without a disability. An employee must work for a minimum of 21 hours per week up to a maximum of 39 subsidised hours per week. The rate of subsidy is €5.30 per hour and the amount of the subsidy is based on the number of hours worked.</w:t>
      </w:r>
    </w:p>
    <w:p w:rsidR="00CB7761" w:rsidRDefault="00CB7761" w:rsidP="00CB7761">
      <w:r>
        <w:t>- Strand II subsidy is payable when an employer employs three or more people with a disability who are supported by a WSS Strand I payment. Strand II is intended to cover the additional supervisory, management and other work based costs relating to these employees. This top-up payment is a percentage of the Strand I subsidy and is based on the overall number of employees with a disability employed under Strand I. It ranges from an additional 10% of wage subsidy for 3 to 6 employees with a disability to a maximum of 50% of wage subsidy for 23+ employees with a disability.</w:t>
      </w:r>
    </w:p>
    <w:p w:rsidR="00CB7761" w:rsidRDefault="00CB7761" w:rsidP="00CB7761">
      <w:r>
        <w:t>- Strand III subsidy enables employers who employ 30 or more workers with a disability on the Wage Subsidy Scheme to be eligible for a grant of up to €30,000 per year towards the expense of employing an Employment Assistance Officer to support these employees.</w:t>
      </w:r>
    </w:p>
    <w:p w:rsidR="00CB7761" w:rsidRDefault="00CB7761" w:rsidP="00CB7761">
      <w:pPr>
        <w:pStyle w:val="Heading2"/>
      </w:pPr>
      <w:r>
        <w:t>Reasonable Accommodation Fund</w:t>
      </w:r>
    </w:p>
    <w:p w:rsidR="00CB7761" w:rsidRDefault="00CB7761" w:rsidP="00CB7761">
      <w:r>
        <w:t>The Reasonable Accommodation Fund (RAF) assists both jobseekers with disabilities and employers to enable a person with a disability / impairment to enter / re-enter employment by providing a range of grants. The fund is comprised of:</w:t>
      </w:r>
    </w:p>
    <w:p w:rsidR="00CB7761" w:rsidRDefault="00CB7761" w:rsidP="00CB7761">
      <w:pPr>
        <w:pStyle w:val="Heading2"/>
      </w:pPr>
      <w:r>
        <w:t>Employee Retention Grant</w:t>
      </w:r>
    </w:p>
    <w:p w:rsidR="00CB7761" w:rsidRDefault="00CB7761" w:rsidP="00CB7761">
      <w:r>
        <w:t>The purpose of the Employee Retention Grant Scheme is to assist employers to retain employees who acquire a disability by providing funding to:</w:t>
      </w:r>
    </w:p>
    <w:p w:rsidR="00CB7761" w:rsidRDefault="00CB7761" w:rsidP="00CB7761">
      <w:r>
        <w:t>- Identify accommodation and/or training to enable the employee to remain in his/her current position; or</w:t>
      </w:r>
    </w:p>
    <w:p w:rsidR="00CB7761" w:rsidRDefault="00CB7761" w:rsidP="00CB7761">
      <w:r>
        <w:t>- Re-train the employee so that s/he can take up another position within the company.</w:t>
      </w:r>
    </w:p>
    <w:p w:rsidR="00CB7761" w:rsidRDefault="00CB7761" w:rsidP="00CB7761">
      <w:pPr>
        <w:pStyle w:val="Heading2"/>
      </w:pPr>
      <w:r>
        <w:t>Workplace Equipment / Adaptation Grant</w:t>
      </w:r>
    </w:p>
    <w:p w:rsidR="00CB7761" w:rsidRDefault="00CB7761" w:rsidP="00CB7761">
      <w:r>
        <w:t>Where a person with a disability has been offered employment or is in employment, and requires a more accessible workplace or adapted equipment to do the job, s/he or the employer may be able to get a grant towards the costs of adapting premises or equipment. A maximum grant of €6,350 is available towards the cost of adaptations to premises or equipment.</w:t>
      </w:r>
    </w:p>
    <w:p w:rsidR="00CB7761" w:rsidRDefault="00CB7761" w:rsidP="00CB7761">
      <w:pPr>
        <w:pStyle w:val="Heading2"/>
      </w:pPr>
      <w:r>
        <w:lastRenderedPageBreak/>
        <w:t>Disability Awareness Training Support Scheme</w:t>
      </w:r>
    </w:p>
    <w:p w:rsidR="00B14618" w:rsidRDefault="00CB7761" w:rsidP="00CB7761">
      <w:r>
        <w:t>The Disability Awareness Training Support Scheme provides funding so that employers can buy in Disability Awareness Training for their staff. The purpose of the training is to deliver clear and accurate information about disability and to address questions or concerns that employers and employees may have about working with and supporting a colleague with disabilities.</w:t>
      </w:r>
    </w:p>
    <w:p w:rsidR="00463EF4" w:rsidRDefault="00463EF4" w:rsidP="00CB7761"/>
    <w:p w:rsidR="00463EF4" w:rsidRPr="009C3BD7" w:rsidRDefault="00463EF4"/>
    <w:sectPr w:rsidR="00463EF4" w:rsidRPr="009C3BD7">
      <w:footerReference w:type="default" r:id="rId20"/>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0DFC" w:rsidRDefault="00B50DFC">
      <w:r>
        <w:separator/>
      </w:r>
    </w:p>
  </w:endnote>
  <w:endnote w:type="continuationSeparator" w:id="0">
    <w:p w:rsidR="00B50DFC" w:rsidRDefault="00B50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ll Sans">
    <w:altName w:val="Gill Sans MT"/>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29A2" w:rsidRDefault="000529A2">
    <w:pPr>
      <w:pStyle w:val="Footer"/>
    </w:pPr>
    <w:r>
      <w:tab/>
    </w:r>
    <w:r>
      <w:tab/>
    </w:r>
    <w:r>
      <w:fldChar w:fldCharType="begin"/>
    </w:r>
    <w:r>
      <w:instrText xml:space="preserve"> PAGE  \* Arabic  \* MERGEFORMAT </w:instrText>
    </w:r>
    <w:r>
      <w:fldChar w:fldCharType="separate"/>
    </w:r>
    <w:r w:rsidR="00114A69">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0DFC" w:rsidRDefault="00B50DFC">
      <w:r>
        <w:separator/>
      </w:r>
    </w:p>
  </w:footnote>
  <w:footnote w:type="continuationSeparator" w:id="0">
    <w:p w:rsidR="00B50DFC" w:rsidRDefault="00B50DFC">
      <w:r>
        <w:continuationSeparator/>
      </w:r>
    </w:p>
  </w:footnote>
  <w:footnote w:id="1">
    <w:p w:rsidR="000529A2" w:rsidRDefault="000529A2">
      <w:pPr>
        <w:pStyle w:val="FootnoteText"/>
      </w:pPr>
      <w:r>
        <w:rPr>
          <w:rStyle w:val="FootnoteReference"/>
        </w:rPr>
        <w:footnoteRef/>
      </w:r>
      <w:r>
        <w:t xml:space="preserve"> Illness Benefit, depending on entitlements, is paid for a maximum of 2 years.  </w:t>
      </w:r>
    </w:p>
  </w:footnote>
  <w:footnote w:id="2">
    <w:p w:rsidR="000529A2" w:rsidRDefault="000529A2">
      <w:pPr>
        <w:pStyle w:val="FootnoteText"/>
      </w:pPr>
      <w:r>
        <w:rPr>
          <w:rStyle w:val="FootnoteReference"/>
        </w:rPr>
        <w:footnoteRef/>
      </w:r>
      <w:r>
        <w:t xml:space="preserve"> In slight contrast a</w:t>
      </w:r>
      <w:r w:rsidRPr="00267DEB">
        <w:t xml:space="preserve"> </w:t>
      </w:r>
      <w:proofErr w:type="spellStart"/>
      <w:r w:rsidRPr="00267DEB">
        <w:t>meta analysis</w:t>
      </w:r>
      <w:proofErr w:type="spellEnd"/>
      <w:r w:rsidRPr="00267DEB">
        <w:t xml:space="preserve"> of active lab</w:t>
      </w:r>
      <w:r>
        <w:t>our market programmes highlighted</w:t>
      </w:r>
      <w:r w:rsidRPr="00267DEB">
        <w:t xml:space="preserve"> that active labour market programmes are particularly beneficial for ‘disadvantaged’ participants. (Card and colleagues 2018) Disadvantaged are defined by a </w:t>
      </w:r>
      <w:r>
        <w:t>‘</w:t>
      </w:r>
      <w:r w:rsidRPr="00267DEB">
        <w:t>low labour market attachment individuals</w:t>
      </w:r>
      <w:r>
        <w:t>’</w:t>
      </w:r>
      <w:r w:rsidR="00873872">
        <w:t xml:space="preserve"> which typically means low skills and little history of employment</w:t>
      </w:r>
      <w:r w:rsidRPr="00267DEB">
        <w:t xml:space="preserve">. </w:t>
      </w:r>
      <w:r>
        <w:t>It is unclear how much crossover there is between disadvantaged and disabled clients and</w:t>
      </w:r>
      <w:r w:rsidRPr="00267DEB">
        <w:t xml:space="preserve"> </w:t>
      </w:r>
      <w:r>
        <w:t>i</w:t>
      </w:r>
      <w:r w:rsidRPr="00267DEB">
        <w:t xml:space="preserve">t is possible that people with a disability would gain disproportionally from an active labour market programme if this were done in more than in a ‘lip service’ manner.  </w:t>
      </w:r>
    </w:p>
  </w:footnote>
  <w:footnote w:id="3">
    <w:p w:rsidR="000529A2" w:rsidRDefault="000529A2">
      <w:pPr>
        <w:pStyle w:val="FootnoteText"/>
      </w:pPr>
      <w:r>
        <w:rPr>
          <w:rStyle w:val="FootnoteReference"/>
        </w:rPr>
        <w:footnoteRef/>
      </w:r>
      <w:r>
        <w:t xml:space="preserve"> </w:t>
      </w:r>
      <w:r w:rsidRPr="00B11EFB">
        <w:t xml:space="preserve">Tatiana </w:t>
      </w:r>
      <w:r>
        <w:t>and colleagues found the median cost was zero – meaning most accommodations did not cost anything</w:t>
      </w:r>
      <w:r w:rsidRPr="00B11EFB">
        <w:t xml:space="preserve"> (2009)</w:t>
      </w:r>
    </w:p>
  </w:footnote>
  <w:footnote w:id="4">
    <w:p w:rsidR="000529A2" w:rsidRPr="00DF3281" w:rsidRDefault="000529A2" w:rsidP="00DF3281">
      <w:pPr>
        <w:pStyle w:val="FootnoteText"/>
        <w:spacing w:after="0"/>
        <w:rPr>
          <w:sz w:val="20"/>
        </w:rPr>
      </w:pPr>
      <w:r>
        <w:rPr>
          <w:rStyle w:val="FootnoteReference"/>
        </w:rPr>
        <w:footnoteRef/>
      </w:r>
      <w:r>
        <w:t xml:space="preserve"> </w:t>
      </w:r>
      <w:r w:rsidRPr="00DF3281">
        <w:rPr>
          <w:sz w:val="20"/>
        </w:rPr>
        <w:t>The 2016 Census asked the question ‘How would you describe your present principal status?’ There were 8 possible answers to this:</w:t>
      </w:r>
      <w:r>
        <w:rPr>
          <w:sz w:val="20"/>
        </w:rPr>
        <w:t xml:space="preserve"> </w:t>
      </w:r>
      <w:r w:rsidRPr="00DF3281">
        <w:rPr>
          <w:sz w:val="20"/>
        </w:rPr>
        <w:t>1 Working for payment or profit, 2 Looking for first regular job, 3 Unemployed, 4 Student or pupil, 5 Looking after home/family, 6 Retired from employment, 7 Unable to work due to permanent sickness or disability, 8 Other, write in. This paper will follow the Census wording a</w:t>
      </w:r>
      <w:r>
        <w:rPr>
          <w:sz w:val="20"/>
        </w:rPr>
        <w:t>nd</w:t>
      </w:r>
      <w:r w:rsidRPr="00DF3281">
        <w:rPr>
          <w:sz w:val="20"/>
        </w:rPr>
        <w:t xml:space="preserve"> refer to people who marked the 7</w:t>
      </w:r>
      <w:r w:rsidRPr="00DF3281">
        <w:rPr>
          <w:sz w:val="20"/>
          <w:vertAlign w:val="superscript"/>
        </w:rPr>
        <w:t>th</w:t>
      </w:r>
      <w:r w:rsidRPr="00DF3281">
        <w:rPr>
          <w:sz w:val="20"/>
        </w:rPr>
        <w:t xml:space="preserve"> box as people who are unable to work due to permanent sickness or disability. </w:t>
      </w:r>
    </w:p>
  </w:footnote>
  <w:footnote w:id="5">
    <w:p w:rsidR="00800EDE" w:rsidRDefault="00800EDE">
      <w:pPr>
        <w:pStyle w:val="FootnoteText"/>
      </w:pPr>
      <w:r>
        <w:rPr>
          <w:rStyle w:val="FootnoteReference"/>
        </w:rPr>
        <w:footnoteRef/>
      </w:r>
      <w:r>
        <w:t xml:space="preserve"> Men and women are concentrated into different occupations – the finding that men are more likely to be unemployed having lost or given up a job could reflect that the occupations that men tend to work in are more difficult to work in if you acquire a disability. </w:t>
      </w:r>
      <w:proofErr w:type="spellStart"/>
      <w:r w:rsidRPr="00800EDE">
        <w:t>Privalko</w:t>
      </w:r>
      <w:proofErr w:type="spellEnd"/>
      <w:r>
        <w:t xml:space="preserve"> and colleagues (2019) find that controlling for sector and occupation the gender differences become non-significant.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C66E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D4F86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D0E67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8587E54"/>
    <w:lvl w:ilvl="0">
      <w:start w:val="1"/>
      <w:numFmt w:val="decimal"/>
      <w:pStyle w:val="ListNumber2"/>
      <w:lvlText w:val="%1."/>
      <w:lvlJc w:val="left"/>
      <w:pPr>
        <w:tabs>
          <w:tab w:val="num" w:pos="641"/>
        </w:tabs>
        <w:ind w:left="641" w:hanging="357"/>
      </w:pPr>
      <w:rPr>
        <w:rFonts w:hint="default"/>
      </w:rPr>
    </w:lvl>
  </w:abstractNum>
  <w:abstractNum w:abstractNumId="4" w15:restartNumberingAfterBreak="0">
    <w:nsid w:val="FFFFFF80"/>
    <w:multiLevelType w:val="singleLevel"/>
    <w:tmpl w:val="568CB65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2813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428FE14"/>
    <w:lvl w:ilvl="0">
      <w:start w:val="1"/>
      <w:numFmt w:val="bullet"/>
      <w:pStyle w:val="ListBullet3"/>
      <w:lvlText w:val=""/>
      <w:lvlJc w:val="left"/>
      <w:pPr>
        <w:tabs>
          <w:tab w:val="num" w:pos="360"/>
        </w:tabs>
        <w:ind w:left="360" w:hanging="360"/>
      </w:pPr>
      <w:rPr>
        <w:rFonts w:ascii="Symbol" w:hAnsi="Symbol" w:hint="default"/>
        <w:sz w:val="20"/>
        <w:szCs w:val="20"/>
      </w:rPr>
    </w:lvl>
  </w:abstractNum>
  <w:abstractNum w:abstractNumId="7" w15:restartNumberingAfterBreak="0">
    <w:nsid w:val="FFFFFF83"/>
    <w:multiLevelType w:val="singleLevel"/>
    <w:tmpl w:val="1B8401F8"/>
    <w:lvl w:ilvl="0">
      <w:start w:val="1"/>
      <w:numFmt w:val="bullet"/>
      <w:pStyle w:val="ListBullet2"/>
      <w:lvlText w:val=""/>
      <w:lvlJc w:val="left"/>
      <w:pPr>
        <w:tabs>
          <w:tab w:val="num" w:pos="717"/>
        </w:tabs>
        <w:ind w:left="717" w:hanging="360"/>
      </w:pPr>
      <w:rPr>
        <w:rFonts w:ascii="Symbol" w:hAnsi="Symbol" w:cs="Times New Roman" w:hint="default"/>
        <w:sz w:val="20"/>
        <w:szCs w:val="20"/>
      </w:rPr>
    </w:lvl>
  </w:abstractNum>
  <w:abstractNum w:abstractNumId="8" w15:restartNumberingAfterBreak="0">
    <w:nsid w:val="FFFFFF88"/>
    <w:multiLevelType w:val="singleLevel"/>
    <w:tmpl w:val="5A34180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48239A0"/>
    <w:lvl w:ilvl="0">
      <w:start w:val="1"/>
      <w:numFmt w:val="bullet"/>
      <w:pStyle w:val="ListBullet"/>
      <w:lvlText w:val=""/>
      <w:lvlJc w:val="left"/>
      <w:pPr>
        <w:tabs>
          <w:tab w:val="num" w:pos="360"/>
        </w:tabs>
        <w:ind w:left="360" w:hanging="360"/>
      </w:pPr>
      <w:rPr>
        <w:rFonts w:ascii="Symbol" w:hAnsi="Symbol" w:hint="default"/>
        <w:sz w:val="20"/>
        <w:szCs w:val="20"/>
      </w:rPr>
    </w:lvl>
  </w:abstractNum>
  <w:abstractNum w:abstractNumId="10" w15:restartNumberingAfterBreak="0">
    <w:nsid w:val="14217185"/>
    <w:multiLevelType w:val="hybridMultilevel"/>
    <w:tmpl w:val="9FDC33E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52560DE"/>
    <w:multiLevelType w:val="hybridMultilevel"/>
    <w:tmpl w:val="E41A651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309E559E"/>
    <w:multiLevelType w:val="hybridMultilevel"/>
    <w:tmpl w:val="8B8CF9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58003EEF"/>
    <w:multiLevelType w:val="hybridMultilevel"/>
    <w:tmpl w:val="111250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5E8F6D51"/>
    <w:multiLevelType w:val="hybridMultilevel"/>
    <w:tmpl w:val="E4E48F72"/>
    <w:lvl w:ilvl="0" w:tplc="E9A634DA">
      <w:numFmt w:val="bullet"/>
      <w:lvlText w:val="-"/>
      <w:lvlJc w:val="left"/>
      <w:pPr>
        <w:ind w:left="435" w:hanging="360"/>
      </w:pPr>
      <w:rPr>
        <w:rFonts w:ascii="Gill Sans MT" w:eastAsia="Times New Roman" w:hAnsi="Gill Sans MT" w:cs="Times New Roman" w:hint="default"/>
      </w:rPr>
    </w:lvl>
    <w:lvl w:ilvl="1" w:tplc="18090003" w:tentative="1">
      <w:start w:val="1"/>
      <w:numFmt w:val="bullet"/>
      <w:lvlText w:val="o"/>
      <w:lvlJc w:val="left"/>
      <w:pPr>
        <w:ind w:left="1155" w:hanging="360"/>
      </w:pPr>
      <w:rPr>
        <w:rFonts w:ascii="Courier New" w:hAnsi="Courier New" w:cs="Courier New" w:hint="default"/>
      </w:rPr>
    </w:lvl>
    <w:lvl w:ilvl="2" w:tplc="18090005" w:tentative="1">
      <w:start w:val="1"/>
      <w:numFmt w:val="bullet"/>
      <w:lvlText w:val=""/>
      <w:lvlJc w:val="left"/>
      <w:pPr>
        <w:ind w:left="1875" w:hanging="360"/>
      </w:pPr>
      <w:rPr>
        <w:rFonts w:ascii="Wingdings" w:hAnsi="Wingdings" w:hint="default"/>
      </w:rPr>
    </w:lvl>
    <w:lvl w:ilvl="3" w:tplc="18090001" w:tentative="1">
      <w:start w:val="1"/>
      <w:numFmt w:val="bullet"/>
      <w:lvlText w:val=""/>
      <w:lvlJc w:val="left"/>
      <w:pPr>
        <w:ind w:left="2595" w:hanging="360"/>
      </w:pPr>
      <w:rPr>
        <w:rFonts w:ascii="Symbol" w:hAnsi="Symbol" w:hint="default"/>
      </w:rPr>
    </w:lvl>
    <w:lvl w:ilvl="4" w:tplc="18090003" w:tentative="1">
      <w:start w:val="1"/>
      <w:numFmt w:val="bullet"/>
      <w:lvlText w:val="o"/>
      <w:lvlJc w:val="left"/>
      <w:pPr>
        <w:ind w:left="3315" w:hanging="360"/>
      </w:pPr>
      <w:rPr>
        <w:rFonts w:ascii="Courier New" w:hAnsi="Courier New" w:cs="Courier New" w:hint="default"/>
      </w:rPr>
    </w:lvl>
    <w:lvl w:ilvl="5" w:tplc="18090005" w:tentative="1">
      <w:start w:val="1"/>
      <w:numFmt w:val="bullet"/>
      <w:lvlText w:val=""/>
      <w:lvlJc w:val="left"/>
      <w:pPr>
        <w:ind w:left="4035" w:hanging="360"/>
      </w:pPr>
      <w:rPr>
        <w:rFonts w:ascii="Wingdings" w:hAnsi="Wingdings" w:hint="default"/>
      </w:rPr>
    </w:lvl>
    <w:lvl w:ilvl="6" w:tplc="18090001" w:tentative="1">
      <w:start w:val="1"/>
      <w:numFmt w:val="bullet"/>
      <w:lvlText w:val=""/>
      <w:lvlJc w:val="left"/>
      <w:pPr>
        <w:ind w:left="4755" w:hanging="360"/>
      </w:pPr>
      <w:rPr>
        <w:rFonts w:ascii="Symbol" w:hAnsi="Symbol" w:hint="default"/>
      </w:rPr>
    </w:lvl>
    <w:lvl w:ilvl="7" w:tplc="18090003" w:tentative="1">
      <w:start w:val="1"/>
      <w:numFmt w:val="bullet"/>
      <w:lvlText w:val="o"/>
      <w:lvlJc w:val="left"/>
      <w:pPr>
        <w:ind w:left="5475" w:hanging="360"/>
      </w:pPr>
      <w:rPr>
        <w:rFonts w:ascii="Courier New" w:hAnsi="Courier New" w:cs="Courier New" w:hint="default"/>
      </w:rPr>
    </w:lvl>
    <w:lvl w:ilvl="8" w:tplc="18090005" w:tentative="1">
      <w:start w:val="1"/>
      <w:numFmt w:val="bullet"/>
      <w:lvlText w:val=""/>
      <w:lvlJc w:val="left"/>
      <w:pPr>
        <w:ind w:left="6195" w:hanging="360"/>
      </w:pPr>
      <w:rPr>
        <w:rFonts w:ascii="Wingdings" w:hAnsi="Wingdings"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8"/>
  </w:num>
  <w:num w:numId="8">
    <w:abstractNumId w:val="8"/>
  </w:num>
  <w:num w:numId="9">
    <w:abstractNumId w:val="3"/>
  </w:num>
  <w:num w:numId="10">
    <w:abstractNumId w:val="3"/>
  </w:num>
  <w:num w:numId="11">
    <w:abstractNumId w:val="2"/>
  </w:num>
  <w:num w:numId="12">
    <w:abstractNumId w:val="2"/>
  </w:num>
  <w:num w:numId="13">
    <w:abstractNumId w:val="5"/>
  </w:num>
  <w:num w:numId="14">
    <w:abstractNumId w:val="4"/>
  </w:num>
  <w:num w:numId="15">
    <w:abstractNumId w:val="1"/>
  </w:num>
  <w:num w:numId="16">
    <w:abstractNumId w:val="0"/>
  </w:num>
  <w:num w:numId="17">
    <w:abstractNumId w:val="12"/>
  </w:num>
  <w:num w:numId="18">
    <w:abstractNumId w:val="10"/>
  </w:num>
  <w:num w:numId="19">
    <w:abstractNumId w:val="13"/>
  </w:num>
  <w:num w:numId="20">
    <w:abstractNumId w:val="11"/>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4B2"/>
    <w:rsid w:val="00026B3E"/>
    <w:rsid w:val="000529A2"/>
    <w:rsid w:val="00071B1E"/>
    <w:rsid w:val="00077419"/>
    <w:rsid w:val="00083D1E"/>
    <w:rsid w:val="000A1E41"/>
    <w:rsid w:val="000D0912"/>
    <w:rsid w:val="00114A69"/>
    <w:rsid w:val="00144631"/>
    <w:rsid w:val="00181FE6"/>
    <w:rsid w:val="001979C2"/>
    <w:rsid w:val="001A54C7"/>
    <w:rsid w:val="001A64AE"/>
    <w:rsid w:val="001B32DD"/>
    <w:rsid w:val="001C7414"/>
    <w:rsid w:val="001E114F"/>
    <w:rsid w:val="001E762E"/>
    <w:rsid w:val="00247DFF"/>
    <w:rsid w:val="00267DEB"/>
    <w:rsid w:val="00287B8E"/>
    <w:rsid w:val="002E1C4C"/>
    <w:rsid w:val="002F7A00"/>
    <w:rsid w:val="00304302"/>
    <w:rsid w:val="003543FC"/>
    <w:rsid w:val="0036083F"/>
    <w:rsid w:val="0037046C"/>
    <w:rsid w:val="0038539D"/>
    <w:rsid w:val="00394A41"/>
    <w:rsid w:val="003A44C8"/>
    <w:rsid w:val="003B10EC"/>
    <w:rsid w:val="003B6C17"/>
    <w:rsid w:val="003C3ACA"/>
    <w:rsid w:val="003F3B9F"/>
    <w:rsid w:val="003F3D99"/>
    <w:rsid w:val="00442307"/>
    <w:rsid w:val="00463EF4"/>
    <w:rsid w:val="00470BF3"/>
    <w:rsid w:val="00492846"/>
    <w:rsid w:val="004934C9"/>
    <w:rsid w:val="004A2707"/>
    <w:rsid w:val="004C328E"/>
    <w:rsid w:val="004C5836"/>
    <w:rsid w:val="004C7BBA"/>
    <w:rsid w:val="004C7E40"/>
    <w:rsid w:val="005E13D2"/>
    <w:rsid w:val="005F5D19"/>
    <w:rsid w:val="00602EB0"/>
    <w:rsid w:val="006114B2"/>
    <w:rsid w:val="0061202A"/>
    <w:rsid w:val="006349ED"/>
    <w:rsid w:val="006F2763"/>
    <w:rsid w:val="006F31DA"/>
    <w:rsid w:val="00742AF8"/>
    <w:rsid w:val="0076132F"/>
    <w:rsid w:val="007C1D90"/>
    <w:rsid w:val="007D18EB"/>
    <w:rsid w:val="00800EDE"/>
    <w:rsid w:val="00831FA1"/>
    <w:rsid w:val="00873872"/>
    <w:rsid w:val="00884761"/>
    <w:rsid w:val="008C19E1"/>
    <w:rsid w:val="008F29EC"/>
    <w:rsid w:val="00913576"/>
    <w:rsid w:val="00922A87"/>
    <w:rsid w:val="0098089D"/>
    <w:rsid w:val="00995D5D"/>
    <w:rsid w:val="009A7F3F"/>
    <w:rsid w:val="009B599A"/>
    <w:rsid w:val="009C3203"/>
    <w:rsid w:val="009C3BD7"/>
    <w:rsid w:val="009C4D62"/>
    <w:rsid w:val="009F179B"/>
    <w:rsid w:val="00A05270"/>
    <w:rsid w:val="00A25868"/>
    <w:rsid w:val="00A268FD"/>
    <w:rsid w:val="00A95C3D"/>
    <w:rsid w:val="00A9652B"/>
    <w:rsid w:val="00AC4E77"/>
    <w:rsid w:val="00B11EFB"/>
    <w:rsid w:val="00B14618"/>
    <w:rsid w:val="00B50DFC"/>
    <w:rsid w:val="00B518A1"/>
    <w:rsid w:val="00B57F6D"/>
    <w:rsid w:val="00B76547"/>
    <w:rsid w:val="00B9773C"/>
    <w:rsid w:val="00BA17D8"/>
    <w:rsid w:val="00BA2579"/>
    <w:rsid w:val="00BC6CB2"/>
    <w:rsid w:val="00BC74C2"/>
    <w:rsid w:val="00BE3DCC"/>
    <w:rsid w:val="00BE4A3C"/>
    <w:rsid w:val="00BF75C0"/>
    <w:rsid w:val="00C13B40"/>
    <w:rsid w:val="00C154AE"/>
    <w:rsid w:val="00C63789"/>
    <w:rsid w:val="00C867C9"/>
    <w:rsid w:val="00C901CC"/>
    <w:rsid w:val="00CB145B"/>
    <w:rsid w:val="00CB6D28"/>
    <w:rsid w:val="00CB7761"/>
    <w:rsid w:val="00D70522"/>
    <w:rsid w:val="00D8449A"/>
    <w:rsid w:val="00DA2BDE"/>
    <w:rsid w:val="00DC39E7"/>
    <w:rsid w:val="00DF00F3"/>
    <w:rsid w:val="00DF3281"/>
    <w:rsid w:val="00DF7115"/>
    <w:rsid w:val="00DF7D60"/>
    <w:rsid w:val="00E52169"/>
    <w:rsid w:val="00E60F9A"/>
    <w:rsid w:val="00E62BCD"/>
    <w:rsid w:val="00E83B7E"/>
    <w:rsid w:val="00ED4784"/>
    <w:rsid w:val="00EF6B9B"/>
    <w:rsid w:val="00F351D6"/>
    <w:rsid w:val="00F53F43"/>
    <w:rsid w:val="00FC10ED"/>
    <w:rsid w:val="00FD2B3A"/>
    <w:rsid w:val="00FE7CB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CF1B458"/>
  <w15:chartTrackingRefBased/>
  <w15:docId w15:val="{69DB196A-1537-4DA0-A2A7-3F623713A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618"/>
    <w:pPr>
      <w:spacing w:after="240"/>
    </w:pPr>
    <w:rPr>
      <w:rFonts w:ascii="Gill Sans MT" w:eastAsia="Times New Roman" w:hAnsi="Gill Sans MT"/>
      <w:sz w:val="26"/>
      <w:szCs w:val="24"/>
      <w:lang w:eastAsia="en-US"/>
    </w:rPr>
  </w:style>
  <w:style w:type="paragraph" w:styleId="Heading1">
    <w:name w:val="heading 1"/>
    <w:basedOn w:val="Normal"/>
    <w:next w:val="Normal"/>
    <w:qFormat/>
    <w:rsid w:val="00B14618"/>
    <w:pPr>
      <w:keepNext/>
      <w:pBdr>
        <w:top w:val="single" w:sz="4" w:space="4" w:color="auto"/>
        <w:left w:val="single" w:sz="4" w:space="2" w:color="auto"/>
        <w:bottom w:val="single" w:sz="4" w:space="4" w:color="auto"/>
        <w:right w:val="single" w:sz="4" w:space="4" w:color="auto"/>
      </w:pBdr>
      <w:spacing w:before="360"/>
      <w:ind w:left="-284"/>
      <w:outlineLvl w:val="0"/>
    </w:pPr>
    <w:rPr>
      <w:rFonts w:cs="Arial"/>
      <w:b/>
      <w:bCs/>
      <w:kern w:val="32"/>
      <w:sz w:val="32"/>
      <w:szCs w:val="32"/>
    </w:rPr>
  </w:style>
  <w:style w:type="paragraph" w:styleId="Heading2">
    <w:name w:val="heading 2"/>
    <w:basedOn w:val="Normal"/>
    <w:next w:val="Normal"/>
    <w:qFormat/>
    <w:rsid w:val="00B14618"/>
    <w:pPr>
      <w:keepNext/>
      <w:spacing w:after="60"/>
      <w:outlineLvl w:val="1"/>
    </w:pPr>
    <w:rPr>
      <w:rFonts w:cs="Arial Bold"/>
      <w:b/>
      <w:bCs/>
      <w:iCs/>
      <w:sz w:val="28"/>
      <w:szCs w:val="28"/>
    </w:rPr>
  </w:style>
  <w:style w:type="paragraph" w:styleId="Heading3">
    <w:name w:val="heading 3"/>
    <w:basedOn w:val="Normal"/>
    <w:next w:val="Normal"/>
    <w:qFormat/>
    <w:rsid w:val="00B14618"/>
    <w:pPr>
      <w:keepNext/>
      <w:spacing w:after="0"/>
      <w:outlineLvl w:val="2"/>
    </w:pPr>
    <w:rPr>
      <w:rFonts w:cs="Arial Bold"/>
      <w:b/>
      <w:bCs/>
    </w:rPr>
  </w:style>
  <w:style w:type="paragraph" w:styleId="Heading4">
    <w:name w:val="heading 4"/>
    <w:basedOn w:val="Normal"/>
    <w:next w:val="Normal"/>
    <w:qFormat/>
    <w:rsid w:val="00B14618"/>
    <w:pPr>
      <w:keepNext/>
      <w:spacing w:after="0"/>
      <w:outlineLvl w:val="3"/>
    </w:pPr>
    <w:rPr>
      <w:b/>
      <w:bCs/>
      <w:color w:val="333333"/>
    </w:rPr>
  </w:style>
  <w:style w:type="paragraph" w:styleId="Heading5">
    <w:name w:val="heading 5"/>
    <w:basedOn w:val="Normal"/>
    <w:next w:val="Normal"/>
    <w:qFormat/>
    <w:rsid w:val="00B14618"/>
    <w:pPr>
      <w:spacing w:after="0"/>
      <w:outlineLvl w:val="4"/>
    </w:pPr>
    <w:rPr>
      <w:b/>
      <w:bCs/>
      <w:i/>
      <w:iCs/>
      <w:szCs w:val="26"/>
    </w:rPr>
  </w:style>
  <w:style w:type="paragraph" w:styleId="Heading6">
    <w:name w:val="heading 6"/>
    <w:basedOn w:val="Normal"/>
    <w:next w:val="Normal"/>
    <w:qFormat/>
    <w:rsid w:val="00B14618"/>
    <w:pPr>
      <w:spacing w:after="0"/>
      <w:outlineLvl w:val="5"/>
    </w:pPr>
    <w:rPr>
      <w:b/>
      <w:bCs/>
      <w:i/>
      <w:sz w:val="22"/>
      <w:szCs w:val="22"/>
    </w:rPr>
  </w:style>
  <w:style w:type="paragraph" w:styleId="Heading7">
    <w:name w:val="heading 7"/>
    <w:basedOn w:val="Normal"/>
    <w:next w:val="Normal"/>
    <w:qFormat/>
    <w:rsid w:val="00B14618"/>
    <w:pPr>
      <w:keepNext/>
      <w:spacing w:after="0"/>
      <w:jc w:val="center"/>
      <w:outlineLvl w:val="6"/>
    </w:pPr>
    <w:rPr>
      <w:rFonts w:cs="Arial"/>
      <w:b/>
      <w:sz w:val="22"/>
      <w:szCs w:val="40"/>
    </w:rPr>
  </w:style>
  <w:style w:type="paragraph" w:styleId="Heading8">
    <w:name w:val="heading 8"/>
    <w:basedOn w:val="Normal"/>
    <w:next w:val="Normal"/>
    <w:qFormat/>
    <w:rsid w:val="00B14618"/>
    <w:pPr>
      <w:keepNext/>
      <w:spacing w:after="0"/>
      <w:outlineLvl w:val="7"/>
    </w:pPr>
    <w:rPr>
      <w:b/>
      <w:i/>
      <w:sz w:val="22"/>
    </w:rPr>
  </w:style>
  <w:style w:type="paragraph" w:styleId="Heading9">
    <w:name w:val="heading 9"/>
    <w:basedOn w:val="Normal"/>
    <w:next w:val="Normal"/>
    <w:qFormat/>
    <w:rsid w:val="00B14618"/>
    <w:pPr>
      <w:keepNext/>
      <w:spacing w:after="0"/>
      <w:outlineLvl w:val="8"/>
    </w:pPr>
    <w:rPr>
      <w:rFonts w:cs="Arial"/>
      <w:i/>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breviation">
    <w:name w:val="Abbreviation"/>
    <w:rPr>
      <w:u w:val="dottedHeavy"/>
    </w:rPr>
  </w:style>
  <w:style w:type="character" w:customStyle="1" w:styleId="Acronym">
    <w:name w:val="Acronym"/>
    <w:rPr>
      <w:u w:val="dotted"/>
    </w:rPr>
  </w:style>
  <w:style w:type="paragraph" w:styleId="CommentText">
    <w:name w:val="annotation text"/>
    <w:basedOn w:val="Normal"/>
    <w:link w:val="CommentTextChar"/>
    <w:semiHidden/>
    <w:rPr>
      <w:rFonts w:ascii="Arial" w:hAnsi="Arial"/>
      <w:sz w:val="20"/>
      <w:lang w:val="x-none"/>
    </w:rPr>
  </w:style>
  <w:style w:type="character" w:customStyle="1" w:styleId="CommentTextChar">
    <w:name w:val="Comment Text Char"/>
    <w:link w:val="CommentText"/>
    <w:semiHidden/>
    <w:rsid w:val="00181FE6"/>
    <w:rPr>
      <w:rFonts w:ascii="Arial" w:eastAsia="Times New Roman" w:hAnsi="Arial"/>
      <w:szCs w:val="24"/>
      <w:lang w:eastAsia="en-US"/>
    </w:rPr>
  </w:style>
  <w:style w:type="paragraph" w:customStyle="1" w:styleId="BlockQuote">
    <w:name w:val="Block Quote"/>
    <w:basedOn w:val="Normal"/>
    <w:qFormat/>
    <w:rsid w:val="00B14618"/>
    <w:pPr>
      <w:ind w:left="720" w:right="720"/>
    </w:pPr>
  </w:style>
  <w:style w:type="paragraph" w:styleId="BlockText">
    <w:name w:val="Block Text"/>
    <w:basedOn w:val="Normal"/>
    <w:pPr>
      <w:spacing w:after="120"/>
      <w:ind w:left="1440" w:right="1440"/>
    </w:pPr>
  </w:style>
  <w:style w:type="paragraph" w:styleId="TOC1">
    <w:name w:val="toc 1"/>
    <w:basedOn w:val="Normal"/>
    <w:next w:val="Normal"/>
    <w:autoRedefine/>
    <w:rsid w:val="00F351D6"/>
    <w:pPr>
      <w:keepNext/>
      <w:keepLines/>
      <w:spacing w:before="240" w:after="60"/>
    </w:pPr>
    <w:rPr>
      <w:b/>
    </w:rPr>
  </w:style>
  <w:style w:type="paragraph" w:styleId="BodyTextIndent">
    <w:name w:val="Body Text Indent"/>
    <w:basedOn w:val="Normal"/>
    <w:link w:val="BodyTextIndentChar"/>
    <w:pPr>
      <w:spacing w:after="120"/>
      <w:ind w:left="283"/>
    </w:pPr>
    <w:rPr>
      <w:rFonts w:ascii="Arial" w:hAnsi="Arial"/>
      <w:sz w:val="24"/>
      <w:lang w:val="x-none"/>
    </w:rPr>
  </w:style>
  <w:style w:type="character" w:customStyle="1" w:styleId="BodyTextIndentChar">
    <w:name w:val="Body Text Indent Char"/>
    <w:link w:val="BodyTextIndent"/>
    <w:rsid w:val="00181FE6"/>
    <w:rPr>
      <w:rFonts w:ascii="Arial" w:eastAsia="Times New Roman" w:hAnsi="Arial"/>
      <w:sz w:val="24"/>
      <w:szCs w:val="24"/>
      <w:lang w:eastAsia="en-US"/>
    </w:rPr>
  </w:style>
  <w:style w:type="paragraph" w:styleId="Caption">
    <w:name w:val="caption"/>
    <w:basedOn w:val="Normal"/>
    <w:next w:val="Normal"/>
    <w:qFormat/>
    <w:rsid w:val="00B14618"/>
    <w:pPr>
      <w:spacing w:after="120"/>
      <w:jc w:val="center"/>
    </w:pPr>
    <w:rPr>
      <w:b/>
      <w:bCs/>
    </w:rPr>
  </w:style>
  <w:style w:type="paragraph" w:styleId="Date">
    <w:name w:val="Date"/>
    <w:basedOn w:val="Normal"/>
    <w:next w:val="Normal"/>
    <w:rPr>
      <w:i/>
    </w:rPr>
  </w:style>
  <w:style w:type="paragraph" w:customStyle="1" w:styleId="DefinitionDescription">
    <w:name w:val="Definition Description"/>
    <w:basedOn w:val="Normal"/>
    <w:next w:val="Normal"/>
    <w:pPr>
      <w:ind w:left="1077"/>
    </w:pPr>
  </w:style>
  <w:style w:type="paragraph" w:customStyle="1" w:styleId="DefinitionTerm">
    <w:name w:val="Definition Term"/>
    <w:basedOn w:val="Normal"/>
    <w:next w:val="DefinitionDescription"/>
    <w:rPr>
      <w:b/>
    </w:rPr>
  </w:style>
  <w:style w:type="paragraph" w:styleId="DocumentMap">
    <w:name w:val="Document Map"/>
    <w:basedOn w:val="Normal"/>
    <w:semiHidden/>
    <w:pPr>
      <w:shd w:val="clear" w:color="auto" w:fill="000080"/>
    </w:pPr>
    <w:rPr>
      <w:rFonts w:ascii="Tahoma" w:hAnsi="Tahoma" w:cs="Tahoma"/>
      <w:sz w:val="20"/>
    </w:rPr>
  </w:style>
  <w:style w:type="character" w:styleId="Emphasis">
    <w:name w:val="Emphasis"/>
    <w:qFormat/>
    <w:rsid w:val="00B14618"/>
    <w:rPr>
      <w:rFonts w:ascii="Gill Sans MT" w:hAnsi="Gill Sans MT"/>
      <w:i/>
    </w:rPr>
  </w:style>
  <w:style w:type="character" w:styleId="FollowedHyperlink">
    <w:name w:val="FollowedHyperlink"/>
    <w:rPr>
      <w:color w:val="800080"/>
      <w:u w:val="single"/>
    </w:rPr>
  </w:style>
  <w:style w:type="paragraph" w:styleId="Footer">
    <w:name w:val="footer"/>
    <w:basedOn w:val="Normal"/>
    <w:pPr>
      <w:tabs>
        <w:tab w:val="center" w:pos="4153"/>
        <w:tab w:val="right" w:pos="8306"/>
      </w:tabs>
      <w:spacing w:before="60" w:after="60"/>
    </w:pPr>
    <w:rPr>
      <w:color w:val="323232"/>
      <w:sz w:val="20"/>
      <w:szCs w:val="20"/>
    </w:rPr>
  </w:style>
  <w:style w:type="paragraph" w:customStyle="1" w:styleId="GraphCaption">
    <w:name w:val="GraphCaption"/>
    <w:basedOn w:val="Normal"/>
    <w:rsid w:val="00B76547"/>
    <w:pPr>
      <w:keepNext/>
      <w:keepLines/>
      <w:spacing w:after="120"/>
      <w:jc w:val="center"/>
    </w:pPr>
    <w:rPr>
      <w:b/>
    </w:rPr>
  </w:style>
  <w:style w:type="paragraph" w:styleId="Header">
    <w:name w:val="header"/>
    <w:basedOn w:val="Normal"/>
    <w:rsid w:val="00F351D6"/>
    <w:pPr>
      <w:tabs>
        <w:tab w:val="center" w:pos="4320"/>
        <w:tab w:val="right" w:pos="8640"/>
      </w:tabs>
      <w:spacing w:after="120"/>
    </w:pPr>
    <w:rPr>
      <w:color w:val="333333"/>
      <w:sz w:val="22"/>
      <w:szCs w:val="20"/>
    </w:rPr>
  </w:style>
  <w:style w:type="character" w:styleId="Hyperlink">
    <w:name w:val="Hyperlink"/>
    <w:rPr>
      <w:color w:val="0000FF"/>
      <w:u w:val="single"/>
    </w:rPr>
  </w:style>
  <w:style w:type="paragraph" w:styleId="ListBullet">
    <w:name w:val="List Bullet"/>
    <w:basedOn w:val="Normal"/>
    <w:pPr>
      <w:numPr>
        <w:numId w:val="2"/>
      </w:numPr>
      <w:spacing w:before="120" w:after="120"/>
    </w:pPr>
  </w:style>
  <w:style w:type="paragraph" w:styleId="ListBullet2">
    <w:name w:val="List Bullet 2"/>
    <w:basedOn w:val="Normal"/>
    <w:pPr>
      <w:numPr>
        <w:numId w:val="4"/>
      </w:numPr>
      <w:spacing w:before="60" w:after="60"/>
    </w:pPr>
  </w:style>
  <w:style w:type="paragraph" w:styleId="ListBullet3">
    <w:name w:val="List Bullet 3"/>
    <w:basedOn w:val="Normal"/>
    <w:pPr>
      <w:numPr>
        <w:numId w:val="6"/>
      </w:numPr>
      <w:spacing w:before="60" w:after="60"/>
    </w:pPr>
  </w:style>
  <w:style w:type="paragraph" w:styleId="ListContinue">
    <w:name w:val="List Continue"/>
    <w:basedOn w:val="Normal"/>
    <w:pPr>
      <w:spacing w:before="120" w:after="120"/>
      <w:ind w:left="357"/>
    </w:pPr>
  </w:style>
  <w:style w:type="paragraph" w:styleId="ListContinue2">
    <w:name w:val="List Continue 2"/>
    <w:basedOn w:val="Normal"/>
    <w:pPr>
      <w:spacing w:before="60" w:after="60"/>
      <w:ind w:left="641"/>
    </w:pPr>
  </w:style>
  <w:style w:type="paragraph" w:styleId="ListContinue3">
    <w:name w:val="List Continue 3"/>
    <w:basedOn w:val="Normal"/>
    <w:pPr>
      <w:spacing w:before="60" w:after="60"/>
      <w:ind w:left="924"/>
    </w:pPr>
  </w:style>
  <w:style w:type="paragraph" w:styleId="ListNumber">
    <w:name w:val="List Number"/>
    <w:basedOn w:val="Normal"/>
    <w:pPr>
      <w:numPr>
        <w:numId w:val="8"/>
      </w:numPr>
      <w:tabs>
        <w:tab w:val="clear" w:pos="360"/>
      </w:tabs>
      <w:spacing w:after="120"/>
    </w:pPr>
  </w:style>
  <w:style w:type="paragraph" w:styleId="ListNumber2">
    <w:name w:val="List Number 2"/>
    <w:basedOn w:val="Normal"/>
    <w:pPr>
      <w:numPr>
        <w:numId w:val="10"/>
      </w:numPr>
      <w:tabs>
        <w:tab w:val="clear" w:pos="641"/>
        <w:tab w:val="num" w:pos="643"/>
      </w:tabs>
      <w:spacing w:before="60" w:after="60"/>
    </w:pPr>
  </w:style>
  <w:style w:type="paragraph" w:styleId="ListNumber3">
    <w:name w:val="List Number 3"/>
    <w:basedOn w:val="Normal"/>
    <w:pPr>
      <w:numPr>
        <w:numId w:val="12"/>
      </w:numPr>
      <w:tabs>
        <w:tab w:val="clear" w:pos="926"/>
        <w:tab w:val="num" w:pos="360"/>
      </w:tabs>
      <w:spacing w:before="60" w:after="60"/>
      <w:ind w:left="357" w:hanging="357"/>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before="60" w:after="60"/>
    </w:pPr>
    <w:rPr>
      <w:rFonts w:ascii="Courier New" w:eastAsia="Times New Roman" w:hAnsi="Courier New" w:cs="Courier New"/>
      <w:lang w:eastAsia="en-US"/>
    </w:rPr>
  </w:style>
  <w:style w:type="paragraph" w:styleId="NormalIndent">
    <w:name w:val="Normal Indent"/>
    <w:basedOn w:val="Normal"/>
    <w:pPr>
      <w:ind w:left="720"/>
    </w:pPr>
  </w:style>
  <w:style w:type="paragraph" w:customStyle="1" w:styleId="Note">
    <w:name w:val="Note"/>
    <w:basedOn w:val="Normal"/>
    <w:rsid w:val="00B76547"/>
    <w:pPr>
      <w:keepLines/>
      <w:pBdr>
        <w:top w:val="single" w:sz="12" w:space="1" w:color="808080"/>
        <w:bottom w:val="single" w:sz="12" w:space="1" w:color="808080"/>
      </w:pBdr>
      <w:spacing w:before="120"/>
      <w:jc w:val="center"/>
    </w:pPr>
    <w:rPr>
      <w:sz w:val="22"/>
      <w:lang w:val="en-GB"/>
    </w:rPr>
  </w:style>
  <w:style w:type="character" w:styleId="PageNumber">
    <w:name w:val="page number"/>
    <w:basedOn w:val="DefaultParagraphFont"/>
  </w:style>
  <w:style w:type="character" w:customStyle="1" w:styleId="Quote1">
    <w:name w:val="Quote1"/>
    <w:rPr>
      <w:i/>
    </w:rPr>
  </w:style>
  <w:style w:type="paragraph" w:styleId="Subtitle">
    <w:name w:val="Subtitle"/>
    <w:basedOn w:val="Normal"/>
    <w:next w:val="Normal"/>
    <w:qFormat/>
    <w:pPr>
      <w:jc w:val="center"/>
      <w:outlineLvl w:val="1"/>
    </w:pPr>
    <w:rPr>
      <w:sz w:val="28"/>
    </w:rPr>
  </w:style>
  <w:style w:type="paragraph" w:customStyle="1" w:styleId="TableCell">
    <w:name w:val="Table Cell"/>
    <w:basedOn w:val="Normal"/>
    <w:pPr>
      <w:spacing w:after="0"/>
    </w:pPr>
  </w:style>
  <w:style w:type="paragraph" w:customStyle="1" w:styleId="TableHead">
    <w:name w:val="Table Head"/>
    <w:basedOn w:val="Normal"/>
    <w:next w:val="Normal"/>
    <w:pPr>
      <w:spacing w:after="0"/>
    </w:pPr>
    <w:rPr>
      <w:b/>
    </w:rPr>
  </w:style>
  <w:style w:type="paragraph" w:customStyle="1" w:styleId="TableNote">
    <w:name w:val="Table Note"/>
    <w:basedOn w:val="Normal"/>
    <w:next w:val="Normal"/>
    <w:pPr>
      <w:spacing w:before="120"/>
      <w:jc w:val="center"/>
    </w:pPr>
    <w:rPr>
      <w:sz w:val="20"/>
      <w:szCs w:val="20"/>
    </w:rPr>
  </w:style>
  <w:style w:type="paragraph" w:customStyle="1" w:styleId="TableRowHead">
    <w:name w:val="Table Row Head"/>
    <w:basedOn w:val="Normal"/>
    <w:pPr>
      <w:keepNext/>
      <w:spacing w:after="0"/>
    </w:pPr>
    <w:rPr>
      <w:rFonts w:ascii="Arial Bold" w:hAnsi="Arial Bold"/>
      <w:b/>
    </w:rPr>
  </w:style>
  <w:style w:type="paragraph" w:customStyle="1" w:styleId="TableSummary">
    <w:name w:val="Table Summary"/>
    <w:basedOn w:val="Normal"/>
    <w:next w:val="TableHead"/>
    <w:pPr>
      <w:ind w:left="567" w:right="567"/>
      <w:jc w:val="center"/>
    </w:pPr>
    <w:rPr>
      <w:i/>
    </w:rPr>
  </w:style>
  <w:style w:type="paragraph" w:customStyle="1" w:styleId="TableTitle">
    <w:name w:val="Table Title"/>
    <w:basedOn w:val="Normal"/>
    <w:next w:val="TableSummary"/>
    <w:rsid w:val="00B76547"/>
    <w:pPr>
      <w:keepNext/>
      <w:keepLines/>
      <w:spacing w:after="120"/>
      <w:jc w:val="center"/>
    </w:pPr>
    <w:rPr>
      <w:b/>
    </w:rPr>
  </w:style>
  <w:style w:type="paragraph" w:customStyle="1" w:styleId="TaggedText">
    <w:name w:val="Tagged Text"/>
    <w:basedOn w:val="Normal"/>
    <w:pPr>
      <w:suppressAutoHyphens/>
      <w:spacing w:after="0"/>
    </w:pPr>
    <w:rPr>
      <w:rFonts w:ascii="Courier New" w:hAnsi="Courier New"/>
      <w:color w:val="FF0000"/>
    </w:rPr>
  </w:style>
  <w:style w:type="paragraph" w:styleId="Title">
    <w:name w:val="Title"/>
    <w:basedOn w:val="Normal"/>
    <w:next w:val="Normal"/>
    <w:link w:val="TitleChar"/>
    <w:qFormat/>
    <w:rsid w:val="003B10EC"/>
    <w:pPr>
      <w:spacing w:after="360"/>
      <w:jc w:val="center"/>
      <w:outlineLvl w:val="0"/>
    </w:pPr>
    <w:rPr>
      <w:rFonts w:cs="Arial"/>
      <w:b/>
      <w:bCs/>
      <w:kern w:val="28"/>
      <w:sz w:val="36"/>
      <w:szCs w:val="32"/>
    </w:rPr>
  </w:style>
  <w:style w:type="paragraph" w:customStyle="1" w:styleId="NormalBeforeList">
    <w:name w:val="Normal (Before List)"/>
    <w:basedOn w:val="Normal"/>
    <w:qFormat/>
    <w:rsid w:val="00BA2579"/>
    <w:pPr>
      <w:spacing w:after="120"/>
    </w:pPr>
  </w:style>
  <w:style w:type="paragraph" w:customStyle="1" w:styleId="TableHeadRight">
    <w:name w:val="Table Head Right"/>
    <w:basedOn w:val="TableHead"/>
    <w:pPr>
      <w:jc w:val="right"/>
    </w:pPr>
  </w:style>
  <w:style w:type="paragraph" w:customStyle="1" w:styleId="TableCellLeft">
    <w:name w:val="Table Cell Left"/>
    <w:basedOn w:val="TableCell"/>
  </w:style>
  <w:style w:type="paragraph" w:styleId="FootnoteText">
    <w:name w:val="footnote text"/>
    <w:basedOn w:val="Normal"/>
    <w:link w:val="FootnoteTextChar"/>
    <w:semiHidden/>
    <w:rsid w:val="00287B8E"/>
    <w:pPr>
      <w:spacing w:after="120"/>
    </w:pPr>
    <w:rPr>
      <w:sz w:val="22"/>
      <w:szCs w:val="20"/>
    </w:rPr>
  </w:style>
  <w:style w:type="paragraph" w:styleId="TOC2">
    <w:name w:val="toc 2"/>
    <w:basedOn w:val="Normal"/>
    <w:next w:val="Normal"/>
    <w:autoRedefine/>
    <w:rsid w:val="00F351D6"/>
    <w:pPr>
      <w:keepLines/>
      <w:spacing w:after="60"/>
      <w:ind w:left="261"/>
    </w:pPr>
  </w:style>
  <w:style w:type="paragraph" w:customStyle="1" w:styleId="NormalAfterList">
    <w:name w:val="Normal (After List)"/>
    <w:basedOn w:val="Normal"/>
    <w:qFormat/>
    <w:rsid w:val="00C154AE"/>
    <w:pPr>
      <w:spacing w:before="120"/>
    </w:pPr>
  </w:style>
  <w:style w:type="character" w:styleId="FootnoteReference">
    <w:name w:val="footnote reference"/>
    <w:rsid w:val="00287B8E"/>
    <w:rPr>
      <w:rFonts w:ascii="Gill Sans" w:hAnsi="Gill Sans"/>
      <w:sz w:val="22"/>
      <w:vertAlign w:val="superscript"/>
    </w:rPr>
  </w:style>
  <w:style w:type="character" w:styleId="Strong">
    <w:name w:val="Strong"/>
    <w:basedOn w:val="DefaultParagraphFont"/>
    <w:qFormat/>
    <w:rsid w:val="00B14618"/>
    <w:rPr>
      <w:rFonts w:ascii="Gill Sans MT" w:hAnsi="Gill Sans MT"/>
      <w:b/>
      <w:bCs/>
    </w:rPr>
  </w:style>
  <w:style w:type="paragraph" w:styleId="Quote">
    <w:name w:val="Quote"/>
    <w:basedOn w:val="Normal"/>
    <w:next w:val="Normal"/>
    <w:link w:val="QuoteChar"/>
    <w:uiPriority w:val="29"/>
    <w:qFormat/>
    <w:rsid w:val="00B14618"/>
    <w:rPr>
      <w:i/>
      <w:iCs/>
      <w:color w:val="000000"/>
    </w:rPr>
  </w:style>
  <w:style w:type="character" w:customStyle="1" w:styleId="QuoteChar">
    <w:name w:val="Quote Char"/>
    <w:basedOn w:val="DefaultParagraphFont"/>
    <w:link w:val="Quote"/>
    <w:uiPriority w:val="29"/>
    <w:rsid w:val="00B14618"/>
    <w:rPr>
      <w:rFonts w:ascii="Gill Sans MT" w:eastAsia="Times New Roman" w:hAnsi="Gill Sans MT"/>
      <w:i/>
      <w:iCs/>
      <w:color w:val="000000"/>
      <w:sz w:val="26"/>
      <w:szCs w:val="24"/>
      <w:lang w:eastAsia="en-US"/>
    </w:rPr>
  </w:style>
  <w:style w:type="paragraph" w:styleId="IntenseQuote">
    <w:name w:val="Intense Quote"/>
    <w:basedOn w:val="Normal"/>
    <w:next w:val="Normal"/>
    <w:link w:val="IntenseQuoteChar"/>
    <w:uiPriority w:val="30"/>
    <w:qFormat/>
    <w:rsid w:val="00B14618"/>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B14618"/>
    <w:rPr>
      <w:rFonts w:ascii="Gill Sans MT" w:eastAsia="Times New Roman" w:hAnsi="Gill Sans MT"/>
      <w:b/>
      <w:bCs/>
      <w:i/>
      <w:iCs/>
      <w:color w:val="4F81BD"/>
      <w:sz w:val="26"/>
      <w:szCs w:val="24"/>
      <w:lang w:eastAsia="en-US"/>
    </w:rPr>
  </w:style>
  <w:style w:type="character" w:styleId="SubtleReference">
    <w:name w:val="Subtle Reference"/>
    <w:basedOn w:val="DefaultParagraphFont"/>
    <w:uiPriority w:val="31"/>
    <w:qFormat/>
    <w:rsid w:val="00B14618"/>
    <w:rPr>
      <w:rFonts w:ascii="Gill Sans MT" w:hAnsi="Gill Sans MT"/>
      <w:smallCaps/>
      <w:color w:val="C0504D"/>
      <w:u w:val="single"/>
    </w:rPr>
  </w:style>
  <w:style w:type="character" w:customStyle="1" w:styleId="FootnoteTextChar">
    <w:name w:val="Footnote Text Char"/>
    <w:basedOn w:val="DefaultParagraphFont"/>
    <w:link w:val="FootnoteText"/>
    <w:semiHidden/>
    <w:rsid w:val="001979C2"/>
    <w:rPr>
      <w:rFonts w:ascii="Gill Sans MT" w:eastAsia="Times New Roman" w:hAnsi="Gill Sans MT"/>
      <w:sz w:val="22"/>
      <w:lang w:eastAsia="en-US"/>
    </w:rPr>
  </w:style>
  <w:style w:type="table" w:styleId="TableGrid">
    <w:name w:val="Table Grid"/>
    <w:basedOn w:val="TableNormal"/>
    <w:rsid w:val="001979C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1979C2"/>
    <w:rPr>
      <w:sz w:val="16"/>
      <w:szCs w:val="16"/>
    </w:rPr>
  </w:style>
  <w:style w:type="paragraph" w:styleId="CommentSubject">
    <w:name w:val="annotation subject"/>
    <w:basedOn w:val="CommentText"/>
    <w:next w:val="CommentText"/>
    <w:link w:val="CommentSubjectChar"/>
    <w:rsid w:val="001979C2"/>
    <w:rPr>
      <w:rFonts w:ascii="Gill Sans MT" w:hAnsi="Gill Sans MT"/>
      <w:b/>
      <w:bCs/>
      <w:szCs w:val="20"/>
      <w:lang w:val="en-IE"/>
    </w:rPr>
  </w:style>
  <w:style w:type="character" w:customStyle="1" w:styleId="CommentSubjectChar">
    <w:name w:val="Comment Subject Char"/>
    <w:basedOn w:val="CommentTextChar"/>
    <w:link w:val="CommentSubject"/>
    <w:rsid w:val="001979C2"/>
    <w:rPr>
      <w:rFonts w:ascii="Gill Sans MT" w:eastAsia="Times New Roman" w:hAnsi="Gill Sans MT"/>
      <w:b/>
      <w:bCs/>
      <w:szCs w:val="24"/>
      <w:lang w:eastAsia="en-US"/>
    </w:rPr>
  </w:style>
  <w:style w:type="paragraph" w:styleId="BalloonText">
    <w:name w:val="Balloon Text"/>
    <w:basedOn w:val="Normal"/>
    <w:link w:val="BalloonTextChar"/>
    <w:rsid w:val="001979C2"/>
    <w:pPr>
      <w:spacing w:after="0"/>
    </w:pPr>
    <w:rPr>
      <w:rFonts w:ascii="Segoe UI" w:hAnsi="Segoe UI" w:cs="Segoe UI"/>
      <w:sz w:val="18"/>
      <w:szCs w:val="18"/>
    </w:rPr>
  </w:style>
  <w:style w:type="character" w:customStyle="1" w:styleId="BalloonTextChar">
    <w:name w:val="Balloon Text Char"/>
    <w:basedOn w:val="DefaultParagraphFont"/>
    <w:link w:val="BalloonText"/>
    <w:rsid w:val="001979C2"/>
    <w:rPr>
      <w:rFonts w:ascii="Segoe UI" w:eastAsia="Times New Roman" w:hAnsi="Segoe UI" w:cs="Segoe UI"/>
      <w:sz w:val="18"/>
      <w:szCs w:val="18"/>
      <w:lang w:eastAsia="en-US"/>
    </w:rPr>
  </w:style>
  <w:style w:type="table" w:customStyle="1" w:styleId="TableGrid1">
    <w:name w:val="Table Grid1"/>
    <w:basedOn w:val="TableNormal"/>
    <w:next w:val="TableGrid"/>
    <w:rsid w:val="001A54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2846"/>
    <w:pPr>
      <w:ind w:left="720"/>
      <w:contextualSpacing/>
    </w:pPr>
  </w:style>
  <w:style w:type="paragraph" w:styleId="Revision">
    <w:name w:val="Revision"/>
    <w:hidden/>
    <w:uiPriority w:val="99"/>
    <w:semiHidden/>
    <w:rsid w:val="00470BF3"/>
    <w:rPr>
      <w:rFonts w:ascii="Gill Sans MT" w:eastAsia="Times New Roman" w:hAnsi="Gill Sans MT"/>
      <w:sz w:val="26"/>
      <w:szCs w:val="24"/>
      <w:lang w:eastAsia="en-US"/>
    </w:rPr>
  </w:style>
  <w:style w:type="character" w:customStyle="1" w:styleId="TitleChar">
    <w:name w:val="Title Char"/>
    <w:basedOn w:val="DefaultParagraphFont"/>
    <w:link w:val="Title"/>
    <w:rsid w:val="00114A69"/>
    <w:rPr>
      <w:rFonts w:ascii="Gill Sans MT" w:eastAsia="Times New Roman" w:hAnsi="Gill Sans MT" w:cs="Arial"/>
      <w:b/>
      <w:bCs/>
      <w:kern w:val="28"/>
      <w:sz w:val="36"/>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3878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hyperlink" Target="https://www.welfare.ie/en/downloads/A%20Review%20of%20Partial%20Capacity%20Benefit.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hyperlink" Target="http://nda.ie/Publications/Employment/Employment-Publications/Literature-review-Guidance-on-retaining-employees-with-a-disability1.pdf"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Templates\NDA%20Style%202011.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IE"/>
              <a:t>Graph 1: employment by age %</a:t>
            </a:r>
          </a:p>
        </c:rich>
      </c:tx>
      <c:overlay val="0"/>
      <c:spPr>
        <a:noFill/>
        <a:ln>
          <a:noFill/>
        </a:ln>
        <a:effectLst/>
      </c:spPr>
    </c:title>
    <c:autoTitleDeleted val="0"/>
    <c:plotArea>
      <c:layout/>
      <c:barChart>
        <c:barDir val="col"/>
        <c:grouping val="clustered"/>
        <c:varyColors val="0"/>
        <c:ser>
          <c:idx val="1"/>
          <c:order val="0"/>
          <c:tx>
            <c:strRef>
              <c:f>'work by age group'!$D$40</c:f>
              <c:strCache>
                <c:ptCount val="1"/>
                <c:pt idx="0">
                  <c:v>Persons at work</c:v>
                </c:pt>
              </c:strCache>
            </c:strRef>
          </c:tx>
          <c:spPr>
            <a:solidFill>
              <a:schemeClr val="accent2"/>
            </a:solidFill>
            <a:ln>
              <a:noFill/>
            </a:ln>
            <a:effectLst/>
          </c:spPr>
          <c:invertIfNegative val="0"/>
          <c:cat>
            <c:strRef>
              <c:f>'work by age group'!$E$38:$P$38</c:f>
              <c:strCache>
                <c:ptCount val="12"/>
                <c:pt idx="0">
                  <c:v>All ages</c:v>
                </c:pt>
                <c:pt idx="1">
                  <c:v>15 - 19 years</c:v>
                </c:pt>
                <c:pt idx="2">
                  <c:v>20 - 24 years</c:v>
                </c:pt>
                <c:pt idx="3">
                  <c:v>25 - 29 years</c:v>
                </c:pt>
                <c:pt idx="4">
                  <c:v>30 - 34 years</c:v>
                </c:pt>
                <c:pt idx="5">
                  <c:v>35 - 39 years</c:v>
                </c:pt>
                <c:pt idx="6">
                  <c:v>40 - 44 years</c:v>
                </c:pt>
                <c:pt idx="7">
                  <c:v>45 - 49 years</c:v>
                </c:pt>
                <c:pt idx="8">
                  <c:v>50 - 54 years</c:v>
                </c:pt>
                <c:pt idx="9">
                  <c:v>55 - 59 years</c:v>
                </c:pt>
                <c:pt idx="10">
                  <c:v>60 - 64 years</c:v>
                </c:pt>
                <c:pt idx="11">
                  <c:v>65 years and over</c:v>
                </c:pt>
              </c:strCache>
            </c:strRef>
          </c:cat>
          <c:val>
            <c:numRef>
              <c:f>'work by age group'!$E$40:$P$40</c:f>
              <c:numCache>
                <c:formatCode>General</c:formatCode>
                <c:ptCount val="12"/>
              </c:numCache>
            </c:numRef>
          </c:val>
          <c:extLst>
            <c:ext xmlns:c16="http://schemas.microsoft.com/office/drawing/2014/chart" uri="{C3380CC4-5D6E-409C-BE32-E72D297353CC}">
              <c16:uniqueId val="{00000000-7987-42A6-A0EB-44CD2F20BB7E}"/>
            </c:ext>
          </c:extLst>
        </c:ser>
        <c:ser>
          <c:idx val="2"/>
          <c:order val="1"/>
          <c:tx>
            <c:strRef>
              <c:f>'work by age group'!$D$41</c:f>
              <c:strCache>
                <c:ptCount val="1"/>
                <c:pt idx="0">
                  <c:v>People without a disability in employment</c:v>
                </c:pt>
              </c:strCache>
            </c:strRef>
          </c:tx>
          <c:spPr>
            <a:solidFill>
              <a:schemeClr val="accent3"/>
            </a:solidFill>
            <a:ln>
              <a:noFill/>
            </a:ln>
            <a:effectLst/>
          </c:spPr>
          <c:invertIfNegative val="0"/>
          <c:cat>
            <c:strRef>
              <c:f>'work by age group'!$E$38:$P$38</c:f>
              <c:strCache>
                <c:ptCount val="12"/>
                <c:pt idx="0">
                  <c:v>All ages</c:v>
                </c:pt>
                <c:pt idx="1">
                  <c:v>15 - 19 years</c:v>
                </c:pt>
                <c:pt idx="2">
                  <c:v>20 - 24 years</c:v>
                </c:pt>
                <c:pt idx="3">
                  <c:v>25 - 29 years</c:v>
                </c:pt>
                <c:pt idx="4">
                  <c:v>30 - 34 years</c:v>
                </c:pt>
                <c:pt idx="5">
                  <c:v>35 - 39 years</c:v>
                </c:pt>
                <c:pt idx="6">
                  <c:v>40 - 44 years</c:v>
                </c:pt>
                <c:pt idx="7">
                  <c:v>45 - 49 years</c:v>
                </c:pt>
                <c:pt idx="8">
                  <c:v>50 - 54 years</c:v>
                </c:pt>
                <c:pt idx="9">
                  <c:v>55 - 59 years</c:v>
                </c:pt>
                <c:pt idx="10">
                  <c:v>60 - 64 years</c:v>
                </c:pt>
                <c:pt idx="11">
                  <c:v>65 years and over</c:v>
                </c:pt>
              </c:strCache>
            </c:strRef>
          </c:cat>
          <c:val>
            <c:numRef>
              <c:f>'work by age group'!$E$41:$P$41</c:f>
              <c:numCache>
                <c:formatCode>0</c:formatCode>
                <c:ptCount val="12"/>
                <c:pt idx="0">
                  <c:v>59.174248281759851</c:v>
                </c:pt>
                <c:pt idx="1">
                  <c:v>6.3072357676154924</c:v>
                </c:pt>
                <c:pt idx="2">
                  <c:v>45.771926508848615</c:v>
                </c:pt>
                <c:pt idx="3">
                  <c:v>74.666539947582166</c:v>
                </c:pt>
                <c:pt idx="4">
                  <c:v>80.095887984581069</c:v>
                </c:pt>
                <c:pt idx="5">
                  <c:v>80.857307654432134</c:v>
                </c:pt>
                <c:pt idx="6">
                  <c:v>79.491530710921182</c:v>
                </c:pt>
                <c:pt idx="7">
                  <c:v>78.39852648250023</c:v>
                </c:pt>
                <c:pt idx="8">
                  <c:v>77.319205256644011</c:v>
                </c:pt>
                <c:pt idx="9">
                  <c:v>71.066138531766953</c:v>
                </c:pt>
                <c:pt idx="10">
                  <c:v>53.355136304076872</c:v>
                </c:pt>
                <c:pt idx="11">
                  <c:v>12.47038208621445</c:v>
                </c:pt>
              </c:numCache>
            </c:numRef>
          </c:val>
          <c:extLst>
            <c:ext xmlns:c16="http://schemas.microsoft.com/office/drawing/2014/chart" uri="{C3380CC4-5D6E-409C-BE32-E72D297353CC}">
              <c16:uniqueId val="{00000001-7987-42A6-A0EB-44CD2F20BB7E}"/>
            </c:ext>
          </c:extLst>
        </c:ser>
        <c:ser>
          <c:idx val="3"/>
          <c:order val="2"/>
          <c:tx>
            <c:strRef>
              <c:f>'work by age group'!$D$42</c:f>
              <c:strCache>
                <c:ptCount val="1"/>
                <c:pt idx="0">
                  <c:v>People with a disability in employment</c:v>
                </c:pt>
              </c:strCache>
            </c:strRef>
          </c:tx>
          <c:spPr>
            <a:solidFill>
              <a:schemeClr val="accent4"/>
            </a:solidFill>
            <a:ln>
              <a:noFill/>
            </a:ln>
            <a:effectLst/>
          </c:spPr>
          <c:invertIfNegative val="0"/>
          <c:cat>
            <c:strRef>
              <c:f>'work by age group'!$E$38:$P$38</c:f>
              <c:strCache>
                <c:ptCount val="12"/>
                <c:pt idx="0">
                  <c:v>All ages</c:v>
                </c:pt>
                <c:pt idx="1">
                  <c:v>15 - 19 years</c:v>
                </c:pt>
                <c:pt idx="2">
                  <c:v>20 - 24 years</c:v>
                </c:pt>
                <c:pt idx="3">
                  <c:v>25 - 29 years</c:v>
                </c:pt>
                <c:pt idx="4">
                  <c:v>30 - 34 years</c:v>
                </c:pt>
                <c:pt idx="5">
                  <c:v>35 - 39 years</c:v>
                </c:pt>
                <c:pt idx="6">
                  <c:v>40 - 44 years</c:v>
                </c:pt>
                <c:pt idx="7">
                  <c:v>45 - 49 years</c:v>
                </c:pt>
                <c:pt idx="8">
                  <c:v>50 - 54 years</c:v>
                </c:pt>
                <c:pt idx="9">
                  <c:v>55 - 59 years</c:v>
                </c:pt>
                <c:pt idx="10">
                  <c:v>60 - 64 years</c:v>
                </c:pt>
                <c:pt idx="11">
                  <c:v>65 years and over</c:v>
                </c:pt>
              </c:strCache>
            </c:strRef>
          </c:cat>
          <c:val>
            <c:numRef>
              <c:f>'work by age group'!$E$42:$P$42</c:f>
              <c:numCache>
                <c:formatCode>0</c:formatCode>
                <c:ptCount val="12"/>
                <c:pt idx="0">
                  <c:v>22.27003056271349</c:v>
                </c:pt>
                <c:pt idx="1">
                  <c:v>4.1842031425364761</c:v>
                </c:pt>
                <c:pt idx="2">
                  <c:v>28.269145994469604</c:v>
                </c:pt>
                <c:pt idx="3">
                  <c:v>45.968823332215891</c:v>
                </c:pt>
                <c:pt idx="4">
                  <c:v>49.248562919869805</c:v>
                </c:pt>
                <c:pt idx="5">
                  <c:v>47.850379344821505</c:v>
                </c:pt>
                <c:pt idx="6">
                  <c:v>43.795066413662241</c:v>
                </c:pt>
                <c:pt idx="7">
                  <c:v>39.286166949732568</c:v>
                </c:pt>
                <c:pt idx="8">
                  <c:v>35.055476918862155</c:v>
                </c:pt>
                <c:pt idx="9">
                  <c:v>29.99854738633298</c:v>
                </c:pt>
                <c:pt idx="10">
                  <c:v>21.113589231912979</c:v>
                </c:pt>
                <c:pt idx="11">
                  <c:v>3.6093730502522416</c:v>
                </c:pt>
              </c:numCache>
            </c:numRef>
          </c:val>
          <c:extLst>
            <c:ext xmlns:c16="http://schemas.microsoft.com/office/drawing/2014/chart" uri="{C3380CC4-5D6E-409C-BE32-E72D297353CC}">
              <c16:uniqueId val="{00000002-7987-42A6-A0EB-44CD2F20BB7E}"/>
            </c:ext>
          </c:extLst>
        </c:ser>
        <c:dLbls>
          <c:showLegendKey val="0"/>
          <c:showVal val="0"/>
          <c:showCatName val="0"/>
          <c:showSerName val="0"/>
          <c:showPercent val="0"/>
          <c:showBubbleSize val="0"/>
        </c:dLbls>
        <c:gapWidth val="219"/>
        <c:overlap val="-27"/>
        <c:axId val="104902064"/>
        <c:axId val="1"/>
      </c:barChart>
      <c:catAx>
        <c:axId val="104902064"/>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vert="horz"/>
          <a:lstStyle/>
          <a:p>
            <a:pPr>
              <a:defRPr/>
            </a:pPr>
            <a:endParaRPr lang="en-US"/>
          </a:p>
        </c:txPr>
        <c:crossAx val="1"/>
        <c:crosses val="autoZero"/>
        <c:auto val="1"/>
        <c:lblAlgn val="ctr"/>
        <c:lblOffset val="100"/>
        <c:noMultiLvlLbl val="0"/>
      </c:catAx>
      <c:valAx>
        <c:axId val="1"/>
        <c:scaling>
          <c:orientation val="minMax"/>
        </c:scaling>
        <c:delete val="0"/>
        <c:axPos val="l"/>
        <c:majorGridlines>
          <c:spPr>
            <a:ln w="951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104902064"/>
        <c:crosses val="autoZero"/>
        <c:crossBetween val="between"/>
      </c:valAx>
      <c:spPr>
        <a:noFill/>
        <a:ln w="25373">
          <a:noFill/>
        </a:ln>
      </c:spPr>
    </c:plotArea>
    <c:legend>
      <c:legendPos val="b"/>
      <c:legendEntry>
        <c:idx val="0"/>
        <c:delete val="1"/>
      </c:legendEntry>
      <c:layout>
        <c:manualLayout>
          <c:xMode val="edge"/>
          <c:yMode val="edge"/>
          <c:x val="0.138704034137105"/>
          <c:y val="0.8296618805002316"/>
          <c:w val="0.7641717550378968"/>
          <c:h val="0.14701359561888674"/>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Graph 2: Relative</a:t>
            </a:r>
            <a:r>
              <a:rPr lang="en-IE" baseline="0"/>
              <a:t> employment rates for people with a disability by age and gender</a:t>
            </a:r>
          </a:p>
          <a:p>
            <a:pPr>
              <a:defRPr/>
            </a:pPr>
            <a:endParaRPr lang="en-I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20495370370370369"/>
          <c:w val="0.86601618547681536"/>
          <c:h val="0.64039989792942553"/>
        </c:manualLayout>
      </c:layout>
      <c:lineChart>
        <c:grouping val="standard"/>
        <c:varyColors val="0"/>
        <c:ser>
          <c:idx val="0"/>
          <c:order val="0"/>
          <c:tx>
            <c:strRef>
              <c:f>'[Chart in Microsoft Word]by sex'!$C$80</c:f>
              <c:strCache>
                <c:ptCount val="1"/>
                <c:pt idx="0">
                  <c:v>females with a disability/females no disability</c:v>
                </c:pt>
              </c:strCache>
            </c:strRef>
          </c:tx>
          <c:spPr>
            <a:ln w="28575" cap="rnd">
              <a:solidFill>
                <a:srgbClr val="7030A0"/>
              </a:solidFill>
              <a:prstDash val="dash"/>
              <a:round/>
            </a:ln>
            <a:effectLst/>
          </c:spPr>
          <c:marker>
            <c:symbol val="none"/>
          </c:marker>
          <c:cat>
            <c:strRef>
              <c:f>'[Chart in Microsoft Word]by sex'!$B$81:$B$91</c:f>
              <c:strCache>
                <c:ptCount val="9"/>
                <c:pt idx="0">
                  <c:v>20 - 24 </c:v>
                </c:pt>
                <c:pt idx="1">
                  <c:v>25 - 29 </c:v>
                </c:pt>
                <c:pt idx="2">
                  <c:v>30 - 34 </c:v>
                </c:pt>
                <c:pt idx="3">
                  <c:v>35 - 39 </c:v>
                </c:pt>
                <c:pt idx="4">
                  <c:v>40 - 44 </c:v>
                </c:pt>
                <c:pt idx="5">
                  <c:v>45 - 49 </c:v>
                </c:pt>
                <c:pt idx="6">
                  <c:v>50 - 54 </c:v>
                </c:pt>
                <c:pt idx="7">
                  <c:v>55 - 59 </c:v>
                </c:pt>
                <c:pt idx="8">
                  <c:v>60 - 64 </c:v>
                </c:pt>
              </c:strCache>
              <c:extLst/>
            </c:strRef>
          </c:cat>
          <c:val>
            <c:numRef>
              <c:f>'[Chart in Microsoft Word]by sex'!$C$81:$C$91</c:f>
              <c:numCache>
                <c:formatCode>0.0%</c:formatCode>
                <c:ptCount val="9"/>
                <c:pt idx="0">
                  <c:v>0.66228807519373745</c:v>
                </c:pt>
                <c:pt idx="1">
                  <c:v>0.66522401277049781</c:v>
                </c:pt>
                <c:pt idx="2">
                  <c:v>0.63794770330649564</c:v>
                </c:pt>
                <c:pt idx="3">
                  <c:v>0.59953012156930696</c:v>
                </c:pt>
                <c:pt idx="4">
                  <c:v>0.55799586235665766</c:v>
                </c:pt>
                <c:pt idx="5">
                  <c:v>0.49997688519510936</c:v>
                </c:pt>
                <c:pt idx="6">
                  <c:v>0.44050140805883958</c:v>
                </c:pt>
                <c:pt idx="7">
                  <c:v>0.40549646704254916</c:v>
                </c:pt>
                <c:pt idx="8">
                  <c:v>0.38289050037877698</c:v>
                </c:pt>
              </c:numCache>
              <c:extLst/>
            </c:numRef>
          </c:val>
          <c:smooth val="0"/>
          <c:extLst>
            <c:ext xmlns:c16="http://schemas.microsoft.com/office/drawing/2014/chart" uri="{C3380CC4-5D6E-409C-BE32-E72D297353CC}">
              <c16:uniqueId val="{00000000-A041-46F7-A658-2CF230F9EF6A}"/>
            </c:ext>
          </c:extLst>
        </c:ser>
        <c:ser>
          <c:idx val="1"/>
          <c:order val="1"/>
          <c:tx>
            <c:strRef>
              <c:f>'[Chart in Microsoft Word]by sex'!$D$80</c:f>
              <c:strCache>
                <c:ptCount val="1"/>
                <c:pt idx="0">
                  <c:v>males with a disabily/males with a disability</c:v>
                </c:pt>
              </c:strCache>
            </c:strRef>
          </c:tx>
          <c:spPr>
            <a:ln w="28575" cap="rnd">
              <a:solidFill>
                <a:schemeClr val="accent2"/>
              </a:solidFill>
              <a:round/>
            </a:ln>
            <a:effectLst/>
          </c:spPr>
          <c:marker>
            <c:symbol val="none"/>
          </c:marker>
          <c:cat>
            <c:strRef>
              <c:f>'[Chart in Microsoft Word]by sex'!$B$81:$B$91</c:f>
              <c:strCache>
                <c:ptCount val="9"/>
                <c:pt idx="0">
                  <c:v>20 - 24 </c:v>
                </c:pt>
                <c:pt idx="1">
                  <c:v>25 - 29 </c:v>
                </c:pt>
                <c:pt idx="2">
                  <c:v>30 - 34 </c:v>
                </c:pt>
                <c:pt idx="3">
                  <c:v>35 - 39 </c:v>
                </c:pt>
                <c:pt idx="4">
                  <c:v>40 - 44 </c:v>
                </c:pt>
                <c:pt idx="5">
                  <c:v>45 - 49 </c:v>
                </c:pt>
                <c:pt idx="6">
                  <c:v>50 - 54 </c:v>
                </c:pt>
                <c:pt idx="7">
                  <c:v>55 - 59 </c:v>
                </c:pt>
                <c:pt idx="8">
                  <c:v>60 - 64 </c:v>
                </c:pt>
              </c:strCache>
              <c:extLst/>
            </c:strRef>
          </c:cat>
          <c:val>
            <c:numRef>
              <c:f>'[Chart in Microsoft Word]by sex'!$D$81:$D$91</c:f>
              <c:numCache>
                <c:formatCode>0.0%</c:formatCode>
                <c:ptCount val="9"/>
                <c:pt idx="0">
                  <c:v>0.57655155315106754</c:v>
                </c:pt>
                <c:pt idx="1">
                  <c:v>0.56620782995363061</c:v>
                </c:pt>
                <c:pt idx="2">
                  <c:v>0.59263327843493652</c:v>
                </c:pt>
                <c:pt idx="3">
                  <c:v>0.58793397124291624</c:v>
                </c:pt>
                <c:pt idx="4">
                  <c:v>0.54844251252419918</c:v>
                </c:pt>
                <c:pt idx="5">
                  <c:v>0.50529106985178207</c:v>
                </c:pt>
                <c:pt idx="6">
                  <c:v>0.4675306183991636</c:v>
                </c:pt>
                <c:pt idx="7">
                  <c:v>0.43656491992482838</c:v>
                </c:pt>
                <c:pt idx="8">
                  <c:v>0.39865876789493565</c:v>
                </c:pt>
              </c:numCache>
              <c:extLst/>
            </c:numRef>
          </c:val>
          <c:smooth val="0"/>
          <c:extLst>
            <c:ext xmlns:c16="http://schemas.microsoft.com/office/drawing/2014/chart" uri="{C3380CC4-5D6E-409C-BE32-E72D297353CC}">
              <c16:uniqueId val="{00000001-A041-46F7-A658-2CF230F9EF6A}"/>
            </c:ext>
          </c:extLst>
        </c:ser>
        <c:dLbls>
          <c:showLegendKey val="0"/>
          <c:showVal val="0"/>
          <c:showCatName val="0"/>
          <c:showSerName val="0"/>
          <c:showPercent val="0"/>
          <c:showBubbleSize val="0"/>
        </c:dLbls>
        <c:smooth val="0"/>
        <c:axId val="384086704"/>
        <c:axId val="384085720"/>
      </c:lineChart>
      <c:catAx>
        <c:axId val="3840867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E"/>
                  <a:t>Age group</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4085720"/>
        <c:crosses val="autoZero"/>
        <c:auto val="1"/>
        <c:lblAlgn val="ctr"/>
        <c:lblOffset val="100"/>
        <c:noMultiLvlLbl val="0"/>
      </c:catAx>
      <c:valAx>
        <c:axId val="384085720"/>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4086704"/>
        <c:crosses val="autoZero"/>
        <c:crossBetween val="between"/>
      </c:valAx>
      <c:spPr>
        <a:noFill/>
        <a:ln>
          <a:noFill/>
        </a:ln>
        <a:effectLst/>
      </c:spPr>
    </c:plotArea>
    <c:legend>
      <c:legendPos val="b"/>
      <c:layout>
        <c:manualLayout>
          <c:xMode val="edge"/>
          <c:yMode val="edge"/>
          <c:x val="0.12980402449693787"/>
          <c:y val="0.61921186934966455"/>
          <c:w val="0.7542806211723535"/>
          <c:h val="0.149306649168853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Graph 3: unable to work due</a:t>
            </a:r>
            <a:r>
              <a:rPr lang="en-IE" baseline="0"/>
              <a:t> to permanent sickness or disability.</a:t>
            </a:r>
            <a:endParaRPr lang="en-I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'graph 3 5 6'!$A$5</c:f>
              <c:strCache>
                <c:ptCount val="1"/>
                <c:pt idx="0">
                  <c:v>Total persons</c:v>
                </c:pt>
              </c:strCache>
            </c:strRef>
          </c:tx>
          <c:spPr>
            <a:ln w="28575" cap="rnd">
              <a:solidFill>
                <a:schemeClr val="accent1"/>
              </a:solidFill>
              <a:round/>
            </a:ln>
            <a:effectLst/>
          </c:spPr>
          <c:marker>
            <c:symbol val="none"/>
          </c:marker>
          <c:cat>
            <c:strRef>
              <c:f>'graph 3 5 6'!$B$4:$O$4</c:f>
              <c:strCache>
                <c:ptCount val="9"/>
                <c:pt idx="0">
                  <c:v>20 - 24 </c:v>
                </c:pt>
                <c:pt idx="1">
                  <c:v>25 - 29 </c:v>
                </c:pt>
                <c:pt idx="2">
                  <c:v>30 - 34 </c:v>
                </c:pt>
                <c:pt idx="3">
                  <c:v>35 - 39 </c:v>
                </c:pt>
                <c:pt idx="4">
                  <c:v>40 - 44 </c:v>
                </c:pt>
                <c:pt idx="5">
                  <c:v>45 - 49 </c:v>
                </c:pt>
                <c:pt idx="6">
                  <c:v>50 - 54 </c:v>
                </c:pt>
                <c:pt idx="7">
                  <c:v>55 - 59 </c:v>
                </c:pt>
                <c:pt idx="8">
                  <c:v>60 - 64 </c:v>
                </c:pt>
              </c:strCache>
            </c:strRef>
          </c:cat>
          <c:val>
            <c:numRef>
              <c:f>'graph 3 5 6'!$B$5:$O$5</c:f>
              <c:numCache>
                <c:formatCode>General</c:formatCode>
                <c:ptCount val="9"/>
                <c:pt idx="0">
                  <c:v>4147</c:v>
                </c:pt>
                <c:pt idx="1">
                  <c:v>5568</c:v>
                </c:pt>
                <c:pt idx="2">
                  <c:v>7696</c:v>
                </c:pt>
                <c:pt idx="3">
                  <c:v>10216</c:v>
                </c:pt>
                <c:pt idx="4">
                  <c:v>13082</c:v>
                </c:pt>
                <c:pt idx="5">
                  <c:v>16651</c:v>
                </c:pt>
                <c:pt idx="6">
                  <c:v>21445</c:v>
                </c:pt>
                <c:pt idx="7">
                  <c:v>26044</c:v>
                </c:pt>
                <c:pt idx="8">
                  <c:v>28759</c:v>
                </c:pt>
              </c:numCache>
            </c:numRef>
          </c:val>
          <c:smooth val="0"/>
          <c:extLst>
            <c:ext xmlns:c16="http://schemas.microsoft.com/office/drawing/2014/chart" uri="{C3380CC4-5D6E-409C-BE32-E72D297353CC}">
              <c16:uniqueId val="{00000000-1093-4902-A944-E79B2F4BF79F}"/>
            </c:ext>
          </c:extLst>
        </c:ser>
        <c:ser>
          <c:idx val="1"/>
          <c:order val="1"/>
          <c:tx>
            <c:strRef>
              <c:f>'graph 3 5 6'!$A$6</c:f>
              <c:strCache>
                <c:ptCount val="1"/>
                <c:pt idx="0">
                  <c:v>Total persons with a disability</c:v>
                </c:pt>
              </c:strCache>
            </c:strRef>
          </c:tx>
          <c:spPr>
            <a:ln w="28575" cap="rnd">
              <a:solidFill>
                <a:schemeClr val="accent2"/>
              </a:solidFill>
              <a:round/>
            </a:ln>
            <a:effectLst/>
          </c:spPr>
          <c:marker>
            <c:symbol val="none"/>
          </c:marker>
          <c:cat>
            <c:strRef>
              <c:f>'graph 3 5 6'!$B$4:$O$4</c:f>
              <c:strCache>
                <c:ptCount val="9"/>
                <c:pt idx="0">
                  <c:v>20 - 24 </c:v>
                </c:pt>
                <c:pt idx="1">
                  <c:v>25 - 29 </c:v>
                </c:pt>
                <c:pt idx="2">
                  <c:v>30 - 34 </c:v>
                </c:pt>
                <c:pt idx="3">
                  <c:v>35 - 39 </c:v>
                </c:pt>
                <c:pt idx="4">
                  <c:v>40 - 44 </c:v>
                </c:pt>
                <c:pt idx="5">
                  <c:v>45 - 49 </c:v>
                </c:pt>
                <c:pt idx="6">
                  <c:v>50 - 54 </c:v>
                </c:pt>
                <c:pt idx="7">
                  <c:v>55 - 59 </c:v>
                </c:pt>
                <c:pt idx="8">
                  <c:v>60 - 64 </c:v>
                </c:pt>
              </c:strCache>
            </c:strRef>
          </c:cat>
          <c:val>
            <c:numRef>
              <c:f>'graph 3 5 6'!$B$6:$O$6</c:f>
              <c:numCache>
                <c:formatCode>General</c:formatCode>
                <c:ptCount val="9"/>
                <c:pt idx="0">
                  <c:v>3724</c:v>
                </c:pt>
                <c:pt idx="1">
                  <c:v>4398</c:v>
                </c:pt>
                <c:pt idx="2">
                  <c:v>6135</c:v>
                </c:pt>
                <c:pt idx="3">
                  <c:v>8220</c:v>
                </c:pt>
                <c:pt idx="4">
                  <c:v>10721</c:v>
                </c:pt>
                <c:pt idx="5">
                  <c:v>13674</c:v>
                </c:pt>
                <c:pt idx="6">
                  <c:v>17534</c:v>
                </c:pt>
                <c:pt idx="7">
                  <c:v>20831</c:v>
                </c:pt>
                <c:pt idx="8">
                  <c:v>22137</c:v>
                </c:pt>
              </c:numCache>
            </c:numRef>
          </c:val>
          <c:smooth val="0"/>
          <c:extLst>
            <c:ext xmlns:c16="http://schemas.microsoft.com/office/drawing/2014/chart" uri="{C3380CC4-5D6E-409C-BE32-E72D297353CC}">
              <c16:uniqueId val="{00000001-1093-4902-A944-E79B2F4BF79F}"/>
            </c:ext>
          </c:extLst>
        </c:ser>
        <c:dLbls>
          <c:showLegendKey val="0"/>
          <c:showVal val="0"/>
          <c:showCatName val="0"/>
          <c:showSerName val="0"/>
          <c:showPercent val="0"/>
          <c:showBubbleSize val="0"/>
        </c:dLbls>
        <c:smooth val="0"/>
        <c:axId val="444087920"/>
        <c:axId val="444078736"/>
      </c:lineChart>
      <c:catAx>
        <c:axId val="44408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078736"/>
        <c:crosses val="autoZero"/>
        <c:auto val="1"/>
        <c:lblAlgn val="ctr"/>
        <c:lblOffset val="100"/>
        <c:noMultiLvlLbl val="0"/>
      </c:catAx>
      <c:valAx>
        <c:axId val="444078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087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Graph 4: Unable to work due to permanent sickness or disability %</a:t>
            </a:r>
          </a:p>
        </c:rich>
      </c:tx>
      <c:layout>
        <c:manualLayout>
          <c:xMode val="edge"/>
          <c:yMode val="edge"/>
          <c:x val="0.1821296296296296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6117850486943185"/>
          <c:y val="0.14502443792766376"/>
          <c:w val="0.49193240916249464"/>
          <c:h val="0.67482547086306299"/>
        </c:manualLayout>
      </c:layout>
      <c:barChart>
        <c:barDir val="bar"/>
        <c:grouping val="clustered"/>
        <c:varyColors val="0"/>
        <c:ser>
          <c:idx val="6"/>
          <c:order val="0"/>
          <c:tx>
            <c:strRef>
              <c:f>'graph 4'!$D$11</c:f>
              <c:strCache>
                <c:ptCount val="1"/>
                <c:pt idx="0">
                  <c:v>Unable to work due to permanent sickness or disability %</c:v>
                </c:pt>
              </c:strCache>
            </c:strRef>
          </c:tx>
          <c:spPr>
            <a:solidFill>
              <a:schemeClr val="accent1">
                <a:lumMod val="60000"/>
              </a:schemeClr>
            </a:solidFill>
            <a:ln>
              <a:noFill/>
            </a:ln>
            <a:effectLst/>
          </c:spPr>
          <c:invertIfNegative val="0"/>
          <c:cat>
            <c:strRef>
              <c:f>'graph 4'!$E$4:$O$4</c:f>
              <c:strCache>
                <c:ptCount val="11"/>
                <c:pt idx="0">
                  <c:v>Difficulty in dressing, bathing or getting around inside the home</c:v>
                </c:pt>
                <c:pt idx="1">
                  <c:v>Difficulty in going outside home alone</c:v>
                </c:pt>
                <c:pt idx="2">
                  <c:v>Deafness or a serious hearing impairment</c:v>
                </c:pt>
                <c:pt idx="3">
                  <c:v>Difficulty in participating in other activities</c:v>
                </c:pt>
                <c:pt idx="4">
                  <c:v>A condition that substantially limits one or more basic physical activities</c:v>
                </c:pt>
                <c:pt idx="5">
                  <c:v>Other disability, including chronic illness</c:v>
                </c:pt>
                <c:pt idx="6">
                  <c:v>Blindness or a serious vision impairment</c:v>
                </c:pt>
                <c:pt idx="7">
                  <c:v>Difficulty in working or attending school/college</c:v>
                </c:pt>
                <c:pt idx="8">
                  <c:v>Difficulty in learning, remembering or concentrating</c:v>
                </c:pt>
                <c:pt idx="9">
                  <c:v>An intellectual disability</c:v>
                </c:pt>
                <c:pt idx="10">
                  <c:v>Psychological or emotional condition</c:v>
                </c:pt>
              </c:strCache>
            </c:strRef>
          </c:cat>
          <c:val>
            <c:numRef>
              <c:f>'graph 4'!$E$11:$O$11</c:f>
              <c:numCache>
                <c:formatCode>0.0%</c:formatCode>
                <c:ptCount val="11"/>
                <c:pt idx="0">
                  <c:v>2.947726766568038E-2</c:v>
                </c:pt>
                <c:pt idx="1">
                  <c:v>3.6642202817806828E-2</c:v>
                </c:pt>
                <c:pt idx="2">
                  <c:v>4.6321389641689248E-2</c:v>
                </c:pt>
                <c:pt idx="3">
                  <c:v>4.6725599855673823E-2</c:v>
                </c:pt>
                <c:pt idx="4">
                  <c:v>4.822300035843282E-2</c:v>
                </c:pt>
                <c:pt idx="5">
                  <c:v>6.258613468690824E-2</c:v>
                </c:pt>
                <c:pt idx="6">
                  <c:v>6.3191682092079871E-2</c:v>
                </c:pt>
                <c:pt idx="7">
                  <c:v>6.4174253277261728E-2</c:v>
                </c:pt>
                <c:pt idx="8">
                  <c:v>7.7920736213870759E-2</c:v>
                </c:pt>
                <c:pt idx="9">
                  <c:v>7.9409142486626685E-2</c:v>
                </c:pt>
                <c:pt idx="10">
                  <c:v>0.10806083718749718</c:v>
                </c:pt>
              </c:numCache>
            </c:numRef>
          </c:val>
          <c:extLst>
            <c:ext xmlns:c16="http://schemas.microsoft.com/office/drawing/2014/chart" uri="{C3380CC4-5D6E-409C-BE32-E72D297353CC}">
              <c16:uniqueId val="{00000000-0AC8-4058-BC54-B4312E031F6A}"/>
            </c:ext>
          </c:extLst>
        </c:ser>
        <c:dLbls>
          <c:showLegendKey val="0"/>
          <c:showVal val="0"/>
          <c:showCatName val="0"/>
          <c:showSerName val="0"/>
          <c:showPercent val="0"/>
          <c:showBubbleSize val="0"/>
        </c:dLbls>
        <c:gapWidth val="182"/>
        <c:axId val="379940992"/>
        <c:axId val="379937056"/>
      </c:barChart>
      <c:catAx>
        <c:axId val="379940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9937056"/>
        <c:crosses val="autoZero"/>
        <c:auto val="1"/>
        <c:lblAlgn val="ctr"/>
        <c:lblOffset val="100"/>
        <c:noMultiLvlLbl val="0"/>
      </c:catAx>
      <c:valAx>
        <c:axId val="379937056"/>
        <c:scaling>
          <c:orientation val="minMax"/>
          <c:max val="0.11000000000000001"/>
          <c:min val="0"/>
        </c:scaling>
        <c:delete val="0"/>
        <c:axPos val="b"/>
        <c:majorGridlines>
          <c:spPr>
            <a:ln w="22225" cap="flat" cmpd="sng" algn="ctr">
              <a:solidFill>
                <a:schemeClr val="accent1"/>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9940992"/>
        <c:crosses val="autoZero"/>
        <c:crossBetween val="between"/>
        <c:majorUnit val="7.1000000000000008E-2"/>
        <c:minorUnit val="1.1000000000000003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'graph 3 5'!$A$40</c:f>
          <c:strCache>
            <c:ptCount val="1"/>
            <c:pt idx="0">
              <c:v>Graph 5: Unable to work due to permanent sickness or disability</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7150772820064157E-2"/>
          <c:y val="0.20758620689655172"/>
          <c:w val="0.88738626421697286"/>
          <c:h val="0.47843304069749903"/>
        </c:manualLayout>
      </c:layout>
      <c:lineChart>
        <c:grouping val="standard"/>
        <c:varyColors val="0"/>
        <c:ser>
          <c:idx val="0"/>
          <c:order val="0"/>
          <c:tx>
            <c:strRef>
              <c:f>'graph 3 5'!$B$103</c:f>
              <c:strCache>
                <c:ptCount val="1"/>
                <c:pt idx="0">
                  <c:v>Blindness or a serious vision impairment</c:v>
                </c:pt>
              </c:strCache>
            </c:strRef>
          </c:tx>
          <c:spPr>
            <a:ln w="28575" cap="rnd">
              <a:solidFill>
                <a:schemeClr val="accent1"/>
              </a:solidFill>
              <a:round/>
            </a:ln>
            <a:effectLst/>
          </c:spPr>
          <c:marker>
            <c:symbol val="none"/>
          </c:marker>
          <c:cat>
            <c:strRef>
              <c:f>'graph 3 5'!$A$104:$A$112</c:f>
              <c:strCache>
                <c:ptCount val="9"/>
                <c:pt idx="0">
                  <c:v>20 - 24 </c:v>
                </c:pt>
                <c:pt idx="1">
                  <c:v>25 - 29 </c:v>
                </c:pt>
                <c:pt idx="2">
                  <c:v>30 - 34 </c:v>
                </c:pt>
                <c:pt idx="3">
                  <c:v>35 - 39 </c:v>
                </c:pt>
                <c:pt idx="4">
                  <c:v>40 - 44 </c:v>
                </c:pt>
                <c:pt idx="5">
                  <c:v>45 - 49 </c:v>
                </c:pt>
                <c:pt idx="6">
                  <c:v>50 - 54 </c:v>
                </c:pt>
                <c:pt idx="7">
                  <c:v>55 - 59 </c:v>
                </c:pt>
                <c:pt idx="8">
                  <c:v>60 - 64 </c:v>
                </c:pt>
              </c:strCache>
            </c:strRef>
          </c:cat>
          <c:val>
            <c:numRef>
              <c:f>'graph 3 5'!$B$104:$B$112</c:f>
              <c:numCache>
                <c:formatCode>General</c:formatCode>
                <c:ptCount val="9"/>
                <c:pt idx="0">
                  <c:v>235</c:v>
                </c:pt>
                <c:pt idx="1">
                  <c:v>274</c:v>
                </c:pt>
                <c:pt idx="2">
                  <c:v>413</c:v>
                </c:pt>
                <c:pt idx="3">
                  <c:v>500</c:v>
                </c:pt>
                <c:pt idx="4">
                  <c:v>612</c:v>
                </c:pt>
                <c:pt idx="5">
                  <c:v>889</c:v>
                </c:pt>
                <c:pt idx="6">
                  <c:v>1243</c:v>
                </c:pt>
                <c:pt idx="7">
                  <c:v>1459</c:v>
                </c:pt>
                <c:pt idx="8">
                  <c:v>1724</c:v>
                </c:pt>
              </c:numCache>
            </c:numRef>
          </c:val>
          <c:smooth val="0"/>
          <c:extLst>
            <c:ext xmlns:c16="http://schemas.microsoft.com/office/drawing/2014/chart" uri="{C3380CC4-5D6E-409C-BE32-E72D297353CC}">
              <c16:uniqueId val="{00000000-8DEF-4B8A-84EE-6D7994DC2240}"/>
            </c:ext>
          </c:extLst>
        </c:ser>
        <c:ser>
          <c:idx val="1"/>
          <c:order val="1"/>
          <c:tx>
            <c:strRef>
              <c:f>'graph 3 5'!$C$103</c:f>
              <c:strCache>
                <c:ptCount val="1"/>
                <c:pt idx="0">
                  <c:v>Deafness or a serious hearing impairment</c:v>
                </c:pt>
              </c:strCache>
            </c:strRef>
          </c:tx>
          <c:spPr>
            <a:ln w="28575" cap="rnd">
              <a:solidFill>
                <a:schemeClr val="accent2"/>
              </a:solidFill>
              <a:round/>
            </a:ln>
            <a:effectLst/>
          </c:spPr>
          <c:marker>
            <c:symbol val="none"/>
          </c:marker>
          <c:cat>
            <c:strRef>
              <c:f>'graph 3 5'!$A$104:$A$112</c:f>
              <c:strCache>
                <c:ptCount val="9"/>
                <c:pt idx="0">
                  <c:v>20 - 24 </c:v>
                </c:pt>
                <c:pt idx="1">
                  <c:v>25 - 29 </c:v>
                </c:pt>
                <c:pt idx="2">
                  <c:v>30 - 34 </c:v>
                </c:pt>
                <c:pt idx="3">
                  <c:v>35 - 39 </c:v>
                </c:pt>
                <c:pt idx="4">
                  <c:v>40 - 44 </c:v>
                </c:pt>
                <c:pt idx="5">
                  <c:v>45 - 49 </c:v>
                </c:pt>
                <c:pt idx="6">
                  <c:v>50 - 54 </c:v>
                </c:pt>
                <c:pt idx="7">
                  <c:v>55 - 59 </c:v>
                </c:pt>
                <c:pt idx="8">
                  <c:v>60 - 64 </c:v>
                </c:pt>
              </c:strCache>
            </c:strRef>
          </c:cat>
          <c:val>
            <c:numRef>
              <c:f>'graph 3 5'!$C$104:$C$112</c:f>
              <c:numCache>
                <c:formatCode>General</c:formatCode>
                <c:ptCount val="9"/>
                <c:pt idx="0">
                  <c:v>174</c:v>
                </c:pt>
                <c:pt idx="1">
                  <c:v>221</c:v>
                </c:pt>
                <c:pt idx="2">
                  <c:v>278</c:v>
                </c:pt>
                <c:pt idx="3">
                  <c:v>392</c:v>
                </c:pt>
                <c:pt idx="4">
                  <c:v>493</c:v>
                </c:pt>
                <c:pt idx="5">
                  <c:v>767</c:v>
                </c:pt>
                <c:pt idx="6">
                  <c:v>1151</c:v>
                </c:pt>
                <c:pt idx="7">
                  <c:v>1682</c:v>
                </c:pt>
                <c:pt idx="8">
                  <c:v>2460</c:v>
                </c:pt>
              </c:numCache>
            </c:numRef>
          </c:val>
          <c:smooth val="0"/>
          <c:extLst>
            <c:ext xmlns:c16="http://schemas.microsoft.com/office/drawing/2014/chart" uri="{C3380CC4-5D6E-409C-BE32-E72D297353CC}">
              <c16:uniqueId val="{00000001-8DEF-4B8A-84EE-6D7994DC2240}"/>
            </c:ext>
          </c:extLst>
        </c:ser>
        <c:ser>
          <c:idx val="2"/>
          <c:order val="2"/>
          <c:tx>
            <c:strRef>
              <c:f>'graph 3 5'!$D$103</c:f>
              <c:strCache>
                <c:ptCount val="1"/>
                <c:pt idx="0">
                  <c:v>A condition that substantially limits one or more basic physical activities</c:v>
                </c:pt>
              </c:strCache>
            </c:strRef>
          </c:tx>
          <c:spPr>
            <a:ln w="28575" cap="rnd">
              <a:solidFill>
                <a:schemeClr val="accent3"/>
              </a:solidFill>
              <a:round/>
            </a:ln>
            <a:effectLst/>
          </c:spPr>
          <c:marker>
            <c:symbol val="none"/>
          </c:marker>
          <c:cat>
            <c:strRef>
              <c:f>'graph 3 5'!$A$104:$A$112</c:f>
              <c:strCache>
                <c:ptCount val="9"/>
                <c:pt idx="0">
                  <c:v>20 - 24 </c:v>
                </c:pt>
                <c:pt idx="1">
                  <c:v>25 - 29 </c:v>
                </c:pt>
                <c:pt idx="2">
                  <c:v>30 - 34 </c:v>
                </c:pt>
                <c:pt idx="3">
                  <c:v>35 - 39 </c:v>
                </c:pt>
                <c:pt idx="4">
                  <c:v>40 - 44 </c:v>
                </c:pt>
                <c:pt idx="5">
                  <c:v>45 - 49 </c:v>
                </c:pt>
                <c:pt idx="6">
                  <c:v>50 - 54 </c:v>
                </c:pt>
                <c:pt idx="7">
                  <c:v>55 - 59 </c:v>
                </c:pt>
                <c:pt idx="8">
                  <c:v>60 - 64 </c:v>
                </c:pt>
              </c:strCache>
            </c:strRef>
          </c:cat>
          <c:val>
            <c:numRef>
              <c:f>'graph 3 5'!$D$104:$D$112</c:f>
              <c:numCache>
                <c:formatCode>General</c:formatCode>
                <c:ptCount val="9"/>
                <c:pt idx="0">
                  <c:v>1244</c:v>
                </c:pt>
                <c:pt idx="1">
                  <c:v>1687</c:v>
                </c:pt>
                <c:pt idx="2">
                  <c:v>2535</c:v>
                </c:pt>
                <c:pt idx="3">
                  <c:v>3821</c:v>
                </c:pt>
                <c:pt idx="4">
                  <c:v>5485</c:v>
                </c:pt>
                <c:pt idx="5">
                  <c:v>7392</c:v>
                </c:pt>
                <c:pt idx="6">
                  <c:v>10204</c:v>
                </c:pt>
                <c:pt idx="7">
                  <c:v>12888</c:v>
                </c:pt>
                <c:pt idx="8">
                  <c:v>14157</c:v>
                </c:pt>
              </c:numCache>
            </c:numRef>
          </c:val>
          <c:smooth val="0"/>
          <c:extLst>
            <c:ext xmlns:c16="http://schemas.microsoft.com/office/drawing/2014/chart" uri="{C3380CC4-5D6E-409C-BE32-E72D297353CC}">
              <c16:uniqueId val="{00000002-8DEF-4B8A-84EE-6D7994DC2240}"/>
            </c:ext>
          </c:extLst>
        </c:ser>
        <c:ser>
          <c:idx val="3"/>
          <c:order val="3"/>
          <c:tx>
            <c:strRef>
              <c:f>'graph 3 5'!$E$103</c:f>
              <c:strCache>
                <c:ptCount val="1"/>
                <c:pt idx="0">
                  <c:v>An intellectual disability</c:v>
                </c:pt>
              </c:strCache>
            </c:strRef>
          </c:tx>
          <c:spPr>
            <a:ln w="28575" cap="rnd">
              <a:solidFill>
                <a:schemeClr val="accent4"/>
              </a:solidFill>
              <a:round/>
            </a:ln>
            <a:effectLst/>
          </c:spPr>
          <c:marker>
            <c:symbol val="none"/>
          </c:marker>
          <c:cat>
            <c:strRef>
              <c:f>'graph 3 5'!$A$104:$A$112</c:f>
              <c:strCache>
                <c:ptCount val="9"/>
                <c:pt idx="0">
                  <c:v>20 - 24 </c:v>
                </c:pt>
                <c:pt idx="1">
                  <c:v>25 - 29 </c:v>
                </c:pt>
                <c:pt idx="2">
                  <c:v>30 - 34 </c:v>
                </c:pt>
                <c:pt idx="3">
                  <c:v>35 - 39 </c:v>
                </c:pt>
                <c:pt idx="4">
                  <c:v>40 - 44 </c:v>
                </c:pt>
                <c:pt idx="5">
                  <c:v>45 - 49 </c:v>
                </c:pt>
                <c:pt idx="6">
                  <c:v>50 - 54 </c:v>
                </c:pt>
                <c:pt idx="7">
                  <c:v>55 - 59 </c:v>
                </c:pt>
                <c:pt idx="8">
                  <c:v>60 - 64 </c:v>
                </c:pt>
              </c:strCache>
            </c:strRef>
          </c:cat>
          <c:val>
            <c:numRef>
              <c:f>'graph 3 5'!$E$104:$E$112</c:f>
              <c:numCache>
                <c:formatCode>General</c:formatCode>
                <c:ptCount val="9"/>
                <c:pt idx="0">
                  <c:v>1986</c:v>
                </c:pt>
                <c:pt idx="1">
                  <c:v>1898</c:v>
                </c:pt>
                <c:pt idx="2">
                  <c:v>1861</c:v>
                </c:pt>
                <c:pt idx="3">
                  <c:v>1960</c:v>
                </c:pt>
                <c:pt idx="4">
                  <c:v>2150</c:v>
                </c:pt>
                <c:pt idx="5">
                  <c:v>2292</c:v>
                </c:pt>
                <c:pt idx="6">
                  <c:v>2505</c:v>
                </c:pt>
                <c:pt idx="7">
                  <c:v>2288</c:v>
                </c:pt>
                <c:pt idx="8">
                  <c:v>2057</c:v>
                </c:pt>
              </c:numCache>
            </c:numRef>
          </c:val>
          <c:smooth val="0"/>
          <c:extLst>
            <c:ext xmlns:c16="http://schemas.microsoft.com/office/drawing/2014/chart" uri="{C3380CC4-5D6E-409C-BE32-E72D297353CC}">
              <c16:uniqueId val="{00000003-8DEF-4B8A-84EE-6D7994DC2240}"/>
            </c:ext>
          </c:extLst>
        </c:ser>
        <c:ser>
          <c:idx val="4"/>
          <c:order val="4"/>
          <c:tx>
            <c:strRef>
              <c:f>'graph 3 5'!$F$103</c:f>
              <c:strCache>
                <c:ptCount val="1"/>
                <c:pt idx="0">
                  <c:v>Difficulty in learning, remembering or concentrating</c:v>
                </c:pt>
              </c:strCache>
            </c:strRef>
          </c:tx>
          <c:spPr>
            <a:ln w="28575" cap="rnd">
              <a:solidFill>
                <a:schemeClr val="accent5"/>
              </a:solidFill>
              <a:round/>
            </a:ln>
            <a:effectLst/>
          </c:spPr>
          <c:marker>
            <c:symbol val="none"/>
          </c:marker>
          <c:cat>
            <c:strRef>
              <c:f>'graph 3 5'!$A$104:$A$112</c:f>
              <c:strCache>
                <c:ptCount val="9"/>
                <c:pt idx="0">
                  <c:v>20 - 24 </c:v>
                </c:pt>
                <c:pt idx="1">
                  <c:v>25 - 29 </c:v>
                </c:pt>
                <c:pt idx="2">
                  <c:v>30 - 34 </c:v>
                </c:pt>
                <c:pt idx="3">
                  <c:v>35 - 39 </c:v>
                </c:pt>
                <c:pt idx="4">
                  <c:v>40 - 44 </c:v>
                </c:pt>
                <c:pt idx="5">
                  <c:v>45 - 49 </c:v>
                </c:pt>
                <c:pt idx="6">
                  <c:v>50 - 54 </c:v>
                </c:pt>
                <c:pt idx="7">
                  <c:v>55 - 59 </c:v>
                </c:pt>
                <c:pt idx="8">
                  <c:v>60 - 64 </c:v>
                </c:pt>
              </c:strCache>
            </c:strRef>
          </c:cat>
          <c:val>
            <c:numRef>
              <c:f>'graph 3 5'!$F$104:$F$112</c:f>
              <c:numCache>
                <c:formatCode>General</c:formatCode>
                <c:ptCount val="9"/>
                <c:pt idx="0">
                  <c:v>2029</c:v>
                </c:pt>
                <c:pt idx="1">
                  <c:v>1931</c:v>
                </c:pt>
                <c:pt idx="2">
                  <c:v>2073</c:v>
                </c:pt>
                <c:pt idx="3">
                  <c:v>2426</c:v>
                </c:pt>
                <c:pt idx="4">
                  <c:v>2954</c:v>
                </c:pt>
                <c:pt idx="5">
                  <c:v>3465</c:v>
                </c:pt>
                <c:pt idx="6">
                  <c:v>4167</c:v>
                </c:pt>
                <c:pt idx="7">
                  <c:v>4282</c:v>
                </c:pt>
                <c:pt idx="8">
                  <c:v>4041</c:v>
                </c:pt>
              </c:numCache>
            </c:numRef>
          </c:val>
          <c:smooth val="0"/>
          <c:extLst>
            <c:ext xmlns:c16="http://schemas.microsoft.com/office/drawing/2014/chart" uri="{C3380CC4-5D6E-409C-BE32-E72D297353CC}">
              <c16:uniqueId val="{00000004-8DEF-4B8A-84EE-6D7994DC2240}"/>
            </c:ext>
          </c:extLst>
        </c:ser>
        <c:ser>
          <c:idx val="5"/>
          <c:order val="5"/>
          <c:tx>
            <c:strRef>
              <c:f>'graph 3 5'!$G$103</c:f>
              <c:strCache>
                <c:ptCount val="1"/>
                <c:pt idx="0">
                  <c:v>Psychological or emotional condition</c:v>
                </c:pt>
              </c:strCache>
            </c:strRef>
          </c:tx>
          <c:spPr>
            <a:ln w="28575" cap="rnd">
              <a:solidFill>
                <a:schemeClr val="accent6"/>
              </a:solidFill>
              <a:round/>
            </a:ln>
            <a:effectLst/>
          </c:spPr>
          <c:marker>
            <c:symbol val="none"/>
          </c:marker>
          <c:cat>
            <c:strRef>
              <c:f>'graph 3 5'!$A$104:$A$112</c:f>
              <c:strCache>
                <c:ptCount val="9"/>
                <c:pt idx="0">
                  <c:v>20 - 24 </c:v>
                </c:pt>
                <c:pt idx="1">
                  <c:v>25 - 29 </c:v>
                </c:pt>
                <c:pt idx="2">
                  <c:v>30 - 34 </c:v>
                </c:pt>
                <c:pt idx="3">
                  <c:v>35 - 39 </c:v>
                </c:pt>
                <c:pt idx="4">
                  <c:v>40 - 44 </c:v>
                </c:pt>
                <c:pt idx="5">
                  <c:v>45 - 49 </c:v>
                </c:pt>
                <c:pt idx="6">
                  <c:v>50 - 54 </c:v>
                </c:pt>
                <c:pt idx="7">
                  <c:v>55 - 59 </c:v>
                </c:pt>
                <c:pt idx="8">
                  <c:v>60 - 64 </c:v>
                </c:pt>
              </c:strCache>
            </c:strRef>
          </c:cat>
          <c:val>
            <c:numRef>
              <c:f>'graph 3 5'!$G$104:$G$112</c:f>
              <c:numCache>
                <c:formatCode>General</c:formatCode>
                <c:ptCount val="9"/>
                <c:pt idx="0">
                  <c:v>1691</c:v>
                </c:pt>
                <c:pt idx="1">
                  <c:v>1745</c:v>
                </c:pt>
                <c:pt idx="2">
                  <c:v>2485</c:v>
                </c:pt>
                <c:pt idx="3">
                  <c:v>3236</c:v>
                </c:pt>
                <c:pt idx="4">
                  <c:v>4196</c:v>
                </c:pt>
                <c:pt idx="5">
                  <c:v>4868</c:v>
                </c:pt>
                <c:pt idx="6">
                  <c:v>5626</c:v>
                </c:pt>
                <c:pt idx="7">
                  <c:v>5441</c:v>
                </c:pt>
                <c:pt idx="8">
                  <c:v>4306</c:v>
                </c:pt>
              </c:numCache>
            </c:numRef>
          </c:val>
          <c:smooth val="0"/>
          <c:extLst>
            <c:ext xmlns:c16="http://schemas.microsoft.com/office/drawing/2014/chart" uri="{C3380CC4-5D6E-409C-BE32-E72D297353CC}">
              <c16:uniqueId val="{00000005-8DEF-4B8A-84EE-6D7994DC2240}"/>
            </c:ext>
          </c:extLst>
        </c:ser>
        <c:dLbls>
          <c:showLegendKey val="0"/>
          <c:showVal val="0"/>
          <c:showCatName val="0"/>
          <c:showSerName val="0"/>
          <c:showPercent val="0"/>
          <c:showBubbleSize val="0"/>
        </c:dLbls>
        <c:smooth val="0"/>
        <c:axId val="606532408"/>
        <c:axId val="606527160"/>
      </c:lineChart>
      <c:catAx>
        <c:axId val="606532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6527160"/>
        <c:crosses val="autoZero"/>
        <c:auto val="1"/>
        <c:lblAlgn val="ctr"/>
        <c:lblOffset val="100"/>
        <c:noMultiLvlLbl val="0"/>
      </c:catAx>
      <c:valAx>
        <c:axId val="606527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6532408"/>
        <c:crosses val="autoZero"/>
        <c:crossBetween val="between"/>
      </c:valAx>
      <c:spPr>
        <a:noFill/>
        <a:ln>
          <a:noFill/>
        </a:ln>
        <a:effectLst/>
      </c:spPr>
    </c:plotArea>
    <c:legend>
      <c:legendPos val="b"/>
      <c:layout>
        <c:manualLayout>
          <c:xMode val="edge"/>
          <c:yMode val="edge"/>
          <c:x val="5.9470691163604613E-3"/>
          <c:y val="0.72892448788728992"/>
          <c:w val="0.98579104695246422"/>
          <c:h val="0.248087006365583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'201910217163013571077E900962219489983.csv'!$D$12</c:f>
          <c:strCache>
            <c:ptCount val="1"/>
            <c:pt idx="0">
              <c:v>Graph 6: Unemployed having lost or given up previous job</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'201910217163013571077E900962219489983.csv'!$D$18</c:f>
              <c:strCache>
                <c:ptCount val="1"/>
                <c:pt idx="0">
                  <c:v>People without a disability </c:v>
                </c:pt>
              </c:strCache>
            </c:strRef>
          </c:tx>
          <c:spPr>
            <a:ln w="28575" cap="rnd">
              <a:solidFill>
                <a:schemeClr val="accent1"/>
              </a:solidFill>
              <a:round/>
            </a:ln>
            <a:effectLst/>
          </c:spPr>
          <c:marker>
            <c:symbol val="none"/>
          </c:marker>
          <c:cat>
            <c:strRef>
              <c:f>'[1]201910217163013571077E900962219'!$E$17:$M$17</c:f>
              <c:strCache>
                <c:ptCount val="9"/>
                <c:pt idx="0">
                  <c:v>20 - 24 years</c:v>
                </c:pt>
                <c:pt idx="1">
                  <c:v>25 - 29 years</c:v>
                </c:pt>
                <c:pt idx="2">
                  <c:v>30 - 34 years</c:v>
                </c:pt>
                <c:pt idx="3">
                  <c:v>35 - 39 years</c:v>
                </c:pt>
                <c:pt idx="4">
                  <c:v>40 - 44 years</c:v>
                </c:pt>
                <c:pt idx="5">
                  <c:v>45 - 49 years</c:v>
                </c:pt>
                <c:pt idx="6">
                  <c:v>50 - 54 years</c:v>
                </c:pt>
                <c:pt idx="7">
                  <c:v>55 - 59 years</c:v>
                </c:pt>
                <c:pt idx="8">
                  <c:v>60 - 64 years</c:v>
                </c:pt>
              </c:strCache>
            </c:strRef>
          </c:cat>
          <c:val>
            <c:numRef>
              <c:f>'[1]201910217163013571077E900962219'!$E$18:$M$18</c:f>
              <c:numCache>
                <c:formatCode>0.0%</c:formatCode>
                <c:ptCount val="9"/>
                <c:pt idx="0">
                  <c:v>8.0946425770961422E-2</c:v>
                </c:pt>
                <c:pt idx="1">
                  <c:v>0.10235002979116939</c:v>
                </c:pt>
                <c:pt idx="2">
                  <c:v>8.8109469613956298E-2</c:v>
                </c:pt>
                <c:pt idx="3">
                  <c:v>7.8502595557306251E-2</c:v>
                </c:pt>
                <c:pt idx="4">
                  <c:v>7.7499454097389023E-2</c:v>
                </c:pt>
                <c:pt idx="5">
                  <c:v>8.1901618985491573E-2</c:v>
                </c:pt>
                <c:pt idx="6">
                  <c:v>8.5767940874467569E-2</c:v>
                </c:pt>
                <c:pt idx="7">
                  <c:v>9.1855817369870169E-2</c:v>
                </c:pt>
                <c:pt idx="8">
                  <c:v>9.4219727072258744E-2</c:v>
                </c:pt>
              </c:numCache>
            </c:numRef>
          </c:val>
          <c:smooth val="0"/>
          <c:extLst>
            <c:ext xmlns:c16="http://schemas.microsoft.com/office/drawing/2014/chart" uri="{C3380CC4-5D6E-409C-BE32-E72D297353CC}">
              <c16:uniqueId val="{00000000-AF3E-49C8-B18C-6A582506C9C4}"/>
            </c:ext>
          </c:extLst>
        </c:ser>
        <c:ser>
          <c:idx val="1"/>
          <c:order val="1"/>
          <c:tx>
            <c:strRef>
              <c:f>'201910217163013571077E900962219489983.csv'!$D$19</c:f>
              <c:strCache>
                <c:ptCount val="1"/>
                <c:pt idx="0">
                  <c:v>People with a disability</c:v>
                </c:pt>
              </c:strCache>
            </c:strRef>
          </c:tx>
          <c:spPr>
            <a:ln w="28575" cap="rnd">
              <a:solidFill>
                <a:schemeClr val="accent2"/>
              </a:solidFill>
              <a:round/>
            </a:ln>
            <a:effectLst/>
          </c:spPr>
          <c:marker>
            <c:symbol val="none"/>
          </c:marker>
          <c:cat>
            <c:strRef>
              <c:f>'[1]201910217163013571077E900962219'!$E$17:$M$17</c:f>
              <c:strCache>
                <c:ptCount val="9"/>
                <c:pt idx="0">
                  <c:v>20 - 24 years</c:v>
                </c:pt>
                <c:pt idx="1">
                  <c:v>25 - 29 years</c:v>
                </c:pt>
                <c:pt idx="2">
                  <c:v>30 - 34 years</c:v>
                </c:pt>
                <c:pt idx="3">
                  <c:v>35 - 39 years</c:v>
                </c:pt>
                <c:pt idx="4">
                  <c:v>40 - 44 years</c:v>
                </c:pt>
                <c:pt idx="5">
                  <c:v>45 - 49 years</c:v>
                </c:pt>
                <c:pt idx="6">
                  <c:v>50 - 54 years</c:v>
                </c:pt>
                <c:pt idx="7">
                  <c:v>55 - 59 years</c:v>
                </c:pt>
                <c:pt idx="8">
                  <c:v>60 - 64 years</c:v>
                </c:pt>
              </c:strCache>
            </c:strRef>
          </c:cat>
          <c:val>
            <c:numRef>
              <c:f>'[1]201910217163013571077E900962219'!$E$19:$M$19</c:f>
              <c:numCache>
                <c:formatCode>0.0%</c:formatCode>
                <c:ptCount val="9"/>
                <c:pt idx="0">
                  <c:v>0.11645894281248748</c:v>
                </c:pt>
                <c:pt idx="1">
                  <c:v>0.15919376466644317</c:v>
                </c:pt>
                <c:pt idx="2">
                  <c:v>0.14190733430292957</c:v>
                </c:pt>
                <c:pt idx="3">
                  <c:v>0.13668176204199259</c:v>
                </c:pt>
                <c:pt idx="4">
                  <c:v>0.13033342369205747</c:v>
                </c:pt>
                <c:pt idx="5">
                  <c:v>0.1275824482242896</c:v>
                </c:pt>
                <c:pt idx="6">
                  <c:v>0.12065659102324094</c:v>
                </c:pt>
                <c:pt idx="7">
                  <c:v>0.10998360621718649</c:v>
                </c:pt>
                <c:pt idx="8">
                  <c:v>9.3770786868568295E-2</c:v>
                </c:pt>
              </c:numCache>
            </c:numRef>
          </c:val>
          <c:smooth val="0"/>
          <c:extLst>
            <c:ext xmlns:c16="http://schemas.microsoft.com/office/drawing/2014/chart" uri="{C3380CC4-5D6E-409C-BE32-E72D297353CC}">
              <c16:uniqueId val="{00000001-AF3E-49C8-B18C-6A582506C9C4}"/>
            </c:ext>
          </c:extLst>
        </c:ser>
        <c:dLbls>
          <c:showLegendKey val="0"/>
          <c:showVal val="0"/>
          <c:showCatName val="0"/>
          <c:showSerName val="0"/>
          <c:showPercent val="0"/>
          <c:showBubbleSize val="0"/>
        </c:dLbls>
        <c:smooth val="0"/>
        <c:axId val="377024568"/>
        <c:axId val="377031784"/>
      </c:lineChart>
      <c:catAx>
        <c:axId val="377024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7031784"/>
        <c:crosses val="autoZero"/>
        <c:auto val="1"/>
        <c:lblAlgn val="ctr"/>
        <c:lblOffset val="100"/>
        <c:noMultiLvlLbl val="0"/>
      </c:catAx>
      <c:valAx>
        <c:axId val="3770317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7024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'7  given up work'!$B$65</c:f>
          <c:strCache>
            <c:ptCount val="1"/>
            <c:pt idx="0">
              <c:v>Graph 7: Unemployed having lost or given up previous job by gender and disability</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'7  given up work'!$C$65:$C$66</c:f>
              <c:strCache>
                <c:ptCount val="2"/>
                <c:pt idx="0">
                  <c:v>females with a disability</c:v>
                </c:pt>
              </c:strCache>
            </c:strRef>
          </c:tx>
          <c:spPr>
            <a:ln w="28575" cap="rnd">
              <a:solidFill>
                <a:schemeClr val="accent1"/>
              </a:solidFill>
              <a:round/>
            </a:ln>
            <a:effectLst/>
          </c:spPr>
          <c:marker>
            <c:symbol val="none"/>
          </c:marker>
          <c:cat>
            <c:strRef>
              <c:f>'7  given up work'!$B$67:$B$77</c:f>
              <c:strCache>
                <c:ptCount val="9"/>
                <c:pt idx="0">
                  <c:v>20 - 24 years</c:v>
                </c:pt>
                <c:pt idx="1">
                  <c:v>25 - 29 years</c:v>
                </c:pt>
                <c:pt idx="2">
                  <c:v>30 - 34 years</c:v>
                </c:pt>
                <c:pt idx="3">
                  <c:v>35 - 39 years</c:v>
                </c:pt>
                <c:pt idx="4">
                  <c:v>40 - 44 years</c:v>
                </c:pt>
                <c:pt idx="5">
                  <c:v>45 - 49 years</c:v>
                </c:pt>
                <c:pt idx="6">
                  <c:v>50 - 54 years</c:v>
                </c:pt>
                <c:pt idx="7">
                  <c:v>55 - 59 years</c:v>
                </c:pt>
                <c:pt idx="8">
                  <c:v>60 - 64 years</c:v>
                </c:pt>
              </c:strCache>
            </c:strRef>
          </c:cat>
          <c:val>
            <c:numRef>
              <c:f>'7  given up work'!$C$67:$C$77</c:f>
              <c:numCache>
                <c:formatCode>0.0%</c:formatCode>
                <c:ptCount val="9"/>
                <c:pt idx="0">
                  <c:v>9.9141422323019604E-2</c:v>
                </c:pt>
                <c:pt idx="1">
                  <c:v>0.12845382671774391</c:v>
                </c:pt>
                <c:pt idx="2">
                  <c:v>0.1157579310794085</c:v>
                </c:pt>
                <c:pt idx="3">
                  <c:v>0.10951825304217369</c:v>
                </c:pt>
                <c:pt idx="4">
                  <c:v>0.10339097471049488</c:v>
                </c:pt>
                <c:pt idx="5">
                  <c:v>9.6517900931829326E-2</c:v>
                </c:pt>
                <c:pt idx="6">
                  <c:v>9.6915912485721817E-2</c:v>
                </c:pt>
                <c:pt idx="7">
                  <c:v>8.9629781141337697E-2</c:v>
                </c:pt>
                <c:pt idx="8">
                  <c:v>7.2663381533241783E-2</c:v>
                </c:pt>
              </c:numCache>
            </c:numRef>
          </c:val>
          <c:smooth val="0"/>
          <c:extLst>
            <c:ext xmlns:c16="http://schemas.microsoft.com/office/drawing/2014/chart" uri="{C3380CC4-5D6E-409C-BE32-E72D297353CC}">
              <c16:uniqueId val="{00000000-F6AD-425C-BE05-8E335FCA77E3}"/>
            </c:ext>
          </c:extLst>
        </c:ser>
        <c:ser>
          <c:idx val="1"/>
          <c:order val="1"/>
          <c:tx>
            <c:strRef>
              <c:f>'7  given up work'!$D$65:$D$66</c:f>
              <c:strCache>
                <c:ptCount val="2"/>
                <c:pt idx="0">
                  <c:v>males with a disabily</c:v>
                </c:pt>
              </c:strCache>
            </c:strRef>
          </c:tx>
          <c:spPr>
            <a:ln w="28575" cap="rnd">
              <a:solidFill>
                <a:schemeClr val="accent2"/>
              </a:solidFill>
              <a:round/>
            </a:ln>
            <a:effectLst/>
          </c:spPr>
          <c:marker>
            <c:symbol val="none"/>
          </c:marker>
          <c:cat>
            <c:strRef>
              <c:f>'7  given up work'!$B$67:$B$77</c:f>
              <c:strCache>
                <c:ptCount val="9"/>
                <c:pt idx="0">
                  <c:v>20 - 24 years</c:v>
                </c:pt>
                <c:pt idx="1">
                  <c:v>25 - 29 years</c:v>
                </c:pt>
                <c:pt idx="2">
                  <c:v>30 - 34 years</c:v>
                </c:pt>
                <c:pt idx="3">
                  <c:v>35 - 39 years</c:v>
                </c:pt>
                <c:pt idx="4">
                  <c:v>40 - 44 years</c:v>
                </c:pt>
                <c:pt idx="5">
                  <c:v>45 - 49 years</c:v>
                </c:pt>
                <c:pt idx="6">
                  <c:v>50 - 54 years</c:v>
                </c:pt>
                <c:pt idx="7">
                  <c:v>55 - 59 years</c:v>
                </c:pt>
                <c:pt idx="8">
                  <c:v>60 - 64 years</c:v>
                </c:pt>
              </c:strCache>
            </c:strRef>
          </c:cat>
          <c:val>
            <c:numRef>
              <c:f>'7  given up work'!$D$67:$D$77</c:f>
              <c:numCache>
                <c:formatCode>0.0%</c:formatCode>
                <c:ptCount val="9"/>
                <c:pt idx="0">
                  <c:v>0.13341794241294519</c:v>
                </c:pt>
                <c:pt idx="1">
                  <c:v>0.19172056921086675</c:v>
                </c:pt>
                <c:pt idx="2">
                  <c:v>0.17158276040511569</c:v>
                </c:pt>
                <c:pt idx="3">
                  <c:v>0.16721843962770941</c:v>
                </c:pt>
                <c:pt idx="4">
                  <c:v>0.15975727329439121</c:v>
                </c:pt>
                <c:pt idx="5">
                  <c:v>0.16081641219371426</c:v>
                </c:pt>
                <c:pt idx="6">
                  <c:v>0.14634030418250951</c:v>
                </c:pt>
                <c:pt idx="7">
                  <c:v>0.13093834231805929</c:v>
                </c:pt>
                <c:pt idx="8">
                  <c:v>0.1135984216117772</c:v>
                </c:pt>
              </c:numCache>
            </c:numRef>
          </c:val>
          <c:smooth val="0"/>
          <c:extLst>
            <c:ext xmlns:c16="http://schemas.microsoft.com/office/drawing/2014/chart" uri="{C3380CC4-5D6E-409C-BE32-E72D297353CC}">
              <c16:uniqueId val="{00000001-F6AD-425C-BE05-8E335FCA77E3}"/>
            </c:ext>
          </c:extLst>
        </c:ser>
        <c:ser>
          <c:idx val="2"/>
          <c:order val="2"/>
          <c:tx>
            <c:strRef>
              <c:f>'7  given up work'!$E$65:$E$66</c:f>
              <c:strCache>
                <c:ptCount val="2"/>
                <c:pt idx="0">
                  <c:v>females no disability</c:v>
                </c:pt>
              </c:strCache>
            </c:strRef>
          </c:tx>
          <c:spPr>
            <a:ln w="28575" cap="rnd">
              <a:solidFill>
                <a:schemeClr val="accent3"/>
              </a:solidFill>
              <a:round/>
            </a:ln>
            <a:effectLst/>
          </c:spPr>
          <c:marker>
            <c:symbol val="none"/>
          </c:marker>
          <c:cat>
            <c:strRef>
              <c:f>'7  given up work'!$B$67:$B$77</c:f>
              <c:strCache>
                <c:ptCount val="9"/>
                <c:pt idx="0">
                  <c:v>20 - 24 years</c:v>
                </c:pt>
                <c:pt idx="1">
                  <c:v>25 - 29 years</c:v>
                </c:pt>
                <c:pt idx="2">
                  <c:v>30 - 34 years</c:v>
                </c:pt>
                <c:pt idx="3">
                  <c:v>35 - 39 years</c:v>
                </c:pt>
                <c:pt idx="4">
                  <c:v>40 - 44 years</c:v>
                </c:pt>
                <c:pt idx="5">
                  <c:v>45 - 49 years</c:v>
                </c:pt>
                <c:pt idx="6">
                  <c:v>50 - 54 years</c:v>
                </c:pt>
                <c:pt idx="7">
                  <c:v>55 - 59 years</c:v>
                </c:pt>
                <c:pt idx="8">
                  <c:v>60 - 64 years</c:v>
                </c:pt>
              </c:strCache>
            </c:strRef>
          </c:cat>
          <c:val>
            <c:numRef>
              <c:f>'7  given up work'!$E$67:$E$77</c:f>
              <c:numCache>
                <c:formatCode>0.0%</c:formatCode>
                <c:ptCount val="9"/>
                <c:pt idx="0">
                  <c:v>7.1079818278822371E-2</c:v>
                </c:pt>
                <c:pt idx="1">
                  <c:v>8.9192819985136909E-2</c:v>
                </c:pt>
                <c:pt idx="2">
                  <c:v>7.804203061489233E-2</c:v>
                </c:pt>
                <c:pt idx="3">
                  <c:v>6.853347673509666E-2</c:v>
                </c:pt>
                <c:pt idx="4">
                  <c:v>6.4801737171869267E-2</c:v>
                </c:pt>
                <c:pt idx="5">
                  <c:v>6.594306348673161E-2</c:v>
                </c:pt>
                <c:pt idx="6">
                  <c:v>6.8563364117834077E-2</c:v>
                </c:pt>
                <c:pt idx="7">
                  <c:v>7.4043596096566161E-2</c:v>
                </c:pt>
                <c:pt idx="8">
                  <c:v>7.1236897274633129E-2</c:v>
                </c:pt>
              </c:numCache>
            </c:numRef>
          </c:val>
          <c:smooth val="0"/>
          <c:extLst>
            <c:ext xmlns:c16="http://schemas.microsoft.com/office/drawing/2014/chart" uri="{C3380CC4-5D6E-409C-BE32-E72D297353CC}">
              <c16:uniqueId val="{00000002-F6AD-425C-BE05-8E335FCA77E3}"/>
            </c:ext>
          </c:extLst>
        </c:ser>
        <c:ser>
          <c:idx val="3"/>
          <c:order val="3"/>
          <c:tx>
            <c:strRef>
              <c:f>'7  given up work'!$F$65:$F$66</c:f>
              <c:strCache>
                <c:ptCount val="2"/>
                <c:pt idx="0">
                  <c:v>males no disability</c:v>
                </c:pt>
              </c:strCache>
            </c:strRef>
          </c:tx>
          <c:spPr>
            <a:ln w="28575" cap="rnd">
              <a:solidFill>
                <a:schemeClr val="accent4"/>
              </a:solidFill>
              <a:round/>
            </a:ln>
            <a:effectLst/>
          </c:spPr>
          <c:marker>
            <c:symbol val="none"/>
          </c:marker>
          <c:cat>
            <c:strRef>
              <c:f>'7  given up work'!$B$67:$B$77</c:f>
              <c:strCache>
                <c:ptCount val="9"/>
                <c:pt idx="0">
                  <c:v>20 - 24 years</c:v>
                </c:pt>
                <c:pt idx="1">
                  <c:v>25 - 29 years</c:v>
                </c:pt>
                <c:pt idx="2">
                  <c:v>30 - 34 years</c:v>
                </c:pt>
                <c:pt idx="3">
                  <c:v>35 - 39 years</c:v>
                </c:pt>
                <c:pt idx="4">
                  <c:v>40 - 44 years</c:v>
                </c:pt>
                <c:pt idx="5">
                  <c:v>45 - 49 years</c:v>
                </c:pt>
                <c:pt idx="6">
                  <c:v>50 - 54 years</c:v>
                </c:pt>
                <c:pt idx="7">
                  <c:v>55 - 59 years</c:v>
                </c:pt>
                <c:pt idx="8">
                  <c:v>60 - 64 years</c:v>
                </c:pt>
              </c:strCache>
            </c:strRef>
          </c:cat>
          <c:val>
            <c:numRef>
              <c:f>'7  given up work'!$F$67:$F$77</c:f>
              <c:numCache>
                <c:formatCode>0.0%</c:formatCode>
                <c:ptCount val="9"/>
                <c:pt idx="0">
                  <c:v>9.0712691135168874E-2</c:v>
                </c:pt>
                <c:pt idx="1">
                  <c:v>0.11612922538109813</c:v>
                </c:pt>
                <c:pt idx="2">
                  <c:v>9.9046676521434118E-2</c:v>
                </c:pt>
                <c:pt idx="3">
                  <c:v>8.8776023218080855E-2</c:v>
                </c:pt>
                <c:pt idx="4">
                  <c:v>9.026643895176073E-2</c:v>
                </c:pt>
                <c:pt idx="5">
                  <c:v>9.7763711612701282E-2</c:v>
                </c:pt>
                <c:pt idx="6">
                  <c:v>0.10321454408203064</c:v>
                </c:pt>
                <c:pt idx="7">
                  <c:v>0.10994060700728336</c:v>
                </c:pt>
                <c:pt idx="8">
                  <c:v>0.11796365684087415</c:v>
                </c:pt>
              </c:numCache>
            </c:numRef>
          </c:val>
          <c:smooth val="0"/>
          <c:extLst>
            <c:ext xmlns:c16="http://schemas.microsoft.com/office/drawing/2014/chart" uri="{C3380CC4-5D6E-409C-BE32-E72D297353CC}">
              <c16:uniqueId val="{00000003-F6AD-425C-BE05-8E335FCA77E3}"/>
            </c:ext>
          </c:extLst>
        </c:ser>
        <c:dLbls>
          <c:showLegendKey val="0"/>
          <c:showVal val="0"/>
          <c:showCatName val="0"/>
          <c:showSerName val="0"/>
          <c:showPercent val="0"/>
          <c:showBubbleSize val="0"/>
        </c:dLbls>
        <c:smooth val="0"/>
        <c:axId val="395185392"/>
        <c:axId val="395183096"/>
      </c:lineChart>
      <c:catAx>
        <c:axId val="39518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5183096"/>
        <c:crosses val="autoZero"/>
        <c:auto val="1"/>
        <c:lblAlgn val="ctr"/>
        <c:lblOffset val="100"/>
        <c:noMultiLvlLbl val="0"/>
      </c:catAx>
      <c:valAx>
        <c:axId val="3951830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5185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'8 given up by disability'!$A$35</c:f>
          <c:strCache>
            <c:ptCount val="1"/>
            <c:pt idx="0">
              <c:v>Graph 8: Unemployed having lost or given up previous job by selected disabiliies </c:v>
            </c:pt>
          </c:strCache>
        </c:strRef>
      </c:tx>
      <c:layout>
        <c:manualLayout>
          <c:xMode val="edge"/>
          <c:yMode val="edge"/>
          <c:x val="8.7567295846260981E-2"/>
          <c:y val="3.4031349023118753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995059441099274E-2"/>
          <c:y val="0.10281356037267932"/>
          <c:w val="0.89900684222219707"/>
          <c:h val="0.59775671149282128"/>
        </c:manualLayout>
      </c:layout>
      <c:lineChart>
        <c:grouping val="standard"/>
        <c:varyColors val="0"/>
        <c:ser>
          <c:idx val="2"/>
          <c:order val="1"/>
          <c:tx>
            <c:strRef>
              <c:f>'[Chart in Microsoft Word]relative given up work'!$G$49</c:f>
              <c:strCache>
                <c:ptCount val="1"/>
                <c:pt idx="0">
                  <c:v>Blindness or a serious vision impairment</c:v>
                </c:pt>
              </c:strCache>
            </c:strRef>
          </c:tx>
          <c:spPr>
            <a:ln w="28575" cap="rnd">
              <a:solidFill>
                <a:schemeClr val="accent3"/>
              </a:solidFill>
              <a:round/>
            </a:ln>
            <a:effectLst/>
          </c:spPr>
          <c:marker>
            <c:symbol val="none"/>
          </c:marker>
          <c:cat>
            <c:numRef>
              <c:f>'[3]relative given up work'!$D$50:$D$60</c:f>
              <c:numCache>
                <c:formatCode>General</c:formatCode>
                <c:ptCount val="9"/>
                <c:pt idx="0">
                  <c:v>0</c:v>
                </c:pt>
                <c:pt idx="1">
                  <c:v>0</c:v>
                </c:pt>
                <c:pt idx="2">
                  <c:v>0</c:v>
                </c:pt>
                <c:pt idx="3">
                  <c:v>0</c:v>
                </c:pt>
                <c:pt idx="4">
                  <c:v>0</c:v>
                </c:pt>
                <c:pt idx="5">
                  <c:v>0</c:v>
                </c:pt>
                <c:pt idx="6">
                  <c:v>0</c:v>
                </c:pt>
                <c:pt idx="7">
                  <c:v>0</c:v>
                </c:pt>
                <c:pt idx="8">
                  <c:v>0</c:v>
                </c:pt>
              </c:numCache>
            </c:numRef>
          </c:cat>
          <c:val>
            <c:numRef>
              <c:f>'[3]relative given up work'!$G$50:$G$60</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0-0CA3-4E8A-8F54-D73F22A9B886}"/>
            </c:ext>
          </c:extLst>
        </c:ser>
        <c:ser>
          <c:idx val="3"/>
          <c:order val="2"/>
          <c:tx>
            <c:strRef>
              <c:f>'[Chart in Microsoft Word]relative given up work'!$H$49</c:f>
              <c:strCache>
                <c:ptCount val="1"/>
                <c:pt idx="0">
                  <c:v>Deafness or a serious hearing impairment</c:v>
                </c:pt>
              </c:strCache>
            </c:strRef>
          </c:tx>
          <c:spPr>
            <a:ln w="28575" cap="rnd">
              <a:solidFill>
                <a:schemeClr val="accent4"/>
              </a:solidFill>
              <a:round/>
            </a:ln>
            <a:effectLst/>
          </c:spPr>
          <c:marker>
            <c:symbol val="none"/>
          </c:marker>
          <c:cat>
            <c:numRef>
              <c:f>'[3]relative given up work'!$D$50:$D$60</c:f>
              <c:numCache>
                <c:formatCode>General</c:formatCode>
                <c:ptCount val="9"/>
                <c:pt idx="0">
                  <c:v>0</c:v>
                </c:pt>
                <c:pt idx="1">
                  <c:v>0</c:v>
                </c:pt>
                <c:pt idx="2">
                  <c:v>0</c:v>
                </c:pt>
                <c:pt idx="3">
                  <c:v>0</c:v>
                </c:pt>
                <c:pt idx="4">
                  <c:v>0</c:v>
                </c:pt>
                <c:pt idx="5">
                  <c:v>0</c:v>
                </c:pt>
                <c:pt idx="6">
                  <c:v>0</c:v>
                </c:pt>
                <c:pt idx="7">
                  <c:v>0</c:v>
                </c:pt>
                <c:pt idx="8">
                  <c:v>0</c:v>
                </c:pt>
              </c:numCache>
            </c:numRef>
          </c:cat>
          <c:val>
            <c:numRef>
              <c:f>'[3]relative given up work'!$H$50:$H$60</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1-0CA3-4E8A-8F54-D73F22A9B886}"/>
            </c:ext>
          </c:extLst>
        </c:ser>
        <c:ser>
          <c:idx val="4"/>
          <c:order val="3"/>
          <c:tx>
            <c:strRef>
              <c:f>'[Chart in Microsoft Word]relative given up work'!$I$49</c:f>
              <c:strCache>
                <c:ptCount val="1"/>
                <c:pt idx="0">
                  <c:v>A condition that substantially limits one or more basic physical activities</c:v>
                </c:pt>
              </c:strCache>
            </c:strRef>
          </c:tx>
          <c:spPr>
            <a:ln w="28575" cap="rnd">
              <a:solidFill>
                <a:schemeClr val="accent5"/>
              </a:solidFill>
              <a:round/>
            </a:ln>
            <a:effectLst/>
          </c:spPr>
          <c:marker>
            <c:symbol val="none"/>
          </c:marker>
          <c:cat>
            <c:numRef>
              <c:f>'[3]relative given up work'!$D$50:$D$60</c:f>
              <c:numCache>
                <c:formatCode>General</c:formatCode>
                <c:ptCount val="9"/>
                <c:pt idx="0">
                  <c:v>0</c:v>
                </c:pt>
                <c:pt idx="1">
                  <c:v>0</c:v>
                </c:pt>
                <c:pt idx="2">
                  <c:v>0</c:v>
                </c:pt>
                <c:pt idx="3">
                  <c:v>0</c:v>
                </c:pt>
                <c:pt idx="4">
                  <c:v>0</c:v>
                </c:pt>
                <c:pt idx="5">
                  <c:v>0</c:v>
                </c:pt>
                <c:pt idx="6">
                  <c:v>0</c:v>
                </c:pt>
                <c:pt idx="7">
                  <c:v>0</c:v>
                </c:pt>
                <c:pt idx="8">
                  <c:v>0</c:v>
                </c:pt>
              </c:numCache>
            </c:numRef>
          </c:cat>
          <c:val>
            <c:numRef>
              <c:f>'[3]relative given up work'!$I$50:$I$60</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2-0CA3-4E8A-8F54-D73F22A9B886}"/>
            </c:ext>
          </c:extLst>
        </c:ser>
        <c:ser>
          <c:idx val="5"/>
          <c:order val="4"/>
          <c:tx>
            <c:strRef>
              <c:f>'[Chart in Microsoft Word]relative given up work'!$J$49</c:f>
              <c:strCache>
                <c:ptCount val="1"/>
                <c:pt idx="0">
                  <c:v>An intellectual disability</c:v>
                </c:pt>
              </c:strCache>
            </c:strRef>
          </c:tx>
          <c:spPr>
            <a:ln w="28575" cap="rnd">
              <a:solidFill>
                <a:schemeClr val="accent6"/>
              </a:solidFill>
              <a:round/>
            </a:ln>
            <a:effectLst/>
          </c:spPr>
          <c:marker>
            <c:symbol val="none"/>
          </c:marker>
          <c:cat>
            <c:numRef>
              <c:f>'[3]relative given up work'!$D$50:$D$60</c:f>
              <c:numCache>
                <c:formatCode>General</c:formatCode>
                <c:ptCount val="9"/>
                <c:pt idx="0">
                  <c:v>0</c:v>
                </c:pt>
                <c:pt idx="1">
                  <c:v>0</c:v>
                </c:pt>
                <c:pt idx="2">
                  <c:v>0</c:v>
                </c:pt>
                <c:pt idx="3">
                  <c:v>0</c:v>
                </c:pt>
                <c:pt idx="4">
                  <c:v>0</c:v>
                </c:pt>
                <c:pt idx="5">
                  <c:v>0</c:v>
                </c:pt>
                <c:pt idx="6">
                  <c:v>0</c:v>
                </c:pt>
                <c:pt idx="7">
                  <c:v>0</c:v>
                </c:pt>
                <c:pt idx="8">
                  <c:v>0</c:v>
                </c:pt>
              </c:numCache>
            </c:numRef>
          </c:cat>
          <c:val>
            <c:numRef>
              <c:f>'[3]relative given up work'!$J$50:$J$60</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3-0CA3-4E8A-8F54-D73F22A9B886}"/>
            </c:ext>
          </c:extLst>
        </c:ser>
        <c:ser>
          <c:idx val="6"/>
          <c:order val="5"/>
          <c:tx>
            <c:strRef>
              <c:f>'[Chart in Microsoft Word]relative given up work'!$K$49</c:f>
              <c:strCache>
                <c:ptCount val="1"/>
                <c:pt idx="0">
                  <c:v>Difficulty in learning, remembering or concentrating</c:v>
                </c:pt>
              </c:strCache>
            </c:strRef>
          </c:tx>
          <c:spPr>
            <a:ln w="28575" cap="rnd">
              <a:solidFill>
                <a:schemeClr val="accent1">
                  <a:lumMod val="60000"/>
                </a:schemeClr>
              </a:solidFill>
              <a:round/>
            </a:ln>
            <a:effectLst/>
          </c:spPr>
          <c:marker>
            <c:symbol val="none"/>
          </c:marker>
          <c:cat>
            <c:numRef>
              <c:f>'[3]relative given up work'!$D$50:$D$60</c:f>
              <c:numCache>
                <c:formatCode>General</c:formatCode>
                <c:ptCount val="9"/>
                <c:pt idx="0">
                  <c:v>0</c:v>
                </c:pt>
                <c:pt idx="1">
                  <c:v>0</c:v>
                </c:pt>
                <c:pt idx="2">
                  <c:v>0</c:v>
                </c:pt>
                <c:pt idx="3">
                  <c:v>0</c:v>
                </c:pt>
                <c:pt idx="4">
                  <c:v>0</c:v>
                </c:pt>
                <c:pt idx="5">
                  <c:v>0</c:v>
                </c:pt>
                <c:pt idx="6">
                  <c:v>0</c:v>
                </c:pt>
                <c:pt idx="7">
                  <c:v>0</c:v>
                </c:pt>
                <c:pt idx="8">
                  <c:v>0</c:v>
                </c:pt>
              </c:numCache>
            </c:numRef>
          </c:cat>
          <c:val>
            <c:numRef>
              <c:f>'[3]relative given up work'!$K$50:$K$60</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4-0CA3-4E8A-8F54-D73F22A9B886}"/>
            </c:ext>
          </c:extLst>
        </c:ser>
        <c:ser>
          <c:idx val="7"/>
          <c:order val="6"/>
          <c:tx>
            <c:strRef>
              <c:f>'[Chart in Microsoft Word]relative given up work'!$L$49</c:f>
              <c:strCache>
                <c:ptCount val="1"/>
                <c:pt idx="0">
                  <c:v>Psychological or emotional condition</c:v>
                </c:pt>
              </c:strCache>
            </c:strRef>
          </c:tx>
          <c:spPr>
            <a:ln w="28575" cap="rnd">
              <a:solidFill>
                <a:schemeClr val="accent2">
                  <a:lumMod val="60000"/>
                </a:schemeClr>
              </a:solidFill>
              <a:round/>
            </a:ln>
            <a:effectLst/>
          </c:spPr>
          <c:marker>
            <c:symbol val="none"/>
          </c:marker>
          <c:cat>
            <c:numRef>
              <c:f>'[3]relative given up work'!$D$50:$D$60</c:f>
              <c:numCache>
                <c:formatCode>General</c:formatCode>
                <c:ptCount val="9"/>
                <c:pt idx="0">
                  <c:v>0</c:v>
                </c:pt>
                <c:pt idx="1">
                  <c:v>0</c:v>
                </c:pt>
                <c:pt idx="2">
                  <c:v>0</c:v>
                </c:pt>
                <c:pt idx="3">
                  <c:v>0</c:v>
                </c:pt>
                <c:pt idx="4">
                  <c:v>0</c:v>
                </c:pt>
                <c:pt idx="5">
                  <c:v>0</c:v>
                </c:pt>
                <c:pt idx="6">
                  <c:v>0</c:v>
                </c:pt>
                <c:pt idx="7">
                  <c:v>0</c:v>
                </c:pt>
                <c:pt idx="8">
                  <c:v>0</c:v>
                </c:pt>
              </c:numCache>
            </c:numRef>
          </c:cat>
          <c:val>
            <c:numRef>
              <c:f>'[3]relative given up work'!$L$50:$L$60</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5-0CA3-4E8A-8F54-D73F22A9B886}"/>
            </c:ext>
          </c:extLst>
        </c:ser>
        <c:dLbls>
          <c:showLegendKey val="0"/>
          <c:showVal val="0"/>
          <c:showCatName val="0"/>
          <c:showSerName val="0"/>
          <c:showPercent val="0"/>
          <c:showBubbleSize val="0"/>
        </c:dLbls>
        <c:smooth val="0"/>
        <c:axId val="439488416"/>
        <c:axId val="439490384"/>
        <c:extLst>
          <c:ext xmlns:c15="http://schemas.microsoft.com/office/drawing/2012/chart" uri="{02D57815-91ED-43cb-92C2-25804820EDAC}">
            <c15:filteredLineSeries>
              <c15:ser>
                <c:idx val="0"/>
                <c:order val="0"/>
                <c:tx>
                  <c:strRef>
                    <c:extLst>
                      <c:ext uri="{02D57815-91ED-43cb-92C2-25804820EDAC}">
                        <c15:formulaRef>
                          <c15:sqref>'[Chart in Microsoft Word]relative given up work'!$E$49</c15:sqref>
                        </c15:formulaRef>
                      </c:ext>
                    </c:extLst>
                    <c:strCache>
                      <c:ptCount val="1"/>
                      <c:pt idx="0">
                        <c:v>Total persons</c:v>
                      </c:pt>
                    </c:strCache>
                  </c:strRef>
                </c:tx>
                <c:spPr>
                  <a:ln w="28575" cap="rnd">
                    <a:solidFill>
                      <a:schemeClr val="accent1"/>
                    </a:solidFill>
                    <a:round/>
                  </a:ln>
                  <a:effectLst/>
                </c:spPr>
                <c:marker>
                  <c:symbol val="none"/>
                </c:marker>
                <c:cat>
                  <c:numRef>
                    <c:extLst>
                      <c:ext uri="{02D57815-91ED-43cb-92C2-25804820EDAC}">
                        <c15:formulaRef>
                          <c15:sqref>'[3]relative given up work'!$D$50:$D$60</c15:sqref>
                        </c15:formulaRef>
                      </c:ext>
                    </c:extLst>
                    <c:numCache>
                      <c:formatCode>General</c:formatCode>
                      <c:ptCount val="9"/>
                      <c:pt idx="0">
                        <c:v>0</c:v>
                      </c:pt>
                      <c:pt idx="1">
                        <c:v>0</c:v>
                      </c:pt>
                      <c:pt idx="2">
                        <c:v>0</c:v>
                      </c:pt>
                      <c:pt idx="3">
                        <c:v>0</c:v>
                      </c:pt>
                      <c:pt idx="4">
                        <c:v>0</c:v>
                      </c:pt>
                      <c:pt idx="5">
                        <c:v>0</c:v>
                      </c:pt>
                      <c:pt idx="6">
                        <c:v>0</c:v>
                      </c:pt>
                      <c:pt idx="7">
                        <c:v>0</c:v>
                      </c:pt>
                      <c:pt idx="8">
                        <c:v>0</c:v>
                      </c:pt>
                    </c:numCache>
                  </c:numRef>
                </c:cat>
                <c:val>
                  <c:numRef>
                    <c:extLst>
                      <c:ext uri="{02D57815-91ED-43cb-92C2-25804820EDAC}">
                        <c15:formulaRef>
                          <c15:sqref>'[3]relative given up work'!$E$50:$E$60</c15:sqref>
                        </c15:formulaRef>
                      </c:ext>
                    </c:extLst>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6-0CA3-4E8A-8F54-D73F22A9B886}"/>
                  </c:ext>
                </c:extLst>
              </c15:ser>
            </c15:filteredLineSeries>
          </c:ext>
        </c:extLst>
      </c:lineChart>
      <c:catAx>
        <c:axId val="43948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490384"/>
        <c:crosses val="autoZero"/>
        <c:auto val="1"/>
        <c:lblAlgn val="ctr"/>
        <c:lblOffset val="100"/>
        <c:noMultiLvlLbl val="0"/>
      </c:catAx>
      <c:valAx>
        <c:axId val="439490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488416"/>
        <c:crosses val="autoZero"/>
        <c:crossBetween val="between"/>
      </c:valAx>
      <c:spPr>
        <a:noFill/>
        <a:ln>
          <a:noFill/>
        </a:ln>
        <a:effectLst/>
      </c:spPr>
    </c:plotArea>
    <c:legend>
      <c:legendPos val="b"/>
      <c:layout>
        <c:manualLayout>
          <c:xMode val="edge"/>
          <c:yMode val="edge"/>
          <c:x val="1.3283777117530326E-2"/>
          <c:y val="0.75493156710557296"/>
          <c:w val="0.96769341421992261"/>
          <c:h val="0.22843650486621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'graph 9'!$C$76</c:f>
          <c:strCache>
            <c:ptCount val="1"/>
            <c:pt idx="0">
              <c:v>Graph 9 : Unemployed having lost or given up previous job by gender age and selected disability as a % of all people with that disability and gender</c:v>
            </c:pt>
          </c:strCache>
        </c:strRef>
      </c:tx>
      <c:layout>
        <c:manualLayout>
          <c:xMode val="edge"/>
          <c:yMode val="edge"/>
          <c:x val="0.10695122484689414"/>
          <c:y val="1.202555572625952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2"/>
          <c:order val="0"/>
          <c:tx>
            <c:strRef>
              <c:f>'graph 9'!$G$77:$G$78</c:f>
              <c:strCache>
                <c:ptCount val="2"/>
                <c:pt idx="0">
                  <c:v>male</c:v>
                </c:pt>
                <c:pt idx="1">
                  <c:v>A condition that substantially limits one or more basic physical activities</c:v>
                </c:pt>
              </c:strCache>
            </c:strRef>
          </c:tx>
          <c:spPr>
            <a:ln w="28575" cap="rnd">
              <a:solidFill>
                <a:schemeClr val="accent3"/>
              </a:solidFill>
              <a:round/>
            </a:ln>
            <a:effectLst/>
          </c:spPr>
          <c:marker>
            <c:symbol val="none"/>
          </c:marker>
          <c:cat>
            <c:strRef>
              <c:f>'graph 9'!$D$79:$D$87</c:f>
              <c:strCache>
                <c:ptCount val="9"/>
                <c:pt idx="0">
                  <c:v>20 - 24 </c:v>
                </c:pt>
                <c:pt idx="1">
                  <c:v>25 - 29 </c:v>
                </c:pt>
                <c:pt idx="2">
                  <c:v>30 - 34 </c:v>
                </c:pt>
                <c:pt idx="3">
                  <c:v>35 - 39 </c:v>
                </c:pt>
                <c:pt idx="4">
                  <c:v>40 - 44 </c:v>
                </c:pt>
                <c:pt idx="5">
                  <c:v>45 - 49 </c:v>
                </c:pt>
                <c:pt idx="6">
                  <c:v>50 - 54 </c:v>
                </c:pt>
                <c:pt idx="7">
                  <c:v>55 - 59 </c:v>
                </c:pt>
                <c:pt idx="8">
                  <c:v>60 - 64 </c:v>
                </c:pt>
              </c:strCache>
            </c:strRef>
          </c:cat>
          <c:val>
            <c:numRef>
              <c:f>'graph 9'!$G$79:$G$87</c:f>
              <c:numCache>
                <c:formatCode>0%</c:formatCode>
                <c:ptCount val="9"/>
                <c:pt idx="0">
                  <c:v>0.11291413116970926</c:v>
                </c:pt>
                <c:pt idx="1">
                  <c:v>0.16837899543378995</c:v>
                </c:pt>
                <c:pt idx="2">
                  <c:v>0.1674454828660436</c:v>
                </c:pt>
                <c:pt idx="3">
                  <c:v>0.16152349179872116</c:v>
                </c:pt>
                <c:pt idx="4">
                  <c:v>0.15020661157024792</c:v>
                </c:pt>
                <c:pt idx="5">
                  <c:v>0.15074626865671642</c:v>
                </c:pt>
                <c:pt idx="6">
                  <c:v>0.14263685427910563</c:v>
                </c:pt>
                <c:pt idx="7">
                  <c:v>0.11781946072684643</c:v>
                </c:pt>
                <c:pt idx="8">
                  <c:v>9.9764782220780279E-2</c:v>
                </c:pt>
              </c:numCache>
            </c:numRef>
          </c:val>
          <c:smooth val="0"/>
          <c:extLst>
            <c:ext xmlns:c16="http://schemas.microsoft.com/office/drawing/2014/chart" uri="{C3380CC4-5D6E-409C-BE32-E72D297353CC}">
              <c16:uniqueId val="{00000000-9CA5-4223-9569-E4282C37BA10}"/>
            </c:ext>
          </c:extLst>
        </c:ser>
        <c:ser>
          <c:idx val="5"/>
          <c:order val="3"/>
          <c:tx>
            <c:strRef>
              <c:f>'graph 9'!$J$77:$J$78</c:f>
              <c:strCache>
                <c:ptCount val="2"/>
                <c:pt idx="0">
                  <c:v>male</c:v>
                </c:pt>
                <c:pt idx="1">
                  <c:v>Psychological or emotional condition</c:v>
                </c:pt>
              </c:strCache>
            </c:strRef>
          </c:tx>
          <c:spPr>
            <a:ln w="28575" cap="rnd">
              <a:solidFill>
                <a:schemeClr val="accent6"/>
              </a:solidFill>
              <a:prstDash val="sysDash"/>
              <a:round/>
            </a:ln>
            <a:effectLst/>
          </c:spPr>
          <c:marker>
            <c:symbol val="none"/>
          </c:marker>
          <c:cat>
            <c:strRef>
              <c:f>'graph 9'!$D$79:$D$87</c:f>
              <c:strCache>
                <c:ptCount val="9"/>
                <c:pt idx="0">
                  <c:v>20 - 24 </c:v>
                </c:pt>
                <c:pt idx="1">
                  <c:v>25 - 29 </c:v>
                </c:pt>
                <c:pt idx="2">
                  <c:v>30 - 34 </c:v>
                </c:pt>
                <c:pt idx="3">
                  <c:v>35 - 39 </c:v>
                </c:pt>
                <c:pt idx="4">
                  <c:v>40 - 44 </c:v>
                </c:pt>
                <c:pt idx="5">
                  <c:v>45 - 49 </c:v>
                </c:pt>
                <c:pt idx="6">
                  <c:v>50 - 54 </c:v>
                </c:pt>
                <c:pt idx="7">
                  <c:v>55 - 59 </c:v>
                </c:pt>
                <c:pt idx="8">
                  <c:v>60 - 64 </c:v>
                </c:pt>
              </c:strCache>
            </c:strRef>
          </c:cat>
          <c:val>
            <c:numRef>
              <c:f>'graph 9'!$J$79:$J$87</c:f>
              <c:numCache>
                <c:formatCode>0%</c:formatCode>
                <c:ptCount val="9"/>
                <c:pt idx="0">
                  <c:v>0.1497872340425532</c:v>
                </c:pt>
                <c:pt idx="1">
                  <c:v>0.21367772233636631</c:v>
                </c:pt>
                <c:pt idx="2">
                  <c:v>0.20398773006134968</c:v>
                </c:pt>
                <c:pt idx="3">
                  <c:v>0.20636343266860857</c:v>
                </c:pt>
                <c:pt idx="4">
                  <c:v>0.19114604882085229</c:v>
                </c:pt>
                <c:pt idx="5">
                  <c:v>0.17614717699302179</c:v>
                </c:pt>
                <c:pt idx="6">
                  <c:v>0.1422849915682968</c:v>
                </c:pt>
                <c:pt idx="7">
                  <c:v>0.12362888482632541</c:v>
                </c:pt>
                <c:pt idx="8">
                  <c:v>0.10034787262510035</c:v>
                </c:pt>
              </c:numCache>
            </c:numRef>
          </c:val>
          <c:smooth val="0"/>
          <c:extLst>
            <c:ext xmlns:c16="http://schemas.microsoft.com/office/drawing/2014/chart" uri="{C3380CC4-5D6E-409C-BE32-E72D297353CC}">
              <c16:uniqueId val="{00000001-9CA5-4223-9569-E4282C37BA10}"/>
            </c:ext>
          </c:extLst>
        </c:ser>
        <c:ser>
          <c:idx val="8"/>
          <c:order val="6"/>
          <c:tx>
            <c:strRef>
              <c:f>'graph 9'!$M$77:$M$78</c:f>
              <c:strCache>
                <c:ptCount val="2"/>
                <c:pt idx="0">
                  <c:v>female</c:v>
                </c:pt>
                <c:pt idx="1">
                  <c:v>A condition that substantially limits one or more basic physical activities</c:v>
                </c:pt>
              </c:strCache>
            </c:strRef>
          </c:tx>
          <c:spPr>
            <a:ln w="28575" cap="rnd">
              <a:solidFill>
                <a:schemeClr val="accent3">
                  <a:lumMod val="60000"/>
                </a:schemeClr>
              </a:solidFill>
              <a:round/>
            </a:ln>
            <a:effectLst/>
          </c:spPr>
          <c:marker>
            <c:symbol val="none"/>
          </c:marker>
          <c:cat>
            <c:strRef>
              <c:f>'graph 9'!$D$79:$D$87</c:f>
              <c:strCache>
                <c:ptCount val="9"/>
                <c:pt idx="0">
                  <c:v>20 - 24 </c:v>
                </c:pt>
                <c:pt idx="1">
                  <c:v>25 - 29 </c:v>
                </c:pt>
                <c:pt idx="2">
                  <c:v>30 - 34 </c:v>
                </c:pt>
                <c:pt idx="3">
                  <c:v>35 - 39 </c:v>
                </c:pt>
                <c:pt idx="4">
                  <c:v>40 - 44 </c:v>
                </c:pt>
                <c:pt idx="5">
                  <c:v>45 - 49 </c:v>
                </c:pt>
                <c:pt idx="6">
                  <c:v>50 - 54 </c:v>
                </c:pt>
                <c:pt idx="7">
                  <c:v>55 - 59 </c:v>
                </c:pt>
                <c:pt idx="8">
                  <c:v>60 - 64 </c:v>
                </c:pt>
              </c:strCache>
            </c:strRef>
          </c:cat>
          <c:val>
            <c:numRef>
              <c:f>'graph 9'!$M$79:$M$87</c:f>
              <c:numCache>
                <c:formatCode>0%</c:formatCode>
                <c:ptCount val="9"/>
                <c:pt idx="0">
                  <c:v>0.11147757255936676</c:v>
                </c:pt>
                <c:pt idx="1">
                  <c:v>0.12099644128113879</c:v>
                </c:pt>
                <c:pt idx="2">
                  <c:v>0.11300708306503542</c:v>
                </c:pt>
                <c:pt idx="3">
                  <c:v>0.1037411062657792</c:v>
                </c:pt>
                <c:pt idx="4">
                  <c:v>9.7689075630252101E-2</c:v>
                </c:pt>
                <c:pt idx="5">
                  <c:v>9.1243361024104588E-2</c:v>
                </c:pt>
                <c:pt idx="6">
                  <c:v>8.7280248190279214E-2</c:v>
                </c:pt>
                <c:pt idx="7">
                  <c:v>8.2708063820612326E-2</c:v>
                </c:pt>
                <c:pt idx="8">
                  <c:v>6.5403804178359837E-2</c:v>
                </c:pt>
              </c:numCache>
            </c:numRef>
          </c:val>
          <c:smooth val="0"/>
          <c:extLst>
            <c:ext xmlns:c16="http://schemas.microsoft.com/office/drawing/2014/chart" uri="{C3380CC4-5D6E-409C-BE32-E72D297353CC}">
              <c16:uniqueId val="{00000002-9CA5-4223-9569-E4282C37BA10}"/>
            </c:ext>
          </c:extLst>
        </c:ser>
        <c:ser>
          <c:idx val="11"/>
          <c:order val="9"/>
          <c:tx>
            <c:strRef>
              <c:f>'graph 9'!$P$77:$P$78</c:f>
              <c:strCache>
                <c:ptCount val="2"/>
                <c:pt idx="0">
                  <c:v>female</c:v>
                </c:pt>
                <c:pt idx="1">
                  <c:v>Psychological or emotional condition</c:v>
                </c:pt>
              </c:strCache>
            </c:strRef>
          </c:tx>
          <c:spPr>
            <a:ln w="28575" cap="rnd">
              <a:solidFill>
                <a:schemeClr val="accent6">
                  <a:lumMod val="60000"/>
                </a:schemeClr>
              </a:solidFill>
              <a:prstDash val="dashDot"/>
              <a:round/>
            </a:ln>
            <a:effectLst/>
          </c:spPr>
          <c:marker>
            <c:symbol val="none"/>
          </c:marker>
          <c:cat>
            <c:strRef>
              <c:f>'graph 9'!$D$79:$D$87</c:f>
              <c:strCache>
                <c:ptCount val="9"/>
                <c:pt idx="0">
                  <c:v>20 - 24 </c:v>
                </c:pt>
                <c:pt idx="1">
                  <c:v>25 - 29 </c:v>
                </c:pt>
                <c:pt idx="2">
                  <c:v>30 - 34 </c:v>
                </c:pt>
                <c:pt idx="3">
                  <c:v>35 - 39 </c:v>
                </c:pt>
                <c:pt idx="4">
                  <c:v>40 - 44 </c:v>
                </c:pt>
                <c:pt idx="5">
                  <c:v>45 - 49 </c:v>
                </c:pt>
                <c:pt idx="6">
                  <c:v>50 - 54 </c:v>
                </c:pt>
                <c:pt idx="7">
                  <c:v>55 - 59 </c:v>
                </c:pt>
                <c:pt idx="8">
                  <c:v>60 - 64 </c:v>
                </c:pt>
              </c:strCache>
            </c:strRef>
          </c:cat>
          <c:val>
            <c:numRef>
              <c:f>'graph 9'!$P$79:$P$87</c:f>
              <c:numCache>
                <c:formatCode>0%</c:formatCode>
                <c:ptCount val="9"/>
                <c:pt idx="0">
                  <c:v>0.10995344712923964</c:v>
                </c:pt>
                <c:pt idx="1">
                  <c:v>0.14951321279554938</c:v>
                </c:pt>
                <c:pt idx="2">
                  <c:v>0.13437439753229227</c:v>
                </c:pt>
                <c:pt idx="3">
                  <c:v>0.12562814070351758</c:v>
                </c:pt>
                <c:pt idx="4">
                  <c:v>0.11486025903203817</c:v>
                </c:pt>
                <c:pt idx="5">
                  <c:v>0.1031616982836495</c:v>
                </c:pt>
                <c:pt idx="6">
                  <c:v>0.11579699785561115</c:v>
                </c:pt>
                <c:pt idx="7">
                  <c:v>9.4137076796036334E-2</c:v>
                </c:pt>
                <c:pt idx="8">
                  <c:v>7.6801266825019796E-2</c:v>
                </c:pt>
              </c:numCache>
            </c:numRef>
          </c:val>
          <c:smooth val="0"/>
          <c:extLst>
            <c:ext xmlns:c16="http://schemas.microsoft.com/office/drawing/2014/chart" uri="{C3380CC4-5D6E-409C-BE32-E72D297353CC}">
              <c16:uniqueId val="{00000003-9CA5-4223-9569-E4282C37BA10}"/>
            </c:ext>
          </c:extLst>
        </c:ser>
        <c:dLbls>
          <c:showLegendKey val="0"/>
          <c:showVal val="0"/>
          <c:showCatName val="0"/>
          <c:showSerName val="0"/>
          <c:showPercent val="0"/>
          <c:showBubbleSize val="0"/>
        </c:dLbls>
        <c:smooth val="0"/>
        <c:axId val="636182568"/>
        <c:axId val="636186832"/>
        <c:extLst>
          <c:ext xmlns:c15="http://schemas.microsoft.com/office/drawing/2012/chart" uri="{02D57815-91ED-43cb-92C2-25804820EDAC}">
            <c15:filteredLineSeries>
              <c15:ser>
                <c:idx val="3"/>
                <c:order val="1"/>
                <c:tx>
                  <c:strRef>
                    <c:extLst>
                      <c:ext uri="{02D57815-91ED-43cb-92C2-25804820EDAC}">
                        <c15:formulaRef>
                          <c15:sqref>'graph 9'!$H$77:$H$78</c15:sqref>
                        </c15:formulaRef>
                      </c:ext>
                    </c:extLst>
                    <c:strCache>
                      <c:ptCount val="2"/>
                      <c:pt idx="0">
                        <c:v>male</c:v>
                      </c:pt>
                      <c:pt idx="1">
                        <c:v>An intellectual disability</c:v>
                      </c:pt>
                    </c:strCache>
                  </c:strRef>
                </c:tx>
                <c:spPr>
                  <a:ln w="28575" cap="rnd">
                    <a:solidFill>
                      <a:schemeClr val="accent4"/>
                    </a:solidFill>
                    <a:round/>
                  </a:ln>
                  <a:effectLst/>
                </c:spPr>
                <c:marker>
                  <c:symbol val="none"/>
                </c:marker>
                <c:cat>
                  <c:strRef>
                    <c:extLst>
                      <c:ext uri="{02D57815-91ED-43cb-92C2-25804820EDAC}">
                        <c15:formulaRef>
                          <c15:sqref>'graph 9'!$D$79:$D$87</c15:sqref>
                        </c15:formulaRef>
                      </c:ext>
                    </c:extLst>
                    <c:strCache>
                      <c:ptCount val="9"/>
                      <c:pt idx="0">
                        <c:v>20 - 24 </c:v>
                      </c:pt>
                      <c:pt idx="1">
                        <c:v>25 - 29 </c:v>
                      </c:pt>
                      <c:pt idx="2">
                        <c:v>30 - 34 </c:v>
                      </c:pt>
                      <c:pt idx="3">
                        <c:v>35 - 39 </c:v>
                      </c:pt>
                      <c:pt idx="4">
                        <c:v>40 - 44 </c:v>
                      </c:pt>
                      <c:pt idx="5">
                        <c:v>45 - 49 </c:v>
                      </c:pt>
                      <c:pt idx="6">
                        <c:v>50 - 54 </c:v>
                      </c:pt>
                      <c:pt idx="7">
                        <c:v>55 - 59 </c:v>
                      </c:pt>
                      <c:pt idx="8">
                        <c:v>60 - 64 </c:v>
                      </c:pt>
                    </c:strCache>
                  </c:strRef>
                </c:cat>
                <c:val>
                  <c:numRef>
                    <c:extLst>
                      <c:ext uri="{02D57815-91ED-43cb-92C2-25804820EDAC}">
                        <c15:formulaRef>
                          <c15:sqref>'graph 9'!$H$79:$H$87</c15:sqref>
                        </c15:formulaRef>
                      </c:ext>
                    </c:extLst>
                    <c:numCache>
                      <c:formatCode>0%</c:formatCode>
                      <c:ptCount val="9"/>
                      <c:pt idx="0">
                        <c:v>0.10079656862745098</c:v>
                      </c:pt>
                      <c:pt idx="1">
                        <c:v>0.14333472628499791</c:v>
                      </c:pt>
                      <c:pt idx="2">
                        <c:v>0.14530728918532634</c:v>
                      </c:pt>
                      <c:pt idx="3">
                        <c:v>0.14188861985472154</c:v>
                      </c:pt>
                      <c:pt idx="4">
                        <c:v>0.13111638954869359</c:v>
                      </c:pt>
                      <c:pt idx="5">
                        <c:v>0.13025210084033614</c:v>
                      </c:pt>
                      <c:pt idx="6">
                        <c:v>0.10340009315323707</c:v>
                      </c:pt>
                      <c:pt idx="7">
                        <c:v>0.11761630946157867</c:v>
                      </c:pt>
                      <c:pt idx="8">
                        <c:v>9.9004100761569999E-2</c:v>
                      </c:pt>
                    </c:numCache>
                  </c:numRef>
                </c:val>
                <c:smooth val="0"/>
                <c:extLst>
                  <c:ext xmlns:c16="http://schemas.microsoft.com/office/drawing/2014/chart" uri="{C3380CC4-5D6E-409C-BE32-E72D297353CC}">
                    <c16:uniqueId val="{00000004-9CA5-4223-9569-E4282C37BA10}"/>
                  </c:ext>
                </c:extLst>
              </c15:ser>
            </c15:filteredLineSeries>
            <c15:filteredLineSeries>
              <c15:ser>
                <c:idx val="4"/>
                <c:order val="2"/>
                <c:tx>
                  <c:strRef>
                    <c:extLst xmlns:c15="http://schemas.microsoft.com/office/drawing/2012/chart">
                      <c:ext xmlns:c15="http://schemas.microsoft.com/office/drawing/2012/chart" uri="{02D57815-91ED-43cb-92C2-25804820EDAC}">
                        <c15:formulaRef>
                          <c15:sqref>'graph 9'!$I$77:$I$78</c15:sqref>
                        </c15:formulaRef>
                      </c:ext>
                    </c:extLst>
                    <c:strCache>
                      <c:ptCount val="2"/>
                      <c:pt idx="0">
                        <c:v>male</c:v>
                      </c:pt>
                      <c:pt idx="1">
                        <c:v>Difficulty in learning, remembering or concentrating</c:v>
                      </c:pt>
                    </c:strCache>
                  </c:strRef>
                </c:tx>
                <c:spPr>
                  <a:ln w="28575" cap="rnd">
                    <a:solidFill>
                      <a:schemeClr val="accent5"/>
                    </a:solidFill>
                    <a:round/>
                  </a:ln>
                  <a:effectLst/>
                </c:spPr>
                <c:marker>
                  <c:symbol val="none"/>
                </c:marker>
                <c:cat>
                  <c:strRef>
                    <c:extLst xmlns:c15="http://schemas.microsoft.com/office/drawing/2012/chart">
                      <c:ext xmlns:c15="http://schemas.microsoft.com/office/drawing/2012/chart" uri="{02D57815-91ED-43cb-92C2-25804820EDAC}">
                        <c15:formulaRef>
                          <c15:sqref>'graph 9'!$D$79:$D$87</c15:sqref>
                        </c15:formulaRef>
                      </c:ext>
                    </c:extLst>
                    <c:strCache>
                      <c:ptCount val="9"/>
                      <c:pt idx="0">
                        <c:v>20 - 24 </c:v>
                      </c:pt>
                      <c:pt idx="1">
                        <c:v>25 - 29 </c:v>
                      </c:pt>
                      <c:pt idx="2">
                        <c:v>30 - 34 </c:v>
                      </c:pt>
                      <c:pt idx="3">
                        <c:v>35 - 39 </c:v>
                      </c:pt>
                      <c:pt idx="4">
                        <c:v>40 - 44 </c:v>
                      </c:pt>
                      <c:pt idx="5">
                        <c:v>45 - 49 </c:v>
                      </c:pt>
                      <c:pt idx="6">
                        <c:v>50 - 54 </c:v>
                      </c:pt>
                      <c:pt idx="7">
                        <c:v>55 - 59 </c:v>
                      </c:pt>
                      <c:pt idx="8">
                        <c:v>60 - 64 </c:v>
                      </c:pt>
                    </c:strCache>
                  </c:strRef>
                </c:cat>
                <c:val>
                  <c:numRef>
                    <c:extLst xmlns:c15="http://schemas.microsoft.com/office/drawing/2012/chart">
                      <c:ext xmlns:c15="http://schemas.microsoft.com/office/drawing/2012/chart" uri="{02D57815-91ED-43cb-92C2-25804820EDAC}">
                        <c15:formulaRef>
                          <c15:sqref>'graph 9'!$I$79:$I$87</c15:sqref>
                        </c15:formulaRef>
                      </c:ext>
                    </c:extLst>
                    <c:numCache>
                      <c:formatCode>0%</c:formatCode>
                      <c:ptCount val="9"/>
                      <c:pt idx="0">
                        <c:v>0.13505228993869456</c:v>
                      </c:pt>
                      <c:pt idx="1">
                        <c:v>0.19595448798988621</c:v>
                      </c:pt>
                      <c:pt idx="2">
                        <c:v>0.19020338012030938</c:v>
                      </c:pt>
                      <c:pt idx="3">
                        <c:v>0.18805803571428573</c:v>
                      </c:pt>
                      <c:pt idx="4">
                        <c:v>0.18996798292422626</c:v>
                      </c:pt>
                      <c:pt idx="5">
                        <c:v>0.17455391776570986</c:v>
                      </c:pt>
                      <c:pt idx="6">
                        <c:v>0.16888781196995395</c:v>
                      </c:pt>
                      <c:pt idx="7">
                        <c:v>0.15260944842938412</c:v>
                      </c:pt>
                      <c:pt idx="8">
                        <c:v>0.1239327296248383</c:v>
                      </c:pt>
                    </c:numCache>
                  </c:numRef>
                </c:val>
                <c:smooth val="0"/>
                <c:extLst xmlns:c15="http://schemas.microsoft.com/office/drawing/2012/chart">
                  <c:ext xmlns:c16="http://schemas.microsoft.com/office/drawing/2014/chart" uri="{C3380CC4-5D6E-409C-BE32-E72D297353CC}">
                    <c16:uniqueId val="{00000005-9CA5-4223-9569-E4282C37BA10}"/>
                  </c:ext>
                </c:extLst>
              </c15:ser>
            </c15:filteredLineSeries>
            <c15:filteredLineSeries>
              <c15:ser>
                <c:idx val="6"/>
                <c:order val="4"/>
                <c:tx>
                  <c:strRef>
                    <c:extLst xmlns:c15="http://schemas.microsoft.com/office/drawing/2012/chart">
                      <c:ext xmlns:c15="http://schemas.microsoft.com/office/drawing/2012/chart" uri="{02D57815-91ED-43cb-92C2-25804820EDAC}">
                        <c15:formulaRef>
                          <c15:sqref>'graph 9'!$K$77:$K$78</c15:sqref>
                        </c15:formulaRef>
                      </c:ext>
                    </c:extLst>
                    <c:strCache>
                      <c:ptCount val="2"/>
                      <c:pt idx="0">
                        <c:v>female</c:v>
                      </c:pt>
                      <c:pt idx="1">
                        <c:v>Blindness or a serious vision impairment</c:v>
                      </c:pt>
                    </c:strCache>
                  </c:strRef>
                </c:tx>
                <c:spPr>
                  <a:ln w="28575" cap="rnd">
                    <a:solidFill>
                      <a:schemeClr val="accent1">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'graph 9'!$D$79:$D$87</c15:sqref>
                        </c15:formulaRef>
                      </c:ext>
                    </c:extLst>
                    <c:strCache>
                      <c:ptCount val="9"/>
                      <c:pt idx="0">
                        <c:v>20 - 24 </c:v>
                      </c:pt>
                      <c:pt idx="1">
                        <c:v>25 - 29 </c:v>
                      </c:pt>
                      <c:pt idx="2">
                        <c:v>30 - 34 </c:v>
                      </c:pt>
                      <c:pt idx="3">
                        <c:v>35 - 39 </c:v>
                      </c:pt>
                      <c:pt idx="4">
                        <c:v>40 - 44 </c:v>
                      </c:pt>
                      <c:pt idx="5">
                        <c:v>45 - 49 </c:v>
                      </c:pt>
                      <c:pt idx="6">
                        <c:v>50 - 54 </c:v>
                      </c:pt>
                      <c:pt idx="7">
                        <c:v>55 - 59 </c:v>
                      </c:pt>
                      <c:pt idx="8">
                        <c:v>60 - 64 </c:v>
                      </c:pt>
                    </c:strCache>
                  </c:strRef>
                </c:cat>
                <c:val>
                  <c:numRef>
                    <c:extLst xmlns:c15="http://schemas.microsoft.com/office/drawing/2012/chart">
                      <c:ext xmlns:c15="http://schemas.microsoft.com/office/drawing/2012/chart" uri="{02D57815-91ED-43cb-92C2-25804820EDAC}">
                        <c15:formulaRef>
                          <c15:sqref>'graph 9'!$K$79:$K$87</c15:sqref>
                        </c15:formulaRef>
                      </c:ext>
                    </c:extLst>
                    <c:numCache>
                      <c:formatCode>0%</c:formatCode>
                      <c:ptCount val="9"/>
                      <c:pt idx="0">
                        <c:v>0.10463576158940398</c:v>
                      </c:pt>
                      <c:pt idx="1">
                        <c:v>0.12881806108897742</c:v>
                      </c:pt>
                      <c:pt idx="2">
                        <c:v>0.13224043715846995</c:v>
                      </c:pt>
                      <c:pt idx="3">
                        <c:v>0.11052631578947368</c:v>
                      </c:pt>
                      <c:pt idx="4">
                        <c:v>0.11450381679389313</c:v>
                      </c:pt>
                      <c:pt idx="5">
                        <c:v>0.11166253101736973</c:v>
                      </c:pt>
                      <c:pt idx="6">
                        <c:v>8.7472201630837659E-2</c:v>
                      </c:pt>
                      <c:pt idx="7">
                        <c:v>9.8196392785571143E-2</c:v>
                      </c:pt>
                      <c:pt idx="8">
                        <c:v>8.6124401913875603E-2</c:v>
                      </c:pt>
                    </c:numCache>
                  </c:numRef>
                </c:val>
                <c:smooth val="0"/>
                <c:extLst xmlns:c15="http://schemas.microsoft.com/office/drawing/2012/chart">
                  <c:ext xmlns:c16="http://schemas.microsoft.com/office/drawing/2014/chart" uri="{C3380CC4-5D6E-409C-BE32-E72D297353CC}">
                    <c16:uniqueId val="{00000006-9CA5-4223-9569-E4282C37BA10}"/>
                  </c:ext>
                </c:extLst>
              </c15:ser>
            </c15:filteredLineSeries>
            <c15:filteredLineSeries>
              <c15:ser>
                <c:idx val="7"/>
                <c:order val="5"/>
                <c:tx>
                  <c:strRef>
                    <c:extLst xmlns:c15="http://schemas.microsoft.com/office/drawing/2012/chart">
                      <c:ext xmlns:c15="http://schemas.microsoft.com/office/drawing/2012/chart" uri="{02D57815-91ED-43cb-92C2-25804820EDAC}">
                        <c15:formulaRef>
                          <c15:sqref>'graph 9'!$L$77:$L$78</c15:sqref>
                        </c15:formulaRef>
                      </c:ext>
                    </c:extLst>
                    <c:strCache>
                      <c:ptCount val="2"/>
                      <c:pt idx="0">
                        <c:v>female</c:v>
                      </c:pt>
                      <c:pt idx="1">
                        <c:v>Deafness or a serious hearing impairment</c:v>
                      </c:pt>
                    </c:strCache>
                  </c:strRef>
                </c:tx>
                <c:spPr>
                  <a:ln w="28575" cap="rnd">
                    <a:solidFill>
                      <a:schemeClr val="accent2">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'graph 9'!$D$79:$D$87</c15:sqref>
                        </c15:formulaRef>
                      </c:ext>
                    </c:extLst>
                    <c:strCache>
                      <c:ptCount val="9"/>
                      <c:pt idx="0">
                        <c:v>20 - 24 </c:v>
                      </c:pt>
                      <c:pt idx="1">
                        <c:v>25 - 29 </c:v>
                      </c:pt>
                      <c:pt idx="2">
                        <c:v>30 - 34 </c:v>
                      </c:pt>
                      <c:pt idx="3">
                        <c:v>35 - 39 </c:v>
                      </c:pt>
                      <c:pt idx="4">
                        <c:v>40 - 44 </c:v>
                      </c:pt>
                      <c:pt idx="5">
                        <c:v>45 - 49 </c:v>
                      </c:pt>
                      <c:pt idx="6">
                        <c:v>50 - 54 </c:v>
                      </c:pt>
                      <c:pt idx="7">
                        <c:v>55 - 59 </c:v>
                      </c:pt>
                      <c:pt idx="8">
                        <c:v>60 - 64 </c:v>
                      </c:pt>
                    </c:strCache>
                  </c:strRef>
                </c:cat>
                <c:val>
                  <c:numRef>
                    <c:extLst xmlns:c15="http://schemas.microsoft.com/office/drawing/2012/chart">
                      <c:ext xmlns:c15="http://schemas.microsoft.com/office/drawing/2012/chart" uri="{02D57815-91ED-43cb-92C2-25804820EDAC}">
                        <c15:formulaRef>
                          <c15:sqref>'graph 9'!$L$79:$L$87</c15:sqref>
                        </c15:formulaRef>
                      </c:ext>
                    </c:extLst>
                    <c:numCache>
                      <c:formatCode>0%</c:formatCode>
                      <c:ptCount val="9"/>
                      <c:pt idx="0">
                        <c:v>0.10035211267605634</c:v>
                      </c:pt>
                      <c:pt idx="1">
                        <c:v>0.13861386138613863</c:v>
                      </c:pt>
                      <c:pt idx="2">
                        <c:v>0.12835820895522387</c:v>
                      </c:pt>
                      <c:pt idx="3">
                        <c:v>9.6728307254623044E-2</c:v>
                      </c:pt>
                      <c:pt idx="4">
                        <c:v>0.11264080100125157</c:v>
                      </c:pt>
                      <c:pt idx="5">
                        <c:v>9.8752034725990229E-2</c:v>
                      </c:pt>
                      <c:pt idx="6">
                        <c:v>0.10326566637246248</c:v>
                      </c:pt>
                      <c:pt idx="7">
                        <c:v>9.9222510181414286E-2</c:v>
                      </c:pt>
                      <c:pt idx="8">
                        <c:v>7.7542499254399044E-2</c:v>
                      </c:pt>
                    </c:numCache>
                  </c:numRef>
                </c:val>
                <c:smooth val="0"/>
                <c:extLst xmlns:c15="http://schemas.microsoft.com/office/drawing/2012/chart">
                  <c:ext xmlns:c16="http://schemas.microsoft.com/office/drawing/2014/chart" uri="{C3380CC4-5D6E-409C-BE32-E72D297353CC}">
                    <c16:uniqueId val="{00000007-9CA5-4223-9569-E4282C37BA10}"/>
                  </c:ext>
                </c:extLst>
              </c15:ser>
            </c15:filteredLineSeries>
            <c15:filteredLineSeries>
              <c15:ser>
                <c:idx val="9"/>
                <c:order val="7"/>
                <c:tx>
                  <c:strRef>
                    <c:extLst xmlns:c15="http://schemas.microsoft.com/office/drawing/2012/chart">
                      <c:ext xmlns:c15="http://schemas.microsoft.com/office/drawing/2012/chart" uri="{02D57815-91ED-43cb-92C2-25804820EDAC}">
                        <c15:formulaRef>
                          <c15:sqref>'graph 9'!$N$77:$N$78</c15:sqref>
                        </c15:formulaRef>
                      </c:ext>
                    </c:extLst>
                    <c:strCache>
                      <c:ptCount val="2"/>
                      <c:pt idx="0">
                        <c:v>female</c:v>
                      </c:pt>
                      <c:pt idx="1">
                        <c:v>An intellectual disability</c:v>
                      </c:pt>
                    </c:strCache>
                  </c:strRef>
                </c:tx>
                <c:spPr>
                  <a:ln w="28575" cap="rnd">
                    <a:solidFill>
                      <a:schemeClr val="accent4">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'graph 9'!$D$79:$D$87</c15:sqref>
                        </c15:formulaRef>
                      </c:ext>
                    </c:extLst>
                    <c:strCache>
                      <c:ptCount val="9"/>
                      <c:pt idx="0">
                        <c:v>20 - 24 </c:v>
                      </c:pt>
                      <c:pt idx="1">
                        <c:v>25 - 29 </c:v>
                      </c:pt>
                      <c:pt idx="2">
                        <c:v>30 - 34 </c:v>
                      </c:pt>
                      <c:pt idx="3">
                        <c:v>35 - 39 </c:v>
                      </c:pt>
                      <c:pt idx="4">
                        <c:v>40 - 44 </c:v>
                      </c:pt>
                      <c:pt idx="5">
                        <c:v>45 - 49 </c:v>
                      </c:pt>
                      <c:pt idx="6">
                        <c:v>50 - 54 </c:v>
                      </c:pt>
                      <c:pt idx="7">
                        <c:v>55 - 59 </c:v>
                      </c:pt>
                      <c:pt idx="8">
                        <c:v>60 - 64 </c:v>
                      </c:pt>
                    </c:strCache>
                  </c:strRef>
                </c:cat>
                <c:val>
                  <c:numRef>
                    <c:extLst xmlns:c15="http://schemas.microsoft.com/office/drawing/2012/chart">
                      <c:ext xmlns:c15="http://schemas.microsoft.com/office/drawing/2012/chart" uri="{02D57815-91ED-43cb-92C2-25804820EDAC}">
                        <c15:formulaRef>
                          <c15:sqref>'graph 9'!$N$79:$N$87</c15:sqref>
                        </c15:formulaRef>
                      </c:ext>
                    </c:extLst>
                    <c:numCache>
                      <c:formatCode>0%</c:formatCode>
                      <c:ptCount val="9"/>
                      <c:pt idx="0">
                        <c:v>7.4425574425574431E-2</c:v>
                      </c:pt>
                      <c:pt idx="1">
                        <c:v>0.10501672240802676</c:v>
                      </c:pt>
                      <c:pt idx="2">
                        <c:v>0.10169491525423729</c:v>
                      </c:pt>
                      <c:pt idx="3">
                        <c:v>0.1199421965317919</c:v>
                      </c:pt>
                      <c:pt idx="4">
                        <c:v>8.8317107093184979E-2</c:v>
                      </c:pt>
                      <c:pt idx="5">
                        <c:v>8.9102124742974645E-2</c:v>
                      </c:pt>
                      <c:pt idx="6">
                        <c:v>9.3143596377749036E-2</c:v>
                      </c:pt>
                      <c:pt idx="7">
                        <c:v>9.3571428571428569E-2</c:v>
                      </c:pt>
                      <c:pt idx="8">
                        <c:v>5.6497175141242938E-2</c:v>
                      </c:pt>
                    </c:numCache>
                  </c:numRef>
                </c:val>
                <c:smooth val="0"/>
                <c:extLst xmlns:c15="http://schemas.microsoft.com/office/drawing/2012/chart">
                  <c:ext xmlns:c16="http://schemas.microsoft.com/office/drawing/2014/chart" uri="{C3380CC4-5D6E-409C-BE32-E72D297353CC}">
                    <c16:uniqueId val="{00000008-9CA5-4223-9569-E4282C37BA10}"/>
                  </c:ext>
                </c:extLst>
              </c15:ser>
            </c15:filteredLineSeries>
            <c15:filteredLineSeries>
              <c15:ser>
                <c:idx val="10"/>
                <c:order val="8"/>
                <c:tx>
                  <c:strRef>
                    <c:extLst xmlns:c15="http://schemas.microsoft.com/office/drawing/2012/chart">
                      <c:ext xmlns:c15="http://schemas.microsoft.com/office/drawing/2012/chart" uri="{02D57815-91ED-43cb-92C2-25804820EDAC}">
                        <c15:formulaRef>
                          <c15:sqref>'graph 9'!$O$77:$O$78</c15:sqref>
                        </c15:formulaRef>
                      </c:ext>
                    </c:extLst>
                    <c:strCache>
                      <c:ptCount val="2"/>
                      <c:pt idx="0">
                        <c:v>female</c:v>
                      </c:pt>
                      <c:pt idx="1">
                        <c:v>Difficulty in learning, remembering or concentrating</c:v>
                      </c:pt>
                    </c:strCache>
                  </c:strRef>
                </c:tx>
                <c:spPr>
                  <a:ln w="28575" cap="rnd">
                    <a:solidFill>
                      <a:schemeClr val="accent5">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'graph 9'!$D$79:$D$87</c15:sqref>
                        </c15:formulaRef>
                      </c:ext>
                    </c:extLst>
                    <c:strCache>
                      <c:ptCount val="9"/>
                      <c:pt idx="0">
                        <c:v>20 - 24 </c:v>
                      </c:pt>
                      <c:pt idx="1">
                        <c:v>25 - 29 </c:v>
                      </c:pt>
                      <c:pt idx="2">
                        <c:v>30 - 34 </c:v>
                      </c:pt>
                      <c:pt idx="3">
                        <c:v>35 - 39 </c:v>
                      </c:pt>
                      <c:pt idx="4">
                        <c:v>40 - 44 </c:v>
                      </c:pt>
                      <c:pt idx="5">
                        <c:v>45 - 49 </c:v>
                      </c:pt>
                      <c:pt idx="6">
                        <c:v>50 - 54 </c:v>
                      </c:pt>
                      <c:pt idx="7">
                        <c:v>55 - 59 </c:v>
                      </c:pt>
                      <c:pt idx="8">
                        <c:v>60 - 64 </c:v>
                      </c:pt>
                    </c:strCache>
                  </c:strRef>
                </c:cat>
                <c:val>
                  <c:numRef>
                    <c:extLst xmlns:c15="http://schemas.microsoft.com/office/drawing/2012/chart">
                      <c:ext xmlns:c15="http://schemas.microsoft.com/office/drawing/2012/chart" uri="{02D57815-91ED-43cb-92C2-25804820EDAC}">
                        <c15:formulaRef>
                          <c15:sqref>'graph 9'!$O$79:$O$87</c15:sqref>
                        </c15:formulaRef>
                      </c:ext>
                    </c:extLst>
                    <c:numCache>
                      <c:formatCode>0%</c:formatCode>
                      <c:ptCount val="9"/>
                      <c:pt idx="0">
                        <c:v>9.6465585968642034E-2</c:v>
                      </c:pt>
                      <c:pt idx="1">
                        <c:v>0.13072378138847859</c:v>
                      </c:pt>
                      <c:pt idx="2">
                        <c:v>0.13443759630200308</c:v>
                      </c:pt>
                      <c:pt idx="3">
                        <c:v>0.13234172387490464</c:v>
                      </c:pt>
                      <c:pt idx="4">
                        <c:v>0.13135448652337087</c:v>
                      </c:pt>
                      <c:pt idx="5">
                        <c:v>0.11481597986788299</c:v>
                      </c:pt>
                      <c:pt idx="6">
                        <c:v>0.10881582775676463</c:v>
                      </c:pt>
                      <c:pt idx="7">
                        <c:v>0.10501193317422435</c:v>
                      </c:pt>
                      <c:pt idx="8">
                        <c:v>7.7600260841212909E-2</c:v>
                      </c:pt>
                    </c:numCache>
                  </c:numRef>
                </c:val>
                <c:smooth val="0"/>
                <c:extLst xmlns:c15="http://schemas.microsoft.com/office/drawing/2012/chart">
                  <c:ext xmlns:c16="http://schemas.microsoft.com/office/drawing/2014/chart" uri="{C3380CC4-5D6E-409C-BE32-E72D297353CC}">
                    <c16:uniqueId val="{00000009-9CA5-4223-9569-E4282C37BA10}"/>
                  </c:ext>
                </c:extLst>
              </c15:ser>
            </c15:filteredLineSeries>
          </c:ext>
        </c:extLst>
      </c:lineChart>
      <c:catAx>
        <c:axId val="636182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6186832"/>
        <c:crosses val="autoZero"/>
        <c:auto val="1"/>
        <c:lblAlgn val="ctr"/>
        <c:lblOffset val="100"/>
        <c:noMultiLvlLbl val="0"/>
      </c:catAx>
      <c:valAx>
        <c:axId val="636186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6182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E2692-456B-498C-9EFB-638E1AB26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NDA Style 2011</Template>
  <TotalTime>11</TotalTime>
  <Pages>22</Pages>
  <Words>4324</Words>
  <Characters>24649</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National Disability Authority</Company>
  <LinksUpToDate>false</LinksUpToDate>
  <CharactersWithSpaces>28916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Grainne M. Collins</dc:creator>
  <cp:keywords/>
  <cp:lastModifiedBy>Jacinta G. Byrne</cp:lastModifiedBy>
  <cp:revision>3</cp:revision>
  <cp:lastPrinted>2019-09-11T14:26:00Z</cp:lastPrinted>
  <dcterms:created xsi:type="dcterms:W3CDTF">2020-01-21T09:17:00Z</dcterms:created>
  <dcterms:modified xsi:type="dcterms:W3CDTF">2020-01-21T10:11:00Z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awcVerifyStyleSequence">
    <vt:lpwstr>wdStyleTitle, %</vt:lpwstr>
  </property>
</Properties>
</file>