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C1A0" w14:textId="0EFC6E61" w:rsidR="00EE4029" w:rsidRDefault="00114F68" w:rsidP="001E0A43">
      <w:pPr>
        <w:pStyle w:val="Title"/>
        <w:jc w:val="left"/>
      </w:pPr>
      <w:bookmarkStart w:id="0" w:name="_GoBack"/>
      <w:bookmarkEnd w:id="0"/>
      <w:r>
        <w:t>NDA</w:t>
      </w:r>
      <w:r w:rsidR="005B0BB0">
        <w:t xml:space="preserve"> </w:t>
      </w:r>
      <w:r w:rsidR="00FD6F10">
        <w:t xml:space="preserve">Policy Advice on </w:t>
      </w:r>
      <w:r w:rsidR="00C31FCA" w:rsidRPr="00B5657C">
        <w:t xml:space="preserve">Vocational Rehabilitation </w:t>
      </w:r>
      <w:r w:rsidR="008140A4">
        <w:t xml:space="preserve">Provision </w:t>
      </w:r>
      <w:r w:rsidR="00FD6F10">
        <w:t>in Ireland</w:t>
      </w:r>
    </w:p>
    <w:p w14:paraId="05234527" w14:textId="2416B13E" w:rsidR="00EE4029" w:rsidRPr="00EE4029" w:rsidRDefault="00EE4029" w:rsidP="00EE4029">
      <w:r>
        <w:t>September 2021</w:t>
      </w:r>
    </w:p>
    <w:p w14:paraId="666A06F0" w14:textId="77777777" w:rsidR="00C70556" w:rsidRPr="00C70556" w:rsidRDefault="00C70556" w:rsidP="00C70556">
      <w:pPr>
        <w:pStyle w:val="Heading1"/>
        <w:ind w:left="0"/>
      </w:pPr>
      <w:r>
        <w:t xml:space="preserve">Executive summary </w:t>
      </w:r>
    </w:p>
    <w:p w14:paraId="0C990F97" w14:textId="0A88E9D1" w:rsidR="00C70556" w:rsidRPr="006F361B" w:rsidRDefault="00C70556" w:rsidP="00C70556">
      <w:pPr>
        <w:rPr>
          <w:szCs w:val="26"/>
        </w:rPr>
      </w:pPr>
      <w:r w:rsidRPr="006F361B">
        <w:rPr>
          <w:szCs w:val="26"/>
        </w:rPr>
        <w:t xml:space="preserve">The purpose of this National Disability Authority (NDA) policy advice paper is to recommend ways of improving the pathways back to sustainable employment for people who leave the workplace as a result of the onset of a disability or long-term </w:t>
      </w:r>
      <w:r w:rsidRPr="0007134A">
        <w:rPr>
          <w:szCs w:val="26"/>
        </w:rPr>
        <w:t>illness</w:t>
      </w:r>
      <w:r w:rsidR="0049793E" w:rsidRPr="0007134A">
        <w:rPr>
          <w:szCs w:val="26"/>
        </w:rPr>
        <w:t xml:space="preserve"> throug</w:t>
      </w:r>
      <w:r w:rsidR="00960267">
        <w:rPr>
          <w:szCs w:val="26"/>
        </w:rPr>
        <w:t>h a national policy and system</w:t>
      </w:r>
      <w:r w:rsidR="0049793E" w:rsidRPr="0007134A">
        <w:rPr>
          <w:szCs w:val="26"/>
        </w:rPr>
        <w:t xml:space="preserve"> for vocational rehabilitation</w:t>
      </w:r>
      <w:r w:rsidRPr="0007134A">
        <w:rPr>
          <w:szCs w:val="26"/>
        </w:rPr>
        <w:t>.</w:t>
      </w:r>
      <w:r w:rsidRPr="0007134A">
        <w:rPr>
          <w:rStyle w:val="FootnoteReference"/>
          <w:rFonts w:ascii="Gill Sans MT" w:hAnsi="Gill Sans MT"/>
          <w:sz w:val="26"/>
          <w:szCs w:val="26"/>
        </w:rPr>
        <w:footnoteReference w:id="1"/>
      </w:r>
      <w:r w:rsidRPr="0007134A">
        <w:rPr>
          <w:szCs w:val="26"/>
        </w:rPr>
        <w:t xml:space="preserve"> </w:t>
      </w:r>
      <w:r w:rsidRPr="006F361B">
        <w:rPr>
          <w:szCs w:val="26"/>
        </w:rPr>
        <w:t>Successive Organisation for Economic Cooperation and Development (OECD) reports, and a 2015 NDA-commissioned international research study have highlighted that Ireland has, at present, a poorly developed vocational rehabilitation system.</w:t>
      </w:r>
      <w:r w:rsidRPr="006F361B">
        <w:rPr>
          <w:rStyle w:val="FootnoteReference"/>
          <w:rFonts w:ascii="Gill Sans MT" w:hAnsi="Gill Sans MT"/>
          <w:sz w:val="26"/>
          <w:szCs w:val="26"/>
        </w:rPr>
        <w:footnoteReference w:id="2"/>
      </w:r>
      <w:r w:rsidRPr="006F361B">
        <w:rPr>
          <w:szCs w:val="26"/>
        </w:rPr>
        <w:t xml:space="preserve"> </w:t>
      </w:r>
      <w:r w:rsidR="001558C1" w:rsidRPr="001E0A43">
        <w:rPr>
          <w:szCs w:val="26"/>
        </w:rPr>
        <w:t xml:space="preserve">This paper was originally published </w:t>
      </w:r>
      <w:r w:rsidR="0014485D" w:rsidRPr="001E0A43">
        <w:rPr>
          <w:szCs w:val="26"/>
        </w:rPr>
        <w:t xml:space="preserve">in draft format </w:t>
      </w:r>
      <w:r w:rsidR="001558C1" w:rsidRPr="001E0A43">
        <w:rPr>
          <w:szCs w:val="26"/>
        </w:rPr>
        <w:t>in 2020</w:t>
      </w:r>
      <w:r w:rsidR="0014485D" w:rsidRPr="001E0A43">
        <w:rPr>
          <w:szCs w:val="26"/>
        </w:rPr>
        <w:t xml:space="preserve"> pending a</w:t>
      </w:r>
      <w:r w:rsidR="00F515A2" w:rsidRPr="001E0A43">
        <w:rPr>
          <w:szCs w:val="26"/>
        </w:rPr>
        <w:t xml:space="preserve"> </w:t>
      </w:r>
      <w:r w:rsidR="001558C1" w:rsidRPr="001E0A43">
        <w:rPr>
          <w:szCs w:val="26"/>
        </w:rPr>
        <w:t>survey and consultation with persons with acquired disabilities</w:t>
      </w:r>
      <w:r w:rsidR="00F515A2" w:rsidRPr="001E0A43">
        <w:rPr>
          <w:szCs w:val="26"/>
        </w:rPr>
        <w:t xml:space="preserve"> on their lived experience </w:t>
      </w:r>
      <w:r w:rsidR="00DA50BB" w:rsidRPr="001E0A43">
        <w:t>of supports available to them in returning to work after acquiring their disability or illness.</w:t>
      </w:r>
      <w:r w:rsidR="00DA50BB" w:rsidRPr="001E0A43">
        <w:rPr>
          <w:szCs w:val="26"/>
        </w:rPr>
        <w:t xml:space="preserve"> </w:t>
      </w:r>
      <w:r w:rsidR="0014485D" w:rsidRPr="001E0A43">
        <w:rPr>
          <w:szCs w:val="26"/>
        </w:rPr>
        <w:t xml:space="preserve">This final advice paper incorporates finding from that work. </w:t>
      </w:r>
      <w:r w:rsidR="00F515A2" w:rsidRPr="001E0A43">
        <w:rPr>
          <w:szCs w:val="26"/>
        </w:rPr>
        <w:t>A more detailed analysis of that survey</w:t>
      </w:r>
      <w:r w:rsidR="0014485D" w:rsidRPr="001E0A43">
        <w:rPr>
          <w:szCs w:val="26"/>
        </w:rPr>
        <w:t xml:space="preserve"> and consultation</w:t>
      </w:r>
      <w:r w:rsidR="00F515A2" w:rsidRPr="001E0A43">
        <w:rPr>
          <w:szCs w:val="26"/>
        </w:rPr>
        <w:t xml:space="preserve"> is available at www.nda.ie</w:t>
      </w:r>
      <w:r w:rsidR="006265AF" w:rsidRPr="001E0A43">
        <w:rPr>
          <w:szCs w:val="26"/>
        </w:rPr>
        <w:t>.</w:t>
      </w:r>
    </w:p>
    <w:p w14:paraId="66F7C4A2" w14:textId="10C11981" w:rsidR="003A7601" w:rsidRDefault="00C70556" w:rsidP="00C70556">
      <w:pPr>
        <w:rPr>
          <w:rFonts w:eastAsia="Times New Roman" w:cs="Arial"/>
          <w:szCs w:val="26"/>
        </w:rPr>
      </w:pPr>
      <w:r w:rsidRPr="006F361B">
        <w:rPr>
          <w:szCs w:val="26"/>
        </w:rPr>
        <w:t xml:space="preserve">Taking on board the evidence from research and consultation with </w:t>
      </w:r>
      <w:r w:rsidR="001B103B">
        <w:rPr>
          <w:szCs w:val="26"/>
        </w:rPr>
        <w:t xml:space="preserve">key Irish </w:t>
      </w:r>
      <w:r w:rsidRPr="006F361B">
        <w:rPr>
          <w:szCs w:val="26"/>
        </w:rPr>
        <w:t>stakeholders</w:t>
      </w:r>
      <w:r w:rsidR="0014485D">
        <w:rPr>
          <w:szCs w:val="26"/>
        </w:rPr>
        <w:t xml:space="preserve"> including persons with acquired disabilities</w:t>
      </w:r>
      <w:r>
        <w:rPr>
          <w:szCs w:val="26"/>
        </w:rPr>
        <w:t>,</w:t>
      </w:r>
      <w:r w:rsidRPr="006F361B">
        <w:rPr>
          <w:szCs w:val="26"/>
        </w:rPr>
        <w:t xml:space="preserve"> this paper provides details on the key </w:t>
      </w:r>
      <w:r w:rsidR="0049793E" w:rsidRPr="0007134A">
        <w:rPr>
          <w:szCs w:val="26"/>
        </w:rPr>
        <w:t>elements</w:t>
      </w:r>
      <w:r w:rsidRPr="006F361B">
        <w:rPr>
          <w:szCs w:val="26"/>
        </w:rPr>
        <w:t xml:space="preserve"> necessary for a system of vocational rehabilitation to function in the Irish</w:t>
      </w:r>
      <w:r w:rsidR="000637EF">
        <w:rPr>
          <w:szCs w:val="26"/>
        </w:rPr>
        <w:t xml:space="preserve"> system</w:t>
      </w:r>
      <w:r w:rsidRPr="001B103B">
        <w:rPr>
          <w:szCs w:val="26"/>
        </w:rPr>
        <w:t xml:space="preserve">. </w:t>
      </w:r>
      <w:r w:rsidR="000637EF">
        <w:rPr>
          <w:rFonts w:eastAsia="Times New Roman" w:cs="Arial"/>
          <w:szCs w:val="26"/>
        </w:rPr>
        <w:t>One of the</w:t>
      </w:r>
      <w:r w:rsidR="00F67590" w:rsidRPr="001B103B">
        <w:rPr>
          <w:rFonts w:eastAsia="Times New Roman" w:cs="Arial"/>
          <w:szCs w:val="26"/>
        </w:rPr>
        <w:t xml:space="preserve"> </w:t>
      </w:r>
      <w:r w:rsidR="00F67590" w:rsidRPr="001B103B">
        <w:rPr>
          <w:rFonts w:eastAsia="Times New Roman" w:cs="Arial"/>
          <w:szCs w:val="26"/>
        </w:rPr>
        <w:lastRenderedPageBreak/>
        <w:t>key profess</w:t>
      </w:r>
      <w:r w:rsidR="001B103B" w:rsidRPr="001B103B">
        <w:rPr>
          <w:rFonts w:eastAsia="Times New Roman" w:cs="Arial"/>
          <w:szCs w:val="26"/>
        </w:rPr>
        <w:t>ional role</w:t>
      </w:r>
      <w:r w:rsidR="000637EF">
        <w:rPr>
          <w:rFonts w:eastAsia="Times New Roman" w:cs="Arial"/>
          <w:szCs w:val="26"/>
        </w:rPr>
        <w:t>s</w:t>
      </w:r>
      <w:r w:rsidR="001B103B" w:rsidRPr="001B103B">
        <w:rPr>
          <w:rFonts w:eastAsia="Times New Roman" w:cs="Arial"/>
          <w:szCs w:val="26"/>
        </w:rPr>
        <w:t xml:space="preserve"> in the delivery of vocational rehabilitation</w:t>
      </w:r>
      <w:r w:rsidR="00F67590" w:rsidRPr="001B103B">
        <w:rPr>
          <w:rFonts w:eastAsia="Times New Roman" w:cs="Arial"/>
          <w:szCs w:val="26"/>
        </w:rPr>
        <w:t xml:space="preserve"> is that of an occupational therapist. The </w:t>
      </w:r>
      <w:r w:rsidR="00F67590">
        <w:t>Association of Occupational Therapists of Ireland</w:t>
      </w:r>
      <w:r w:rsidR="00F67590" w:rsidRPr="00F67590">
        <w:rPr>
          <w:rFonts w:eastAsia="Times New Roman" w:cs="Arial"/>
          <w:color w:val="444444"/>
          <w:szCs w:val="26"/>
        </w:rPr>
        <w:t xml:space="preserve"> </w:t>
      </w:r>
      <w:r w:rsidR="00F67590" w:rsidRPr="001B103B">
        <w:rPr>
          <w:rFonts w:eastAsia="Times New Roman" w:cs="Arial"/>
          <w:szCs w:val="26"/>
        </w:rPr>
        <w:t>(AOTI) describe</w:t>
      </w:r>
    </w:p>
    <w:p w14:paraId="4A3F5E35" w14:textId="53C3E72E" w:rsidR="003A7601" w:rsidRDefault="00BC4BF8" w:rsidP="00EF7409">
      <w:pPr>
        <w:ind w:left="720"/>
        <w:rPr>
          <w:rFonts w:eastAsia="Times New Roman" w:cs="Arial"/>
          <w:szCs w:val="26"/>
        </w:rPr>
      </w:pPr>
      <w:r>
        <w:rPr>
          <w:rFonts w:eastAsia="Times New Roman" w:cs="Arial"/>
          <w:szCs w:val="26"/>
        </w:rPr>
        <w:t xml:space="preserve"> </w:t>
      </w:r>
      <w:r w:rsidRPr="00E03CA8">
        <w:t>Vocational r</w:t>
      </w:r>
      <w:r w:rsidR="00F67590" w:rsidRPr="00E03CA8">
        <w:t>ehabilitation as a process that enables individuals to overcome the barriers they face when accessing, remaining or returning to work following injury, illness or impairment.</w:t>
      </w:r>
      <w:r w:rsidR="00F67590" w:rsidRPr="001B103B">
        <w:rPr>
          <w:rFonts w:eastAsia="Times New Roman" w:cs="Arial"/>
          <w:szCs w:val="26"/>
        </w:rPr>
        <w:t xml:space="preserve"> </w:t>
      </w:r>
    </w:p>
    <w:p w14:paraId="3D1240F6" w14:textId="4DE07BBC" w:rsidR="002B0CBC" w:rsidRDefault="00F67590" w:rsidP="00C70556">
      <w:pPr>
        <w:rPr>
          <w:szCs w:val="26"/>
        </w:rPr>
      </w:pPr>
      <w:r w:rsidRPr="001B103B">
        <w:rPr>
          <w:rFonts w:eastAsia="Times New Roman" w:cs="Arial"/>
          <w:szCs w:val="26"/>
        </w:rPr>
        <w:t>This definition expands to state that vocational rehabilitation has the potential to reduce the risk, cost and negative human effect of work disability.</w:t>
      </w:r>
      <w:r w:rsidR="00B46A9D">
        <w:rPr>
          <w:szCs w:val="26"/>
        </w:rPr>
        <w:t xml:space="preserve"> </w:t>
      </w:r>
      <w:r w:rsidR="004C261D">
        <w:rPr>
          <w:szCs w:val="26"/>
        </w:rPr>
        <w:t>This definition of v</w:t>
      </w:r>
      <w:r w:rsidR="00BC4BF8">
        <w:rPr>
          <w:szCs w:val="26"/>
        </w:rPr>
        <w:t xml:space="preserve">ocational rehabilitation is </w:t>
      </w:r>
      <w:r w:rsidR="004C261D">
        <w:rPr>
          <w:szCs w:val="26"/>
        </w:rPr>
        <w:t>appropriate in the Irish context as it views vocational rehabilitation</w:t>
      </w:r>
      <w:r w:rsidR="00BC4BF8">
        <w:rPr>
          <w:szCs w:val="26"/>
        </w:rPr>
        <w:t xml:space="preserve"> as a process rather than a single interventi</w:t>
      </w:r>
      <w:r w:rsidR="00B46A9D">
        <w:rPr>
          <w:szCs w:val="26"/>
        </w:rPr>
        <w:t xml:space="preserve">on, one that supports </w:t>
      </w:r>
      <w:r w:rsidR="00BC4BF8">
        <w:rPr>
          <w:szCs w:val="26"/>
        </w:rPr>
        <w:t xml:space="preserve">people </w:t>
      </w:r>
      <w:r w:rsidR="00B46A9D">
        <w:rPr>
          <w:szCs w:val="26"/>
        </w:rPr>
        <w:t xml:space="preserve">from a range of acquired disabilities </w:t>
      </w:r>
      <w:r w:rsidR="004C261D">
        <w:rPr>
          <w:szCs w:val="26"/>
        </w:rPr>
        <w:t>and/</w:t>
      </w:r>
      <w:r w:rsidR="00B46A9D">
        <w:rPr>
          <w:szCs w:val="26"/>
        </w:rPr>
        <w:t>or health related conditions.</w:t>
      </w:r>
    </w:p>
    <w:p w14:paraId="0052F4D0" w14:textId="77777777" w:rsidR="00C70556" w:rsidRPr="00C70556" w:rsidRDefault="00A310B2" w:rsidP="00C70556">
      <w:pPr>
        <w:spacing w:after="120"/>
        <w:rPr>
          <w:b/>
          <w:szCs w:val="26"/>
        </w:rPr>
      </w:pPr>
      <w:r>
        <w:rPr>
          <w:b/>
          <w:szCs w:val="26"/>
        </w:rPr>
        <w:t>Key g</w:t>
      </w:r>
      <w:r w:rsidR="00C70556" w:rsidRPr="00C70556">
        <w:rPr>
          <w:b/>
          <w:szCs w:val="26"/>
        </w:rPr>
        <w:t>aps in the Irish system</w:t>
      </w:r>
    </w:p>
    <w:p w14:paraId="09868211" w14:textId="77777777" w:rsidR="00C70556" w:rsidRPr="006F361B" w:rsidRDefault="00C70556" w:rsidP="00C70556">
      <w:pPr>
        <w:spacing w:after="120"/>
        <w:rPr>
          <w:b/>
          <w:szCs w:val="26"/>
        </w:rPr>
      </w:pPr>
      <w:r w:rsidRPr="006F361B">
        <w:rPr>
          <w:szCs w:val="26"/>
        </w:rPr>
        <w:t>The NDA advise</w:t>
      </w:r>
      <w:r w:rsidR="00034DE9">
        <w:rPr>
          <w:szCs w:val="26"/>
        </w:rPr>
        <w:t>s</w:t>
      </w:r>
      <w:r w:rsidRPr="006F361B">
        <w:rPr>
          <w:szCs w:val="26"/>
        </w:rPr>
        <w:t xml:space="preserve"> that there are a number of gaps that will need to be addressed in order to develop </w:t>
      </w:r>
      <w:r>
        <w:rPr>
          <w:szCs w:val="26"/>
        </w:rPr>
        <w:t xml:space="preserve">a </w:t>
      </w:r>
      <w:r w:rsidRPr="006F361B">
        <w:rPr>
          <w:szCs w:val="26"/>
        </w:rPr>
        <w:t xml:space="preserve">vocational rehabilitation </w:t>
      </w:r>
      <w:r>
        <w:rPr>
          <w:szCs w:val="26"/>
        </w:rPr>
        <w:t>system that can</w:t>
      </w:r>
      <w:r w:rsidRPr="006F361B">
        <w:rPr>
          <w:szCs w:val="26"/>
        </w:rPr>
        <w:t xml:space="preserve"> suppor</w:t>
      </w:r>
      <w:r>
        <w:rPr>
          <w:szCs w:val="26"/>
        </w:rPr>
        <w:t xml:space="preserve">t </w:t>
      </w:r>
      <w:r w:rsidRPr="006F361B">
        <w:rPr>
          <w:szCs w:val="26"/>
        </w:rPr>
        <w:t>individuals who may acquire a disability or health condition while of working age, and who wish to work</w:t>
      </w:r>
      <w:r>
        <w:rPr>
          <w:szCs w:val="26"/>
        </w:rPr>
        <w:t>. This paper presents these gaps as</w:t>
      </w:r>
      <w:r w:rsidRPr="006F361B">
        <w:rPr>
          <w:szCs w:val="26"/>
        </w:rPr>
        <w:t>:</w:t>
      </w:r>
    </w:p>
    <w:p w14:paraId="083889FE" w14:textId="07C356A7" w:rsidR="00C70556" w:rsidRDefault="00C70556" w:rsidP="00C70556">
      <w:pPr>
        <w:pStyle w:val="ListParagraph"/>
        <w:numPr>
          <w:ilvl w:val="0"/>
          <w:numId w:val="11"/>
        </w:numPr>
        <w:spacing w:after="120"/>
        <w:rPr>
          <w:szCs w:val="26"/>
        </w:rPr>
      </w:pPr>
      <w:r w:rsidRPr="006F361B">
        <w:rPr>
          <w:szCs w:val="26"/>
        </w:rPr>
        <w:t xml:space="preserve">The absence of a joined up pathway </w:t>
      </w:r>
      <w:r w:rsidR="00B46A9D">
        <w:rPr>
          <w:szCs w:val="26"/>
        </w:rPr>
        <w:t>or systematic links</w:t>
      </w:r>
      <w:r w:rsidRPr="006F361B">
        <w:rPr>
          <w:szCs w:val="26"/>
        </w:rPr>
        <w:t xml:space="preserve"> between medical rehabilitation, the welfare system, guidance and supports to jobseekers, vocational training,</w:t>
      </w:r>
      <w:r w:rsidR="00785A2A">
        <w:rPr>
          <w:szCs w:val="26"/>
        </w:rPr>
        <w:t xml:space="preserve"> disability support organisations</w:t>
      </w:r>
      <w:r w:rsidRPr="006F361B">
        <w:rPr>
          <w:szCs w:val="26"/>
        </w:rPr>
        <w:t xml:space="preserve"> and employers, in regard to people who acquire a disability;</w:t>
      </w:r>
    </w:p>
    <w:p w14:paraId="6BDFEC3A" w14:textId="1D88AF2D" w:rsidR="008E4E96" w:rsidRDefault="008E4E96" w:rsidP="00C70556">
      <w:pPr>
        <w:pStyle w:val="ListParagraph"/>
        <w:numPr>
          <w:ilvl w:val="0"/>
          <w:numId w:val="11"/>
        </w:numPr>
        <w:spacing w:after="120"/>
        <w:rPr>
          <w:szCs w:val="26"/>
        </w:rPr>
      </w:pPr>
      <w:r>
        <w:rPr>
          <w:szCs w:val="26"/>
        </w:rPr>
        <w:t>Lack of information available to people with acquired disabilities and long term health conditions on their conditions and supporting their return to work, education and or self-employment</w:t>
      </w:r>
      <w:r>
        <w:rPr>
          <w:rStyle w:val="FootnoteReference"/>
          <w:szCs w:val="26"/>
        </w:rPr>
        <w:footnoteReference w:id="3"/>
      </w:r>
    </w:p>
    <w:p w14:paraId="7C127F85" w14:textId="77777777" w:rsidR="0007134A" w:rsidRPr="0007134A" w:rsidRDefault="0007134A" w:rsidP="0007134A">
      <w:pPr>
        <w:pStyle w:val="ListParagraph"/>
        <w:numPr>
          <w:ilvl w:val="0"/>
          <w:numId w:val="11"/>
        </w:numPr>
        <w:spacing w:after="120"/>
        <w:rPr>
          <w:szCs w:val="26"/>
        </w:rPr>
      </w:pPr>
      <w:r w:rsidRPr="006F361B">
        <w:rPr>
          <w:szCs w:val="26"/>
        </w:rPr>
        <w:lastRenderedPageBreak/>
        <w:t xml:space="preserve">Key elements of a vocational rehabilitation system are missing or underdeveloped, </w:t>
      </w:r>
      <w:r w:rsidRPr="00911656">
        <w:rPr>
          <w:szCs w:val="26"/>
        </w:rPr>
        <w:t>such as functional assessment</w:t>
      </w:r>
      <w:r w:rsidR="00663934" w:rsidRPr="00911656">
        <w:rPr>
          <w:szCs w:val="26"/>
        </w:rPr>
        <w:t>, provision of assistive technologies</w:t>
      </w:r>
      <w:r w:rsidRPr="00911656">
        <w:rPr>
          <w:szCs w:val="26"/>
        </w:rPr>
        <w:t xml:space="preserve"> </w:t>
      </w:r>
      <w:r w:rsidRPr="006F361B">
        <w:rPr>
          <w:szCs w:val="26"/>
        </w:rPr>
        <w:t>and case management;</w:t>
      </w:r>
    </w:p>
    <w:p w14:paraId="6CB31358" w14:textId="7363D29A" w:rsidR="00C70556" w:rsidRPr="00387760" w:rsidRDefault="00C70556" w:rsidP="00387760">
      <w:pPr>
        <w:pStyle w:val="ListParagraph"/>
        <w:numPr>
          <w:ilvl w:val="0"/>
          <w:numId w:val="11"/>
        </w:numPr>
        <w:spacing w:after="120"/>
        <w:rPr>
          <w:szCs w:val="26"/>
        </w:rPr>
      </w:pPr>
      <w:r w:rsidRPr="006F361B">
        <w:rPr>
          <w:szCs w:val="26"/>
        </w:rPr>
        <w:t>Recent changes to the welfare system in Ireland may require further measures</w:t>
      </w:r>
      <w:r w:rsidR="00521AA6">
        <w:rPr>
          <w:szCs w:val="26"/>
        </w:rPr>
        <w:t>,</w:t>
      </w:r>
      <w:r w:rsidRPr="006F361B">
        <w:rPr>
          <w:szCs w:val="26"/>
        </w:rPr>
        <w:t xml:space="preserve"> </w:t>
      </w:r>
      <w:r w:rsidR="0007134A">
        <w:rPr>
          <w:szCs w:val="26"/>
        </w:rPr>
        <w:t xml:space="preserve">in order to link access to illness or disability </w:t>
      </w:r>
      <w:r w:rsidR="00521AA6">
        <w:rPr>
          <w:szCs w:val="26"/>
        </w:rPr>
        <w:t xml:space="preserve">benefit </w:t>
      </w:r>
      <w:r w:rsidR="0007134A">
        <w:rPr>
          <w:szCs w:val="26"/>
        </w:rPr>
        <w:t xml:space="preserve">payments </w:t>
      </w:r>
      <w:r w:rsidRPr="006F361B">
        <w:rPr>
          <w:szCs w:val="26"/>
        </w:rPr>
        <w:t xml:space="preserve">to </w:t>
      </w:r>
      <w:r w:rsidR="0007134A">
        <w:rPr>
          <w:szCs w:val="26"/>
        </w:rPr>
        <w:t xml:space="preserve">disability employment </w:t>
      </w:r>
      <w:r w:rsidRPr="006F361B">
        <w:rPr>
          <w:szCs w:val="26"/>
        </w:rPr>
        <w:t>support</w:t>
      </w:r>
      <w:r w:rsidR="0007134A">
        <w:rPr>
          <w:szCs w:val="26"/>
        </w:rPr>
        <w:t>s for</w:t>
      </w:r>
      <w:r w:rsidRPr="006F361B">
        <w:rPr>
          <w:szCs w:val="26"/>
        </w:rPr>
        <w:t xml:space="preserve"> those with acquired disability or long term illness who wish to pursue work</w:t>
      </w:r>
      <w:r w:rsidR="00663934">
        <w:rPr>
          <w:szCs w:val="26"/>
        </w:rPr>
        <w:t xml:space="preserve">. </w:t>
      </w:r>
      <w:r w:rsidR="00387760">
        <w:rPr>
          <w:szCs w:val="26"/>
        </w:rPr>
        <w:t>Ideally, an application for an illness or disability payment would  trigger access to tailored employment supports</w:t>
      </w:r>
      <w:r w:rsidRPr="00387760">
        <w:rPr>
          <w:szCs w:val="26"/>
        </w:rPr>
        <w:t>;</w:t>
      </w:r>
    </w:p>
    <w:p w14:paraId="2CF9FDD9" w14:textId="4872AB7A" w:rsidR="00E529F8" w:rsidRPr="00341CF7" w:rsidRDefault="00C70556" w:rsidP="0092534D">
      <w:pPr>
        <w:pStyle w:val="ListParagraph"/>
        <w:numPr>
          <w:ilvl w:val="0"/>
          <w:numId w:val="11"/>
        </w:numPr>
        <w:spacing w:after="120"/>
        <w:rPr>
          <w:rFonts w:eastAsia="Calibri"/>
          <w:szCs w:val="26"/>
          <w:lang w:val="en-GB"/>
        </w:rPr>
      </w:pPr>
      <w:r w:rsidRPr="00E529F8">
        <w:rPr>
          <w:szCs w:val="26"/>
        </w:rPr>
        <w:t>Lack of awareness for employers of supports available to assist the return to work of employees</w:t>
      </w:r>
      <w:r w:rsidR="00E529F8">
        <w:rPr>
          <w:szCs w:val="26"/>
        </w:rPr>
        <w:t>, and lack of provision of specific supports</w:t>
      </w:r>
      <w:r w:rsidRPr="00E529F8">
        <w:rPr>
          <w:szCs w:val="26"/>
        </w:rPr>
        <w:t xml:space="preserve"> </w:t>
      </w:r>
      <w:r w:rsidR="00E529F8" w:rsidRPr="00E529F8">
        <w:rPr>
          <w:szCs w:val="26"/>
        </w:rPr>
        <w:t>such as occupational health expertise</w:t>
      </w:r>
      <w:r w:rsidR="00663934">
        <w:rPr>
          <w:szCs w:val="26"/>
        </w:rPr>
        <w:t xml:space="preserve"> and </w:t>
      </w:r>
      <w:r w:rsidR="00663934" w:rsidRPr="00911656">
        <w:rPr>
          <w:szCs w:val="26"/>
        </w:rPr>
        <w:t xml:space="preserve">guidance on technologies </w:t>
      </w:r>
      <w:r w:rsidR="00663934">
        <w:rPr>
          <w:szCs w:val="26"/>
        </w:rPr>
        <w:t>to support return to work</w:t>
      </w:r>
      <w:r w:rsidR="00387760">
        <w:rPr>
          <w:szCs w:val="26"/>
        </w:rPr>
        <w:t>;</w:t>
      </w:r>
    </w:p>
    <w:p w14:paraId="562B4B3F" w14:textId="3895AEB7" w:rsidR="00C70556" w:rsidRPr="00E03CA8" w:rsidRDefault="005E296B" w:rsidP="00E03CA8">
      <w:pPr>
        <w:pStyle w:val="ListParagraph"/>
        <w:numPr>
          <w:ilvl w:val="0"/>
          <w:numId w:val="11"/>
        </w:numPr>
        <w:spacing w:after="120"/>
        <w:rPr>
          <w:rFonts w:eastAsia="Calibri"/>
          <w:szCs w:val="26"/>
          <w:lang w:val="en-GB"/>
        </w:rPr>
      </w:pPr>
      <w:r w:rsidRPr="00F67973">
        <w:rPr>
          <w:color w:val="000000"/>
          <w:lang w:eastAsia="en-GB"/>
        </w:rPr>
        <w:t xml:space="preserve">To </w:t>
      </w:r>
      <w:r w:rsidR="00F67973" w:rsidRPr="00F67973">
        <w:rPr>
          <w:color w:val="000000"/>
          <w:lang w:eastAsia="en-GB"/>
        </w:rPr>
        <w:t xml:space="preserve">acknowledge the lack of </w:t>
      </w:r>
      <w:r w:rsidRPr="00E03CA8">
        <w:rPr>
          <w:color w:val="000000"/>
          <w:lang w:eastAsia="en-GB"/>
        </w:rPr>
        <w:t>capacity in vocational rehabilitation practice, professional development and education</w:t>
      </w:r>
      <w:r w:rsidR="00F67973">
        <w:rPr>
          <w:color w:val="000000"/>
          <w:lang w:eastAsia="en-GB"/>
        </w:rPr>
        <w:t xml:space="preserve"> </w:t>
      </w:r>
      <w:r w:rsidR="00F67973" w:rsidRPr="00F67973">
        <w:rPr>
          <w:color w:val="000000"/>
          <w:lang w:eastAsia="en-GB"/>
        </w:rPr>
        <w:t>.</w:t>
      </w:r>
      <w:r w:rsidR="00C70556" w:rsidRPr="00F67973">
        <w:rPr>
          <w:szCs w:val="26"/>
        </w:rPr>
        <w:t xml:space="preserve">While this advice paper describes significant developments underway in mainstream and disability </w:t>
      </w:r>
      <w:r w:rsidR="0007134A" w:rsidRPr="00F67973">
        <w:rPr>
          <w:szCs w:val="26"/>
        </w:rPr>
        <w:t xml:space="preserve">specific </w:t>
      </w:r>
      <w:r w:rsidR="00C70556" w:rsidRPr="00F67973">
        <w:rPr>
          <w:szCs w:val="26"/>
        </w:rPr>
        <w:t xml:space="preserve">related education, welfare and health </w:t>
      </w:r>
      <w:r w:rsidR="0007134A" w:rsidRPr="00E03CA8">
        <w:rPr>
          <w:szCs w:val="26"/>
        </w:rPr>
        <w:t xml:space="preserve">services and </w:t>
      </w:r>
      <w:r w:rsidR="00C70556" w:rsidRPr="00E03CA8">
        <w:rPr>
          <w:szCs w:val="26"/>
        </w:rPr>
        <w:t xml:space="preserve">systems, </w:t>
      </w:r>
      <w:r w:rsidR="00203839" w:rsidRPr="00E03CA8">
        <w:rPr>
          <w:szCs w:val="26"/>
        </w:rPr>
        <w:t>there</w:t>
      </w:r>
      <w:r w:rsidR="00C70556" w:rsidRPr="00E03CA8">
        <w:rPr>
          <w:szCs w:val="26"/>
        </w:rPr>
        <w:t xml:space="preserve"> remains work necessary to progress a well-functioning and coordinated vocational rehabilitation </w:t>
      </w:r>
      <w:r w:rsidR="00624042" w:rsidRPr="00E03CA8">
        <w:rPr>
          <w:szCs w:val="26"/>
        </w:rPr>
        <w:t>programme</w:t>
      </w:r>
      <w:r w:rsidR="00387760">
        <w:rPr>
          <w:rFonts w:eastAsia="Calibri"/>
          <w:szCs w:val="26"/>
          <w:lang w:val="en-GB"/>
        </w:rPr>
        <w:t>;</w:t>
      </w:r>
      <w:r w:rsidR="00C70556" w:rsidRPr="00E03CA8">
        <w:rPr>
          <w:rFonts w:eastAsia="Calibri"/>
          <w:szCs w:val="26"/>
          <w:lang w:val="en-GB"/>
        </w:rPr>
        <w:t xml:space="preserve"> </w:t>
      </w:r>
    </w:p>
    <w:p w14:paraId="55F294D0" w14:textId="77777777" w:rsidR="00C70556" w:rsidRDefault="00C70556" w:rsidP="00C70556">
      <w:pPr>
        <w:rPr>
          <w:rFonts w:eastAsia="Calibri"/>
          <w:szCs w:val="26"/>
          <w:lang w:val="en-GB"/>
        </w:rPr>
      </w:pPr>
      <w:r>
        <w:rPr>
          <w:rFonts w:eastAsia="Calibri"/>
          <w:szCs w:val="26"/>
          <w:lang w:val="en-GB"/>
        </w:rPr>
        <w:t>The NDA advise</w:t>
      </w:r>
      <w:r w:rsidR="00034DE9">
        <w:rPr>
          <w:rFonts w:eastAsia="Calibri"/>
          <w:szCs w:val="26"/>
          <w:lang w:val="en-GB"/>
        </w:rPr>
        <w:t>s</w:t>
      </w:r>
      <w:r>
        <w:rPr>
          <w:rFonts w:eastAsia="Calibri"/>
          <w:szCs w:val="26"/>
          <w:lang w:val="en-GB"/>
        </w:rPr>
        <w:t xml:space="preserve"> that essential action to establish a vocational rehabilitation </w:t>
      </w:r>
      <w:r w:rsidR="00624042">
        <w:rPr>
          <w:rFonts w:eastAsia="Calibri"/>
          <w:szCs w:val="26"/>
          <w:lang w:val="en-GB"/>
        </w:rPr>
        <w:t>programme</w:t>
      </w:r>
      <w:r>
        <w:rPr>
          <w:rFonts w:eastAsia="Calibri"/>
          <w:szCs w:val="26"/>
          <w:lang w:val="en-GB"/>
        </w:rPr>
        <w:t xml:space="preserve"> must include: </w:t>
      </w:r>
    </w:p>
    <w:p w14:paraId="5643E31A" w14:textId="77777777" w:rsidR="0092534D" w:rsidRPr="00624042" w:rsidRDefault="00916118" w:rsidP="00C70556">
      <w:pPr>
        <w:rPr>
          <w:b/>
          <w:szCs w:val="26"/>
        </w:rPr>
      </w:pPr>
      <w:r>
        <w:rPr>
          <w:rFonts w:eastAsia="Calibri"/>
          <w:b/>
          <w:szCs w:val="26"/>
          <w:lang w:val="en-GB"/>
        </w:rPr>
        <w:t xml:space="preserve">Person with acquired disability and or </w:t>
      </w:r>
      <w:r w:rsidR="00203839">
        <w:rPr>
          <w:rFonts w:eastAsia="Calibri"/>
          <w:b/>
          <w:szCs w:val="26"/>
          <w:lang w:val="en-GB"/>
        </w:rPr>
        <w:t>long-term</w:t>
      </w:r>
      <w:r>
        <w:rPr>
          <w:rFonts w:eastAsia="Calibri"/>
          <w:b/>
          <w:szCs w:val="26"/>
          <w:lang w:val="en-GB"/>
        </w:rPr>
        <w:t xml:space="preserve"> health condition</w:t>
      </w:r>
      <w:r w:rsidR="0092534D" w:rsidRPr="00624042">
        <w:rPr>
          <w:rFonts w:eastAsia="Calibri"/>
          <w:b/>
          <w:szCs w:val="26"/>
          <w:lang w:val="en-GB"/>
        </w:rPr>
        <w:t>:</w:t>
      </w:r>
    </w:p>
    <w:p w14:paraId="056C39BC" w14:textId="0C8CFE31" w:rsidR="00C70556" w:rsidRPr="006F361B" w:rsidRDefault="00235520" w:rsidP="00C70556">
      <w:pPr>
        <w:pStyle w:val="ListParagraph"/>
        <w:numPr>
          <w:ilvl w:val="0"/>
          <w:numId w:val="21"/>
        </w:numPr>
        <w:contextualSpacing/>
        <w:rPr>
          <w:rFonts w:eastAsia="Calibri"/>
          <w:szCs w:val="26"/>
          <w:lang w:val="en-GB"/>
        </w:rPr>
      </w:pPr>
      <w:r>
        <w:rPr>
          <w:rFonts w:eastAsia="Calibri"/>
          <w:szCs w:val="26"/>
        </w:rPr>
        <w:t>Ensuring that</w:t>
      </w:r>
      <w:r w:rsidR="00521AA6">
        <w:rPr>
          <w:rFonts w:eastAsia="Calibri"/>
          <w:szCs w:val="26"/>
        </w:rPr>
        <w:t xml:space="preserve"> </w:t>
      </w:r>
      <w:r w:rsidR="00C70556" w:rsidRPr="006F361B">
        <w:rPr>
          <w:rFonts w:eastAsia="Calibri"/>
          <w:szCs w:val="26"/>
        </w:rPr>
        <w:t>the individual and their particular requirements</w:t>
      </w:r>
      <w:r w:rsidR="00DC530D">
        <w:rPr>
          <w:rFonts w:eastAsia="Calibri"/>
          <w:szCs w:val="26"/>
        </w:rPr>
        <w:t xml:space="preserve"> are</w:t>
      </w:r>
      <w:r w:rsidR="00C70556" w:rsidRPr="006F361B">
        <w:rPr>
          <w:rFonts w:eastAsia="Calibri"/>
          <w:szCs w:val="26"/>
        </w:rPr>
        <w:t xml:space="preserve"> at the centre of the</w:t>
      </w:r>
      <w:r w:rsidR="00C70556" w:rsidRPr="006F361B">
        <w:rPr>
          <w:rFonts w:eastAsia="Calibri"/>
          <w:szCs w:val="26"/>
          <w:lang w:val="en-GB"/>
        </w:rPr>
        <w:t xml:space="preserve"> vocational rehabilitation system. </w:t>
      </w:r>
    </w:p>
    <w:p w14:paraId="23EF9A3F" w14:textId="77777777" w:rsidR="00C70556" w:rsidRDefault="005907E0" w:rsidP="00C70556">
      <w:pPr>
        <w:pStyle w:val="ListParagraph"/>
        <w:numPr>
          <w:ilvl w:val="0"/>
          <w:numId w:val="21"/>
        </w:numPr>
        <w:contextualSpacing/>
        <w:rPr>
          <w:rFonts w:eastAsia="Calibri"/>
          <w:szCs w:val="26"/>
          <w:lang w:val="en-GB"/>
        </w:rPr>
      </w:pPr>
      <w:r>
        <w:rPr>
          <w:rFonts w:eastAsia="Calibri"/>
          <w:szCs w:val="26"/>
          <w:lang w:val="en-GB"/>
        </w:rPr>
        <w:t>Noting that a</w:t>
      </w:r>
      <w:r w:rsidR="00155E92">
        <w:rPr>
          <w:rFonts w:eastAsia="Calibri"/>
          <w:szCs w:val="26"/>
          <w:lang w:val="en-GB"/>
        </w:rPr>
        <w:t xml:space="preserve"> successful </w:t>
      </w:r>
      <w:r w:rsidR="00C70556" w:rsidRPr="006F361B">
        <w:rPr>
          <w:rFonts w:eastAsia="Calibri"/>
          <w:szCs w:val="26"/>
          <w:lang w:val="en-GB"/>
        </w:rPr>
        <w:t xml:space="preserve">vocational rehabilitation </w:t>
      </w:r>
      <w:r w:rsidR="00482DFD">
        <w:rPr>
          <w:rFonts w:eastAsia="Calibri"/>
          <w:szCs w:val="26"/>
          <w:lang w:val="en-GB"/>
        </w:rPr>
        <w:t>process</w:t>
      </w:r>
      <w:r w:rsidR="00155E92">
        <w:rPr>
          <w:rFonts w:eastAsia="Calibri"/>
          <w:szCs w:val="26"/>
          <w:lang w:val="en-GB"/>
        </w:rPr>
        <w:t xml:space="preserve"> starts with</w:t>
      </w:r>
      <w:r w:rsidR="00C70556" w:rsidRPr="006F361B">
        <w:rPr>
          <w:rFonts w:eastAsia="Calibri"/>
          <w:szCs w:val="26"/>
          <w:lang w:val="en-GB"/>
        </w:rPr>
        <w:t xml:space="preserve"> ‘early intervention’. All other elements of vocational rehabilitation will stem from this point, building along a </w:t>
      </w:r>
      <w:r w:rsidR="00155E92">
        <w:rPr>
          <w:rFonts w:eastAsia="Calibri"/>
          <w:szCs w:val="26"/>
          <w:lang w:val="en-GB"/>
        </w:rPr>
        <w:t xml:space="preserve">coordinated </w:t>
      </w:r>
      <w:r w:rsidR="00C70556" w:rsidRPr="006F361B">
        <w:rPr>
          <w:rFonts w:eastAsia="Calibri"/>
          <w:szCs w:val="26"/>
          <w:lang w:val="en-GB"/>
        </w:rPr>
        <w:t>vocational rehabilitation pathway.</w:t>
      </w:r>
    </w:p>
    <w:p w14:paraId="39FD1829" w14:textId="77777777" w:rsidR="0092534D" w:rsidRDefault="00235520" w:rsidP="00C70556">
      <w:pPr>
        <w:pStyle w:val="ListParagraph"/>
        <w:numPr>
          <w:ilvl w:val="0"/>
          <w:numId w:val="21"/>
        </w:numPr>
        <w:contextualSpacing/>
        <w:rPr>
          <w:rFonts w:eastAsia="Calibri"/>
          <w:szCs w:val="26"/>
          <w:lang w:val="en-GB"/>
        </w:rPr>
      </w:pPr>
      <w:r>
        <w:rPr>
          <w:rFonts w:eastAsia="Calibri"/>
          <w:szCs w:val="26"/>
          <w:lang w:val="en-GB"/>
        </w:rPr>
        <w:t>On placing an i</w:t>
      </w:r>
      <w:r w:rsidR="0092534D">
        <w:rPr>
          <w:rFonts w:eastAsia="Calibri"/>
          <w:szCs w:val="26"/>
          <w:lang w:val="en-GB"/>
        </w:rPr>
        <w:t xml:space="preserve">nitial </w:t>
      </w:r>
      <w:r>
        <w:rPr>
          <w:rFonts w:eastAsia="Calibri"/>
          <w:szCs w:val="26"/>
          <w:lang w:val="en-GB"/>
        </w:rPr>
        <w:t>claim</w:t>
      </w:r>
      <w:r w:rsidR="0092534D">
        <w:rPr>
          <w:rFonts w:eastAsia="Calibri"/>
          <w:szCs w:val="26"/>
          <w:lang w:val="en-GB"/>
        </w:rPr>
        <w:t xml:space="preserve"> to </w:t>
      </w:r>
      <w:r>
        <w:rPr>
          <w:rFonts w:eastAsia="Calibri"/>
          <w:szCs w:val="26"/>
          <w:lang w:val="en-GB"/>
        </w:rPr>
        <w:t xml:space="preserve">the </w:t>
      </w:r>
      <w:r w:rsidR="0092534D">
        <w:rPr>
          <w:rFonts w:eastAsia="Calibri"/>
          <w:szCs w:val="26"/>
          <w:lang w:val="en-GB"/>
        </w:rPr>
        <w:t>benefits system</w:t>
      </w:r>
      <w:r w:rsidR="00911656">
        <w:rPr>
          <w:rFonts w:eastAsia="Calibri"/>
          <w:szCs w:val="26"/>
          <w:lang w:val="en-GB"/>
        </w:rPr>
        <w:t>, that application/ claim should trigger</w:t>
      </w:r>
      <w:r w:rsidR="0092534D">
        <w:rPr>
          <w:rFonts w:eastAsia="Calibri"/>
          <w:szCs w:val="26"/>
          <w:lang w:val="en-GB"/>
        </w:rPr>
        <w:t xml:space="preserve"> access to the vocational rehabilitation </w:t>
      </w:r>
      <w:r w:rsidR="002E4A69">
        <w:rPr>
          <w:rFonts w:eastAsia="Calibri"/>
          <w:szCs w:val="26"/>
          <w:lang w:val="en-GB"/>
        </w:rPr>
        <w:t>programme</w:t>
      </w:r>
    </w:p>
    <w:p w14:paraId="3D94BC5B" w14:textId="76D55E0B" w:rsidR="0092534D" w:rsidRDefault="002E4A69" w:rsidP="00C70556">
      <w:pPr>
        <w:pStyle w:val="ListParagraph"/>
        <w:numPr>
          <w:ilvl w:val="0"/>
          <w:numId w:val="21"/>
        </w:numPr>
        <w:contextualSpacing/>
        <w:rPr>
          <w:rFonts w:eastAsia="Calibri"/>
          <w:szCs w:val="26"/>
          <w:lang w:val="en-GB"/>
        </w:rPr>
      </w:pPr>
      <w:r>
        <w:rPr>
          <w:rFonts w:eastAsia="Calibri"/>
          <w:szCs w:val="26"/>
          <w:lang w:val="en-GB"/>
        </w:rPr>
        <w:t xml:space="preserve">The </w:t>
      </w:r>
      <w:r w:rsidR="0092534D">
        <w:rPr>
          <w:rFonts w:eastAsia="Calibri"/>
          <w:szCs w:val="26"/>
          <w:lang w:val="en-GB"/>
        </w:rPr>
        <w:t xml:space="preserve">Case Management </w:t>
      </w:r>
      <w:r w:rsidR="00F67973">
        <w:rPr>
          <w:rFonts w:eastAsia="Calibri"/>
          <w:szCs w:val="26"/>
          <w:lang w:val="en-GB"/>
        </w:rPr>
        <w:t xml:space="preserve">approach </w:t>
      </w:r>
      <w:r w:rsidR="00916118">
        <w:rPr>
          <w:rFonts w:eastAsia="Calibri"/>
          <w:szCs w:val="26"/>
          <w:lang w:val="en-GB"/>
        </w:rPr>
        <w:t>locates the</w:t>
      </w:r>
      <w:r w:rsidR="0092534D">
        <w:rPr>
          <w:rFonts w:eastAsia="Calibri"/>
          <w:szCs w:val="26"/>
          <w:lang w:val="en-GB"/>
        </w:rPr>
        <w:t xml:space="preserve"> vocational assessment and the allocation of interventions as per the individual case.</w:t>
      </w:r>
      <w:r w:rsidR="00317F4A">
        <w:rPr>
          <w:rFonts w:eastAsia="Calibri"/>
          <w:szCs w:val="26"/>
          <w:lang w:val="en-GB"/>
        </w:rPr>
        <w:t xml:space="preserve"> </w:t>
      </w:r>
      <w:r w:rsidR="00916118">
        <w:rPr>
          <w:rFonts w:eastAsia="Calibri"/>
          <w:szCs w:val="26"/>
          <w:lang w:val="en-GB"/>
        </w:rPr>
        <w:t>In effect</w:t>
      </w:r>
      <w:r w:rsidR="00F57096">
        <w:rPr>
          <w:rFonts w:eastAsia="Calibri"/>
          <w:szCs w:val="26"/>
          <w:lang w:val="en-GB"/>
        </w:rPr>
        <w:t>,</w:t>
      </w:r>
      <w:r w:rsidR="00916118">
        <w:rPr>
          <w:rFonts w:eastAsia="Calibri"/>
          <w:szCs w:val="26"/>
          <w:lang w:val="en-GB"/>
        </w:rPr>
        <w:t xml:space="preserve"> the Case Manger</w:t>
      </w:r>
      <w:r w:rsidR="001A6ECD">
        <w:rPr>
          <w:rFonts w:eastAsia="Calibri"/>
          <w:szCs w:val="26"/>
          <w:lang w:val="en-GB"/>
        </w:rPr>
        <w:t xml:space="preserve"> role navigates </w:t>
      </w:r>
      <w:r w:rsidR="001A6ECD">
        <w:rPr>
          <w:rFonts w:eastAsia="Calibri"/>
          <w:szCs w:val="26"/>
          <w:lang w:val="en-GB"/>
        </w:rPr>
        <w:lastRenderedPageBreak/>
        <w:t>the system for the individual</w:t>
      </w:r>
      <w:r w:rsidR="00F57096">
        <w:rPr>
          <w:rFonts w:eastAsia="Calibri"/>
          <w:szCs w:val="26"/>
          <w:lang w:val="en-GB"/>
        </w:rPr>
        <w:t>.</w:t>
      </w:r>
      <w:r w:rsidR="008C41F7">
        <w:rPr>
          <w:rFonts w:eastAsia="Calibri"/>
          <w:szCs w:val="26"/>
          <w:lang w:val="en-GB"/>
        </w:rPr>
        <w:t xml:space="preserve"> </w:t>
      </w:r>
      <w:r w:rsidR="00F57096">
        <w:rPr>
          <w:rFonts w:eastAsia="Calibri"/>
          <w:szCs w:val="26"/>
          <w:lang w:val="en-GB"/>
        </w:rPr>
        <w:t>I</w:t>
      </w:r>
      <w:r w:rsidR="001A6ECD">
        <w:rPr>
          <w:rFonts w:eastAsia="Calibri"/>
          <w:szCs w:val="26"/>
          <w:lang w:val="en-GB"/>
        </w:rPr>
        <w:t>n other jurisdictions the</w:t>
      </w:r>
      <w:r w:rsidR="00317F4A">
        <w:t xml:space="preserve"> return to work case manager</w:t>
      </w:r>
      <w:r w:rsidR="00317F4A" w:rsidRPr="008E1C83">
        <w:t xml:space="preserve"> assesses, plans, implements, coordinates, monitors, and evaluates the options and services </w:t>
      </w:r>
      <w:r w:rsidR="00317F4A">
        <w:t>to achieve a successful</w:t>
      </w:r>
      <w:r w:rsidR="00317F4A" w:rsidRPr="008E1C83">
        <w:t xml:space="preserve"> r</w:t>
      </w:r>
      <w:r w:rsidR="00317F4A">
        <w:t>eturn to work outcome.</w:t>
      </w:r>
      <w:r w:rsidR="00317F4A">
        <w:rPr>
          <w:rStyle w:val="FootnoteReference"/>
        </w:rPr>
        <w:footnoteReference w:id="4"/>
      </w:r>
    </w:p>
    <w:p w14:paraId="0969B6B7" w14:textId="066EAA5C" w:rsidR="00442DDD" w:rsidRDefault="0092534D" w:rsidP="0092534D">
      <w:pPr>
        <w:pStyle w:val="ListParagraph"/>
        <w:numPr>
          <w:ilvl w:val="0"/>
          <w:numId w:val="21"/>
        </w:numPr>
        <w:contextualSpacing/>
        <w:rPr>
          <w:rFonts w:eastAsia="Calibri"/>
          <w:szCs w:val="26"/>
          <w:lang w:val="en-GB"/>
        </w:rPr>
      </w:pPr>
      <w:r>
        <w:rPr>
          <w:rFonts w:eastAsia="Calibri"/>
          <w:szCs w:val="26"/>
          <w:lang w:val="en-GB"/>
        </w:rPr>
        <w:t>Accept that p</w:t>
      </w:r>
      <w:r w:rsidRPr="00155E92">
        <w:rPr>
          <w:rFonts w:eastAsia="Calibri"/>
          <w:szCs w:val="26"/>
          <w:lang w:val="en-GB"/>
        </w:rPr>
        <w:t xml:space="preserve">eople with acquired disabilities or </w:t>
      </w:r>
      <w:r w:rsidR="00203839" w:rsidRPr="00155E92">
        <w:rPr>
          <w:rFonts w:eastAsia="Calibri"/>
          <w:szCs w:val="26"/>
          <w:lang w:val="en-GB"/>
        </w:rPr>
        <w:t>long-term</w:t>
      </w:r>
      <w:r w:rsidRPr="00155E92">
        <w:rPr>
          <w:rFonts w:eastAsia="Calibri"/>
          <w:szCs w:val="26"/>
          <w:lang w:val="en-GB"/>
        </w:rPr>
        <w:t xml:space="preserve"> </w:t>
      </w:r>
      <w:r w:rsidRPr="006F361B">
        <w:rPr>
          <w:rFonts w:eastAsia="Calibri"/>
          <w:szCs w:val="26"/>
          <w:lang w:val="en-GB"/>
        </w:rPr>
        <w:t>health conditions who undergo a vocatio</w:t>
      </w:r>
      <w:r>
        <w:rPr>
          <w:rFonts w:eastAsia="Calibri"/>
          <w:szCs w:val="26"/>
          <w:lang w:val="en-GB"/>
        </w:rPr>
        <w:t xml:space="preserve">nal rehabilitation pathway </w:t>
      </w:r>
      <w:r w:rsidRPr="006F361B">
        <w:rPr>
          <w:rFonts w:eastAsia="Calibri"/>
          <w:szCs w:val="26"/>
          <w:lang w:val="en-GB"/>
        </w:rPr>
        <w:t xml:space="preserve">expect </w:t>
      </w:r>
      <w:r w:rsidR="00442DDD">
        <w:rPr>
          <w:rFonts w:eastAsia="Calibri"/>
          <w:szCs w:val="26"/>
          <w:lang w:val="en-GB"/>
        </w:rPr>
        <w:t xml:space="preserve">that they will have moved closer to </w:t>
      </w:r>
      <w:r w:rsidRPr="006F361B">
        <w:rPr>
          <w:rFonts w:eastAsia="Calibri"/>
          <w:szCs w:val="26"/>
          <w:lang w:val="en-GB"/>
        </w:rPr>
        <w:t>employment as the outcome</w:t>
      </w:r>
      <w:r w:rsidR="00442DDD">
        <w:rPr>
          <w:rFonts w:eastAsia="Calibri"/>
          <w:szCs w:val="26"/>
          <w:lang w:val="en-GB"/>
        </w:rPr>
        <w:t xml:space="preserve"> of the process</w:t>
      </w:r>
      <w:r w:rsidRPr="006F361B">
        <w:rPr>
          <w:rFonts w:eastAsia="Calibri"/>
          <w:szCs w:val="26"/>
          <w:lang w:val="en-GB"/>
        </w:rPr>
        <w:t xml:space="preserve">, </w:t>
      </w:r>
    </w:p>
    <w:p w14:paraId="4B65D848" w14:textId="7B8EB3E4" w:rsidR="0092534D" w:rsidRPr="002162BE" w:rsidRDefault="00442DDD" w:rsidP="002162BE">
      <w:pPr>
        <w:ind w:left="360"/>
        <w:contextualSpacing/>
        <w:rPr>
          <w:rFonts w:eastAsia="Calibri"/>
          <w:szCs w:val="26"/>
          <w:lang w:val="en-GB"/>
        </w:rPr>
      </w:pPr>
      <w:r w:rsidRPr="007A1414">
        <w:rPr>
          <w:rFonts w:eastAsia="Calibri"/>
          <w:szCs w:val="26"/>
          <w:lang w:val="en-GB"/>
        </w:rPr>
        <w:t>Many people with acquired disability or long term health condition want options to explore</w:t>
      </w:r>
      <w:r w:rsidR="009B5CC8" w:rsidRPr="007A1414">
        <w:rPr>
          <w:rFonts w:eastAsia="Calibri"/>
          <w:szCs w:val="26"/>
          <w:lang w:val="en-GB"/>
        </w:rPr>
        <w:t>,</w:t>
      </w:r>
      <w:r w:rsidRPr="007A1414">
        <w:rPr>
          <w:rFonts w:eastAsia="Calibri"/>
          <w:szCs w:val="26"/>
          <w:lang w:val="en-GB"/>
        </w:rPr>
        <w:t xml:space="preserve"> </w:t>
      </w:r>
      <w:r w:rsidR="008E4E96" w:rsidRPr="007A1414">
        <w:rPr>
          <w:rFonts w:eastAsia="Calibri"/>
          <w:szCs w:val="26"/>
          <w:lang w:val="en-GB"/>
        </w:rPr>
        <w:t>be that return to work or otherwise</w:t>
      </w:r>
      <w:r w:rsidR="009B5CC8" w:rsidRPr="007A1414">
        <w:rPr>
          <w:rFonts w:eastAsia="Calibri"/>
          <w:szCs w:val="26"/>
          <w:lang w:val="en-GB"/>
        </w:rPr>
        <w:t>,</w:t>
      </w:r>
      <w:r w:rsidR="008E4E96" w:rsidRPr="007A1414">
        <w:rPr>
          <w:rFonts w:eastAsia="Calibri"/>
          <w:szCs w:val="26"/>
          <w:lang w:val="en-GB"/>
        </w:rPr>
        <w:t xml:space="preserve"> </w:t>
      </w:r>
      <w:r w:rsidR="0092534D" w:rsidRPr="007A1414">
        <w:rPr>
          <w:rFonts w:eastAsia="Calibri"/>
          <w:szCs w:val="26"/>
          <w:lang w:val="en-GB"/>
        </w:rPr>
        <w:t xml:space="preserve">rather than </w:t>
      </w:r>
      <w:r w:rsidR="009B5CC8" w:rsidRPr="007A1414">
        <w:rPr>
          <w:rFonts w:eastAsia="Calibri"/>
          <w:szCs w:val="26"/>
          <w:lang w:val="en-GB"/>
        </w:rPr>
        <w:t>solely</w:t>
      </w:r>
      <w:r w:rsidR="0092534D" w:rsidRPr="007A1414">
        <w:rPr>
          <w:rFonts w:eastAsia="Calibri"/>
          <w:szCs w:val="26"/>
          <w:lang w:val="en-GB"/>
        </w:rPr>
        <w:t xml:space="preserve"> access to long-term receipt of illness or disability benefits.</w:t>
      </w:r>
      <w:r w:rsidR="002162BE" w:rsidRPr="007A1414">
        <w:rPr>
          <w:rFonts w:eastAsia="Calibri"/>
          <w:szCs w:val="26"/>
          <w:lang w:val="en-GB"/>
        </w:rPr>
        <w:t xml:space="preserve"> Many articulated the need for flexible options regarding hours at work or education</w:t>
      </w:r>
      <w:r w:rsidR="00AF55E3" w:rsidRPr="007A1414">
        <w:rPr>
          <w:rFonts w:eastAsia="Calibri"/>
          <w:szCs w:val="26"/>
          <w:lang w:val="en-GB"/>
        </w:rPr>
        <w:t>,</w:t>
      </w:r>
      <w:r w:rsidR="009B5CC8" w:rsidRPr="007A1414">
        <w:rPr>
          <w:rFonts w:eastAsia="Calibri"/>
          <w:szCs w:val="26"/>
          <w:lang w:val="en-GB"/>
        </w:rPr>
        <w:t xml:space="preserve"> as</w:t>
      </w:r>
      <w:r w:rsidR="002162BE" w:rsidRPr="007A1414">
        <w:rPr>
          <w:rFonts w:eastAsia="Calibri"/>
          <w:szCs w:val="26"/>
          <w:lang w:val="en-GB"/>
        </w:rPr>
        <w:t xml:space="preserve"> rarely was a full time participation a desired outcome</w:t>
      </w:r>
      <w:r w:rsidR="00AF55E3" w:rsidRPr="007A1414">
        <w:rPr>
          <w:rFonts w:eastAsia="Calibri"/>
          <w:szCs w:val="26"/>
          <w:lang w:val="en-GB"/>
        </w:rPr>
        <w:t>.</w:t>
      </w:r>
    </w:p>
    <w:p w14:paraId="1D272C7B" w14:textId="77777777" w:rsidR="0092534D" w:rsidRPr="00624042" w:rsidRDefault="004C261D" w:rsidP="00EE4029">
      <w:pPr>
        <w:spacing w:before="240"/>
        <w:contextualSpacing/>
        <w:rPr>
          <w:rFonts w:eastAsia="Calibri"/>
          <w:b/>
          <w:szCs w:val="26"/>
          <w:lang w:val="en-GB"/>
        </w:rPr>
      </w:pPr>
      <w:r>
        <w:rPr>
          <w:rFonts w:eastAsia="Calibri"/>
          <w:b/>
          <w:szCs w:val="26"/>
          <w:lang w:val="en-GB"/>
        </w:rPr>
        <w:t>Vocational rehabilitation</w:t>
      </w:r>
      <w:r w:rsidR="0092534D" w:rsidRPr="00624042">
        <w:rPr>
          <w:rFonts w:eastAsia="Calibri"/>
          <w:b/>
          <w:szCs w:val="26"/>
          <w:lang w:val="en-GB"/>
        </w:rPr>
        <w:t xml:space="preserve"> programme</w:t>
      </w:r>
    </w:p>
    <w:p w14:paraId="02E23ADC" w14:textId="7E4642C9" w:rsidR="0092534D" w:rsidRPr="0092534D" w:rsidRDefault="00521AA6" w:rsidP="0092534D">
      <w:pPr>
        <w:pStyle w:val="ListParagraph"/>
        <w:numPr>
          <w:ilvl w:val="0"/>
          <w:numId w:val="32"/>
        </w:numPr>
        <w:contextualSpacing/>
        <w:rPr>
          <w:rFonts w:eastAsia="Calibri"/>
          <w:szCs w:val="26"/>
          <w:lang w:val="en-GB"/>
        </w:rPr>
      </w:pPr>
      <w:r w:rsidRPr="0092534D">
        <w:rPr>
          <w:rFonts w:eastAsia="Calibri"/>
          <w:szCs w:val="26"/>
          <w:lang w:val="en-GB"/>
        </w:rPr>
        <w:t xml:space="preserve">Consistent </w:t>
      </w:r>
      <w:r w:rsidR="00B35DFC" w:rsidRPr="0092534D">
        <w:rPr>
          <w:rFonts w:eastAsia="Calibri"/>
          <w:szCs w:val="26"/>
          <w:lang w:val="en-GB"/>
        </w:rPr>
        <w:t xml:space="preserve">effort across the system </w:t>
      </w:r>
      <w:r w:rsidR="00155E92" w:rsidRPr="0092534D">
        <w:rPr>
          <w:rFonts w:eastAsia="Calibri"/>
          <w:szCs w:val="26"/>
          <w:lang w:val="en-GB"/>
        </w:rPr>
        <w:t xml:space="preserve">is required </w:t>
      </w:r>
      <w:r w:rsidR="00B35DFC" w:rsidRPr="0092534D">
        <w:rPr>
          <w:rFonts w:eastAsia="Calibri"/>
          <w:szCs w:val="26"/>
          <w:lang w:val="en-GB"/>
        </w:rPr>
        <w:t xml:space="preserve">to build capacity amongst professionals </w:t>
      </w:r>
      <w:r w:rsidRPr="0092534D">
        <w:rPr>
          <w:rFonts w:eastAsia="Calibri"/>
          <w:szCs w:val="26"/>
          <w:lang w:val="en-GB"/>
        </w:rPr>
        <w:t>who have a key role in the vocational rehabilitation system. In particular</w:t>
      </w:r>
      <w:r w:rsidR="00B00937">
        <w:rPr>
          <w:rFonts w:eastAsia="Calibri"/>
          <w:szCs w:val="26"/>
          <w:lang w:val="en-GB"/>
        </w:rPr>
        <w:t>,</w:t>
      </w:r>
      <w:r w:rsidRPr="0092534D">
        <w:rPr>
          <w:rFonts w:eastAsia="Calibri"/>
          <w:szCs w:val="26"/>
          <w:lang w:val="en-GB"/>
        </w:rPr>
        <w:t xml:space="preserve"> </w:t>
      </w:r>
      <w:r w:rsidR="00155E92" w:rsidRPr="0092534D">
        <w:rPr>
          <w:rFonts w:eastAsia="Calibri"/>
          <w:szCs w:val="26"/>
          <w:lang w:val="en-GB"/>
        </w:rPr>
        <w:t xml:space="preserve">to </w:t>
      </w:r>
      <w:r w:rsidRPr="0092534D">
        <w:rPr>
          <w:rFonts w:eastAsia="Calibri"/>
          <w:szCs w:val="26"/>
          <w:lang w:val="en-GB"/>
        </w:rPr>
        <w:t>address</w:t>
      </w:r>
      <w:r w:rsidR="00155E92" w:rsidRPr="0092534D">
        <w:rPr>
          <w:rFonts w:eastAsia="Calibri"/>
          <w:szCs w:val="26"/>
          <w:lang w:val="en-GB"/>
        </w:rPr>
        <w:t xml:space="preserve"> capacity deficits with regard to,</w:t>
      </w:r>
      <w:r w:rsidRPr="0092534D">
        <w:rPr>
          <w:rFonts w:eastAsia="Calibri"/>
          <w:szCs w:val="26"/>
          <w:lang w:val="en-GB"/>
        </w:rPr>
        <w:t xml:space="preserve"> lack of </w:t>
      </w:r>
      <w:r w:rsidR="005907E0" w:rsidRPr="0092534D">
        <w:rPr>
          <w:rFonts w:eastAsia="Calibri"/>
          <w:szCs w:val="26"/>
          <w:lang w:val="en-GB"/>
        </w:rPr>
        <w:t xml:space="preserve">employment </w:t>
      </w:r>
      <w:r w:rsidRPr="0092534D">
        <w:rPr>
          <w:rFonts w:eastAsia="Calibri"/>
          <w:szCs w:val="26"/>
          <w:lang w:val="en-GB"/>
        </w:rPr>
        <w:t xml:space="preserve">guidance counselling, </w:t>
      </w:r>
      <w:r w:rsidR="00155E92" w:rsidRPr="0092534D">
        <w:rPr>
          <w:rFonts w:eastAsia="Calibri"/>
          <w:szCs w:val="26"/>
          <w:lang w:val="en-GB"/>
        </w:rPr>
        <w:t xml:space="preserve">lack </w:t>
      </w:r>
      <w:r w:rsidRPr="0092534D">
        <w:rPr>
          <w:rFonts w:eastAsia="Calibri"/>
          <w:szCs w:val="26"/>
          <w:lang w:val="en-GB"/>
        </w:rPr>
        <w:t>vocational assessmen</w:t>
      </w:r>
      <w:r w:rsidR="00960267" w:rsidRPr="0092534D">
        <w:rPr>
          <w:rFonts w:eastAsia="Calibri"/>
          <w:szCs w:val="26"/>
          <w:lang w:val="en-GB"/>
        </w:rPr>
        <w:t>t</w:t>
      </w:r>
      <w:r w:rsidR="00155E92" w:rsidRPr="0092534D">
        <w:rPr>
          <w:rFonts w:eastAsia="Calibri"/>
          <w:szCs w:val="26"/>
          <w:lang w:val="en-GB"/>
        </w:rPr>
        <w:t xml:space="preserve">, lack of access to occupational therapies </w:t>
      </w:r>
      <w:r w:rsidR="00960267" w:rsidRPr="0092534D">
        <w:rPr>
          <w:rFonts w:eastAsia="Calibri"/>
          <w:szCs w:val="26"/>
          <w:lang w:val="en-GB"/>
        </w:rPr>
        <w:t xml:space="preserve">and </w:t>
      </w:r>
      <w:r w:rsidR="005907E0" w:rsidRPr="0092534D">
        <w:rPr>
          <w:rFonts w:eastAsia="Calibri"/>
          <w:szCs w:val="26"/>
          <w:lang w:val="en-GB"/>
        </w:rPr>
        <w:t xml:space="preserve">lack of </w:t>
      </w:r>
      <w:r w:rsidR="00482DFD" w:rsidRPr="0092534D">
        <w:rPr>
          <w:rFonts w:eastAsia="Calibri"/>
          <w:szCs w:val="26"/>
          <w:lang w:val="en-GB"/>
        </w:rPr>
        <w:t xml:space="preserve">specific </w:t>
      </w:r>
      <w:r w:rsidR="00960267" w:rsidRPr="0092534D">
        <w:rPr>
          <w:rFonts w:eastAsia="Calibri"/>
          <w:szCs w:val="26"/>
          <w:lang w:val="en-GB"/>
        </w:rPr>
        <w:t xml:space="preserve">case management expertise. </w:t>
      </w:r>
    </w:p>
    <w:p w14:paraId="3BF8CB09" w14:textId="77777777" w:rsidR="00C70556" w:rsidRPr="006F361B" w:rsidRDefault="00C70556" w:rsidP="00C70556">
      <w:pPr>
        <w:pStyle w:val="ListParagraph"/>
        <w:numPr>
          <w:ilvl w:val="0"/>
          <w:numId w:val="21"/>
        </w:numPr>
        <w:contextualSpacing/>
        <w:rPr>
          <w:rFonts w:eastAsia="Calibri"/>
          <w:szCs w:val="26"/>
          <w:lang w:val="en-GB"/>
        </w:rPr>
      </w:pPr>
      <w:r w:rsidRPr="006F361B">
        <w:rPr>
          <w:rFonts w:eastAsia="Calibri"/>
          <w:szCs w:val="26"/>
          <w:lang w:val="en-GB"/>
        </w:rPr>
        <w:lastRenderedPageBreak/>
        <w:t xml:space="preserve">There are certain elements of a vocational rehabilitation system that operate in the Irish system, however </w:t>
      </w:r>
      <w:r w:rsidR="00482DFD">
        <w:rPr>
          <w:rFonts w:eastAsia="Calibri"/>
          <w:szCs w:val="26"/>
          <w:lang w:val="en-GB"/>
        </w:rPr>
        <w:t xml:space="preserve">they do not constitute </w:t>
      </w:r>
      <w:r w:rsidR="00155E92">
        <w:rPr>
          <w:rFonts w:eastAsia="Calibri"/>
          <w:szCs w:val="26"/>
          <w:lang w:val="en-GB"/>
        </w:rPr>
        <w:t xml:space="preserve">national </w:t>
      </w:r>
      <w:r w:rsidR="005907E0">
        <w:rPr>
          <w:rFonts w:eastAsia="Calibri"/>
          <w:szCs w:val="26"/>
          <w:lang w:val="en-GB"/>
        </w:rPr>
        <w:t>programme</w:t>
      </w:r>
      <w:r w:rsidR="00155E92">
        <w:rPr>
          <w:rFonts w:eastAsia="Calibri"/>
          <w:szCs w:val="26"/>
          <w:lang w:val="en-GB"/>
        </w:rPr>
        <w:t xml:space="preserve"> and </w:t>
      </w:r>
      <w:r w:rsidR="00482DFD">
        <w:rPr>
          <w:rFonts w:eastAsia="Calibri"/>
          <w:szCs w:val="26"/>
          <w:lang w:val="en-GB"/>
        </w:rPr>
        <w:t xml:space="preserve">where they do exist </w:t>
      </w:r>
      <w:r w:rsidR="005907E0">
        <w:rPr>
          <w:rFonts w:eastAsia="Calibri"/>
          <w:szCs w:val="26"/>
          <w:lang w:val="en-GB"/>
        </w:rPr>
        <w:t xml:space="preserve">they </w:t>
      </w:r>
      <w:r w:rsidR="00155E92">
        <w:rPr>
          <w:rFonts w:eastAsia="Calibri"/>
          <w:szCs w:val="26"/>
          <w:lang w:val="en-GB"/>
        </w:rPr>
        <w:t xml:space="preserve">would benefit from </w:t>
      </w:r>
      <w:r w:rsidRPr="006F361B">
        <w:rPr>
          <w:rFonts w:eastAsia="Calibri"/>
          <w:szCs w:val="26"/>
          <w:lang w:val="en-GB"/>
        </w:rPr>
        <w:t>a bet</w:t>
      </w:r>
      <w:r w:rsidR="00482DFD">
        <w:rPr>
          <w:rFonts w:eastAsia="Calibri"/>
          <w:szCs w:val="26"/>
          <w:lang w:val="en-GB"/>
        </w:rPr>
        <w:t>ter system of coordination.</w:t>
      </w:r>
    </w:p>
    <w:p w14:paraId="5291EC31" w14:textId="77777777" w:rsidR="00C70556" w:rsidRPr="006F361B" w:rsidRDefault="00C70556" w:rsidP="00C70556">
      <w:pPr>
        <w:pStyle w:val="ListParagraph"/>
        <w:numPr>
          <w:ilvl w:val="0"/>
          <w:numId w:val="21"/>
        </w:numPr>
        <w:contextualSpacing/>
        <w:rPr>
          <w:rFonts w:eastAsia="Calibri"/>
          <w:szCs w:val="26"/>
          <w:lang w:val="en-GB"/>
        </w:rPr>
      </w:pPr>
      <w:r w:rsidRPr="006F361B">
        <w:rPr>
          <w:rFonts w:eastAsia="Calibri"/>
          <w:szCs w:val="26"/>
          <w:lang w:val="en-GB"/>
        </w:rPr>
        <w:t xml:space="preserve">Of the elements of vocational rehabilitation that do not currently exist, the implementation process must provide a mechanism to ensure they link to the aspects of vocational rehabilitations already in the system. </w:t>
      </w:r>
    </w:p>
    <w:p w14:paraId="431EEF10" w14:textId="77777777" w:rsidR="00C70556" w:rsidRPr="0092534D" w:rsidRDefault="00C70556" w:rsidP="00C70556">
      <w:pPr>
        <w:pStyle w:val="ListParagraph"/>
        <w:numPr>
          <w:ilvl w:val="0"/>
          <w:numId w:val="21"/>
        </w:numPr>
        <w:contextualSpacing/>
        <w:rPr>
          <w:rFonts w:eastAsia="Calibri"/>
          <w:szCs w:val="26"/>
          <w:lang w:val="en-GB"/>
        </w:rPr>
      </w:pPr>
      <w:r w:rsidRPr="006F361B">
        <w:rPr>
          <w:szCs w:val="26"/>
        </w:rPr>
        <w:t>For the vocational rehabilitation p</w:t>
      </w:r>
      <w:r w:rsidR="005907E0">
        <w:rPr>
          <w:szCs w:val="26"/>
        </w:rPr>
        <w:t>rogramme</w:t>
      </w:r>
      <w:r w:rsidRPr="006F361B">
        <w:rPr>
          <w:szCs w:val="26"/>
        </w:rPr>
        <w:t xml:space="preserve"> to succeed, it would be preferable for a single department or agency to lead the coordination through a </w:t>
      </w:r>
      <w:r w:rsidRPr="006F361B">
        <w:rPr>
          <w:rFonts w:eastAsia="Calibri"/>
          <w:szCs w:val="26"/>
          <w:lang w:val="en-GB"/>
        </w:rPr>
        <w:t xml:space="preserve">multi-agency collaboration process. This collaboration is best defined as </w:t>
      </w:r>
      <w:r w:rsidRPr="006F361B">
        <w:rPr>
          <w:szCs w:val="26"/>
        </w:rPr>
        <w:t xml:space="preserve">“a process in which organisations exchange information, alter activities, share resources, and enhance each other’s capacity for mutual benefit and a common purpose by sharing risks, responsibilities and rewards.” </w:t>
      </w:r>
    </w:p>
    <w:p w14:paraId="14C61BCC" w14:textId="77777777" w:rsidR="0092534D" w:rsidRPr="00A3370F" w:rsidRDefault="0092534D" w:rsidP="0092534D">
      <w:pPr>
        <w:ind w:left="360"/>
        <w:contextualSpacing/>
        <w:rPr>
          <w:rFonts w:eastAsia="Calibri"/>
          <w:b/>
          <w:szCs w:val="26"/>
          <w:lang w:val="en-GB"/>
        </w:rPr>
      </w:pPr>
      <w:r w:rsidRPr="00A3370F">
        <w:rPr>
          <w:rFonts w:eastAsia="Calibri"/>
          <w:b/>
          <w:szCs w:val="26"/>
          <w:lang w:val="en-GB"/>
        </w:rPr>
        <w:t>Wider system</w:t>
      </w:r>
    </w:p>
    <w:p w14:paraId="0F251291" w14:textId="25278B43" w:rsidR="002B0CBC" w:rsidRDefault="002B0CBC" w:rsidP="00DF45A4">
      <w:pPr>
        <w:pStyle w:val="ListParagraph"/>
        <w:numPr>
          <w:ilvl w:val="0"/>
          <w:numId w:val="21"/>
        </w:numPr>
        <w:contextualSpacing/>
        <w:rPr>
          <w:rFonts w:eastAsia="Calibri"/>
          <w:szCs w:val="26"/>
          <w:lang w:val="en-GB"/>
        </w:rPr>
      </w:pPr>
      <w:r>
        <w:rPr>
          <w:rFonts w:eastAsia="Calibri"/>
          <w:szCs w:val="26"/>
          <w:lang w:val="en-GB"/>
        </w:rPr>
        <w:t xml:space="preserve">Ratification of the United Nations Convention on Rights of People with Disabilities </w:t>
      </w:r>
      <w:r w:rsidR="00177792">
        <w:rPr>
          <w:rFonts w:eastAsia="Calibri"/>
          <w:szCs w:val="26"/>
          <w:lang w:val="en-GB"/>
        </w:rPr>
        <w:t>and realisation of Articles 26 and 27</w:t>
      </w:r>
      <w:r w:rsidR="00177792">
        <w:rPr>
          <w:rStyle w:val="FootnoteReference"/>
          <w:rFonts w:eastAsia="Calibri"/>
          <w:szCs w:val="26"/>
          <w:lang w:val="en-GB"/>
        </w:rPr>
        <w:footnoteReference w:id="5"/>
      </w:r>
      <w:r w:rsidR="001C2B59">
        <w:rPr>
          <w:rFonts w:eastAsia="Calibri"/>
          <w:szCs w:val="26"/>
          <w:lang w:val="en-GB"/>
        </w:rPr>
        <w:t>.</w:t>
      </w:r>
      <w:r w:rsidR="005F7676">
        <w:rPr>
          <w:rFonts w:eastAsia="Calibri"/>
          <w:szCs w:val="26"/>
          <w:lang w:val="en-GB"/>
        </w:rPr>
        <w:t xml:space="preserve"> </w:t>
      </w:r>
      <w:r w:rsidR="001C2B59">
        <w:rPr>
          <w:rFonts w:eastAsia="Calibri"/>
          <w:szCs w:val="26"/>
          <w:lang w:val="en-GB"/>
        </w:rPr>
        <w:t>(Please see A</w:t>
      </w:r>
      <w:r w:rsidR="005F7676">
        <w:rPr>
          <w:rFonts w:eastAsia="Calibri"/>
          <w:szCs w:val="26"/>
          <w:lang w:val="en-GB"/>
        </w:rPr>
        <w:t xml:space="preserve">ppendix </w:t>
      </w:r>
      <w:r w:rsidR="001C2B59">
        <w:rPr>
          <w:rFonts w:eastAsia="Calibri"/>
          <w:szCs w:val="26"/>
          <w:lang w:val="en-GB"/>
        </w:rPr>
        <w:t>1)</w:t>
      </w:r>
      <w:r w:rsidR="005F7676">
        <w:rPr>
          <w:rFonts w:eastAsia="Calibri"/>
          <w:szCs w:val="26"/>
          <w:lang w:val="en-GB"/>
        </w:rPr>
        <w:t xml:space="preserve"> </w:t>
      </w:r>
    </w:p>
    <w:p w14:paraId="1C45F3A9" w14:textId="77777777" w:rsidR="00DF45A4" w:rsidRDefault="00DF45A4" w:rsidP="00DF45A4">
      <w:pPr>
        <w:pStyle w:val="ListParagraph"/>
        <w:numPr>
          <w:ilvl w:val="0"/>
          <w:numId w:val="21"/>
        </w:numPr>
        <w:contextualSpacing/>
        <w:rPr>
          <w:rFonts w:eastAsia="Calibri"/>
          <w:szCs w:val="26"/>
          <w:lang w:val="en-GB"/>
        </w:rPr>
      </w:pPr>
      <w:r>
        <w:rPr>
          <w:rFonts w:eastAsia="Calibri"/>
          <w:szCs w:val="26"/>
          <w:lang w:val="en-GB"/>
        </w:rPr>
        <w:t xml:space="preserve">Delivering the </w:t>
      </w:r>
      <w:r w:rsidR="00A135EA">
        <w:rPr>
          <w:rFonts w:eastAsia="Calibri"/>
          <w:szCs w:val="26"/>
          <w:lang w:val="en-GB"/>
        </w:rPr>
        <w:t>Sláintecare</w:t>
      </w:r>
      <w:r>
        <w:rPr>
          <w:rFonts w:eastAsia="Calibri"/>
          <w:szCs w:val="26"/>
          <w:lang w:val="en-GB"/>
        </w:rPr>
        <w:t xml:space="preserve"> objective of a universal healthcare system</w:t>
      </w:r>
      <w:r w:rsidR="00916118">
        <w:rPr>
          <w:rFonts w:eastAsia="Calibri"/>
          <w:szCs w:val="26"/>
          <w:lang w:val="en-GB"/>
        </w:rPr>
        <w:t xml:space="preserve"> require</w:t>
      </w:r>
      <w:r w:rsidR="00C2074E">
        <w:rPr>
          <w:rFonts w:eastAsia="Calibri"/>
          <w:szCs w:val="26"/>
          <w:lang w:val="en-GB"/>
        </w:rPr>
        <w:t>s</w:t>
      </w:r>
      <w:r w:rsidR="00916118">
        <w:rPr>
          <w:rFonts w:eastAsia="Calibri"/>
          <w:szCs w:val="26"/>
          <w:lang w:val="en-GB"/>
        </w:rPr>
        <w:t xml:space="preserve"> a specific social care strategy</w:t>
      </w:r>
      <w:r w:rsidR="00C2074E">
        <w:rPr>
          <w:rFonts w:eastAsia="Calibri"/>
          <w:szCs w:val="26"/>
          <w:lang w:val="en-GB"/>
        </w:rPr>
        <w:t>, one</w:t>
      </w:r>
      <w:r w:rsidR="00916118">
        <w:rPr>
          <w:rFonts w:eastAsia="Calibri"/>
          <w:szCs w:val="26"/>
          <w:lang w:val="en-GB"/>
        </w:rPr>
        <w:t xml:space="preserve"> that links medical and rehabili</w:t>
      </w:r>
      <w:r w:rsidR="00C2074E">
        <w:rPr>
          <w:rFonts w:eastAsia="Calibri"/>
          <w:szCs w:val="26"/>
          <w:lang w:val="en-GB"/>
        </w:rPr>
        <w:t>tation provision. S</w:t>
      </w:r>
      <w:r w:rsidR="00916118">
        <w:rPr>
          <w:rFonts w:eastAsia="Calibri"/>
          <w:szCs w:val="26"/>
          <w:lang w:val="en-GB"/>
        </w:rPr>
        <w:t xml:space="preserve">ocial care provision </w:t>
      </w:r>
      <w:r w:rsidR="00C2074E">
        <w:rPr>
          <w:rFonts w:eastAsia="Calibri"/>
          <w:szCs w:val="26"/>
          <w:lang w:val="en-GB"/>
        </w:rPr>
        <w:t xml:space="preserve">within </w:t>
      </w:r>
      <w:r w:rsidR="00A135EA">
        <w:rPr>
          <w:rFonts w:eastAsia="Calibri"/>
          <w:szCs w:val="26"/>
          <w:lang w:val="en-GB"/>
        </w:rPr>
        <w:t>Sláintecare</w:t>
      </w:r>
      <w:r w:rsidR="00C2074E">
        <w:rPr>
          <w:rFonts w:eastAsia="Calibri"/>
          <w:szCs w:val="26"/>
          <w:lang w:val="en-GB"/>
        </w:rPr>
        <w:t xml:space="preserve"> must be</w:t>
      </w:r>
      <w:r w:rsidR="00916118">
        <w:rPr>
          <w:rFonts w:eastAsia="Calibri"/>
          <w:szCs w:val="26"/>
          <w:lang w:val="en-GB"/>
        </w:rPr>
        <w:t xml:space="preserve"> delivered locally</w:t>
      </w:r>
      <w:r w:rsidR="00C2074E">
        <w:rPr>
          <w:rFonts w:eastAsia="Calibri"/>
          <w:szCs w:val="26"/>
          <w:lang w:val="en-GB"/>
        </w:rPr>
        <w:t>,</w:t>
      </w:r>
      <w:r w:rsidR="00916118">
        <w:rPr>
          <w:rFonts w:eastAsia="Calibri"/>
          <w:szCs w:val="26"/>
          <w:lang w:val="en-GB"/>
        </w:rPr>
        <w:t xml:space="preserve"> where people </w:t>
      </w:r>
      <w:r w:rsidR="00C2074E">
        <w:rPr>
          <w:rFonts w:eastAsia="Calibri"/>
          <w:szCs w:val="26"/>
          <w:lang w:val="en-GB"/>
        </w:rPr>
        <w:t xml:space="preserve">can </w:t>
      </w:r>
      <w:r w:rsidR="00916118">
        <w:rPr>
          <w:rFonts w:eastAsia="Calibri"/>
          <w:szCs w:val="26"/>
          <w:lang w:val="en-GB"/>
        </w:rPr>
        <w:t>access their services</w:t>
      </w:r>
      <w:r>
        <w:rPr>
          <w:rFonts w:eastAsia="Calibri"/>
          <w:szCs w:val="26"/>
          <w:lang w:val="en-GB"/>
        </w:rPr>
        <w:t xml:space="preserve">. </w:t>
      </w:r>
    </w:p>
    <w:p w14:paraId="42A14999" w14:textId="77777777" w:rsidR="001A6ECD" w:rsidRDefault="00C2074E" w:rsidP="00DF45A4">
      <w:pPr>
        <w:pStyle w:val="ListParagraph"/>
        <w:numPr>
          <w:ilvl w:val="0"/>
          <w:numId w:val="21"/>
        </w:numPr>
        <w:contextualSpacing/>
        <w:rPr>
          <w:rFonts w:eastAsia="Calibri"/>
          <w:szCs w:val="26"/>
          <w:lang w:val="en-GB"/>
        </w:rPr>
      </w:pPr>
      <w:r>
        <w:rPr>
          <w:rFonts w:eastAsia="Calibri"/>
          <w:szCs w:val="26"/>
          <w:lang w:val="en-GB"/>
        </w:rPr>
        <w:t>Changes to the</w:t>
      </w:r>
      <w:r w:rsidR="001A6ECD">
        <w:rPr>
          <w:rFonts w:eastAsia="Calibri"/>
          <w:szCs w:val="26"/>
          <w:lang w:val="en-GB"/>
        </w:rPr>
        <w:t xml:space="preserve"> social protection system</w:t>
      </w:r>
      <w:r>
        <w:rPr>
          <w:rFonts w:eastAsia="Calibri"/>
          <w:szCs w:val="26"/>
          <w:lang w:val="en-GB"/>
        </w:rPr>
        <w:t xml:space="preserve"> so that it</w:t>
      </w:r>
      <w:r w:rsidR="001A6ECD">
        <w:rPr>
          <w:rFonts w:eastAsia="Calibri"/>
          <w:szCs w:val="26"/>
          <w:lang w:val="en-GB"/>
        </w:rPr>
        <w:t xml:space="preserve"> can act as a trigger or systematic alert to access vocational rehabilitation measures</w:t>
      </w:r>
      <w:r w:rsidR="009C2D20">
        <w:rPr>
          <w:rStyle w:val="FootnoteReference"/>
          <w:rFonts w:eastAsia="Calibri"/>
          <w:szCs w:val="26"/>
          <w:lang w:val="en-GB"/>
        </w:rPr>
        <w:footnoteReference w:id="6"/>
      </w:r>
      <w:r w:rsidR="001A6ECD">
        <w:rPr>
          <w:rFonts w:eastAsia="Calibri"/>
          <w:szCs w:val="26"/>
          <w:lang w:val="en-GB"/>
        </w:rPr>
        <w:t>.</w:t>
      </w:r>
      <w:r>
        <w:rPr>
          <w:rFonts w:eastAsia="Calibri"/>
          <w:szCs w:val="26"/>
          <w:lang w:val="en-GB"/>
        </w:rPr>
        <w:t xml:space="preserve"> </w:t>
      </w:r>
    </w:p>
    <w:p w14:paraId="40915D0E" w14:textId="77777777" w:rsidR="00C70556" w:rsidRPr="00317F4A" w:rsidRDefault="00317F4A" w:rsidP="00317F4A">
      <w:pPr>
        <w:pStyle w:val="ListParagraph"/>
        <w:numPr>
          <w:ilvl w:val="0"/>
          <w:numId w:val="21"/>
        </w:numPr>
        <w:contextualSpacing/>
        <w:rPr>
          <w:rFonts w:eastAsia="Calibri"/>
          <w:szCs w:val="26"/>
          <w:lang w:val="en-GB"/>
        </w:rPr>
      </w:pPr>
      <w:r>
        <w:rPr>
          <w:rFonts w:eastAsia="Calibri"/>
          <w:szCs w:val="26"/>
          <w:lang w:val="en-GB"/>
        </w:rPr>
        <w:t>C</w:t>
      </w:r>
      <w:r w:rsidR="00C70556" w:rsidRPr="00317F4A">
        <w:rPr>
          <w:rFonts w:eastAsia="Calibri"/>
          <w:szCs w:val="26"/>
          <w:lang w:val="en-GB"/>
        </w:rPr>
        <w:t xml:space="preserve">ollaborative working </w:t>
      </w:r>
      <w:r>
        <w:rPr>
          <w:rFonts w:eastAsia="Calibri"/>
          <w:szCs w:val="26"/>
          <w:lang w:val="en-GB"/>
        </w:rPr>
        <w:t>would</w:t>
      </w:r>
      <w:r w:rsidR="00C70556" w:rsidRPr="00317F4A">
        <w:rPr>
          <w:rFonts w:eastAsia="Calibri"/>
          <w:szCs w:val="26"/>
          <w:lang w:val="en-GB"/>
        </w:rPr>
        <w:t xml:space="preserve"> be supported by a referrals process, operational protocols and the development of quality standards between agencies and providers.</w:t>
      </w:r>
    </w:p>
    <w:p w14:paraId="23ABC033" w14:textId="77777777" w:rsidR="004C261D" w:rsidRDefault="00B0526E" w:rsidP="00C70556">
      <w:pPr>
        <w:pStyle w:val="ListParagraph"/>
        <w:numPr>
          <w:ilvl w:val="0"/>
          <w:numId w:val="21"/>
        </w:numPr>
        <w:contextualSpacing/>
        <w:rPr>
          <w:rFonts w:eastAsia="Calibri"/>
          <w:szCs w:val="26"/>
          <w:lang w:val="en-GB"/>
        </w:rPr>
      </w:pPr>
      <w:r>
        <w:rPr>
          <w:rFonts w:eastAsia="Calibri"/>
          <w:szCs w:val="26"/>
          <w:lang w:val="en-GB"/>
        </w:rPr>
        <w:t>Implementation of t</w:t>
      </w:r>
      <w:r w:rsidR="004C261D">
        <w:rPr>
          <w:rFonts w:eastAsia="Calibri"/>
          <w:szCs w:val="26"/>
          <w:lang w:val="en-GB"/>
        </w:rPr>
        <w:t xml:space="preserve">ailored </w:t>
      </w:r>
      <w:r>
        <w:rPr>
          <w:rFonts w:eastAsia="Calibri"/>
          <w:szCs w:val="26"/>
          <w:lang w:val="en-GB"/>
        </w:rPr>
        <w:t xml:space="preserve">employment </w:t>
      </w:r>
      <w:r w:rsidR="004C261D">
        <w:rPr>
          <w:rFonts w:eastAsia="Calibri"/>
          <w:szCs w:val="26"/>
          <w:lang w:val="en-GB"/>
        </w:rPr>
        <w:t>interventions for people with disabilitie</w:t>
      </w:r>
      <w:r>
        <w:rPr>
          <w:rFonts w:eastAsia="Calibri"/>
          <w:szCs w:val="26"/>
          <w:lang w:val="en-GB"/>
        </w:rPr>
        <w:t xml:space="preserve">s </w:t>
      </w:r>
      <w:r w:rsidR="00DF45A4">
        <w:rPr>
          <w:rFonts w:eastAsia="Calibri"/>
          <w:szCs w:val="26"/>
          <w:lang w:val="en-GB"/>
        </w:rPr>
        <w:t xml:space="preserve">with high support needs </w:t>
      </w:r>
      <w:r>
        <w:rPr>
          <w:rFonts w:eastAsia="Calibri"/>
          <w:szCs w:val="26"/>
          <w:lang w:val="en-GB"/>
        </w:rPr>
        <w:t xml:space="preserve">as outlined in the </w:t>
      </w:r>
      <w:r w:rsidR="00300E3A">
        <w:rPr>
          <w:rFonts w:eastAsia="Calibri"/>
          <w:szCs w:val="26"/>
          <w:lang w:val="en-GB"/>
        </w:rPr>
        <w:t xml:space="preserve">Comprehensive Employment Strategy </w:t>
      </w:r>
      <w:r>
        <w:rPr>
          <w:rFonts w:eastAsia="Calibri"/>
          <w:szCs w:val="26"/>
          <w:lang w:val="en-GB"/>
        </w:rPr>
        <w:t xml:space="preserve">for people with disabilities 2015 to 2024 </w:t>
      </w:r>
      <w:r w:rsidR="00DF45A4">
        <w:rPr>
          <w:rFonts w:eastAsia="Calibri"/>
          <w:szCs w:val="26"/>
          <w:lang w:val="en-GB"/>
        </w:rPr>
        <w:t>must be part of the interwoven measures</w:t>
      </w:r>
      <w:r>
        <w:rPr>
          <w:rFonts w:eastAsia="Calibri"/>
          <w:szCs w:val="26"/>
          <w:lang w:val="en-GB"/>
        </w:rPr>
        <w:t xml:space="preserve">. </w:t>
      </w:r>
    </w:p>
    <w:p w14:paraId="0EF91D67" w14:textId="77777777" w:rsidR="00203839" w:rsidRPr="00200229" w:rsidRDefault="00D41240" w:rsidP="00200229">
      <w:pPr>
        <w:pStyle w:val="ListParagraph"/>
        <w:numPr>
          <w:ilvl w:val="0"/>
          <w:numId w:val="21"/>
        </w:numPr>
        <w:contextualSpacing/>
        <w:rPr>
          <w:rFonts w:eastAsia="Calibri"/>
          <w:szCs w:val="26"/>
          <w:lang w:val="en-GB"/>
        </w:rPr>
      </w:pPr>
      <w:r>
        <w:rPr>
          <w:rFonts w:eastAsia="Calibri"/>
          <w:szCs w:val="26"/>
          <w:lang w:val="en-GB"/>
        </w:rPr>
        <w:t xml:space="preserve">Providing employers with access to a range of services including information regarding supporting employees return to work, </w:t>
      </w:r>
      <w:r w:rsidR="00DF45A4">
        <w:rPr>
          <w:rFonts w:eastAsia="Calibri"/>
          <w:szCs w:val="26"/>
          <w:lang w:val="en-GB"/>
        </w:rPr>
        <w:t xml:space="preserve">and </w:t>
      </w:r>
      <w:r>
        <w:rPr>
          <w:rFonts w:eastAsia="Calibri"/>
          <w:szCs w:val="26"/>
          <w:lang w:val="en-GB"/>
        </w:rPr>
        <w:t>a</w:t>
      </w:r>
      <w:r w:rsidR="00DF45A4">
        <w:rPr>
          <w:rFonts w:eastAsia="Calibri"/>
          <w:szCs w:val="26"/>
          <w:lang w:val="en-GB"/>
        </w:rPr>
        <w:t>ccess to occupational rehabilitation supports is essential. Research and consultation has shown that these supports are under developed in Ireland.</w:t>
      </w:r>
    </w:p>
    <w:p w14:paraId="05E9A6BA" w14:textId="77777777" w:rsidR="003A7601" w:rsidRDefault="00296814" w:rsidP="003A7601">
      <w:pPr>
        <w:pStyle w:val="Tableheading"/>
        <w:keepNext/>
        <w:jc w:val="left"/>
        <w:rPr>
          <w:rFonts w:eastAsia="Calibri"/>
          <w:lang w:val="en-GB"/>
        </w:rPr>
      </w:pPr>
      <w:r>
        <w:rPr>
          <w:rFonts w:eastAsia="Calibri"/>
          <w:lang w:val="en-GB"/>
        </w:rPr>
        <w:t xml:space="preserve">An </w:t>
      </w:r>
      <w:r w:rsidR="003A7601">
        <w:rPr>
          <w:rFonts w:eastAsia="Calibri"/>
          <w:lang w:val="en-GB"/>
        </w:rPr>
        <w:t>Individuals pathway through a vocational rehabilitation programme</w:t>
      </w:r>
    </w:p>
    <w:p w14:paraId="6FADEAC9" w14:textId="494566CF" w:rsidR="00EF7409" w:rsidRDefault="001A6ECD" w:rsidP="003A7601">
      <w:pPr>
        <w:pStyle w:val="Tableheading"/>
        <w:keepNext/>
        <w:jc w:val="left"/>
        <w:rPr>
          <w:rFonts w:eastAsia="Calibri"/>
          <w:b w:val="0"/>
          <w:lang w:val="en-GB"/>
        </w:rPr>
      </w:pPr>
      <w:r w:rsidRPr="00E03CA8">
        <w:rPr>
          <w:rFonts w:eastAsia="SimSun"/>
          <w:b w:val="0"/>
        </w:rPr>
        <w:t>These are the necessary</w:t>
      </w:r>
      <w:r w:rsidR="00EF7409" w:rsidRPr="00E03CA8">
        <w:rPr>
          <w:rFonts w:eastAsia="SimSun"/>
          <w:b w:val="0"/>
        </w:rPr>
        <w:t xml:space="preserve"> stages of the vocational rehabilitation pathway </w:t>
      </w:r>
      <w:r w:rsidRPr="00E03CA8">
        <w:rPr>
          <w:rFonts w:eastAsia="SimSun"/>
          <w:b w:val="0"/>
        </w:rPr>
        <w:t>for an</w:t>
      </w:r>
      <w:r>
        <w:rPr>
          <w:rFonts w:eastAsia="Calibri"/>
          <w:b w:val="0"/>
          <w:lang w:val="en-GB"/>
        </w:rPr>
        <w:t xml:space="preserve"> individual with acquired disability and or long term health condition to access</w:t>
      </w:r>
      <w:r w:rsidR="00895C89">
        <w:rPr>
          <w:rFonts w:eastAsia="Calibri"/>
          <w:b w:val="0"/>
          <w:lang w:val="en-GB"/>
        </w:rPr>
        <w:t>.</w:t>
      </w:r>
    </w:p>
    <w:p w14:paraId="7E150A37" w14:textId="77777777" w:rsidR="003200EF" w:rsidRPr="00EF7409" w:rsidRDefault="003200EF" w:rsidP="00534A92">
      <w:pPr>
        <w:rPr>
          <w:lang w:val="en-GB"/>
        </w:rPr>
      </w:pPr>
    </w:p>
    <w:tbl>
      <w:tblPr>
        <w:tblW w:w="7230" w:type="dxa"/>
        <w:tblInd w:w="557" w:type="dxa"/>
        <w:tblLook w:val="04A0" w:firstRow="1" w:lastRow="0" w:firstColumn="1" w:lastColumn="0" w:noHBand="0" w:noVBand="1"/>
      </w:tblPr>
      <w:tblGrid>
        <w:gridCol w:w="1985"/>
        <w:gridCol w:w="5245"/>
      </w:tblGrid>
      <w:tr w:rsidR="003A7601" w:rsidRPr="006E6BDD" w14:paraId="68051B55" w14:textId="77777777" w:rsidTr="00296814">
        <w:trPr>
          <w:cantSplit/>
          <w:trHeight w:val="454"/>
          <w:tblHeader/>
        </w:trPr>
        <w:tc>
          <w:tcPr>
            <w:tcW w:w="1985" w:type="dxa"/>
            <w:tcBorders>
              <w:top w:val="single" w:sz="8" w:space="0" w:color="auto"/>
              <w:left w:val="single" w:sz="8" w:space="0" w:color="auto"/>
              <w:bottom w:val="single" w:sz="4" w:space="0" w:color="auto"/>
              <w:right w:val="single" w:sz="8" w:space="0" w:color="auto"/>
            </w:tcBorders>
            <w:shd w:val="clear" w:color="auto" w:fill="E7E6E6" w:themeFill="background2"/>
          </w:tcPr>
          <w:p w14:paraId="0835E116" w14:textId="77777777" w:rsidR="003A7601" w:rsidRPr="00296814" w:rsidRDefault="003A7601" w:rsidP="00296814">
            <w:pPr>
              <w:keepNext/>
              <w:spacing w:after="0"/>
              <w:rPr>
                <w:b/>
                <w:bCs/>
                <w:color w:val="000000"/>
                <w:sz w:val="24"/>
                <w:lang w:eastAsia="en-GB"/>
              </w:rPr>
            </w:pPr>
            <w:r w:rsidRPr="00296814">
              <w:rPr>
                <w:b/>
                <w:bCs/>
                <w:color w:val="000000"/>
                <w:sz w:val="24"/>
                <w:lang w:eastAsia="en-GB"/>
              </w:rPr>
              <w:t>Stage o</w:t>
            </w:r>
            <w:r w:rsidR="00296814" w:rsidRPr="00296814">
              <w:rPr>
                <w:b/>
                <w:bCs/>
                <w:color w:val="000000"/>
                <w:sz w:val="24"/>
                <w:lang w:eastAsia="en-GB"/>
              </w:rPr>
              <w:t>f</w:t>
            </w:r>
            <w:r w:rsidRPr="00296814">
              <w:rPr>
                <w:b/>
                <w:bCs/>
                <w:color w:val="000000"/>
                <w:sz w:val="24"/>
                <w:lang w:eastAsia="en-GB"/>
              </w:rPr>
              <w:t xml:space="preserve"> pathway</w:t>
            </w:r>
          </w:p>
        </w:tc>
        <w:tc>
          <w:tcPr>
            <w:tcW w:w="5245"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1608BB46" w14:textId="77777777" w:rsidR="003A7601" w:rsidRPr="00296814" w:rsidRDefault="003A7601" w:rsidP="00916118">
            <w:pPr>
              <w:keepNext/>
              <w:spacing w:after="0"/>
              <w:jc w:val="center"/>
              <w:rPr>
                <w:b/>
                <w:bCs/>
                <w:color w:val="000000"/>
                <w:sz w:val="24"/>
                <w:lang w:val="en-GB" w:eastAsia="en-GB"/>
              </w:rPr>
            </w:pPr>
            <w:r w:rsidRPr="00296814">
              <w:rPr>
                <w:b/>
                <w:bCs/>
                <w:color w:val="000000"/>
                <w:sz w:val="24"/>
                <w:lang w:eastAsia="en-GB"/>
              </w:rPr>
              <w:t>Components</w:t>
            </w:r>
          </w:p>
        </w:tc>
      </w:tr>
      <w:tr w:rsidR="003A7601" w:rsidRPr="006E6BDD" w14:paraId="423CFEC3" w14:textId="77777777" w:rsidTr="00296814">
        <w:trPr>
          <w:trHeight w:val="454"/>
        </w:trPr>
        <w:tc>
          <w:tcPr>
            <w:tcW w:w="1985" w:type="dxa"/>
            <w:vMerge w:val="restart"/>
            <w:tcBorders>
              <w:top w:val="single" w:sz="4" w:space="0" w:color="auto"/>
              <w:left w:val="single" w:sz="4" w:space="0" w:color="auto"/>
              <w:right w:val="single" w:sz="4" w:space="0" w:color="auto"/>
            </w:tcBorders>
            <w:shd w:val="clear" w:color="auto" w:fill="auto"/>
            <w:vAlign w:val="center"/>
          </w:tcPr>
          <w:p w14:paraId="26F680D8" w14:textId="77777777" w:rsidR="003A7601" w:rsidRPr="006E6BDD" w:rsidRDefault="003A7601" w:rsidP="00916118">
            <w:pPr>
              <w:keepNext/>
              <w:spacing w:after="0"/>
              <w:rPr>
                <w:color w:val="000000"/>
                <w:sz w:val="24"/>
                <w:lang w:eastAsia="en-GB"/>
              </w:rPr>
            </w:pPr>
            <w:r w:rsidRPr="006E6BDD">
              <w:rPr>
                <w:bCs/>
                <w:color w:val="000000"/>
                <w:sz w:val="24"/>
                <w:lang w:val="en-GB" w:eastAsia="en-GB"/>
              </w:rPr>
              <w:t>Assessment &amp; Evaluation</w:t>
            </w: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59B9A6B3" w14:textId="77777777" w:rsidR="003A7601" w:rsidRPr="006E6BDD" w:rsidRDefault="003A7601" w:rsidP="00916118">
            <w:pPr>
              <w:keepNext/>
              <w:spacing w:after="0"/>
              <w:rPr>
                <w:color w:val="000000"/>
                <w:sz w:val="24"/>
                <w:lang w:val="en-GB" w:eastAsia="en-GB"/>
              </w:rPr>
            </w:pPr>
            <w:r w:rsidRPr="006E6BDD">
              <w:rPr>
                <w:color w:val="000000"/>
                <w:sz w:val="24"/>
                <w:lang w:eastAsia="en-GB"/>
              </w:rPr>
              <w:t>Vocational Assessment</w:t>
            </w:r>
          </w:p>
        </w:tc>
      </w:tr>
      <w:tr w:rsidR="003A7601" w:rsidRPr="006E6BDD" w14:paraId="1DD5DC7B" w14:textId="77777777" w:rsidTr="00296814">
        <w:trPr>
          <w:trHeight w:val="454"/>
        </w:trPr>
        <w:tc>
          <w:tcPr>
            <w:tcW w:w="1985" w:type="dxa"/>
            <w:vMerge/>
            <w:tcBorders>
              <w:left w:val="single" w:sz="4" w:space="0" w:color="auto"/>
              <w:right w:val="single" w:sz="4" w:space="0" w:color="auto"/>
            </w:tcBorders>
            <w:shd w:val="clear" w:color="auto" w:fill="auto"/>
            <w:vAlign w:val="center"/>
          </w:tcPr>
          <w:p w14:paraId="39066199"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44DAED7E" w14:textId="77777777" w:rsidR="003A7601" w:rsidRPr="006E6BDD" w:rsidRDefault="003A7601" w:rsidP="00916118">
            <w:pPr>
              <w:spacing w:after="0"/>
              <w:rPr>
                <w:color w:val="000000"/>
                <w:sz w:val="24"/>
                <w:lang w:val="en-GB" w:eastAsia="en-GB"/>
              </w:rPr>
            </w:pPr>
            <w:r w:rsidRPr="006E6BDD">
              <w:rPr>
                <w:color w:val="000000"/>
                <w:sz w:val="24"/>
                <w:lang w:eastAsia="en-GB"/>
              </w:rPr>
              <w:t>Functional Capacity Evaluation</w:t>
            </w:r>
          </w:p>
        </w:tc>
      </w:tr>
      <w:tr w:rsidR="003A7601" w:rsidRPr="006E6BDD" w14:paraId="6D28EFF4" w14:textId="77777777" w:rsidTr="00296814">
        <w:trPr>
          <w:trHeight w:val="454"/>
        </w:trPr>
        <w:tc>
          <w:tcPr>
            <w:tcW w:w="1985" w:type="dxa"/>
            <w:vMerge/>
            <w:tcBorders>
              <w:left w:val="single" w:sz="4" w:space="0" w:color="auto"/>
              <w:right w:val="single" w:sz="4" w:space="0" w:color="auto"/>
            </w:tcBorders>
            <w:shd w:val="clear" w:color="auto" w:fill="auto"/>
            <w:vAlign w:val="center"/>
          </w:tcPr>
          <w:p w14:paraId="30782F21"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0DB4D3AB" w14:textId="77777777" w:rsidR="003A7601" w:rsidRPr="006E6BDD" w:rsidRDefault="003A7601" w:rsidP="00916118">
            <w:pPr>
              <w:spacing w:after="0"/>
              <w:rPr>
                <w:color w:val="000000"/>
                <w:sz w:val="24"/>
                <w:lang w:val="en-GB" w:eastAsia="en-GB"/>
              </w:rPr>
            </w:pPr>
            <w:r w:rsidRPr="006E6BDD">
              <w:rPr>
                <w:color w:val="000000"/>
                <w:sz w:val="24"/>
                <w:lang w:eastAsia="en-GB"/>
              </w:rPr>
              <w:t>Job/Person matching</w:t>
            </w:r>
          </w:p>
        </w:tc>
      </w:tr>
      <w:tr w:rsidR="003A7601" w:rsidRPr="006E6BDD" w14:paraId="5F882BCB" w14:textId="77777777" w:rsidTr="00296814">
        <w:trPr>
          <w:trHeight w:val="454"/>
        </w:trPr>
        <w:tc>
          <w:tcPr>
            <w:tcW w:w="1985" w:type="dxa"/>
            <w:vMerge/>
            <w:tcBorders>
              <w:left w:val="single" w:sz="4" w:space="0" w:color="auto"/>
              <w:bottom w:val="single" w:sz="4" w:space="0" w:color="auto"/>
              <w:right w:val="single" w:sz="4" w:space="0" w:color="auto"/>
            </w:tcBorders>
            <w:shd w:val="clear" w:color="auto" w:fill="auto"/>
            <w:vAlign w:val="center"/>
          </w:tcPr>
          <w:p w14:paraId="568A639E"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161C8788" w14:textId="77777777" w:rsidR="003A7601" w:rsidRPr="006E6BDD" w:rsidRDefault="003A7601" w:rsidP="00916118">
            <w:pPr>
              <w:spacing w:after="0"/>
              <w:rPr>
                <w:color w:val="000000"/>
                <w:sz w:val="24"/>
                <w:lang w:val="en-GB" w:eastAsia="en-GB"/>
              </w:rPr>
            </w:pPr>
            <w:r w:rsidRPr="006E6BDD">
              <w:rPr>
                <w:color w:val="000000"/>
                <w:sz w:val="24"/>
                <w:lang w:eastAsia="en-GB"/>
              </w:rPr>
              <w:t>Work sampling or on the job assessment</w:t>
            </w:r>
          </w:p>
        </w:tc>
      </w:tr>
      <w:tr w:rsidR="003A7601" w:rsidRPr="006E6BDD" w14:paraId="786A3B40" w14:textId="77777777" w:rsidTr="00296814">
        <w:trPr>
          <w:cantSplit/>
          <w:trHeight w:val="454"/>
        </w:trPr>
        <w:tc>
          <w:tcPr>
            <w:tcW w:w="1985" w:type="dxa"/>
            <w:vMerge w:val="restart"/>
            <w:tcBorders>
              <w:top w:val="single" w:sz="4" w:space="0" w:color="auto"/>
              <w:left w:val="single" w:sz="4" w:space="0" w:color="auto"/>
              <w:right w:val="single" w:sz="4" w:space="0" w:color="auto"/>
            </w:tcBorders>
            <w:shd w:val="clear" w:color="auto" w:fill="auto"/>
            <w:vAlign w:val="center"/>
          </w:tcPr>
          <w:p w14:paraId="0604FE37" w14:textId="77777777" w:rsidR="003A7601" w:rsidRPr="006E6BDD" w:rsidRDefault="003A7601" w:rsidP="00916118">
            <w:pPr>
              <w:spacing w:after="0"/>
              <w:rPr>
                <w:color w:val="000000"/>
                <w:sz w:val="24"/>
                <w:lang w:eastAsia="en-GB"/>
              </w:rPr>
            </w:pPr>
            <w:r w:rsidRPr="006E6BDD">
              <w:rPr>
                <w:bCs/>
                <w:color w:val="000000"/>
                <w:sz w:val="24"/>
                <w:lang w:val="en-GB" w:eastAsia="en-GB"/>
              </w:rPr>
              <w:t>Advice &amp; Guidance</w:t>
            </w: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089933F0" w14:textId="77777777" w:rsidR="003A7601" w:rsidRPr="006E6BDD" w:rsidRDefault="003A7601" w:rsidP="00916118">
            <w:pPr>
              <w:spacing w:after="0"/>
              <w:rPr>
                <w:color w:val="000000"/>
                <w:sz w:val="24"/>
                <w:lang w:val="en-GB" w:eastAsia="en-GB"/>
              </w:rPr>
            </w:pPr>
            <w:r w:rsidRPr="006E6BDD">
              <w:rPr>
                <w:color w:val="000000"/>
                <w:sz w:val="24"/>
                <w:lang w:eastAsia="en-GB"/>
              </w:rPr>
              <w:t>Information &amp; Advice about Vocational Rehabilitation</w:t>
            </w:r>
          </w:p>
        </w:tc>
      </w:tr>
      <w:tr w:rsidR="003A7601" w:rsidRPr="006E6BDD" w14:paraId="3458DD9E" w14:textId="77777777" w:rsidTr="00296814">
        <w:trPr>
          <w:cantSplit/>
          <w:trHeight w:val="454"/>
        </w:trPr>
        <w:tc>
          <w:tcPr>
            <w:tcW w:w="1985" w:type="dxa"/>
            <w:vMerge/>
            <w:tcBorders>
              <w:left w:val="single" w:sz="4" w:space="0" w:color="auto"/>
              <w:bottom w:val="single" w:sz="4" w:space="0" w:color="auto"/>
              <w:right w:val="single" w:sz="4" w:space="0" w:color="auto"/>
            </w:tcBorders>
            <w:shd w:val="clear" w:color="auto" w:fill="auto"/>
            <w:vAlign w:val="center"/>
          </w:tcPr>
          <w:p w14:paraId="1E7007E1"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4AEAFF81" w14:textId="77777777" w:rsidR="003A7601" w:rsidRPr="006E6BDD" w:rsidRDefault="003A7601" w:rsidP="00916118">
            <w:pPr>
              <w:spacing w:after="0"/>
              <w:rPr>
                <w:color w:val="000000"/>
                <w:sz w:val="24"/>
                <w:lang w:val="en-GB" w:eastAsia="en-GB"/>
              </w:rPr>
            </w:pPr>
            <w:r w:rsidRPr="006E6BDD">
              <w:rPr>
                <w:color w:val="000000"/>
                <w:sz w:val="24"/>
                <w:lang w:eastAsia="en-GB"/>
              </w:rPr>
              <w:t>Guidance &amp; Counselling</w:t>
            </w:r>
          </w:p>
        </w:tc>
      </w:tr>
      <w:tr w:rsidR="003A7601" w:rsidRPr="006E6BDD" w14:paraId="137FC45C" w14:textId="77777777" w:rsidTr="00296814">
        <w:trPr>
          <w:cantSplit/>
          <w:trHeight w:val="454"/>
        </w:trPr>
        <w:tc>
          <w:tcPr>
            <w:tcW w:w="1985" w:type="dxa"/>
            <w:vMerge w:val="restart"/>
            <w:tcBorders>
              <w:top w:val="single" w:sz="4" w:space="0" w:color="auto"/>
              <w:left w:val="single" w:sz="4" w:space="0" w:color="auto"/>
              <w:right w:val="single" w:sz="4" w:space="0" w:color="auto"/>
            </w:tcBorders>
            <w:shd w:val="clear" w:color="auto" w:fill="auto"/>
            <w:vAlign w:val="center"/>
          </w:tcPr>
          <w:p w14:paraId="503AC380" w14:textId="77777777" w:rsidR="003A7601" w:rsidRPr="006E6BDD" w:rsidRDefault="003A7601" w:rsidP="00916118">
            <w:pPr>
              <w:spacing w:after="0"/>
              <w:rPr>
                <w:color w:val="000000"/>
                <w:sz w:val="24"/>
                <w:lang w:eastAsia="en-GB"/>
              </w:rPr>
            </w:pPr>
            <w:r w:rsidRPr="006E6BDD">
              <w:rPr>
                <w:bCs/>
                <w:color w:val="000000"/>
                <w:sz w:val="24"/>
                <w:lang w:val="en-GB" w:eastAsia="en-GB"/>
              </w:rPr>
              <w:t>Vocational Education &amp; Training</w:t>
            </w: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796ADBD0" w14:textId="77777777" w:rsidR="003A7601" w:rsidRPr="006E6BDD" w:rsidRDefault="003A7601" w:rsidP="00916118">
            <w:pPr>
              <w:spacing w:after="0"/>
              <w:rPr>
                <w:color w:val="000000"/>
                <w:sz w:val="24"/>
                <w:lang w:val="en-GB" w:eastAsia="en-GB"/>
              </w:rPr>
            </w:pPr>
            <w:r w:rsidRPr="006E6BDD">
              <w:rPr>
                <w:color w:val="000000"/>
                <w:sz w:val="24"/>
                <w:lang w:eastAsia="en-GB"/>
              </w:rPr>
              <w:t>Specialised Vocational Education/Training</w:t>
            </w:r>
          </w:p>
        </w:tc>
      </w:tr>
      <w:tr w:rsidR="003A7601" w:rsidRPr="006E6BDD" w14:paraId="358F8546" w14:textId="77777777" w:rsidTr="00296814">
        <w:trPr>
          <w:trHeight w:val="454"/>
        </w:trPr>
        <w:tc>
          <w:tcPr>
            <w:tcW w:w="1985" w:type="dxa"/>
            <w:vMerge/>
            <w:tcBorders>
              <w:left w:val="single" w:sz="4" w:space="0" w:color="auto"/>
              <w:bottom w:val="single" w:sz="4" w:space="0" w:color="auto"/>
              <w:right w:val="single" w:sz="4" w:space="0" w:color="auto"/>
            </w:tcBorders>
            <w:shd w:val="clear" w:color="auto" w:fill="auto"/>
          </w:tcPr>
          <w:p w14:paraId="279CB266"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4174B6A4" w14:textId="77777777" w:rsidR="003A7601" w:rsidRPr="006E6BDD" w:rsidRDefault="003A7601" w:rsidP="00916118">
            <w:pPr>
              <w:spacing w:after="0"/>
              <w:rPr>
                <w:color w:val="000000"/>
                <w:sz w:val="24"/>
                <w:lang w:val="en-GB" w:eastAsia="en-GB"/>
              </w:rPr>
            </w:pPr>
            <w:r w:rsidRPr="006E6BDD">
              <w:rPr>
                <w:color w:val="000000"/>
                <w:sz w:val="24"/>
                <w:lang w:eastAsia="en-GB"/>
              </w:rPr>
              <w:t>Pre Vocational Training</w:t>
            </w:r>
          </w:p>
        </w:tc>
      </w:tr>
      <w:tr w:rsidR="003A7601" w:rsidRPr="006E6BDD" w14:paraId="65A5DC10" w14:textId="77777777" w:rsidTr="00296814">
        <w:trPr>
          <w:trHeight w:val="454"/>
        </w:trPr>
        <w:tc>
          <w:tcPr>
            <w:tcW w:w="1985" w:type="dxa"/>
            <w:vMerge w:val="restart"/>
            <w:tcBorders>
              <w:top w:val="single" w:sz="4" w:space="0" w:color="auto"/>
              <w:left w:val="single" w:sz="4" w:space="0" w:color="auto"/>
              <w:right w:val="single" w:sz="4" w:space="0" w:color="auto"/>
            </w:tcBorders>
            <w:shd w:val="clear" w:color="auto" w:fill="auto"/>
            <w:vAlign w:val="center"/>
          </w:tcPr>
          <w:p w14:paraId="5DF8A425" w14:textId="77777777" w:rsidR="003A7601" w:rsidRPr="006E6BDD" w:rsidRDefault="003A7601" w:rsidP="00916118">
            <w:pPr>
              <w:spacing w:after="0"/>
              <w:rPr>
                <w:color w:val="000000"/>
                <w:sz w:val="24"/>
                <w:lang w:eastAsia="en-GB"/>
              </w:rPr>
            </w:pPr>
            <w:r w:rsidRPr="006E6BDD">
              <w:rPr>
                <w:bCs/>
                <w:color w:val="000000"/>
                <w:sz w:val="24"/>
                <w:lang w:val="en-GB" w:eastAsia="en-GB"/>
              </w:rPr>
              <w:t>Health &amp; Wellbeing Support</w:t>
            </w: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26BE17DA" w14:textId="77777777" w:rsidR="003A7601" w:rsidRPr="006E6BDD" w:rsidRDefault="003A7601" w:rsidP="00916118">
            <w:pPr>
              <w:spacing w:after="0"/>
              <w:rPr>
                <w:color w:val="000000"/>
                <w:sz w:val="24"/>
                <w:lang w:val="en-GB" w:eastAsia="en-GB"/>
              </w:rPr>
            </w:pPr>
            <w:r w:rsidRPr="006E6BDD">
              <w:rPr>
                <w:color w:val="000000"/>
                <w:sz w:val="24"/>
                <w:lang w:eastAsia="en-GB"/>
              </w:rPr>
              <w:t>Psychological Supports</w:t>
            </w:r>
          </w:p>
        </w:tc>
      </w:tr>
      <w:tr w:rsidR="003A7601" w:rsidRPr="006E6BDD" w14:paraId="4E100907" w14:textId="77777777" w:rsidTr="00296814">
        <w:trPr>
          <w:trHeight w:val="454"/>
        </w:trPr>
        <w:tc>
          <w:tcPr>
            <w:tcW w:w="1985" w:type="dxa"/>
            <w:vMerge/>
            <w:tcBorders>
              <w:left w:val="single" w:sz="4" w:space="0" w:color="auto"/>
              <w:bottom w:val="single" w:sz="4" w:space="0" w:color="auto"/>
              <w:right w:val="single" w:sz="4" w:space="0" w:color="auto"/>
            </w:tcBorders>
            <w:shd w:val="clear" w:color="auto" w:fill="auto"/>
          </w:tcPr>
          <w:p w14:paraId="26F831CC"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1A9B2CBD" w14:textId="77777777" w:rsidR="003A7601" w:rsidRPr="006E6BDD" w:rsidRDefault="003A7601" w:rsidP="00916118">
            <w:pPr>
              <w:spacing w:after="0"/>
              <w:rPr>
                <w:color w:val="000000"/>
                <w:sz w:val="24"/>
                <w:lang w:val="en-GB" w:eastAsia="en-GB"/>
              </w:rPr>
            </w:pPr>
            <w:r w:rsidRPr="006E6BDD">
              <w:rPr>
                <w:color w:val="000000"/>
                <w:sz w:val="24"/>
                <w:lang w:eastAsia="en-GB"/>
              </w:rPr>
              <w:t>Physical/Functional capacity building</w:t>
            </w:r>
            <w:r>
              <w:rPr>
                <w:color w:val="000000"/>
                <w:sz w:val="24"/>
                <w:lang w:eastAsia="en-GB"/>
              </w:rPr>
              <w:t xml:space="preserve"> for individual</w:t>
            </w:r>
          </w:p>
        </w:tc>
      </w:tr>
      <w:tr w:rsidR="003A7601" w:rsidRPr="006E6BDD" w14:paraId="746E70EF" w14:textId="77777777" w:rsidTr="00296814">
        <w:trPr>
          <w:trHeight w:val="454"/>
        </w:trPr>
        <w:tc>
          <w:tcPr>
            <w:tcW w:w="1985" w:type="dxa"/>
            <w:vMerge w:val="restart"/>
            <w:tcBorders>
              <w:top w:val="single" w:sz="4" w:space="0" w:color="auto"/>
              <w:left w:val="single" w:sz="4" w:space="0" w:color="auto"/>
              <w:right w:val="single" w:sz="4" w:space="0" w:color="auto"/>
            </w:tcBorders>
            <w:shd w:val="clear" w:color="auto" w:fill="auto"/>
            <w:vAlign w:val="center"/>
          </w:tcPr>
          <w:p w14:paraId="58373E7D" w14:textId="77777777" w:rsidR="003A7601" w:rsidRPr="006E6BDD" w:rsidRDefault="003A7601" w:rsidP="00916118">
            <w:pPr>
              <w:spacing w:after="0"/>
              <w:rPr>
                <w:color w:val="000000"/>
                <w:sz w:val="24"/>
                <w:lang w:eastAsia="en-GB"/>
              </w:rPr>
            </w:pPr>
            <w:r w:rsidRPr="006E6BDD">
              <w:rPr>
                <w:bCs/>
                <w:color w:val="000000"/>
                <w:sz w:val="24"/>
                <w:lang w:val="en-GB" w:eastAsia="en-GB"/>
              </w:rPr>
              <w:t>On the Job Support</w:t>
            </w: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5A651F4B" w14:textId="77777777" w:rsidR="003A7601" w:rsidRPr="006E6BDD" w:rsidRDefault="003A7601" w:rsidP="00916118">
            <w:pPr>
              <w:spacing w:after="0"/>
              <w:rPr>
                <w:color w:val="000000"/>
                <w:sz w:val="24"/>
                <w:lang w:val="en-GB" w:eastAsia="en-GB"/>
              </w:rPr>
            </w:pPr>
            <w:r w:rsidRPr="006E6BDD">
              <w:rPr>
                <w:color w:val="000000"/>
                <w:sz w:val="24"/>
                <w:lang w:eastAsia="en-GB"/>
              </w:rPr>
              <w:t>Job Coaching</w:t>
            </w:r>
          </w:p>
        </w:tc>
      </w:tr>
      <w:tr w:rsidR="003A7601" w:rsidRPr="006E6BDD" w14:paraId="08C69BBF" w14:textId="77777777" w:rsidTr="00296814">
        <w:trPr>
          <w:trHeight w:val="454"/>
        </w:trPr>
        <w:tc>
          <w:tcPr>
            <w:tcW w:w="1985" w:type="dxa"/>
            <w:vMerge/>
            <w:tcBorders>
              <w:left w:val="single" w:sz="4" w:space="0" w:color="auto"/>
              <w:right w:val="single" w:sz="4" w:space="0" w:color="auto"/>
            </w:tcBorders>
            <w:shd w:val="clear" w:color="auto" w:fill="auto"/>
          </w:tcPr>
          <w:p w14:paraId="4BEF8838"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3F49AEE0" w14:textId="77777777" w:rsidR="003A7601" w:rsidRPr="006E6BDD" w:rsidRDefault="003A7601" w:rsidP="00916118">
            <w:pPr>
              <w:spacing w:after="0"/>
              <w:rPr>
                <w:color w:val="000000"/>
                <w:sz w:val="24"/>
                <w:lang w:val="en-GB" w:eastAsia="en-GB"/>
              </w:rPr>
            </w:pPr>
            <w:r w:rsidRPr="006E6BDD">
              <w:rPr>
                <w:color w:val="000000"/>
                <w:sz w:val="24"/>
                <w:lang w:eastAsia="en-GB"/>
              </w:rPr>
              <w:t>Supported Employment</w:t>
            </w:r>
          </w:p>
        </w:tc>
      </w:tr>
      <w:tr w:rsidR="003A7601" w:rsidRPr="006E6BDD" w14:paraId="33937AE0" w14:textId="77777777" w:rsidTr="00296814">
        <w:trPr>
          <w:trHeight w:val="454"/>
        </w:trPr>
        <w:tc>
          <w:tcPr>
            <w:tcW w:w="1985" w:type="dxa"/>
            <w:vMerge/>
            <w:tcBorders>
              <w:left w:val="single" w:sz="4" w:space="0" w:color="auto"/>
              <w:bottom w:val="single" w:sz="4" w:space="0" w:color="auto"/>
              <w:right w:val="single" w:sz="4" w:space="0" w:color="auto"/>
            </w:tcBorders>
            <w:shd w:val="clear" w:color="auto" w:fill="auto"/>
          </w:tcPr>
          <w:p w14:paraId="4651B618"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47C38A0A" w14:textId="77777777" w:rsidR="003A7601" w:rsidRPr="006E6BDD" w:rsidRDefault="003A7601" w:rsidP="00916118">
            <w:pPr>
              <w:spacing w:after="0"/>
              <w:rPr>
                <w:color w:val="000000"/>
                <w:sz w:val="24"/>
                <w:lang w:val="en-GB" w:eastAsia="en-GB"/>
              </w:rPr>
            </w:pPr>
            <w:r w:rsidRPr="006E6BDD">
              <w:rPr>
                <w:color w:val="000000"/>
                <w:sz w:val="24"/>
                <w:lang w:eastAsia="en-GB"/>
              </w:rPr>
              <w:t>Job search and placement services</w:t>
            </w:r>
          </w:p>
        </w:tc>
      </w:tr>
      <w:tr w:rsidR="003A7601" w:rsidRPr="006E6BDD" w14:paraId="66DDAB57" w14:textId="77777777" w:rsidTr="00296814">
        <w:trPr>
          <w:trHeight w:val="454"/>
        </w:trPr>
        <w:tc>
          <w:tcPr>
            <w:tcW w:w="1985" w:type="dxa"/>
            <w:vMerge w:val="restart"/>
            <w:tcBorders>
              <w:top w:val="single" w:sz="4" w:space="0" w:color="auto"/>
              <w:left w:val="single" w:sz="4" w:space="0" w:color="auto"/>
              <w:right w:val="single" w:sz="4" w:space="0" w:color="auto"/>
            </w:tcBorders>
            <w:shd w:val="clear" w:color="auto" w:fill="auto"/>
            <w:vAlign w:val="center"/>
          </w:tcPr>
          <w:p w14:paraId="3BDDA3AA" w14:textId="77777777" w:rsidR="003A7601" w:rsidRPr="006E6BDD" w:rsidRDefault="003A7601" w:rsidP="00916118">
            <w:pPr>
              <w:spacing w:after="0"/>
              <w:rPr>
                <w:color w:val="000000"/>
                <w:sz w:val="24"/>
                <w:lang w:eastAsia="en-GB"/>
              </w:rPr>
            </w:pPr>
            <w:r w:rsidRPr="006E6BDD">
              <w:rPr>
                <w:bCs/>
                <w:color w:val="000000"/>
                <w:sz w:val="24"/>
                <w:lang w:val="en-GB" w:eastAsia="en-GB"/>
              </w:rPr>
              <w:t>Adaptations &amp; Technologies</w:t>
            </w: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40DC84C1" w14:textId="77777777" w:rsidR="003A7601" w:rsidRPr="006E6BDD" w:rsidRDefault="003A7601" w:rsidP="00916118">
            <w:pPr>
              <w:spacing w:after="0"/>
              <w:rPr>
                <w:color w:val="000000"/>
                <w:sz w:val="24"/>
                <w:lang w:val="en-GB" w:eastAsia="en-GB"/>
              </w:rPr>
            </w:pPr>
            <w:r w:rsidRPr="006E6BDD">
              <w:rPr>
                <w:color w:val="000000"/>
                <w:sz w:val="24"/>
                <w:lang w:eastAsia="en-GB"/>
              </w:rPr>
              <w:t>Workplace Adaptations</w:t>
            </w:r>
          </w:p>
        </w:tc>
      </w:tr>
      <w:tr w:rsidR="003A7601" w:rsidRPr="006E6BDD" w14:paraId="42C365D4" w14:textId="77777777" w:rsidTr="00296814">
        <w:trPr>
          <w:trHeight w:val="454"/>
        </w:trPr>
        <w:tc>
          <w:tcPr>
            <w:tcW w:w="1985" w:type="dxa"/>
            <w:vMerge/>
            <w:tcBorders>
              <w:left w:val="single" w:sz="4" w:space="0" w:color="auto"/>
              <w:right w:val="single" w:sz="4" w:space="0" w:color="auto"/>
            </w:tcBorders>
            <w:shd w:val="clear" w:color="auto" w:fill="auto"/>
          </w:tcPr>
          <w:p w14:paraId="61031088"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4D9E08C6" w14:textId="77777777" w:rsidR="003A7601" w:rsidRPr="006E6BDD" w:rsidRDefault="003A7601" w:rsidP="00916118">
            <w:pPr>
              <w:spacing w:after="0"/>
              <w:rPr>
                <w:color w:val="000000"/>
                <w:sz w:val="24"/>
                <w:lang w:val="en-GB" w:eastAsia="en-GB"/>
              </w:rPr>
            </w:pPr>
            <w:r w:rsidRPr="006E6BDD">
              <w:rPr>
                <w:color w:val="000000"/>
                <w:sz w:val="24"/>
                <w:lang w:eastAsia="en-GB"/>
              </w:rPr>
              <w:t>Assistive technology</w:t>
            </w:r>
          </w:p>
        </w:tc>
      </w:tr>
      <w:tr w:rsidR="003A7601" w:rsidRPr="006E6BDD" w14:paraId="298612F5" w14:textId="77777777" w:rsidTr="00296814">
        <w:trPr>
          <w:trHeight w:val="454"/>
        </w:trPr>
        <w:tc>
          <w:tcPr>
            <w:tcW w:w="1985" w:type="dxa"/>
            <w:vMerge/>
            <w:tcBorders>
              <w:left w:val="single" w:sz="4" w:space="0" w:color="auto"/>
              <w:bottom w:val="single" w:sz="4" w:space="0" w:color="auto"/>
              <w:right w:val="single" w:sz="4" w:space="0" w:color="auto"/>
            </w:tcBorders>
            <w:shd w:val="clear" w:color="auto" w:fill="auto"/>
          </w:tcPr>
          <w:p w14:paraId="5D263DF2" w14:textId="77777777" w:rsidR="003A7601" w:rsidRPr="006E6BDD" w:rsidRDefault="003A7601" w:rsidP="00916118">
            <w:pPr>
              <w:spacing w:after="0"/>
              <w:rPr>
                <w:color w:val="000000"/>
                <w:sz w:val="24"/>
                <w:lang w:eastAsia="en-GB"/>
              </w:rPr>
            </w:pPr>
          </w:p>
        </w:tc>
        <w:tc>
          <w:tcPr>
            <w:tcW w:w="5245" w:type="dxa"/>
            <w:tcBorders>
              <w:top w:val="nil"/>
              <w:left w:val="single" w:sz="4" w:space="0" w:color="auto"/>
              <w:bottom w:val="single" w:sz="8" w:space="0" w:color="auto"/>
              <w:right w:val="single" w:sz="8" w:space="0" w:color="auto"/>
            </w:tcBorders>
            <w:shd w:val="clear" w:color="auto" w:fill="auto"/>
            <w:noWrap/>
            <w:vAlign w:val="center"/>
            <w:hideMark/>
          </w:tcPr>
          <w:p w14:paraId="1F235524" w14:textId="77777777" w:rsidR="003A7601" w:rsidRPr="006E6BDD" w:rsidRDefault="003A7601" w:rsidP="00916118">
            <w:pPr>
              <w:spacing w:after="0"/>
              <w:rPr>
                <w:color w:val="000000"/>
                <w:sz w:val="24"/>
                <w:lang w:val="en-GB" w:eastAsia="en-GB"/>
              </w:rPr>
            </w:pPr>
            <w:r w:rsidRPr="006E6BDD">
              <w:rPr>
                <w:color w:val="000000"/>
                <w:sz w:val="24"/>
                <w:lang w:eastAsia="en-GB"/>
              </w:rPr>
              <w:t>Reasonable Accommodation</w:t>
            </w:r>
          </w:p>
        </w:tc>
      </w:tr>
      <w:tr w:rsidR="003A7601" w:rsidRPr="006E6BDD" w14:paraId="06DA401D" w14:textId="77777777" w:rsidTr="00296814">
        <w:trPr>
          <w:trHeight w:val="454"/>
        </w:trPr>
        <w:tc>
          <w:tcPr>
            <w:tcW w:w="1985" w:type="dxa"/>
            <w:tcBorders>
              <w:top w:val="single" w:sz="4" w:space="0" w:color="auto"/>
              <w:left w:val="single" w:sz="8" w:space="0" w:color="auto"/>
              <w:bottom w:val="single" w:sz="4" w:space="0" w:color="auto"/>
              <w:right w:val="single" w:sz="8" w:space="0" w:color="auto"/>
            </w:tcBorders>
            <w:shd w:val="clear" w:color="auto" w:fill="auto"/>
          </w:tcPr>
          <w:p w14:paraId="1792026B" w14:textId="77777777" w:rsidR="003A7601" w:rsidRPr="006E6BDD" w:rsidRDefault="003A7601" w:rsidP="00916118">
            <w:pPr>
              <w:spacing w:after="0"/>
              <w:rPr>
                <w:color w:val="000000"/>
                <w:sz w:val="24"/>
                <w:lang w:eastAsia="en-GB"/>
              </w:rPr>
            </w:pPr>
            <w:r w:rsidRPr="006E6BDD">
              <w:rPr>
                <w:bCs/>
                <w:color w:val="000000"/>
                <w:sz w:val="24"/>
                <w:lang w:val="en-GB" w:eastAsia="en-GB"/>
              </w:rPr>
              <w:t>Service Coordination</w:t>
            </w:r>
            <w:r w:rsidR="00296814">
              <w:rPr>
                <w:bCs/>
                <w:color w:val="000000"/>
                <w:sz w:val="24"/>
                <w:lang w:val="en-GB" w:eastAsia="en-GB"/>
              </w:rPr>
              <w:t xml:space="preserve"> through pathway</w:t>
            </w:r>
          </w:p>
        </w:tc>
        <w:tc>
          <w:tcPr>
            <w:tcW w:w="5245" w:type="dxa"/>
            <w:tcBorders>
              <w:top w:val="nil"/>
              <w:left w:val="single" w:sz="8" w:space="0" w:color="auto"/>
              <w:bottom w:val="single" w:sz="8" w:space="0" w:color="auto"/>
              <w:right w:val="single" w:sz="8" w:space="0" w:color="auto"/>
            </w:tcBorders>
            <w:shd w:val="clear" w:color="auto" w:fill="auto"/>
            <w:noWrap/>
            <w:vAlign w:val="center"/>
            <w:hideMark/>
          </w:tcPr>
          <w:p w14:paraId="57738C4D" w14:textId="77777777" w:rsidR="003A7601" w:rsidRPr="006E6BDD" w:rsidRDefault="003A7601" w:rsidP="00916118">
            <w:pPr>
              <w:spacing w:after="0"/>
              <w:rPr>
                <w:color w:val="000000"/>
                <w:sz w:val="24"/>
                <w:lang w:val="en-GB" w:eastAsia="en-GB"/>
              </w:rPr>
            </w:pPr>
            <w:r w:rsidRPr="006E6BDD">
              <w:rPr>
                <w:color w:val="000000"/>
                <w:sz w:val="24"/>
                <w:lang w:eastAsia="en-GB"/>
              </w:rPr>
              <w:t>Case management</w:t>
            </w:r>
          </w:p>
        </w:tc>
      </w:tr>
    </w:tbl>
    <w:p w14:paraId="3D96DEC0" w14:textId="2CB43044" w:rsidR="00482DFD" w:rsidRPr="00482DFD" w:rsidRDefault="00482DFD" w:rsidP="00482DFD">
      <w:pPr>
        <w:contextualSpacing/>
        <w:rPr>
          <w:rFonts w:eastAsia="Calibri"/>
          <w:szCs w:val="26"/>
          <w:lang w:val="en-GB"/>
        </w:rPr>
      </w:pPr>
    </w:p>
    <w:p w14:paraId="04B554DC" w14:textId="4D57B90B" w:rsidR="00EE4029" w:rsidRDefault="00C70556" w:rsidP="00C70556">
      <w:pPr>
        <w:contextualSpacing/>
        <w:rPr>
          <w:rFonts w:eastAsia="Calibri"/>
          <w:szCs w:val="26"/>
          <w:lang w:val="en-GB"/>
        </w:rPr>
      </w:pPr>
      <w:r w:rsidRPr="00953D5D">
        <w:rPr>
          <w:rFonts w:eastAsia="Calibri"/>
          <w:szCs w:val="26"/>
          <w:lang w:val="en-GB"/>
        </w:rPr>
        <w:t xml:space="preserve">This </w:t>
      </w:r>
      <w:r>
        <w:rPr>
          <w:rFonts w:eastAsia="Calibri"/>
          <w:szCs w:val="26"/>
          <w:lang w:val="en-GB"/>
        </w:rPr>
        <w:t xml:space="preserve">policy advice </w:t>
      </w:r>
      <w:r w:rsidRPr="00953D5D">
        <w:rPr>
          <w:rFonts w:eastAsia="Calibri"/>
          <w:szCs w:val="26"/>
          <w:lang w:val="en-GB"/>
        </w:rPr>
        <w:t xml:space="preserve">paper outlines in greater detail the basis for these </w:t>
      </w:r>
      <w:r w:rsidR="00317F4A">
        <w:rPr>
          <w:rFonts w:eastAsia="Calibri"/>
          <w:szCs w:val="26"/>
          <w:lang w:val="en-GB"/>
        </w:rPr>
        <w:t>measures</w:t>
      </w:r>
      <w:r w:rsidRPr="00953D5D">
        <w:rPr>
          <w:rFonts w:eastAsia="Calibri"/>
          <w:szCs w:val="26"/>
          <w:lang w:val="en-GB"/>
        </w:rPr>
        <w:t xml:space="preserve">. The NDA suggest that an opportunity exists now to develop a coordinated approach that addresses </w:t>
      </w:r>
      <w:r w:rsidRPr="00953D5D">
        <w:rPr>
          <w:szCs w:val="26"/>
        </w:rPr>
        <w:t>the lack of supports regarding return to work for those with acquired disabilities and long term health conditions. Addressing those support gaps will cease the path to early retirement that acquiring a disability has, in many cases, become.</w:t>
      </w:r>
    </w:p>
    <w:p w14:paraId="3962C146" w14:textId="77777777" w:rsidR="00EE4029" w:rsidRDefault="00EE4029">
      <w:pPr>
        <w:spacing w:after="0"/>
        <w:rPr>
          <w:rFonts w:eastAsia="Calibri"/>
          <w:szCs w:val="26"/>
          <w:lang w:val="en-GB"/>
        </w:rPr>
      </w:pPr>
      <w:r>
        <w:rPr>
          <w:rFonts w:eastAsia="Calibri"/>
          <w:szCs w:val="26"/>
          <w:lang w:val="en-GB"/>
        </w:rPr>
        <w:br w:type="page"/>
      </w:r>
    </w:p>
    <w:p w14:paraId="3B853E16" w14:textId="77777777" w:rsidR="00C70556" w:rsidRPr="00C70556" w:rsidRDefault="00EA234F" w:rsidP="00C70556">
      <w:pPr>
        <w:pStyle w:val="Heading1"/>
        <w:ind w:left="0"/>
      </w:pPr>
      <w:r>
        <w:t>Introduction</w:t>
      </w:r>
    </w:p>
    <w:p w14:paraId="01AB9462" w14:textId="77777777" w:rsidR="00D725AD" w:rsidRDefault="00CE1BE8" w:rsidP="00D725AD">
      <w:pPr>
        <w:rPr>
          <w:szCs w:val="26"/>
        </w:rPr>
      </w:pPr>
      <w:r w:rsidRPr="001A055C">
        <w:rPr>
          <w:szCs w:val="26"/>
        </w:rPr>
        <w:t xml:space="preserve">The National Disability Authority </w:t>
      </w:r>
      <w:r w:rsidR="00D90E9D" w:rsidRPr="001A055C">
        <w:rPr>
          <w:szCs w:val="26"/>
        </w:rPr>
        <w:t xml:space="preserve">(NDA) </w:t>
      </w:r>
      <w:r w:rsidRPr="001A055C">
        <w:rPr>
          <w:szCs w:val="26"/>
        </w:rPr>
        <w:t xml:space="preserve">is the independent state body </w:t>
      </w:r>
      <w:r w:rsidR="00E97D5F" w:rsidRPr="001A055C">
        <w:rPr>
          <w:szCs w:val="26"/>
        </w:rPr>
        <w:t>w</w:t>
      </w:r>
      <w:r w:rsidR="00327A37">
        <w:rPr>
          <w:szCs w:val="26"/>
        </w:rPr>
        <w:t xml:space="preserve">hich provides </w:t>
      </w:r>
      <w:r w:rsidR="00FC585B">
        <w:rPr>
          <w:szCs w:val="26"/>
        </w:rPr>
        <w:t xml:space="preserve">evidence-based </w:t>
      </w:r>
      <w:r w:rsidRPr="001A055C">
        <w:rPr>
          <w:szCs w:val="26"/>
        </w:rPr>
        <w:t xml:space="preserve">advice on disability policy and practice to the government and the public service. </w:t>
      </w:r>
    </w:p>
    <w:p w14:paraId="2E682488" w14:textId="77777777" w:rsidR="00EB07AB" w:rsidRPr="009E5A76" w:rsidRDefault="00D725AD" w:rsidP="002A6800">
      <w:pPr>
        <w:rPr>
          <w:szCs w:val="26"/>
        </w:rPr>
      </w:pPr>
      <w:r>
        <w:rPr>
          <w:szCs w:val="26"/>
        </w:rPr>
        <w:t xml:space="preserve">The purpose of </w:t>
      </w:r>
      <w:r w:rsidR="00327A37">
        <w:rPr>
          <w:szCs w:val="26"/>
        </w:rPr>
        <w:t xml:space="preserve">this paper is to </w:t>
      </w:r>
      <w:r w:rsidR="00B96B2F">
        <w:rPr>
          <w:szCs w:val="26"/>
        </w:rPr>
        <w:t xml:space="preserve">recommend </w:t>
      </w:r>
      <w:r w:rsidR="00327A37">
        <w:rPr>
          <w:szCs w:val="26"/>
        </w:rPr>
        <w:t xml:space="preserve">ways </w:t>
      </w:r>
      <w:r w:rsidR="00FC585B">
        <w:rPr>
          <w:szCs w:val="26"/>
        </w:rPr>
        <w:t>of improving</w:t>
      </w:r>
      <w:r w:rsidR="00327A37">
        <w:rPr>
          <w:szCs w:val="26"/>
        </w:rPr>
        <w:t xml:space="preserve"> the pathways back to sustainable employment for people who leave the workplace as a result of </w:t>
      </w:r>
      <w:r w:rsidR="00B96B2F">
        <w:rPr>
          <w:szCs w:val="26"/>
        </w:rPr>
        <w:t xml:space="preserve">the </w:t>
      </w:r>
      <w:r w:rsidR="00327A37">
        <w:rPr>
          <w:szCs w:val="26"/>
        </w:rPr>
        <w:t>onset of a disability or long-term illness.</w:t>
      </w:r>
      <w:r w:rsidR="00650461">
        <w:rPr>
          <w:rStyle w:val="FootnoteReference"/>
          <w:rFonts w:hint="eastAsia"/>
          <w:szCs w:val="26"/>
        </w:rPr>
        <w:footnoteReference w:id="7"/>
      </w:r>
      <w:r w:rsidR="00327A37">
        <w:rPr>
          <w:szCs w:val="26"/>
        </w:rPr>
        <w:t xml:space="preserve"> </w:t>
      </w:r>
      <w:r w:rsidR="002A6800">
        <w:rPr>
          <w:szCs w:val="26"/>
        </w:rPr>
        <w:t xml:space="preserve">Successive </w:t>
      </w:r>
      <w:r w:rsidR="006F32BC" w:rsidRPr="00B75836">
        <w:rPr>
          <w:szCs w:val="26"/>
        </w:rPr>
        <w:t>Organisation for Economic Cooperation and Developme</w:t>
      </w:r>
      <w:r w:rsidR="006F32BC">
        <w:rPr>
          <w:szCs w:val="26"/>
        </w:rPr>
        <w:t>nt (</w:t>
      </w:r>
      <w:r w:rsidR="002A6800">
        <w:rPr>
          <w:szCs w:val="26"/>
        </w:rPr>
        <w:t>OECD</w:t>
      </w:r>
      <w:r w:rsidR="006F32BC">
        <w:rPr>
          <w:szCs w:val="26"/>
        </w:rPr>
        <w:t>)</w:t>
      </w:r>
      <w:r w:rsidR="002A6800">
        <w:rPr>
          <w:szCs w:val="26"/>
        </w:rPr>
        <w:t xml:space="preserve"> reports, and a</w:t>
      </w:r>
      <w:r w:rsidR="00FC585B">
        <w:rPr>
          <w:szCs w:val="26"/>
        </w:rPr>
        <w:t xml:space="preserve"> 2015</w:t>
      </w:r>
      <w:r w:rsidR="002A6800">
        <w:rPr>
          <w:szCs w:val="26"/>
        </w:rPr>
        <w:t xml:space="preserve"> </w:t>
      </w:r>
      <w:r w:rsidR="00FC585B">
        <w:rPr>
          <w:szCs w:val="26"/>
        </w:rPr>
        <w:t xml:space="preserve">NDA-commissioned </w:t>
      </w:r>
      <w:r w:rsidR="002A6800">
        <w:rPr>
          <w:szCs w:val="26"/>
        </w:rPr>
        <w:t xml:space="preserve">international research study </w:t>
      </w:r>
      <w:r w:rsidR="00FC585B">
        <w:rPr>
          <w:szCs w:val="26"/>
        </w:rPr>
        <w:t>have highlighted</w:t>
      </w:r>
      <w:r w:rsidR="002A6800">
        <w:rPr>
          <w:szCs w:val="26"/>
        </w:rPr>
        <w:t xml:space="preserve"> that Ireland has</w:t>
      </w:r>
      <w:r w:rsidR="00FC585B">
        <w:rPr>
          <w:szCs w:val="26"/>
        </w:rPr>
        <w:t>, at present,</w:t>
      </w:r>
      <w:r w:rsidR="002A6800">
        <w:rPr>
          <w:szCs w:val="26"/>
        </w:rPr>
        <w:t xml:space="preserve"> a </w:t>
      </w:r>
      <w:r w:rsidR="002A6800" w:rsidRPr="001A055C">
        <w:rPr>
          <w:szCs w:val="26"/>
        </w:rPr>
        <w:t>poorly develope</w:t>
      </w:r>
      <w:r w:rsidR="002A6800">
        <w:rPr>
          <w:szCs w:val="26"/>
        </w:rPr>
        <w:t>d vocational rehabilitation</w:t>
      </w:r>
      <w:r w:rsidR="002A6800" w:rsidRPr="001A055C">
        <w:rPr>
          <w:szCs w:val="26"/>
        </w:rPr>
        <w:t xml:space="preserve"> system</w:t>
      </w:r>
      <w:r w:rsidR="00A127F3">
        <w:t>.</w:t>
      </w:r>
      <w:r w:rsidR="00A127F3">
        <w:rPr>
          <w:rStyle w:val="FootnoteReference"/>
          <w:rFonts w:hint="eastAsia"/>
        </w:rPr>
        <w:footnoteReference w:id="8"/>
      </w:r>
      <w:r w:rsidR="00583610">
        <w:t xml:space="preserve"> </w:t>
      </w:r>
    </w:p>
    <w:p w14:paraId="6C4E4056" w14:textId="77777777" w:rsidR="004D2929" w:rsidRDefault="00EA0277" w:rsidP="00EA0277">
      <w:pPr>
        <w:spacing w:line="238" w:lineRule="auto"/>
        <w:rPr>
          <w:rFonts w:eastAsia="Calibri"/>
          <w:szCs w:val="26"/>
          <w:lang w:val="en-GB"/>
        </w:rPr>
      </w:pPr>
      <w:r>
        <w:rPr>
          <w:rFonts w:eastAsia="Calibri"/>
          <w:szCs w:val="26"/>
          <w:lang w:val="en-GB"/>
        </w:rPr>
        <w:t>S</w:t>
      </w:r>
      <w:r w:rsidRPr="005C3D76">
        <w:rPr>
          <w:rFonts w:eastAsia="Calibri"/>
          <w:szCs w:val="26"/>
          <w:lang w:val="en-GB"/>
        </w:rPr>
        <w:t xml:space="preserve">trategic priority 4 </w:t>
      </w:r>
      <w:r>
        <w:rPr>
          <w:rFonts w:eastAsia="Calibri"/>
          <w:szCs w:val="26"/>
          <w:lang w:val="en-GB"/>
        </w:rPr>
        <w:t>of the Comprehensive Employment Strategy for People with Disabilities</w:t>
      </w:r>
      <w:r w:rsidR="003A6462">
        <w:rPr>
          <w:rFonts w:eastAsia="Calibri"/>
          <w:szCs w:val="26"/>
          <w:lang w:val="en-GB"/>
        </w:rPr>
        <w:t xml:space="preserve"> (CES)</w:t>
      </w:r>
      <w:r>
        <w:rPr>
          <w:rFonts w:eastAsia="Calibri"/>
          <w:szCs w:val="26"/>
          <w:lang w:val="en-GB"/>
        </w:rPr>
        <w:t xml:space="preserve"> </w:t>
      </w:r>
      <w:r w:rsidRPr="005C3D76">
        <w:rPr>
          <w:rFonts w:eastAsia="Calibri"/>
          <w:szCs w:val="26"/>
          <w:lang w:val="en-GB"/>
        </w:rPr>
        <w:t xml:space="preserve">is centred </w:t>
      </w:r>
      <w:r w:rsidRPr="00F402F4">
        <w:rPr>
          <w:rFonts w:eastAsia="Calibri"/>
          <w:b/>
          <w:szCs w:val="26"/>
          <w:lang w:val="en-GB"/>
        </w:rPr>
        <w:t>on</w:t>
      </w:r>
      <w:r w:rsidRPr="00F402F4">
        <w:rPr>
          <w:b/>
          <w:szCs w:val="26"/>
        </w:rPr>
        <w:t xml:space="preserve"> </w:t>
      </w:r>
      <w:r w:rsidR="003A6462">
        <w:rPr>
          <w:b/>
          <w:szCs w:val="26"/>
        </w:rPr>
        <w:t>job retention and re-entry to work</w:t>
      </w:r>
      <w:r w:rsidRPr="005C3D76">
        <w:rPr>
          <w:szCs w:val="26"/>
        </w:rPr>
        <w:t>.</w:t>
      </w:r>
      <w:r w:rsidR="00CC5083">
        <w:rPr>
          <w:rStyle w:val="FootnoteReference"/>
          <w:szCs w:val="26"/>
        </w:rPr>
        <w:footnoteReference w:id="9"/>
      </w:r>
      <w:r>
        <w:rPr>
          <w:szCs w:val="26"/>
        </w:rPr>
        <w:t xml:space="preserve"> </w:t>
      </w:r>
      <w:r w:rsidRPr="005C3D76">
        <w:rPr>
          <w:rFonts w:eastAsia="Calibri"/>
          <w:szCs w:val="26"/>
          <w:lang w:val="en-GB"/>
        </w:rPr>
        <w:t>The evidence shows that the likelihood of re-entry to work falls the longer someone has been out of work.</w:t>
      </w:r>
      <w:r w:rsidRPr="005C3D76">
        <w:rPr>
          <w:rStyle w:val="FootnoteReference"/>
          <w:rFonts w:ascii="Gill Sans MT" w:eastAsia="Calibri" w:hAnsi="Gill Sans MT"/>
          <w:sz w:val="26"/>
          <w:szCs w:val="26"/>
          <w:lang w:val="en-GB"/>
        </w:rPr>
        <w:footnoteReference w:id="10"/>
      </w:r>
      <w:r w:rsidRPr="005C3D76">
        <w:rPr>
          <w:rFonts w:eastAsia="Calibri"/>
          <w:szCs w:val="26"/>
          <w:lang w:val="en-GB"/>
        </w:rPr>
        <w:t xml:space="preserve"> Indeed, for many private sector workers, after s</w:t>
      </w:r>
      <w:r>
        <w:rPr>
          <w:rFonts w:eastAsia="Calibri"/>
          <w:szCs w:val="26"/>
          <w:lang w:val="en-GB"/>
        </w:rPr>
        <w:t>ix months, evidence from</w:t>
      </w:r>
      <w:r w:rsidRPr="005C3D76">
        <w:rPr>
          <w:rFonts w:eastAsia="Calibri"/>
          <w:szCs w:val="26"/>
          <w:lang w:val="en-GB"/>
        </w:rPr>
        <w:t xml:space="preserve"> practice suggests there may no longer be a job to return to.</w:t>
      </w:r>
      <w:r w:rsidRPr="005C3D76">
        <w:rPr>
          <w:rStyle w:val="FootnoteReference"/>
          <w:rFonts w:ascii="Gill Sans MT" w:eastAsia="Calibri" w:hAnsi="Gill Sans MT"/>
          <w:sz w:val="26"/>
          <w:szCs w:val="26"/>
          <w:lang w:val="en-GB"/>
        </w:rPr>
        <w:footnoteReference w:id="11"/>
      </w:r>
      <w:r>
        <w:rPr>
          <w:rFonts w:eastAsia="Calibri"/>
          <w:szCs w:val="26"/>
          <w:lang w:val="en-GB"/>
        </w:rPr>
        <w:t xml:space="preserve"> </w:t>
      </w:r>
    </w:p>
    <w:p w14:paraId="1107064D" w14:textId="77777777" w:rsidR="00117772" w:rsidRPr="00EA6E39" w:rsidRDefault="00FB6A9B" w:rsidP="00117772">
      <w:pPr>
        <w:rPr>
          <w:strike/>
          <w:lang w:val="en-GB"/>
        </w:rPr>
      </w:pPr>
      <w:r w:rsidRPr="00EA6E39">
        <w:rPr>
          <w:rFonts w:eastAsia="Calibri"/>
          <w:szCs w:val="26"/>
          <w:lang w:val="en-GB"/>
        </w:rPr>
        <w:t>Under the</w:t>
      </w:r>
      <w:r w:rsidR="0063740C" w:rsidRPr="00EA6E39">
        <w:rPr>
          <w:rFonts w:eastAsia="Calibri"/>
          <w:szCs w:val="26"/>
          <w:lang w:val="en-GB"/>
        </w:rPr>
        <w:t xml:space="preserve"> second three-year action plan of the</w:t>
      </w:r>
      <w:r w:rsidRPr="00EA6E39">
        <w:rPr>
          <w:rFonts w:eastAsia="Calibri"/>
          <w:szCs w:val="26"/>
          <w:lang w:val="en-GB"/>
        </w:rPr>
        <w:t xml:space="preserve"> </w:t>
      </w:r>
      <w:r w:rsidR="00EA0277" w:rsidRPr="00EA6E39">
        <w:rPr>
          <w:rFonts w:eastAsia="Calibri"/>
          <w:szCs w:val="26"/>
          <w:lang w:val="en-GB"/>
        </w:rPr>
        <w:t xml:space="preserve">CES </w:t>
      </w:r>
      <w:r w:rsidRPr="00EA6E39">
        <w:rPr>
          <w:rFonts w:eastAsia="Calibri"/>
          <w:szCs w:val="26"/>
          <w:lang w:val="en-GB"/>
        </w:rPr>
        <w:t>the NDA committed</w:t>
      </w:r>
      <w:r w:rsidR="005835A3" w:rsidRPr="00EA6E39">
        <w:rPr>
          <w:rFonts w:eastAsia="Calibri"/>
          <w:szCs w:val="26"/>
          <w:lang w:val="en-GB"/>
        </w:rPr>
        <w:t xml:space="preserve"> </w:t>
      </w:r>
      <w:r w:rsidR="00EA0277" w:rsidRPr="00EA6E39">
        <w:rPr>
          <w:rFonts w:eastAsia="Calibri"/>
          <w:szCs w:val="26"/>
          <w:lang w:val="en-GB"/>
        </w:rPr>
        <w:t xml:space="preserve">to </w:t>
      </w:r>
      <w:r w:rsidR="00EA0277" w:rsidRPr="00EA6E39">
        <w:rPr>
          <w:szCs w:val="26"/>
        </w:rPr>
        <w:t>‘</w:t>
      </w:r>
      <w:r w:rsidR="00EA0277" w:rsidRPr="009C2D20">
        <w:rPr>
          <w:szCs w:val="26"/>
        </w:rPr>
        <w:t>work with relevant departments to develop policy advice for a national programme</w:t>
      </w:r>
      <w:r w:rsidR="00EA0277" w:rsidRPr="00EA6E39">
        <w:rPr>
          <w:szCs w:val="26"/>
        </w:rPr>
        <w:t xml:space="preserve"> of Vocational Rehabilitation (VR) with due regard to medical/neuro models currently being implemented’. </w:t>
      </w:r>
      <w:r w:rsidR="0051399A" w:rsidRPr="00EA6E39">
        <w:rPr>
          <w:szCs w:val="26"/>
        </w:rPr>
        <w:t xml:space="preserve">To </w:t>
      </w:r>
      <w:r w:rsidR="00117772" w:rsidRPr="00EA6E39">
        <w:rPr>
          <w:szCs w:val="26"/>
        </w:rPr>
        <w:t>that end,</w:t>
      </w:r>
      <w:r w:rsidR="0051399A" w:rsidRPr="00EA6E39">
        <w:rPr>
          <w:szCs w:val="26"/>
        </w:rPr>
        <w:t xml:space="preserve"> </w:t>
      </w:r>
      <w:r w:rsidR="00117772" w:rsidRPr="00EA6E39">
        <w:rPr>
          <w:szCs w:val="26"/>
        </w:rPr>
        <w:t xml:space="preserve">with </w:t>
      </w:r>
      <w:r w:rsidR="0051399A" w:rsidRPr="00EA6E39">
        <w:rPr>
          <w:szCs w:val="26"/>
        </w:rPr>
        <w:t xml:space="preserve">this policy advice paper the NDA </w:t>
      </w:r>
      <w:r w:rsidR="00E76AC4" w:rsidRPr="00EA6E39">
        <w:rPr>
          <w:lang w:val="en-GB"/>
        </w:rPr>
        <w:t>provide</w:t>
      </w:r>
      <w:r w:rsidR="00B16282" w:rsidRPr="00EA6E39">
        <w:rPr>
          <w:lang w:val="en-GB"/>
        </w:rPr>
        <w:t>s</w:t>
      </w:r>
      <w:r w:rsidR="00E76AC4" w:rsidRPr="00EA6E39">
        <w:rPr>
          <w:lang w:val="en-GB"/>
        </w:rPr>
        <w:t xml:space="preserve"> background learning </w:t>
      </w:r>
      <w:r w:rsidR="00C70556" w:rsidRPr="00EA6E39">
        <w:rPr>
          <w:lang w:val="en-GB"/>
        </w:rPr>
        <w:t xml:space="preserve">to </w:t>
      </w:r>
      <w:r w:rsidR="0051399A" w:rsidRPr="00EA6E39">
        <w:rPr>
          <w:lang w:val="en-GB"/>
        </w:rPr>
        <w:t xml:space="preserve">identify elements of current provision, </w:t>
      </w:r>
      <w:r w:rsidR="00C70556" w:rsidRPr="00EA6E39">
        <w:rPr>
          <w:lang w:val="en-GB"/>
        </w:rPr>
        <w:t>while noting gaps in same</w:t>
      </w:r>
      <w:r w:rsidR="00B16282" w:rsidRPr="00EA6E39">
        <w:rPr>
          <w:lang w:val="en-GB"/>
        </w:rPr>
        <w:t xml:space="preserve"> and</w:t>
      </w:r>
      <w:r w:rsidR="0038241E">
        <w:rPr>
          <w:lang w:val="en-GB"/>
        </w:rPr>
        <w:t xml:space="preserve"> advising on mechanisms to address these.</w:t>
      </w:r>
      <w:r w:rsidR="00C70556" w:rsidRPr="00EA6E39">
        <w:rPr>
          <w:lang w:val="en-GB"/>
        </w:rPr>
        <w:t xml:space="preserve"> </w:t>
      </w:r>
      <w:r w:rsidR="0051399A" w:rsidRPr="00EA6E39">
        <w:rPr>
          <w:lang w:val="en-GB"/>
        </w:rPr>
        <w:t xml:space="preserve"> </w:t>
      </w:r>
      <w:r w:rsidR="00C70556" w:rsidRPr="00EA6E39">
        <w:rPr>
          <w:lang w:val="en-GB"/>
        </w:rPr>
        <w:t xml:space="preserve">The </w:t>
      </w:r>
      <w:r w:rsidR="00B16282" w:rsidRPr="00EA6E39">
        <w:rPr>
          <w:lang w:val="en-GB"/>
        </w:rPr>
        <w:t xml:space="preserve">aim of this paper is to guide on the overarching framework for delivering a national programme on vocational rehabilitation, and to support the engagement with departments and other stakeholders on the considerations for implementing same. </w:t>
      </w:r>
    </w:p>
    <w:p w14:paraId="278EF1BC" w14:textId="73AB535C" w:rsidR="00F402F4" w:rsidRPr="00F24D6D" w:rsidRDefault="00FB6A9B" w:rsidP="00F24D6D">
      <w:pPr>
        <w:rPr>
          <w:lang w:val="en-GB"/>
        </w:rPr>
      </w:pPr>
      <w:r>
        <w:rPr>
          <w:szCs w:val="26"/>
        </w:rPr>
        <w:t>The</w:t>
      </w:r>
      <w:r w:rsidR="00EA0277" w:rsidRPr="005C3D76">
        <w:rPr>
          <w:szCs w:val="26"/>
        </w:rPr>
        <w:t xml:space="preserve"> </w:t>
      </w:r>
      <w:r w:rsidR="00DC03A2">
        <w:rPr>
          <w:szCs w:val="26"/>
        </w:rPr>
        <w:t xml:space="preserve">NDA </w:t>
      </w:r>
      <w:r>
        <w:rPr>
          <w:szCs w:val="26"/>
        </w:rPr>
        <w:t>recognises</w:t>
      </w:r>
      <w:r w:rsidR="00EA0277" w:rsidRPr="005C3D76">
        <w:rPr>
          <w:szCs w:val="26"/>
        </w:rPr>
        <w:t xml:space="preserve"> that an effective integrated system of vocational rehabilitation would support greater numbers of people with acquired disabilities or long term health conditions to remain in employment or to return to work, and contribute to increased numbers of people with disabilities in employment</w:t>
      </w:r>
      <w:r w:rsidR="009E5A76">
        <w:rPr>
          <w:szCs w:val="26"/>
        </w:rPr>
        <w:t xml:space="preserve">. </w:t>
      </w:r>
      <w:r w:rsidR="005305BC">
        <w:rPr>
          <w:szCs w:val="26"/>
        </w:rPr>
        <w:t>Therefore a</w:t>
      </w:r>
      <w:r w:rsidR="009E5A76">
        <w:rPr>
          <w:szCs w:val="26"/>
        </w:rPr>
        <w:t xml:space="preserve"> system of </w:t>
      </w:r>
      <w:r w:rsidR="009E5A76">
        <w:t xml:space="preserve">vocational rehabilitation </w:t>
      </w:r>
      <w:r w:rsidR="00D0197B">
        <w:t xml:space="preserve">would effectively </w:t>
      </w:r>
      <w:r w:rsidR="009C2D20">
        <w:t>culminate with a</w:t>
      </w:r>
      <w:r w:rsidR="005835A3">
        <w:t xml:space="preserve"> </w:t>
      </w:r>
      <w:r w:rsidR="009C2D20" w:rsidRPr="009C2D20">
        <w:t xml:space="preserve">decision </w:t>
      </w:r>
      <w:r w:rsidR="00317F4A" w:rsidRPr="009C2D20">
        <w:t>regarding</w:t>
      </w:r>
      <w:r w:rsidR="00317F4A">
        <w:t xml:space="preserve"> the possibility of a</w:t>
      </w:r>
      <w:r w:rsidR="00D0197B">
        <w:t xml:space="preserve"> </w:t>
      </w:r>
      <w:r w:rsidR="009E5A76">
        <w:t xml:space="preserve">return to work </w:t>
      </w:r>
      <w:r w:rsidR="00317F4A">
        <w:t xml:space="preserve">and the steps involved to support that return to work </w:t>
      </w:r>
      <w:r w:rsidR="009E5A76">
        <w:t>or</w:t>
      </w:r>
      <w:r w:rsidR="00A323D1">
        <w:t>, if not,</w:t>
      </w:r>
      <w:r w:rsidR="009E5A76">
        <w:t xml:space="preserve"> </w:t>
      </w:r>
      <w:r w:rsidR="00317F4A">
        <w:t xml:space="preserve">the </w:t>
      </w:r>
      <w:r w:rsidR="009E5A76">
        <w:t xml:space="preserve">progression to </w:t>
      </w:r>
      <w:r w:rsidR="009E5A76" w:rsidRPr="00427873">
        <w:t>a disability pension</w:t>
      </w:r>
      <w:r w:rsidR="009E5A76">
        <w:t xml:space="preserve">. </w:t>
      </w:r>
    </w:p>
    <w:p w14:paraId="71B6F5C9" w14:textId="69270B4E" w:rsidR="00F24D6D" w:rsidRPr="00F24D6D" w:rsidRDefault="00583610" w:rsidP="00F24D6D">
      <w:pPr>
        <w:spacing w:after="0"/>
        <w:rPr>
          <w:rFonts w:eastAsia="Calibri"/>
          <w:szCs w:val="26"/>
          <w:lang w:val="en-GB"/>
        </w:rPr>
      </w:pPr>
      <w:r>
        <w:rPr>
          <w:rFonts w:eastAsia="Calibri"/>
          <w:szCs w:val="26"/>
          <w:lang w:val="en-GB"/>
        </w:rPr>
        <w:t>The</w:t>
      </w:r>
      <w:r w:rsidR="004D2929">
        <w:rPr>
          <w:rFonts w:eastAsia="Calibri"/>
          <w:szCs w:val="26"/>
          <w:lang w:val="en-GB"/>
        </w:rPr>
        <w:t xml:space="preserve"> </w:t>
      </w:r>
      <w:r w:rsidR="00C52B39">
        <w:rPr>
          <w:rFonts w:eastAsia="Calibri"/>
          <w:szCs w:val="26"/>
          <w:lang w:val="en-GB"/>
        </w:rPr>
        <w:t>CES</w:t>
      </w:r>
      <w:r w:rsidR="00570668">
        <w:rPr>
          <w:rFonts w:eastAsia="Calibri"/>
          <w:szCs w:val="26"/>
          <w:lang w:val="en-GB"/>
        </w:rPr>
        <w:t xml:space="preserve"> has emphasised the importance of action to reduce the outflow from employment after onset of a disability and to encourage re-entry of those who have already left the workforce. It is, however, recognised that age, education, and degree of illness or incapacity means that some of those who experience onset of a disability will leave the workforce permanently. The focus of this paper is on identifying ways of increasing the numbers who remain at </w:t>
      </w:r>
      <w:r w:rsidR="00F402F4">
        <w:rPr>
          <w:rFonts w:eastAsia="Calibri"/>
          <w:szCs w:val="26"/>
          <w:lang w:val="en-GB"/>
        </w:rPr>
        <w:t>or re</w:t>
      </w:r>
      <w:r w:rsidR="007B36AC">
        <w:rPr>
          <w:rFonts w:eastAsia="Calibri"/>
          <w:szCs w:val="26"/>
          <w:lang w:val="en-GB"/>
        </w:rPr>
        <w:t>-e</w:t>
      </w:r>
      <w:r w:rsidR="00F402F4">
        <w:rPr>
          <w:rFonts w:eastAsia="Calibri"/>
          <w:szCs w:val="26"/>
          <w:lang w:val="en-GB"/>
        </w:rPr>
        <w:t xml:space="preserve">nter </w:t>
      </w:r>
      <w:r w:rsidR="00570668">
        <w:rPr>
          <w:rFonts w:eastAsia="Calibri"/>
          <w:szCs w:val="26"/>
          <w:lang w:val="en-GB"/>
        </w:rPr>
        <w:t>work.</w:t>
      </w:r>
      <w:r w:rsidR="00570668">
        <w:rPr>
          <w:rStyle w:val="FootnoteReference"/>
          <w:rFonts w:eastAsia="Calibri"/>
          <w:szCs w:val="26"/>
          <w:lang w:val="en-GB"/>
        </w:rPr>
        <w:footnoteReference w:id="12"/>
      </w:r>
    </w:p>
    <w:p w14:paraId="6ED0A81B" w14:textId="77777777" w:rsidR="000A48DB" w:rsidRPr="00B334D9" w:rsidRDefault="000A48DB" w:rsidP="00EE4029">
      <w:pPr>
        <w:spacing w:before="240"/>
        <w:rPr>
          <w:rFonts w:eastAsia="Calibri"/>
          <w:szCs w:val="26"/>
          <w:lang w:val="en-GB"/>
        </w:rPr>
      </w:pPr>
      <w:r>
        <w:rPr>
          <w:rFonts w:eastAsia="Calibri"/>
          <w:szCs w:val="26"/>
          <w:lang w:val="en-GB"/>
        </w:rPr>
        <w:t>It is equally important to note that in addition to personal costs of lost income and social exclusion, there are economic costs when a person is off work or loses their job after onset of a disability. For the State, there are the costs of disability welfare payments and foregone tax revenue; for employers and the economy, the</w:t>
      </w:r>
      <w:r w:rsidR="00155161">
        <w:rPr>
          <w:rFonts w:eastAsia="Calibri"/>
          <w:szCs w:val="26"/>
          <w:lang w:val="en-GB"/>
        </w:rPr>
        <w:t xml:space="preserve">re are productivity costs and the associated costs of </w:t>
      </w:r>
      <w:r w:rsidR="00155161">
        <w:t>loss of skilled and trained staff, and increasing costs of recruiting and retraining.</w:t>
      </w:r>
      <w:r w:rsidR="00155161">
        <w:rPr>
          <w:rFonts w:eastAsia="Calibri"/>
          <w:szCs w:val="26"/>
          <w:lang w:val="en-GB"/>
        </w:rPr>
        <w:t xml:space="preserve"> </w:t>
      </w:r>
      <w:r>
        <w:rPr>
          <w:rFonts w:eastAsia="Calibri"/>
          <w:szCs w:val="26"/>
          <w:lang w:val="en-GB"/>
        </w:rPr>
        <w:t xml:space="preserve">For the employee, there are costs associated with loss of income, and </w:t>
      </w:r>
      <w:r w:rsidR="00155161">
        <w:rPr>
          <w:rFonts w:eastAsia="Calibri"/>
          <w:szCs w:val="26"/>
          <w:lang w:val="en-GB"/>
        </w:rPr>
        <w:t>possibly</w:t>
      </w:r>
      <w:r>
        <w:rPr>
          <w:rFonts w:eastAsia="Calibri"/>
          <w:szCs w:val="26"/>
          <w:lang w:val="en-GB"/>
        </w:rPr>
        <w:t xml:space="preserve"> increased costs related to the disability or health condition.</w:t>
      </w:r>
    </w:p>
    <w:p w14:paraId="37B7F3DA" w14:textId="1B2B6628" w:rsidR="00A926D0" w:rsidRDefault="00F64DE6" w:rsidP="00E03CA8">
      <w:pPr>
        <w:spacing w:after="120"/>
      </w:pPr>
      <w:r w:rsidRPr="00F06C38">
        <w:rPr>
          <w:rFonts w:eastAsia="Times New Roman" w:cstheme="minorHAnsi"/>
          <w:szCs w:val="26"/>
        </w:rPr>
        <w:t>T</w:t>
      </w:r>
      <w:r w:rsidR="00117772" w:rsidRPr="00F06C38">
        <w:rPr>
          <w:rFonts w:eastAsia="Times New Roman" w:cstheme="minorHAnsi"/>
          <w:szCs w:val="26"/>
        </w:rPr>
        <w:t xml:space="preserve">o inform this policy advice paper the NDA have commissioned research and undertaken consultation with key stakeholders. </w:t>
      </w:r>
      <w:r w:rsidR="00F06C38">
        <w:rPr>
          <w:rFonts w:eastAsia="Times New Roman" w:cstheme="minorHAnsi"/>
          <w:szCs w:val="26"/>
        </w:rPr>
        <w:t xml:space="preserve">This included </w:t>
      </w:r>
      <w:r w:rsidR="00F06C38">
        <w:rPr>
          <w:szCs w:val="26"/>
        </w:rPr>
        <w:t>e</w:t>
      </w:r>
      <w:r w:rsidR="00F06C38" w:rsidRPr="00F06C38">
        <w:rPr>
          <w:szCs w:val="26"/>
        </w:rPr>
        <w:t>ng</w:t>
      </w:r>
      <w:r w:rsidR="00F06C38">
        <w:rPr>
          <w:szCs w:val="26"/>
        </w:rPr>
        <w:t>agement with key informants in G</w:t>
      </w:r>
      <w:r w:rsidR="00F06C38" w:rsidRPr="00F06C38">
        <w:rPr>
          <w:szCs w:val="26"/>
        </w:rPr>
        <w:t xml:space="preserve">overnment departments, medical and neuro-rehabilitation services, allied health professionals, practitioners, and disability organisations representing adult onset conditions. </w:t>
      </w:r>
      <w:r w:rsidR="00F06C38" w:rsidRPr="00F06C38">
        <w:rPr>
          <w:rFonts w:eastAsia="Times New Roman" w:cstheme="minorHAnsi"/>
          <w:szCs w:val="26"/>
        </w:rPr>
        <w:t xml:space="preserve">Issues emerging </w:t>
      </w:r>
      <w:r w:rsidR="00F06C38">
        <w:rPr>
          <w:rFonts w:eastAsia="Times New Roman" w:cstheme="minorHAnsi"/>
          <w:szCs w:val="26"/>
        </w:rPr>
        <w:t xml:space="preserve">from research </w:t>
      </w:r>
      <w:r w:rsidR="00F06C38" w:rsidRPr="00F06C38">
        <w:rPr>
          <w:rFonts w:eastAsia="Times New Roman" w:cstheme="minorHAnsi"/>
          <w:szCs w:val="26"/>
        </w:rPr>
        <w:t xml:space="preserve">were set out in a briefing paper </w:t>
      </w:r>
      <w:r w:rsidR="00F06C38" w:rsidRPr="00F06C38">
        <w:rPr>
          <w:szCs w:val="26"/>
        </w:rPr>
        <w:t>used to guide a round-table discussion with key stakeholders in June 2018</w:t>
      </w:r>
      <w:r w:rsidR="00F06C38">
        <w:rPr>
          <w:szCs w:val="26"/>
        </w:rPr>
        <w:t>.</w:t>
      </w:r>
      <w:r w:rsidR="00F06C38">
        <w:rPr>
          <w:rFonts w:eastAsia="Times New Roman" w:cstheme="minorHAnsi"/>
          <w:szCs w:val="26"/>
        </w:rPr>
        <w:t xml:space="preserve"> </w:t>
      </w:r>
      <w:r w:rsidR="005F498F">
        <w:rPr>
          <w:rFonts w:eastAsia="Times New Roman" w:cstheme="minorHAnsi"/>
          <w:szCs w:val="26"/>
        </w:rPr>
        <w:t>This paper was also informed by a consultation with people with acquired disabilities</w:t>
      </w:r>
      <w:r w:rsidR="005A7DD5">
        <w:rPr>
          <w:rFonts w:eastAsia="Times New Roman" w:cstheme="minorHAnsi"/>
          <w:szCs w:val="26"/>
        </w:rPr>
        <w:t xml:space="preserve"> and </w:t>
      </w:r>
      <w:r w:rsidR="002162BE">
        <w:rPr>
          <w:rFonts w:eastAsia="Times New Roman" w:cstheme="minorHAnsi"/>
          <w:szCs w:val="26"/>
        </w:rPr>
        <w:t xml:space="preserve">conditions </w:t>
      </w:r>
      <w:r w:rsidR="005F498F">
        <w:rPr>
          <w:rFonts w:eastAsia="Times New Roman" w:cstheme="minorHAnsi"/>
          <w:szCs w:val="26"/>
        </w:rPr>
        <w:t xml:space="preserve">in </w:t>
      </w:r>
      <w:r w:rsidR="005A7DD5">
        <w:rPr>
          <w:rFonts w:eastAsia="Times New Roman" w:cstheme="minorHAnsi"/>
          <w:szCs w:val="26"/>
        </w:rPr>
        <w:t>2021 on</w:t>
      </w:r>
      <w:r w:rsidR="005F498F">
        <w:rPr>
          <w:rFonts w:eastAsia="Times New Roman" w:cstheme="minorHAnsi"/>
          <w:szCs w:val="26"/>
        </w:rPr>
        <w:t xml:space="preserve"> their experiences of support in returning to work. </w:t>
      </w:r>
      <w:r w:rsidR="008A4CE0">
        <w:rPr>
          <w:szCs w:val="26"/>
        </w:rPr>
        <w:t>A</w:t>
      </w:r>
      <w:r w:rsidR="00F06C38">
        <w:rPr>
          <w:szCs w:val="26"/>
        </w:rPr>
        <w:t>dditional consultation</w:t>
      </w:r>
      <w:r w:rsidR="008A4CE0">
        <w:rPr>
          <w:szCs w:val="26"/>
        </w:rPr>
        <w:t>s</w:t>
      </w:r>
      <w:r w:rsidR="00F06C38" w:rsidRPr="008B414E">
        <w:rPr>
          <w:szCs w:val="26"/>
        </w:rPr>
        <w:t xml:space="preserve"> on employment issues facilitated by the NDA</w:t>
      </w:r>
      <w:r w:rsidR="00F06C38">
        <w:rPr>
          <w:szCs w:val="26"/>
        </w:rPr>
        <w:t xml:space="preserve"> also informed this paper.</w:t>
      </w:r>
      <w:r w:rsidR="00E27C76" w:rsidRPr="00E27C76">
        <w:rPr>
          <w:rStyle w:val="FootnoteReference"/>
          <w:rFonts w:ascii="Gill Sans MT" w:eastAsia="Times New Roman" w:hAnsi="Gill Sans MT" w:cstheme="minorHAnsi"/>
          <w:sz w:val="26"/>
          <w:szCs w:val="26"/>
        </w:rPr>
        <w:t xml:space="preserve"> </w:t>
      </w:r>
      <w:r w:rsidR="00E27C76" w:rsidRPr="008B414E">
        <w:rPr>
          <w:rStyle w:val="FootnoteReference"/>
          <w:rFonts w:ascii="Gill Sans MT" w:eastAsia="Times New Roman" w:hAnsi="Gill Sans MT" w:cstheme="minorHAnsi"/>
          <w:sz w:val="26"/>
          <w:szCs w:val="26"/>
        </w:rPr>
        <w:footnoteReference w:id="13"/>
      </w:r>
    </w:p>
    <w:p w14:paraId="49581DA7" w14:textId="77777777" w:rsidR="0053033F" w:rsidRPr="00B21DAB" w:rsidRDefault="0053033F" w:rsidP="00B21DAB">
      <w:pPr>
        <w:pStyle w:val="Heading1"/>
        <w:rPr>
          <w:szCs w:val="26"/>
        </w:rPr>
      </w:pPr>
      <w:r>
        <w:t>Findings from international practice</w:t>
      </w:r>
    </w:p>
    <w:p w14:paraId="107F4085" w14:textId="31A9A0C9" w:rsidR="00DF2D92" w:rsidRPr="00DF2D92" w:rsidRDefault="00DF2D92" w:rsidP="00EE4029">
      <w:pPr>
        <w:pStyle w:val="Heading2"/>
      </w:pPr>
      <w:r>
        <w:t>OECD – switch from passive welfare systems to active, co-ordinated support to return to work</w:t>
      </w:r>
    </w:p>
    <w:p w14:paraId="5E78295D" w14:textId="77777777" w:rsidR="0053033F" w:rsidRDefault="0053033F" w:rsidP="0053033F">
      <w:pPr>
        <w:autoSpaceDE w:val="0"/>
        <w:autoSpaceDN w:val="0"/>
        <w:adjustRightInd w:val="0"/>
        <w:rPr>
          <w:szCs w:val="26"/>
        </w:rPr>
      </w:pPr>
      <w:r w:rsidRPr="00B75836">
        <w:rPr>
          <w:szCs w:val="26"/>
        </w:rPr>
        <w:t>OECD research</w:t>
      </w:r>
      <w:r w:rsidR="00F80046">
        <w:rPr>
          <w:szCs w:val="26"/>
        </w:rPr>
        <w:t xml:space="preserve"> conducted in 2010</w:t>
      </w:r>
      <w:r w:rsidRPr="00B75836">
        <w:rPr>
          <w:szCs w:val="26"/>
        </w:rPr>
        <w:t xml:space="preserve"> </w:t>
      </w:r>
      <w:r>
        <w:rPr>
          <w:szCs w:val="26"/>
        </w:rPr>
        <w:t xml:space="preserve">has </w:t>
      </w:r>
      <w:r w:rsidRPr="00B75836">
        <w:rPr>
          <w:szCs w:val="26"/>
        </w:rPr>
        <w:t xml:space="preserve">highlighted that people in receipt of a </w:t>
      </w:r>
      <w:r>
        <w:rPr>
          <w:szCs w:val="26"/>
        </w:rPr>
        <w:t xml:space="preserve">long-term disability payment or </w:t>
      </w:r>
      <w:r w:rsidRPr="00B75836">
        <w:rPr>
          <w:szCs w:val="26"/>
        </w:rPr>
        <w:t xml:space="preserve">disability pension </w:t>
      </w:r>
      <w:r>
        <w:rPr>
          <w:szCs w:val="26"/>
        </w:rPr>
        <w:t xml:space="preserve">are </w:t>
      </w:r>
      <w:r w:rsidRPr="00B75836">
        <w:rPr>
          <w:szCs w:val="26"/>
        </w:rPr>
        <w:t>highly unlikely to exit the system to employment.</w:t>
      </w:r>
      <w:r w:rsidRPr="00B75836">
        <w:rPr>
          <w:rStyle w:val="FootnoteReference"/>
          <w:rFonts w:ascii="Gill Sans MT" w:hAnsi="Gill Sans MT"/>
          <w:sz w:val="26"/>
          <w:szCs w:val="26"/>
        </w:rPr>
        <w:footnoteReference w:id="14"/>
      </w:r>
      <w:r>
        <w:rPr>
          <w:szCs w:val="26"/>
        </w:rPr>
        <w:t xml:space="preserve"> Passive welfare systems exacerbate this trend. The OECD argues that h</w:t>
      </w:r>
      <w:r w:rsidRPr="003B04DA">
        <w:rPr>
          <w:szCs w:val="26"/>
        </w:rPr>
        <w:t xml:space="preserve">elping people with </w:t>
      </w:r>
      <w:r w:rsidR="001735D3">
        <w:rPr>
          <w:szCs w:val="26"/>
        </w:rPr>
        <w:t xml:space="preserve">disabilities or </w:t>
      </w:r>
      <w:r w:rsidRPr="003B04DA">
        <w:rPr>
          <w:szCs w:val="26"/>
        </w:rPr>
        <w:t>health problems stay in or return to work would increase overall employment rates and reduce public spending, and it would raise the incomes of those people who can and often want to work.</w:t>
      </w:r>
      <w:r>
        <w:rPr>
          <w:szCs w:val="26"/>
        </w:rPr>
        <w:t xml:space="preserve"> </w:t>
      </w:r>
    </w:p>
    <w:p w14:paraId="42D7AABA" w14:textId="77777777" w:rsidR="0053033F" w:rsidRDefault="0053033F" w:rsidP="0053033F">
      <w:pPr>
        <w:autoSpaceDE w:val="0"/>
        <w:autoSpaceDN w:val="0"/>
        <w:adjustRightInd w:val="0"/>
        <w:rPr>
          <w:szCs w:val="26"/>
        </w:rPr>
      </w:pPr>
      <w:r>
        <w:rPr>
          <w:szCs w:val="26"/>
        </w:rPr>
        <w:t>It has found that, internationally, p</w:t>
      </w:r>
      <w:r>
        <w:t>ublic spending on disability is still dominated by ‘passive’ payments of benefits.</w:t>
      </w:r>
      <w:r>
        <w:rPr>
          <w:rStyle w:val="FootnoteReference"/>
          <w:rFonts w:hint="eastAsia"/>
        </w:rPr>
        <w:footnoteReference w:id="15"/>
      </w:r>
      <w:r>
        <w:t xml:space="preserve"> Investment in employment support and vocational rehabilitation – ‘active’ spending – is generally small. </w:t>
      </w:r>
      <w:r>
        <w:rPr>
          <w:szCs w:val="26"/>
        </w:rPr>
        <w:t xml:space="preserve">The OECD has argued for a more active role for welfare systems in supporting people to return to work following onset of a disability, and to reduce the flow into long-term dependence on welfare. </w:t>
      </w:r>
    </w:p>
    <w:p w14:paraId="66BD8885" w14:textId="77777777" w:rsidR="0053033F" w:rsidRDefault="0053033F" w:rsidP="0053033F">
      <w:pPr>
        <w:autoSpaceDE w:val="0"/>
        <w:autoSpaceDN w:val="0"/>
        <w:adjustRightInd w:val="0"/>
      </w:pPr>
      <w:r>
        <w:t xml:space="preserve">The OECD maintains that more people with disability could work if they were given the right supports at the right time. It draws attention to the fact that many of those concerned lack labour-market qualifications and recent work experience, which act as barriers to finding work. </w:t>
      </w:r>
    </w:p>
    <w:p w14:paraId="102B4630" w14:textId="77777777" w:rsidR="0053033F" w:rsidRDefault="0053033F" w:rsidP="0053033F">
      <w:pPr>
        <w:autoSpaceDE w:val="0"/>
        <w:autoSpaceDN w:val="0"/>
        <w:adjustRightInd w:val="0"/>
      </w:pPr>
      <w:r>
        <w:t xml:space="preserve">They also see institutional fragmentation as an obstacle, where the different actors and agencies involved in benefit and service provision fail to co-operate effectively. </w:t>
      </w:r>
    </w:p>
    <w:p w14:paraId="67305A2E" w14:textId="77777777" w:rsidR="0053033F" w:rsidRDefault="0053033F" w:rsidP="0053033F">
      <w:pPr>
        <w:autoSpaceDE w:val="0"/>
        <w:autoSpaceDN w:val="0"/>
        <w:adjustRightInd w:val="0"/>
        <w:rPr>
          <w:szCs w:val="26"/>
        </w:rPr>
      </w:pPr>
      <w:r>
        <w:t xml:space="preserve">The OECD argues for systematic profiling of clients with disabilities and a comprehensive assessment of people’s work capacity and, if needed, referral to the most appropriate service should swiftly follow. They cite Australia and Norway offering good examples of such tailored engagement. </w:t>
      </w:r>
    </w:p>
    <w:p w14:paraId="29AE0DD7" w14:textId="77777777" w:rsidR="0053033F" w:rsidRPr="00F12785" w:rsidRDefault="0053033F" w:rsidP="00EE4029">
      <w:pPr>
        <w:pStyle w:val="Heading2"/>
      </w:pPr>
      <w:r w:rsidRPr="00F12785">
        <w:t>Main actors in a vocational rehabilitation system</w:t>
      </w:r>
    </w:p>
    <w:p w14:paraId="1555C088" w14:textId="77777777" w:rsidR="0053033F" w:rsidRPr="00C371E9" w:rsidRDefault="004D2CCD" w:rsidP="0053033F">
      <w:pPr>
        <w:spacing w:after="0"/>
        <w:rPr>
          <w:b/>
        </w:rPr>
      </w:pPr>
      <w:r w:rsidRPr="008A4CE0">
        <w:t>This</w:t>
      </w:r>
      <w:r w:rsidR="0053033F" w:rsidRPr="008A4CE0">
        <w:t xml:space="preserve"> </w:t>
      </w:r>
      <w:r w:rsidR="0053033F">
        <w:t xml:space="preserve">review of literature states that an effective vocational and occupational rehabilitation system </w:t>
      </w:r>
      <w:r w:rsidR="0053033F" w:rsidRPr="00C371E9">
        <w:rPr>
          <w:b/>
        </w:rPr>
        <w:t>require</w:t>
      </w:r>
      <w:r w:rsidR="00181CD5">
        <w:rPr>
          <w:b/>
        </w:rPr>
        <w:t>s</w:t>
      </w:r>
      <w:r w:rsidR="0053033F" w:rsidRPr="00C371E9">
        <w:rPr>
          <w:b/>
        </w:rPr>
        <w:t xml:space="preserve"> that four main actors </w:t>
      </w:r>
      <w:r w:rsidR="0053033F">
        <w:rPr>
          <w:b/>
        </w:rPr>
        <w:t xml:space="preserve">(the person, the employer, the social insurance/welfare system, and the health system) </w:t>
      </w:r>
      <w:r w:rsidR="0053033F" w:rsidRPr="00C371E9">
        <w:rPr>
          <w:b/>
        </w:rPr>
        <w:t>work in collaboration</w:t>
      </w:r>
      <w:r w:rsidR="0053033F">
        <w:rPr>
          <w:b/>
        </w:rPr>
        <w:t>:</w:t>
      </w:r>
      <w:r w:rsidR="0053033F" w:rsidRPr="00C371E9">
        <w:rPr>
          <w:rStyle w:val="FootnoteReference"/>
          <w:b/>
        </w:rPr>
        <w:footnoteReference w:id="16"/>
      </w:r>
      <w:r w:rsidR="0053033F" w:rsidRPr="00C371E9">
        <w:rPr>
          <w:b/>
        </w:rPr>
        <w:t xml:space="preserve"> </w:t>
      </w:r>
    </w:p>
    <w:p w14:paraId="15C7E991" w14:textId="77777777" w:rsidR="0053033F" w:rsidRDefault="0053033F" w:rsidP="00724A24">
      <w:pPr>
        <w:pStyle w:val="ListParagraph"/>
        <w:numPr>
          <w:ilvl w:val="0"/>
          <w:numId w:val="19"/>
        </w:numPr>
        <w:spacing w:after="0"/>
        <w:contextualSpacing/>
      </w:pPr>
      <w:r>
        <w:t>The person must k</w:t>
      </w:r>
      <w:r w:rsidRPr="00A60D56">
        <w:t xml:space="preserve">eep in contact with </w:t>
      </w:r>
      <w:r>
        <w:t xml:space="preserve">the </w:t>
      </w:r>
      <w:r w:rsidRPr="00A60D56">
        <w:t>employer</w:t>
      </w:r>
      <w:r>
        <w:t xml:space="preserve">, be honest </w:t>
      </w:r>
      <w:r w:rsidRPr="00A60D56">
        <w:t>with occupational health</w:t>
      </w:r>
      <w:r>
        <w:t xml:space="preserve"> services and rehabilitation providers and be willing to discuss </w:t>
      </w:r>
      <w:r w:rsidRPr="00A60D56">
        <w:t>which parts of job can be done</w:t>
      </w:r>
      <w:r w:rsidR="00181CD5">
        <w:t>;</w:t>
      </w:r>
    </w:p>
    <w:p w14:paraId="31581015" w14:textId="77777777" w:rsidR="0053033F" w:rsidRDefault="0053033F" w:rsidP="00724A24">
      <w:pPr>
        <w:pStyle w:val="ListParagraph"/>
        <w:numPr>
          <w:ilvl w:val="0"/>
          <w:numId w:val="19"/>
        </w:numPr>
        <w:spacing w:after="0"/>
        <w:contextualSpacing/>
      </w:pPr>
      <w:r>
        <w:t>The e</w:t>
      </w:r>
      <w:r w:rsidRPr="00D36B34">
        <w:t>mployer</w:t>
      </w:r>
      <w:r>
        <w:t xml:space="preserve"> must k</w:t>
      </w:r>
      <w:r w:rsidRPr="00D36B34">
        <w:t xml:space="preserve">eep in contact with </w:t>
      </w:r>
      <w:r>
        <w:t xml:space="preserve">the person, understand </w:t>
      </w:r>
      <w:r w:rsidRPr="00D36B34">
        <w:t xml:space="preserve">sickness absence </w:t>
      </w:r>
      <w:r>
        <w:t>and return to work policies, inform supervisors and line managers about potential challenges and facilitate a</w:t>
      </w:r>
      <w:r w:rsidRPr="00D36B34">
        <w:t xml:space="preserve"> phased return-to-work (RTW)</w:t>
      </w:r>
      <w:r>
        <w:t xml:space="preserve"> and accommodations</w:t>
      </w:r>
      <w:r w:rsidR="00181CD5">
        <w:t>;</w:t>
      </w:r>
      <w:r>
        <w:t xml:space="preserve"> </w:t>
      </w:r>
    </w:p>
    <w:p w14:paraId="1A6DB625" w14:textId="77777777" w:rsidR="0053033F" w:rsidRPr="00D36B34" w:rsidRDefault="0053033F" w:rsidP="00724A24">
      <w:pPr>
        <w:pStyle w:val="ListParagraph"/>
        <w:numPr>
          <w:ilvl w:val="0"/>
          <w:numId w:val="19"/>
        </w:numPr>
        <w:spacing w:after="0"/>
        <w:contextualSpacing/>
      </w:pPr>
      <w:r>
        <w:t>The s</w:t>
      </w:r>
      <w:r w:rsidRPr="00D36B34">
        <w:t xml:space="preserve">ocial insurance </w:t>
      </w:r>
      <w:r>
        <w:t xml:space="preserve">or welfare </w:t>
      </w:r>
      <w:r w:rsidRPr="00D36B34">
        <w:t>system</w:t>
      </w:r>
      <w:r>
        <w:t xml:space="preserve"> must:</w:t>
      </w:r>
    </w:p>
    <w:p w14:paraId="7DF16BF9" w14:textId="77777777" w:rsidR="0053033F" w:rsidRPr="00D36B34" w:rsidRDefault="0053033F" w:rsidP="00724A24">
      <w:pPr>
        <w:pStyle w:val="ListParagraph"/>
        <w:numPr>
          <w:ilvl w:val="1"/>
          <w:numId w:val="19"/>
        </w:numPr>
        <w:spacing w:after="0"/>
        <w:contextualSpacing/>
      </w:pPr>
      <w:r>
        <w:t>Advise</w:t>
      </w:r>
      <w:r w:rsidRPr="00D36B34">
        <w:t xml:space="preserve"> on eligibility </w:t>
      </w:r>
      <w:r>
        <w:t xml:space="preserve">for </w:t>
      </w:r>
      <w:r w:rsidRPr="00D36B34">
        <w:t>benefits</w:t>
      </w:r>
      <w:r>
        <w:t>, a</w:t>
      </w:r>
      <w:r w:rsidRPr="00D36B34">
        <w:t>ssess</w:t>
      </w:r>
      <w:r>
        <w:t>ing</w:t>
      </w:r>
      <w:r w:rsidRPr="00D36B34">
        <w:t xml:space="preserve"> work</w:t>
      </w:r>
      <w:r>
        <w:t xml:space="preserve"> capacity and organise w</w:t>
      </w:r>
      <w:r w:rsidRPr="00D36B34">
        <w:t xml:space="preserve">ork </w:t>
      </w:r>
      <w:r>
        <w:t xml:space="preserve">trials and </w:t>
      </w:r>
      <w:r w:rsidRPr="00D36B34">
        <w:t>experience</w:t>
      </w:r>
    </w:p>
    <w:p w14:paraId="31C83B0D" w14:textId="77777777" w:rsidR="0053033F" w:rsidRPr="00D36B34" w:rsidRDefault="0053033F" w:rsidP="00724A24">
      <w:pPr>
        <w:pStyle w:val="ListParagraph"/>
        <w:numPr>
          <w:ilvl w:val="1"/>
          <w:numId w:val="19"/>
        </w:numPr>
        <w:spacing w:after="0"/>
        <w:contextualSpacing/>
      </w:pPr>
      <w:r>
        <w:t>Communicate with the workplace, carrying out j</w:t>
      </w:r>
      <w:r w:rsidRPr="00D36B34">
        <w:t>ob a</w:t>
      </w:r>
      <w:r>
        <w:t>nalyses and p</w:t>
      </w:r>
      <w:r w:rsidRPr="00D36B34">
        <w:t>rovid</w:t>
      </w:r>
      <w:r>
        <w:t xml:space="preserve">e </w:t>
      </w:r>
      <w:r w:rsidRPr="00D36B34">
        <w:t>retraining</w:t>
      </w:r>
      <w:r>
        <w:t xml:space="preserve"> where required</w:t>
      </w:r>
    </w:p>
    <w:p w14:paraId="698E247B" w14:textId="77777777" w:rsidR="0053033F" w:rsidRPr="00D36B34" w:rsidRDefault="0053033F" w:rsidP="00724A24">
      <w:pPr>
        <w:pStyle w:val="ListParagraph"/>
        <w:numPr>
          <w:ilvl w:val="1"/>
          <w:numId w:val="19"/>
        </w:numPr>
        <w:spacing w:after="0"/>
        <w:contextualSpacing/>
      </w:pPr>
      <w:r>
        <w:t>Provide s</w:t>
      </w:r>
      <w:r w:rsidRPr="00D36B34">
        <w:t>upport</w:t>
      </w:r>
      <w:r>
        <w:t xml:space="preserve"> to the employer and person during the process</w:t>
      </w:r>
    </w:p>
    <w:p w14:paraId="0D1A7CD2" w14:textId="77777777" w:rsidR="0053033F" w:rsidRPr="00D36B34" w:rsidRDefault="0053033F" w:rsidP="00724A24">
      <w:pPr>
        <w:pStyle w:val="ListParagraph"/>
        <w:numPr>
          <w:ilvl w:val="0"/>
          <w:numId w:val="19"/>
        </w:numPr>
        <w:spacing w:after="0"/>
        <w:contextualSpacing/>
      </w:pPr>
      <w:r>
        <w:t>The h</w:t>
      </w:r>
      <w:r w:rsidRPr="00D36B34">
        <w:t>ealth system</w:t>
      </w:r>
      <w:r>
        <w:t xml:space="preserve"> must:</w:t>
      </w:r>
    </w:p>
    <w:p w14:paraId="4C333A9D" w14:textId="77777777" w:rsidR="0053033F" w:rsidRDefault="0053033F" w:rsidP="00724A24">
      <w:pPr>
        <w:pStyle w:val="ListParagraph"/>
        <w:numPr>
          <w:ilvl w:val="1"/>
          <w:numId w:val="19"/>
        </w:numPr>
        <w:spacing w:after="0"/>
        <w:contextualSpacing/>
      </w:pPr>
      <w:r>
        <w:t>Provide functional rehabilitation, teach coping strategies and support the person managing the health conditions after RTW</w:t>
      </w:r>
    </w:p>
    <w:p w14:paraId="47E6C19C" w14:textId="2D3A09C7" w:rsidR="0053033F" w:rsidRPr="00CC5D25" w:rsidRDefault="0053033F" w:rsidP="00387760">
      <w:pPr>
        <w:pStyle w:val="ListParagraph"/>
        <w:numPr>
          <w:ilvl w:val="1"/>
          <w:numId w:val="19"/>
        </w:numPr>
        <w:contextualSpacing/>
      </w:pPr>
      <w:r>
        <w:t>Liaise</w:t>
      </w:r>
      <w:r w:rsidRPr="00A1687A">
        <w:t xml:space="preserve"> with employers</w:t>
      </w:r>
      <w:r>
        <w:t xml:space="preserve"> and advise on </w:t>
      </w:r>
      <w:r w:rsidRPr="00A1687A">
        <w:t>functional restrictions on RTW</w:t>
      </w:r>
      <w:r>
        <w:t xml:space="preserve"> and</w:t>
      </w:r>
      <w:r w:rsidRPr="00A1687A">
        <w:t xml:space="preserve"> </w:t>
      </w:r>
      <w:r>
        <w:t>a</w:t>
      </w:r>
      <w:r w:rsidRPr="00D36B34">
        <w:t>djust</w:t>
      </w:r>
      <w:r>
        <w:t xml:space="preserve">ments to the environment or assistive </w:t>
      </w:r>
      <w:r w:rsidRPr="00D36B34">
        <w:t>equipment</w:t>
      </w:r>
    </w:p>
    <w:p w14:paraId="29B65A37" w14:textId="54AEEF43" w:rsidR="00DF2D92" w:rsidRPr="005907E0" w:rsidRDefault="00DF2D92" w:rsidP="00EE4029">
      <w:pPr>
        <w:pStyle w:val="Heading2"/>
        <w:rPr>
          <w:rFonts w:eastAsia="Calibri"/>
          <w:lang w:val="en-GB"/>
        </w:rPr>
      </w:pPr>
      <w:r>
        <w:rPr>
          <w:rFonts w:eastAsia="Calibri"/>
          <w:lang w:val="en-GB"/>
        </w:rPr>
        <w:t>Case management</w:t>
      </w:r>
    </w:p>
    <w:p w14:paraId="0A9A41C8" w14:textId="1E3B2703" w:rsidR="00DF2D92" w:rsidRDefault="0053033F" w:rsidP="0053033F">
      <w:pPr>
        <w:pStyle w:val="ListBullet"/>
        <w:numPr>
          <w:ilvl w:val="0"/>
          <w:numId w:val="0"/>
        </w:numPr>
        <w:spacing w:before="0" w:after="240"/>
        <w:rPr>
          <w:szCs w:val="26"/>
        </w:rPr>
      </w:pPr>
      <w:r w:rsidRPr="00C763BB">
        <w:rPr>
          <w:rFonts w:eastAsia="Calibri"/>
          <w:szCs w:val="26"/>
          <w:lang w:val="en-GB"/>
        </w:rPr>
        <w:t xml:space="preserve">Case management </w:t>
      </w:r>
      <w:r w:rsidRPr="00C763BB">
        <w:rPr>
          <w:szCs w:val="26"/>
          <w:lang w:val="en-GB"/>
        </w:rPr>
        <w:t xml:space="preserve">is identified </w:t>
      </w:r>
      <w:r w:rsidR="00B21DAB" w:rsidRPr="00C763BB">
        <w:rPr>
          <w:szCs w:val="26"/>
          <w:lang w:val="en-GB"/>
        </w:rPr>
        <w:t xml:space="preserve">in the research literature </w:t>
      </w:r>
      <w:r w:rsidRPr="00C763BB">
        <w:rPr>
          <w:szCs w:val="26"/>
          <w:lang w:val="en-GB"/>
        </w:rPr>
        <w:t>as the best collaborative process to coordinate these elements</w:t>
      </w:r>
      <w:r w:rsidR="008A2445" w:rsidRPr="00C763BB">
        <w:rPr>
          <w:szCs w:val="26"/>
          <w:lang w:val="en-GB"/>
        </w:rPr>
        <w:t xml:space="preserve">. </w:t>
      </w:r>
      <w:r w:rsidR="008A2445" w:rsidRPr="00C763BB">
        <w:rPr>
          <w:szCs w:val="26"/>
        </w:rPr>
        <w:t xml:space="preserve">Case management and awareness of </w:t>
      </w:r>
      <w:r w:rsidR="005907E0" w:rsidRPr="00C763BB">
        <w:rPr>
          <w:szCs w:val="26"/>
        </w:rPr>
        <w:t>options, supports and responsible actors</w:t>
      </w:r>
      <w:r w:rsidR="008A2445" w:rsidRPr="00C763BB">
        <w:rPr>
          <w:szCs w:val="26"/>
        </w:rPr>
        <w:t xml:space="preserve"> are two important mechanisms that can ensure the process of return to work operates in a synchronised manner. Case management is a collaborative process, including advocacy, communication and service coordination.</w:t>
      </w:r>
      <w:r w:rsidR="008A2445" w:rsidRPr="00C763BB">
        <w:rPr>
          <w:rStyle w:val="FootnoteReference"/>
          <w:rFonts w:ascii="Gill Sans MT" w:hAnsi="Gill Sans MT"/>
          <w:sz w:val="26"/>
          <w:szCs w:val="26"/>
        </w:rPr>
        <w:footnoteReference w:id="17"/>
      </w:r>
      <w:r w:rsidR="008A2445" w:rsidRPr="00C763BB">
        <w:rPr>
          <w:szCs w:val="26"/>
        </w:rPr>
        <w:t xml:space="preserve"> </w:t>
      </w:r>
      <w:r w:rsidR="00F402F4" w:rsidRPr="00C763BB">
        <w:rPr>
          <w:szCs w:val="26"/>
        </w:rPr>
        <w:t xml:space="preserve">It is through effective case management that people with disabilities who have lost their jobs or been </w:t>
      </w:r>
      <w:r w:rsidR="007E526B" w:rsidRPr="00C763BB">
        <w:rPr>
          <w:szCs w:val="26"/>
        </w:rPr>
        <w:t xml:space="preserve">furloughed </w:t>
      </w:r>
      <w:r w:rsidR="00F402F4" w:rsidRPr="00C763BB">
        <w:rPr>
          <w:szCs w:val="26"/>
        </w:rPr>
        <w:t xml:space="preserve">during the </w:t>
      </w:r>
      <w:r w:rsidR="0074659F" w:rsidRPr="00C763BB">
        <w:rPr>
          <w:szCs w:val="26"/>
        </w:rPr>
        <w:t>COVID-19</w:t>
      </w:r>
      <w:r w:rsidR="00F402F4" w:rsidRPr="00C763BB">
        <w:rPr>
          <w:szCs w:val="26"/>
        </w:rPr>
        <w:t xml:space="preserve"> pandemic will be successfully supported back to work.</w:t>
      </w:r>
      <w:r w:rsidR="00E65728" w:rsidRPr="00C763BB">
        <w:rPr>
          <w:szCs w:val="26"/>
        </w:rPr>
        <w:t xml:space="preserve">  </w:t>
      </w:r>
      <w:r w:rsidR="00C0448D">
        <w:rPr>
          <w:szCs w:val="26"/>
        </w:rPr>
        <w:t>The importance of the case manager role was endorsed by t</w:t>
      </w:r>
      <w:r w:rsidR="00C763BB" w:rsidRPr="00C763BB">
        <w:rPr>
          <w:rFonts w:cs="Univers 45 Light"/>
          <w:szCs w:val="26"/>
        </w:rPr>
        <w:t xml:space="preserve">he Scottish Government </w:t>
      </w:r>
      <w:r w:rsidR="00C0448D">
        <w:rPr>
          <w:rFonts w:cs="Univers 45 Light"/>
          <w:szCs w:val="26"/>
        </w:rPr>
        <w:t xml:space="preserve">which </w:t>
      </w:r>
      <w:r w:rsidR="00C763BB" w:rsidRPr="00C763BB">
        <w:rPr>
          <w:szCs w:val="26"/>
        </w:rPr>
        <w:t>aim</w:t>
      </w:r>
      <w:r w:rsidR="00C0448D">
        <w:rPr>
          <w:szCs w:val="26"/>
        </w:rPr>
        <w:t xml:space="preserve">s </w:t>
      </w:r>
      <w:r w:rsidR="00C763BB" w:rsidRPr="00C763BB">
        <w:rPr>
          <w:rFonts w:cs="Univers 45 Light"/>
          <w:szCs w:val="26"/>
        </w:rPr>
        <w:t>to increase the employment rate of disabled people to 50% by 2023 and 60% by 2030.</w:t>
      </w:r>
      <w:r w:rsidR="00C763BB" w:rsidRPr="00C763BB">
        <w:rPr>
          <w:szCs w:val="26"/>
        </w:rPr>
        <w:t xml:space="preserve"> To do this they have funded Supported Employment staff across Scotland to gain the</w:t>
      </w:r>
      <w:r w:rsidR="00C763BB" w:rsidRPr="00C763BB">
        <w:rPr>
          <w:rFonts w:cs="Univers 45 Light"/>
          <w:szCs w:val="26"/>
        </w:rPr>
        <w:t xml:space="preserve"> National Institute of Disability Management and Research (NIDMAR</w:t>
      </w:r>
      <w:r w:rsidR="00C763BB" w:rsidRPr="00C763BB">
        <w:rPr>
          <w:szCs w:val="26"/>
        </w:rPr>
        <w:t>) qualification</w:t>
      </w:r>
      <w:r w:rsidR="00C763BB" w:rsidRPr="00C763BB">
        <w:rPr>
          <w:rFonts w:cs="Univers 45 Light"/>
          <w:szCs w:val="26"/>
        </w:rPr>
        <w:t xml:space="preserve"> for </w:t>
      </w:r>
      <w:r w:rsidR="00C763BB" w:rsidRPr="00C763BB">
        <w:rPr>
          <w:szCs w:val="26"/>
        </w:rPr>
        <w:t xml:space="preserve">the </w:t>
      </w:r>
      <w:r w:rsidR="00C763BB" w:rsidRPr="00C763BB">
        <w:rPr>
          <w:rFonts w:cs="Univers 45 Light"/>
          <w:szCs w:val="26"/>
        </w:rPr>
        <w:t>Certified Disability Management Professional CDMPs</w:t>
      </w:r>
      <w:r w:rsidR="00C763BB" w:rsidRPr="00C763BB">
        <w:rPr>
          <w:szCs w:val="26"/>
        </w:rPr>
        <w:t xml:space="preserve">. </w:t>
      </w:r>
      <w:r w:rsidR="00C0448D">
        <w:rPr>
          <w:rFonts w:cs="Calibri"/>
          <w:szCs w:val="26"/>
        </w:rPr>
        <w:t xml:space="preserve">The </w:t>
      </w:r>
      <w:r w:rsidR="00C0448D">
        <w:rPr>
          <w:szCs w:val="26"/>
        </w:rPr>
        <w:t>return to work Case M</w:t>
      </w:r>
      <w:r w:rsidR="00F17158">
        <w:rPr>
          <w:szCs w:val="26"/>
        </w:rPr>
        <w:t>anag</w:t>
      </w:r>
      <w:r w:rsidR="00C0448D" w:rsidRPr="00C763BB">
        <w:rPr>
          <w:szCs w:val="26"/>
        </w:rPr>
        <w:t>er assesses, plans, implements, coordinates, monitors,</w:t>
      </w:r>
      <w:r w:rsidR="00F17158">
        <w:rPr>
          <w:szCs w:val="26"/>
        </w:rPr>
        <w:t xml:space="preserve"> </w:t>
      </w:r>
      <w:r w:rsidR="00F17158" w:rsidRPr="00C763BB">
        <w:rPr>
          <w:szCs w:val="26"/>
        </w:rPr>
        <w:t>and evaluates the options and services to achieve a successful return to work outcome.</w:t>
      </w:r>
      <w:r w:rsidR="00F17158" w:rsidRPr="00C763BB">
        <w:rPr>
          <w:rStyle w:val="FootnoteReference"/>
          <w:rFonts w:ascii="Gill Sans MT" w:hAnsi="Gill Sans MT"/>
          <w:sz w:val="26"/>
          <w:szCs w:val="26"/>
        </w:rPr>
        <w:footnoteReference w:id="18"/>
      </w:r>
      <w:r w:rsidR="00F17158">
        <w:rPr>
          <w:rStyle w:val="FootnoteReference"/>
          <w:szCs w:val="26"/>
        </w:rPr>
        <w:footnoteReference w:id="19"/>
      </w:r>
    </w:p>
    <w:p w14:paraId="5EF268DD" w14:textId="77777777" w:rsidR="00826B39" w:rsidRPr="008C3D50" w:rsidRDefault="00826B39" w:rsidP="00EE4029">
      <w:pPr>
        <w:pStyle w:val="Heading2"/>
        <w:rPr>
          <w:rFonts w:eastAsia="Calibri"/>
        </w:rPr>
      </w:pPr>
      <w:r w:rsidRPr="008C3D50">
        <w:rPr>
          <w:rFonts w:eastAsia="Calibri"/>
        </w:rPr>
        <w:t>WRC Report on international practice</w:t>
      </w:r>
    </w:p>
    <w:p w14:paraId="18D9B275" w14:textId="5E54638C" w:rsidR="00826B39" w:rsidRDefault="00826B39" w:rsidP="00E03CA8">
      <w:r>
        <w:rPr>
          <w:rFonts w:eastAsia="Calibri"/>
        </w:rPr>
        <w:t>The 2015 NDA-commissioned WRC study on international practice reveals that</w:t>
      </w:r>
      <w:r w:rsidRPr="007330D8">
        <w:rPr>
          <w:rFonts w:eastAsia="Calibri"/>
        </w:rPr>
        <w:t xml:space="preserve"> there is a </w:t>
      </w:r>
      <w:r>
        <w:rPr>
          <w:rFonts w:eastAsia="Calibri"/>
        </w:rPr>
        <w:t xml:space="preserve">widespread </w:t>
      </w:r>
      <w:r w:rsidRPr="007330D8">
        <w:rPr>
          <w:rFonts w:eastAsia="Calibri"/>
        </w:rPr>
        <w:t>consensus that vocational rehabilitation needs to be an integral part of social security and social protection systems</w:t>
      </w:r>
      <w:r>
        <w:rPr>
          <w:rFonts w:eastAsia="Calibri"/>
        </w:rPr>
        <w:t>, and disability employment policy</w:t>
      </w:r>
      <w:r w:rsidRPr="007330D8">
        <w:rPr>
          <w:rFonts w:eastAsia="Calibri"/>
        </w:rPr>
        <w:t>.</w:t>
      </w:r>
      <w:r w:rsidRPr="004D6930">
        <w:rPr>
          <w:rStyle w:val="FootnoteReference"/>
          <w:rFonts w:eastAsia="Calibri"/>
        </w:rPr>
        <w:footnoteReference w:id="20"/>
      </w:r>
      <w:r>
        <w:rPr>
          <w:rFonts w:eastAsia="Calibri"/>
        </w:rPr>
        <w:t xml:space="preserve"> Placing the individual at the centre of a service is key to reintegration a person with employment.</w:t>
      </w:r>
    </w:p>
    <w:p w14:paraId="3EC980E4" w14:textId="17043E60" w:rsidR="0053033F" w:rsidRDefault="0053033F" w:rsidP="00EE4029">
      <w:pPr>
        <w:pStyle w:val="Heading3"/>
      </w:pPr>
      <w:r>
        <w:t>Core elements of vocational rehabilitation</w:t>
      </w:r>
    </w:p>
    <w:p w14:paraId="53629035" w14:textId="77777777" w:rsidR="0053033F" w:rsidRPr="00ED4570" w:rsidRDefault="0053033F" w:rsidP="0053033F">
      <w:pPr>
        <w:spacing w:after="0"/>
        <w:rPr>
          <w:szCs w:val="26"/>
        </w:rPr>
      </w:pPr>
      <w:r w:rsidRPr="00ED4570">
        <w:rPr>
          <w:szCs w:val="26"/>
        </w:rPr>
        <w:t xml:space="preserve">The NDA commissioned </w:t>
      </w:r>
      <w:r w:rsidR="005907E0">
        <w:rPr>
          <w:szCs w:val="26"/>
        </w:rPr>
        <w:t xml:space="preserve">report </w:t>
      </w:r>
      <w:r w:rsidR="006E2CD7">
        <w:rPr>
          <w:szCs w:val="26"/>
        </w:rPr>
        <w:t>reviewed vocational</w:t>
      </w:r>
      <w:r w:rsidR="005907E0">
        <w:rPr>
          <w:szCs w:val="26"/>
        </w:rPr>
        <w:t xml:space="preserve"> rehabilitation in </w:t>
      </w:r>
      <w:r w:rsidRPr="00ED4570">
        <w:rPr>
          <w:szCs w:val="26"/>
        </w:rPr>
        <w:t xml:space="preserve">12 jurisdictions, of which four were examined in-depth: New Zealand, Finland, Slovenia and Queensland, Australia. WRC had over 15 years research in the return to work area and were able to include an additional review of practice in </w:t>
      </w:r>
      <w:r w:rsidRPr="00ED4570">
        <w:rPr>
          <w:szCs w:val="26"/>
          <w:lang w:val="en-GB"/>
        </w:rPr>
        <w:t>Denmark, France, Germany, Lithuania, The Netherlands, Norway, Portugal, Spain and t</w:t>
      </w:r>
      <w:r w:rsidRPr="00ED4570">
        <w:rPr>
          <w:szCs w:val="26"/>
        </w:rPr>
        <w:t>he USA.</w:t>
      </w:r>
    </w:p>
    <w:p w14:paraId="074311E1" w14:textId="77777777" w:rsidR="0053033F" w:rsidRDefault="0053033F" w:rsidP="0053033F">
      <w:pPr>
        <w:spacing w:after="0"/>
      </w:pPr>
      <w:r>
        <w:t>The main findings from the WRC research concluded that developing a vocational assessment system with supporting intervention must include:</w:t>
      </w:r>
    </w:p>
    <w:p w14:paraId="3311A94C" w14:textId="77777777" w:rsidR="0053033F" w:rsidRPr="008E5AE2" w:rsidRDefault="0053033F" w:rsidP="00724A24">
      <w:pPr>
        <w:pStyle w:val="ListParagraph"/>
        <w:numPr>
          <w:ilvl w:val="0"/>
          <w:numId w:val="15"/>
        </w:numPr>
        <w:spacing w:after="0"/>
      </w:pPr>
      <w:r w:rsidRPr="009C530A">
        <w:rPr>
          <w:rFonts w:eastAsia="Calibri"/>
          <w:lang w:val="en-GB"/>
        </w:rPr>
        <w:t xml:space="preserve">functional capacity building; </w:t>
      </w:r>
    </w:p>
    <w:p w14:paraId="4798AA2A" w14:textId="77777777" w:rsidR="0053033F" w:rsidRPr="009C530A" w:rsidRDefault="0053033F" w:rsidP="00724A24">
      <w:pPr>
        <w:pStyle w:val="ListParagraph"/>
        <w:numPr>
          <w:ilvl w:val="0"/>
          <w:numId w:val="15"/>
        </w:numPr>
        <w:spacing w:after="0"/>
        <w:rPr>
          <w:rFonts w:eastAsia="Calibri"/>
          <w:lang w:val="en-GB"/>
        </w:rPr>
      </w:pPr>
      <w:r w:rsidRPr="00E65728">
        <w:rPr>
          <w:rFonts w:eastAsia="Calibri"/>
          <w:b/>
          <w:lang w:val="en-GB"/>
        </w:rPr>
        <w:t>counselling and guidance</w:t>
      </w:r>
      <w:r w:rsidRPr="009C530A">
        <w:rPr>
          <w:rFonts w:eastAsia="Calibri"/>
          <w:lang w:val="en-GB"/>
        </w:rPr>
        <w:t xml:space="preserve">; </w:t>
      </w:r>
    </w:p>
    <w:p w14:paraId="46C4FA21" w14:textId="77777777" w:rsidR="0053033F" w:rsidRPr="009C530A" w:rsidRDefault="0053033F" w:rsidP="00724A24">
      <w:pPr>
        <w:pStyle w:val="ListParagraph"/>
        <w:numPr>
          <w:ilvl w:val="0"/>
          <w:numId w:val="15"/>
        </w:numPr>
        <w:spacing w:after="0"/>
        <w:rPr>
          <w:rFonts w:eastAsia="Calibri"/>
          <w:lang w:val="en-GB"/>
        </w:rPr>
      </w:pPr>
      <w:r w:rsidRPr="009C530A">
        <w:rPr>
          <w:rFonts w:eastAsia="Calibri"/>
          <w:lang w:val="en-GB"/>
        </w:rPr>
        <w:t xml:space="preserve">job demands analysis and matching; </w:t>
      </w:r>
    </w:p>
    <w:p w14:paraId="0DBC9AE9" w14:textId="77777777" w:rsidR="0053033F" w:rsidRPr="009C530A" w:rsidRDefault="0053033F" w:rsidP="00724A24">
      <w:pPr>
        <w:pStyle w:val="ListParagraph"/>
        <w:numPr>
          <w:ilvl w:val="0"/>
          <w:numId w:val="15"/>
        </w:numPr>
        <w:spacing w:after="0"/>
        <w:rPr>
          <w:rFonts w:eastAsia="Calibri"/>
          <w:lang w:val="en-GB"/>
        </w:rPr>
      </w:pPr>
      <w:r w:rsidRPr="009C530A">
        <w:rPr>
          <w:rFonts w:eastAsia="Calibri"/>
          <w:lang w:val="en-GB"/>
        </w:rPr>
        <w:t xml:space="preserve">vocational education; </w:t>
      </w:r>
    </w:p>
    <w:p w14:paraId="178F84BC" w14:textId="77777777" w:rsidR="0053033F" w:rsidRPr="004A16C6" w:rsidRDefault="0053033F" w:rsidP="00724A24">
      <w:pPr>
        <w:pStyle w:val="ListParagraph"/>
        <w:numPr>
          <w:ilvl w:val="0"/>
          <w:numId w:val="15"/>
        </w:numPr>
        <w:spacing w:after="0"/>
        <w:rPr>
          <w:rFonts w:eastAsia="Calibri"/>
          <w:b/>
          <w:lang w:val="en-GB"/>
        </w:rPr>
      </w:pPr>
      <w:r w:rsidRPr="004A16C6">
        <w:rPr>
          <w:rFonts w:eastAsia="Calibri"/>
          <w:b/>
          <w:lang w:val="en-GB"/>
        </w:rPr>
        <w:t xml:space="preserve">training; </w:t>
      </w:r>
    </w:p>
    <w:p w14:paraId="77E3DA97" w14:textId="77777777" w:rsidR="0053033F" w:rsidRPr="009C530A" w:rsidRDefault="0053033F" w:rsidP="00724A24">
      <w:pPr>
        <w:pStyle w:val="ListParagraph"/>
        <w:numPr>
          <w:ilvl w:val="0"/>
          <w:numId w:val="15"/>
        </w:numPr>
        <w:spacing w:after="0"/>
        <w:rPr>
          <w:rFonts w:eastAsia="Calibri"/>
          <w:lang w:val="en-GB"/>
        </w:rPr>
      </w:pPr>
      <w:r w:rsidRPr="009C530A">
        <w:rPr>
          <w:rFonts w:eastAsia="Calibri"/>
          <w:lang w:val="en-GB"/>
        </w:rPr>
        <w:t>enhancing social competences;</w:t>
      </w:r>
    </w:p>
    <w:p w14:paraId="7B45B8D4" w14:textId="77777777" w:rsidR="0053033F" w:rsidRPr="004A16C6" w:rsidRDefault="0053033F" w:rsidP="00724A24">
      <w:pPr>
        <w:pStyle w:val="ListParagraph"/>
        <w:numPr>
          <w:ilvl w:val="0"/>
          <w:numId w:val="15"/>
        </w:numPr>
        <w:spacing w:after="0"/>
        <w:rPr>
          <w:rFonts w:eastAsia="Calibri"/>
          <w:b/>
          <w:lang w:val="en-GB"/>
        </w:rPr>
      </w:pPr>
      <w:r w:rsidRPr="004A16C6">
        <w:rPr>
          <w:rFonts w:eastAsia="Calibri"/>
          <w:b/>
          <w:lang w:val="en-GB"/>
        </w:rPr>
        <w:t xml:space="preserve">case management and service coordination; </w:t>
      </w:r>
    </w:p>
    <w:p w14:paraId="3CD0A576" w14:textId="77777777" w:rsidR="0053033F" w:rsidRPr="004A16C6" w:rsidRDefault="0053033F" w:rsidP="00724A24">
      <w:pPr>
        <w:pStyle w:val="ListParagraph"/>
        <w:numPr>
          <w:ilvl w:val="0"/>
          <w:numId w:val="15"/>
        </w:numPr>
        <w:spacing w:after="0"/>
        <w:rPr>
          <w:rFonts w:eastAsia="Calibri"/>
          <w:b/>
          <w:lang w:val="en-GB"/>
        </w:rPr>
      </w:pPr>
      <w:r w:rsidRPr="004A16C6">
        <w:rPr>
          <w:rFonts w:eastAsia="Calibri"/>
          <w:b/>
          <w:lang w:val="en-GB"/>
        </w:rPr>
        <w:t xml:space="preserve">placement and on the job support; </w:t>
      </w:r>
    </w:p>
    <w:p w14:paraId="2B6870DE" w14:textId="77777777" w:rsidR="004A16C6" w:rsidRPr="004A16C6" w:rsidRDefault="0053033F" w:rsidP="00724A24">
      <w:pPr>
        <w:pStyle w:val="ListParagraph"/>
        <w:numPr>
          <w:ilvl w:val="0"/>
          <w:numId w:val="15"/>
        </w:numPr>
        <w:rPr>
          <w:rFonts w:eastAsia="Calibri"/>
          <w:lang w:val="en-GB"/>
        </w:rPr>
      </w:pPr>
      <w:r w:rsidRPr="004A16C6">
        <w:rPr>
          <w:rFonts w:eastAsia="Calibri"/>
          <w:b/>
          <w:lang w:val="en-GB"/>
        </w:rPr>
        <w:t>accommodations and assistive technology;</w:t>
      </w:r>
    </w:p>
    <w:p w14:paraId="60BEB5AF" w14:textId="77777777" w:rsidR="004A16C6" w:rsidRPr="007B36AC" w:rsidRDefault="004A16C6" w:rsidP="004A16C6">
      <w:pPr>
        <w:rPr>
          <w:rFonts w:eastAsia="Calibri"/>
          <w:b/>
          <w:lang w:val="en-GB"/>
        </w:rPr>
      </w:pPr>
      <w:r w:rsidRPr="007B36AC">
        <w:rPr>
          <w:rFonts w:eastAsia="Calibri"/>
          <w:b/>
          <w:lang w:val="en-GB"/>
        </w:rPr>
        <w:t>The supporting int</w:t>
      </w:r>
      <w:r w:rsidR="004D2929" w:rsidRPr="007B36AC">
        <w:rPr>
          <w:rFonts w:eastAsia="Calibri"/>
          <w:b/>
          <w:lang w:val="en-GB"/>
        </w:rPr>
        <w:t>erventions in bold text are essential steps</w:t>
      </w:r>
      <w:r w:rsidRPr="007B36AC">
        <w:rPr>
          <w:rFonts w:eastAsia="Calibri"/>
          <w:b/>
          <w:lang w:val="en-GB"/>
        </w:rPr>
        <w:t xml:space="preserve"> to assist people with disabilities who have </w:t>
      </w:r>
      <w:r w:rsidR="004D2929" w:rsidRPr="007B36AC">
        <w:rPr>
          <w:rFonts w:eastAsia="Calibri"/>
          <w:b/>
          <w:lang w:val="en-GB"/>
        </w:rPr>
        <w:t xml:space="preserve">lost employment due to </w:t>
      </w:r>
      <w:r w:rsidR="0074659F">
        <w:rPr>
          <w:rFonts w:eastAsia="Calibri"/>
          <w:b/>
          <w:lang w:val="en-GB"/>
        </w:rPr>
        <w:t>COVID-19</w:t>
      </w:r>
      <w:r w:rsidR="004D2929" w:rsidRPr="007B36AC">
        <w:rPr>
          <w:rFonts w:eastAsia="Calibri"/>
          <w:b/>
          <w:lang w:val="en-GB"/>
        </w:rPr>
        <w:t xml:space="preserve"> return to work.</w:t>
      </w:r>
    </w:p>
    <w:p w14:paraId="0F4CEDE4" w14:textId="77777777" w:rsidR="0053033F" w:rsidRPr="004A16C6" w:rsidRDefault="0053033F" w:rsidP="004D2929">
      <w:pPr>
        <w:rPr>
          <w:rFonts w:eastAsia="Calibri"/>
          <w:lang w:val="en-GB"/>
        </w:rPr>
      </w:pPr>
      <w:r w:rsidRPr="004A16C6">
        <w:rPr>
          <w:rFonts w:eastAsia="Calibri"/>
          <w:lang w:val="en-GB"/>
        </w:rPr>
        <w:t xml:space="preserve">The chart below describes the common components of </w:t>
      </w:r>
      <w:r w:rsidR="00BB0CFE">
        <w:rPr>
          <w:rFonts w:eastAsia="Calibri"/>
          <w:lang w:val="en-GB"/>
        </w:rPr>
        <w:t>vocational rehabilitation (</w:t>
      </w:r>
      <w:r w:rsidRPr="004A16C6">
        <w:rPr>
          <w:rFonts w:eastAsia="Calibri"/>
          <w:lang w:val="en-GB"/>
        </w:rPr>
        <w:t>VR</w:t>
      </w:r>
      <w:r w:rsidR="00BB0CFE">
        <w:rPr>
          <w:rFonts w:eastAsia="Calibri"/>
          <w:lang w:val="en-GB"/>
        </w:rPr>
        <w:t xml:space="preserve">) </w:t>
      </w:r>
      <w:r w:rsidRPr="004A16C6">
        <w:rPr>
          <w:rFonts w:eastAsia="Calibri"/>
          <w:lang w:val="en-GB"/>
        </w:rPr>
        <w:t xml:space="preserve">across the 4 main jurisdictions of Slovenia (SL), Finland (FI), Queensland (QLD) and New Zealand (NZ). </w:t>
      </w:r>
    </w:p>
    <w:p w14:paraId="154F0C36" w14:textId="77777777" w:rsidR="0053033F" w:rsidRPr="00D601D0" w:rsidRDefault="0053033F" w:rsidP="0053033F">
      <w:pPr>
        <w:pStyle w:val="Tableheading"/>
        <w:keepNext/>
      </w:pPr>
      <w:bookmarkStart w:id="1" w:name="_Toc428441047"/>
      <w:bookmarkStart w:id="2" w:name="_Toc428870766"/>
      <w:r w:rsidRPr="00D601D0">
        <w:t xml:space="preserve">Table </w:t>
      </w:r>
      <w:r>
        <w:t>2</w:t>
      </w:r>
      <w:r w:rsidRPr="00D601D0">
        <w:t xml:space="preserve"> Perspective</w:t>
      </w:r>
      <w:r>
        <w:t>s</w:t>
      </w:r>
      <w:r w:rsidRPr="00D601D0">
        <w:t xml:space="preserve"> on good practice from 4 jurisdictions</w:t>
      </w:r>
      <w:bookmarkEnd w:id="1"/>
      <w:bookmarkEnd w:id="2"/>
      <w:r>
        <w:rPr>
          <w:rStyle w:val="FootnoteReference"/>
        </w:rPr>
        <w:footnoteReference w:id="21"/>
      </w:r>
    </w:p>
    <w:tbl>
      <w:tblPr>
        <w:tblW w:w="9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5"/>
        <w:gridCol w:w="567"/>
        <w:gridCol w:w="567"/>
        <w:gridCol w:w="767"/>
        <w:gridCol w:w="587"/>
      </w:tblGrid>
      <w:tr w:rsidR="0053033F" w:rsidRPr="0087080D" w14:paraId="309BF9F5" w14:textId="77777777" w:rsidTr="00F066C9">
        <w:trPr>
          <w:trHeight w:val="454"/>
          <w:tblHeader/>
        </w:trPr>
        <w:tc>
          <w:tcPr>
            <w:tcW w:w="7035" w:type="dxa"/>
            <w:shd w:val="clear" w:color="auto" w:fill="auto"/>
            <w:noWrap/>
            <w:hideMark/>
          </w:tcPr>
          <w:p w14:paraId="149438EE" w14:textId="77777777" w:rsidR="0053033F" w:rsidRPr="004D6930" w:rsidRDefault="0053033F" w:rsidP="002864BC">
            <w:pPr>
              <w:keepNext/>
              <w:spacing w:beforeLines="40" w:before="96" w:afterLines="40" w:after="96"/>
              <w:rPr>
                <w:sz w:val="24"/>
                <w:lang w:val="en-GB"/>
              </w:rPr>
            </w:pPr>
            <w:r w:rsidRPr="004D6930">
              <w:rPr>
                <w:rFonts w:eastAsia="Calibri"/>
                <w:sz w:val="24"/>
                <w:szCs w:val="22"/>
                <w:lang w:val="en-GB"/>
              </w:rPr>
              <w:t> </w:t>
            </w:r>
          </w:p>
        </w:tc>
        <w:tc>
          <w:tcPr>
            <w:tcW w:w="567" w:type="dxa"/>
            <w:shd w:val="clear" w:color="auto" w:fill="auto"/>
            <w:noWrap/>
            <w:vAlign w:val="center"/>
            <w:hideMark/>
          </w:tcPr>
          <w:p w14:paraId="1558B69D" w14:textId="77777777" w:rsidR="0053033F" w:rsidRPr="004D6930" w:rsidRDefault="0053033F" w:rsidP="002864BC">
            <w:pPr>
              <w:keepNext/>
              <w:spacing w:beforeLines="40" w:before="96" w:afterLines="40" w:after="96"/>
              <w:jc w:val="center"/>
              <w:rPr>
                <w:b/>
                <w:sz w:val="24"/>
                <w:lang w:val="en-GB"/>
              </w:rPr>
            </w:pPr>
            <w:r w:rsidRPr="004D6930">
              <w:rPr>
                <w:rFonts w:eastAsia="Calibri"/>
                <w:b/>
                <w:sz w:val="24"/>
                <w:szCs w:val="22"/>
                <w:lang w:val="en-GB"/>
              </w:rPr>
              <w:t>S</w:t>
            </w:r>
            <w:r>
              <w:rPr>
                <w:rFonts w:eastAsia="Calibri"/>
                <w:b/>
                <w:sz w:val="24"/>
                <w:szCs w:val="22"/>
                <w:lang w:val="en-GB"/>
              </w:rPr>
              <w:t>L</w:t>
            </w:r>
          </w:p>
        </w:tc>
        <w:tc>
          <w:tcPr>
            <w:tcW w:w="567" w:type="dxa"/>
            <w:shd w:val="clear" w:color="auto" w:fill="auto"/>
            <w:noWrap/>
            <w:vAlign w:val="center"/>
            <w:hideMark/>
          </w:tcPr>
          <w:p w14:paraId="076268B3" w14:textId="77777777" w:rsidR="0053033F" w:rsidRPr="004D6930" w:rsidRDefault="0053033F" w:rsidP="002864BC">
            <w:pPr>
              <w:keepNext/>
              <w:spacing w:beforeLines="40" w:before="96" w:afterLines="40" w:after="96"/>
              <w:jc w:val="center"/>
              <w:rPr>
                <w:b/>
                <w:sz w:val="24"/>
                <w:lang w:val="en-GB"/>
              </w:rPr>
            </w:pPr>
            <w:r w:rsidRPr="004D6930">
              <w:rPr>
                <w:rFonts w:eastAsia="Calibri"/>
                <w:b/>
                <w:sz w:val="24"/>
                <w:szCs w:val="22"/>
                <w:lang w:val="en-GB"/>
              </w:rPr>
              <w:t>FI</w:t>
            </w:r>
          </w:p>
        </w:tc>
        <w:tc>
          <w:tcPr>
            <w:tcW w:w="767" w:type="dxa"/>
            <w:shd w:val="clear" w:color="auto" w:fill="auto"/>
            <w:noWrap/>
            <w:vAlign w:val="center"/>
            <w:hideMark/>
          </w:tcPr>
          <w:p w14:paraId="65574F53" w14:textId="77777777" w:rsidR="0053033F" w:rsidRPr="004D6930" w:rsidRDefault="0053033F" w:rsidP="002864BC">
            <w:pPr>
              <w:keepNext/>
              <w:spacing w:beforeLines="40" w:before="96" w:afterLines="40" w:after="96"/>
              <w:jc w:val="center"/>
              <w:rPr>
                <w:b/>
                <w:sz w:val="24"/>
                <w:lang w:val="en-GB"/>
              </w:rPr>
            </w:pPr>
            <w:r w:rsidRPr="004D6930">
              <w:rPr>
                <w:rFonts w:eastAsia="Calibri"/>
                <w:b/>
                <w:sz w:val="24"/>
                <w:szCs w:val="22"/>
                <w:lang w:val="en-GB"/>
              </w:rPr>
              <w:t>QLD</w:t>
            </w:r>
          </w:p>
        </w:tc>
        <w:tc>
          <w:tcPr>
            <w:tcW w:w="587" w:type="dxa"/>
            <w:shd w:val="clear" w:color="auto" w:fill="auto"/>
            <w:noWrap/>
            <w:vAlign w:val="center"/>
            <w:hideMark/>
          </w:tcPr>
          <w:p w14:paraId="618B1B1C" w14:textId="77777777" w:rsidR="0053033F" w:rsidRPr="004D6930" w:rsidRDefault="0053033F" w:rsidP="002864BC">
            <w:pPr>
              <w:keepNext/>
              <w:spacing w:beforeLines="40" w:before="96" w:afterLines="40" w:after="96"/>
              <w:jc w:val="center"/>
              <w:rPr>
                <w:b/>
                <w:sz w:val="24"/>
                <w:lang w:val="en-GB"/>
              </w:rPr>
            </w:pPr>
            <w:r w:rsidRPr="004D6930">
              <w:rPr>
                <w:rFonts w:eastAsia="Calibri"/>
                <w:b/>
                <w:sz w:val="24"/>
                <w:szCs w:val="22"/>
                <w:lang w:val="en-GB"/>
              </w:rPr>
              <w:t>NZ</w:t>
            </w:r>
          </w:p>
        </w:tc>
      </w:tr>
      <w:tr w:rsidR="0053033F" w:rsidRPr="0087080D" w14:paraId="3EE5E5A0" w14:textId="77777777" w:rsidTr="00F066C9">
        <w:trPr>
          <w:trHeight w:val="397"/>
        </w:trPr>
        <w:tc>
          <w:tcPr>
            <w:tcW w:w="7035" w:type="dxa"/>
            <w:shd w:val="clear" w:color="auto" w:fill="D9D9D9"/>
            <w:noWrap/>
            <w:hideMark/>
          </w:tcPr>
          <w:p w14:paraId="6AD0FE59" w14:textId="77777777" w:rsidR="0053033F" w:rsidRPr="004D6930" w:rsidRDefault="0053033F" w:rsidP="002864BC">
            <w:pPr>
              <w:keepNext/>
              <w:spacing w:beforeLines="40" w:before="96" w:afterLines="40" w:after="96"/>
              <w:rPr>
                <w:b/>
                <w:sz w:val="24"/>
                <w:lang w:val="en-GB"/>
              </w:rPr>
            </w:pPr>
            <w:r>
              <w:rPr>
                <w:rFonts w:eastAsia="Calibri"/>
                <w:b/>
                <w:sz w:val="24"/>
                <w:szCs w:val="22"/>
                <w:lang w:val="en-GB"/>
              </w:rPr>
              <w:t xml:space="preserve">Equitable </w:t>
            </w:r>
            <w:r w:rsidRPr="004D6930">
              <w:rPr>
                <w:rFonts w:eastAsia="Calibri"/>
                <w:b/>
                <w:sz w:val="24"/>
                <w:szCs w:val="22"/>
                <w:lang w:val="en-GB"/>
              </w:rPr>
              <w:t>access to services</w:t>
            </w:r>
          </w:p>
        </w:tc>
        <w:tc>
          <w:tcPr>
            <w:tcW w:w="567" w:type="dxa"/>
            <w:shd w:val="clear" w:color="auto" w:fill="D9D9D9"/>
            <w:noWrap/>
            <w:vAlign w:val="center"/>
            <w:hideMark/>
          </w:tcPr>
          <w:p w14:paraId="6EBA8E12" w14:textId="77777777" w:rsidR="0053033F" w:rsidRPr="004D6930" w:rsidRDefault="0053033F" w:rsidP="002864BC">
            <w:pPr>
              <w:keepNext/>
              <w:spacing w:beforeLines="40" w:before="96" w:afterLines="40" w:after="96"/>
              <w:jc w:val="center"/>
              <w:rPr>
                <w:sz w:val="24"/>
                <w:lang w:val="en-GB"/>
              </w:rPr>
            </w:pPr>
            <w:r w:rsidRPr="004D6930">
              <w:rPr>
                <w:rFonts w:ascii="Arial" w:eastAsia="Calibri" w:hAnsi="Arial" w:cs="Arial"/>
                <w:sz w:val="24"/>
                <w:szCs w:val="22"/>
                <w:lang w:val="en-GB"/>
              </w:rPr>
              <w:t>●</w:t>
            </w:r>
          </w:p>
        </w:tc>
        <w:tc>
          <w:tcPr>
            <w:tcW w:w="567" w:type="dxa"/>
            <w:shd w:val="clear" w:color="auto" w:fill="D9D9D9"/>
            <w:noWrap/>
            <w:vAlign w:val="center"/>
            <w:hideMark/>
          </w:tcPr>
          <w:p w14:paraId="05E93E8E" w14:textId="77777777" w:rsidR="0053033F" w:rsidRPr="004D6930" w:rsidRDefault="0053033F" w:rsidP="002864BC">
            <w:pPr>
              <w:keepNext/>
              <w:spacing w:beforeLines="40" w:before="96" w:afterLines="40" w:after="96"/>
              <w:jc w:val="center"/>
              <w:rPr>
                <w:sz w:val="24"/>
                <w:lang w:val="en-GB"/>
              </w:rPr>
            </w:pPr>
            <w:r w:rsidRPr="004D6930">
              <w:rPr>
                <w:rFonts w:ascii="Arial" w:eastAsia="Calibri" w:hAnsi="Arial" w:cs="Arial"/>
                <w:sz w:val="24"/>
                <w:szCs w:val="22"/>
                <w:lang w:val="en-GB"/>
              </w:rPr>
              <w:t>●</w:t>
            </w:r>
          </w:p>
        </w:tc>
        <w:tc>
          <w:tcPr>
            <w:tcW w:w="767" w:type="dxa"/>
            <w:shd w:val="clear" w:color="auto" w:fill="D9D9D9"/>
            <w:noWrap/>
            <w:vAlign w:val="center"/>
            <w:hideMark/>
          </w:tcPr>
          <w:p w14:paraId="6011845B" w14:textId="77777777" w:rsidR="0053033F" w:rsidRPr="004D6930" w:rsidRDefault="0053033F" w:rsidP="002864BC">
            <w:pPr>
              <w:keepNext/>
              <w:spacing w:beforeLines="40" w:before="96" w:afterLines="40" w:after="96"/>
              <w:jc w:val="center"/>
              <w:rPr>
                <w:sz w:val="24"/>
                <w:lang w:val="en-GB"/>
              </w:rPr>
            </w:pPr>
            <w:r w:rsidRPr="004D6930">
              <w:rPr>
                <w:rFonts w:ascii="Arial" w:eastAsia="Calibri" w:hAnsi="Arial" w:cs="Arial"/>
                <w:sz w:val="24"/>
                <w:szCs w:val="22"/>
                <w:lang w:val="en-GB"/>
              </w:rPr>
              <w:t>●</w:t>
            </w:r>
          </w:p>
        </w:tc>
        <w:tc>
          <w:tcPr>
            <w:tcW w:w="587" w:type="dxa"/>
            <w:shd w:val="clear" w:color="auto" w:fill="D9D9D9"/>
            <w:noWrap/>
            <w:vAlign w:val="center"/>
            <w:hideMark/>
          </w:tcPr>
          <w:p w14:paraId="1B0F8ECC" w14:textId="77777777" w:rsidR="0053033F" w:rsidRPr="004D6930" w:rsidRDefault="0053033F" w:rsidP="002864BC">
            <w:pPr>
              <w:keepNext/>
              <w:spacing w:beforeLines="40" w:before="96" w:afterLines="40" w:after="96"/>
              <w:jc w:val="center"/>
              <w:rPr>
                <w:sz w:val="24"/>
                <w:lang w:val="en-GB"/>
              </w:rPr>
            </w:pPr>
            <w:r w:rsidRPr="004D6930">
              <w:rPr>
                <w:rFonts w:ascii="Arial" w:eastAsia="Calibri" w:hAnsi="Arial" w:cs="Arial"/>
                <w:sz w:val="24"/>
                <w:szCs w:val="22"/>
                <w:lang w:val="en-GB"/>
              </w:rPr>
              <w:t>●</w:t>
            </w:r>
          </w:p>
        </w:tc>
      </w:tr>
      <w:tr w:rsidR="0053033F" w:rsidRPr="0087080D" w14:paraId="1C79EE98" w14:textId="77777777" w:rsidTr="00F066C9">
        <w:trPr>
          <w:trHeight w:val="300"/>
        </w:trPr>
        <w:tc>
          <w:tcPr>
            <w:tcW w:w="7035" w:type="dxa"/>
            <w:shd w:val="clear" w:color="auto" w:fill="auto"/>
            <w:noWrap/>
            <w:hideMark/>
          </w:tcPr>
          <w:p w14:paraId="14A709D6" w14:textId="77777777" w:rsidR="0053033F" w:rsidRPr="004D6930" w:rsidRDefault="0053033F" w:rsidP="002864BC">
            <w:pPr>
              <w:keepNext/>
              <w:spacing w:beforeLines="40" w:before="96" w:afterLines="40" w:after="96"/>
              <w:rPr>
                <w:sz w:val="24"/>
                <w:lang w:val="en-GB"/>
              </w:rPr>
            </w:pPr>
            <w:r w:rsidRPr="004D6930">
              <w:rPr>
                <w:rFonts w:eastAsia="Calibri"/>
                <w:sz w:val="24"/>
                <w:szCs w:val="22"/>
                <w:lang w:val="en-GB"/>
              </w:rPr>
              <w:t>Developing digital access to services</w:t>
            </w:r>
          </w:p>
        </w:tc>
        <w:tc>
          <w:tcPr>
            <w:tcW w:w="567" w:type="dxa"/>
            <w:shd w:val="clear" w:color="auto" w:fill="auto"/>
            <w:noWrap/>
            <w:vAlign w:val="center"/>
            <w:hideMark/>
          </w:tcPr>
          <w:p w14:paraId="673120FE" w14:textId="77777777" w:rsidR="0053033F" w:rsidRPr="004D6930" w:rsidRDefault="0053033F" w:rsidP="002864BC">
            <w:pPr>
              <w:keepNext/>
              <w:spacing w:beforeLines="40" w:before="96" w:afterLines="40" w:after="96"/>
              <w:jc w:val="center"/>
              <w:rPr>
                <w:sz w:val="24"/>
                <w:lang w:val="en-GB"/>
              </w:rPr>
            </w:pPr>
          </w:p>
        </w:tc>
        <w:tc>
          <w:tcPr>
            <w:tcW w:w="567" w:type="dxa"/>
            <w:shd w:val="clear" w:color="auto" w:fill="auto"/>
            <w:noWrap/>
            <w:vAlign w:val="center"/>
            <w:hideMark/>
          </w:tcPr>
          <w:p w14:paraId="62CBB0B3" w14:textId="77777777" w:rsidR="0053033F" w:rsidRPr="004D6930" w:rsidRDefault="0053033F" w:rsidP="002864BC">
            <w:pPr>
              <w:keepNext/>
              <w:spacing w:beforeLines="40" w:before="96" w:afterLines="40" w:after="96"/>
              <w:jc w:val="center"/>
              <w:rPr>
                <w:sz w:val="24"/>
                <w:lang w:val="en-GB"/>
              </w:rPr>
            </w:pPr>
          </w:p>
        </w:tc>
        <w:tc>
          <w:tcPr>
            <w:tcW w:w="767" w:type="dxa"/>
            <w:shd w:val="clear" w:color="auto" w:fill="auto"/>
            <w:noWrap/>
            <w:vAlign w:val="center"/>
            <w:hideMark/>
          </w:tcPr>
          <w:p w14:paraId="3B46A99B" w14:textId="77777777" w:rsidR="0053033F" w:rsidRPr="004D6930" w:rsidRDefault="0053033F" w:rsidP="002864BC">
            <w:pPr>
              <w:keepNext/>
              <w:spacing w:beforeLines="40" w:before="96" w:afterLines="40" w:after="96"/>
              <w:jc w:val="center"/>
              <w:rPr>
                <w:sz w:val="24"/>
                <w:lang w:val="en-GB"/>
              </w:rPr>
            </w:pPr>
            <w:r w:rsidRPr="004D6930">
              <w:rPr>
                <w:rFonts w:ascii="Arial" w:eastAsia="Calibri" w:hAnsi="Arial" w:cs="Arial"/>
                <w:sz w:val="24"/>
                <w:szCs w:val="22"/>
                <w:lang w:val="en-GB"/>
              </w:rPr>
              <w:t>●</w:t>
            </w:r>
          </w:p>
        </w:tc>
        <w:tc>
          <w:tcPr>
            <w:tcW w:w="587" w:type="dxa"/>
            <w:shd w:val="clear" w:color="auto" w:fill="auto"/>
            <w:noWrap/>
            <w:vAlign w:val="center"/>
            <w:hideMark/>
          </w:tcPr>
          <w:p w14:paraId="20E56C56" w14:textId="77777777" w:rsidR="0053033F" w:rsidRPr="004D6930" w:rsidRDefault="0053033F" w:rsidP="002864BC">
            <w:pPr>
              <w:keepNext/>
              <w:spacing w:beforeLines="40" w:before="96" w:afterLines="40" w:after="96"/>
              <w:jc w:val="center"/>
              <w:rPr>
                <w:sz w:val="24"/>
                <w:lang w:val="en-GB"/>
              </w:rPr>
            </w:pPr>
          </w:p>
        </w:tc>
      </w:tr>
      <w:tr w:rsidR="0053033F" w:rsidRPr="0087080D" w14:paraId="62AD55D2" w14:textId="77777777" w:rsidTr="00F066C9">
        <w:trPr>
          <w:trHeight w:val="300"/>
        </w:trPr>
        <w:tc>
          <w:tcPr>
            <w:tcW w:w="7035" w:type="dxa"/>
            <w:shd w:val="clear" w:color="auto" w:fill="auto"/>
            <w:noWrap/>
            <w:hideMark/>
          </w:tcPr>
          <w:p w14:paraId="0CC2FE69" w14:textId="77777777" w:rsidR="0053033F" w:rsidRPr="004D6930" w:rsidRDefault="0053033F" w:rsidP="002864BC">
            <w:pPr>
              <w:keepNext/>
              <w:spacing w:beforeLines="40" w:before="96" w:afterLines="40" w:after="96"/>
              <w:rPr>
                <w:sz w:val="24"/>
                <w:lang w:val="en-GB"/>
              </w:rPr>
            </w:pPr>
            <w:r w:rsidRPr="004D6930">
              <w:rPr>
                <w:rFonts w:eastAsia="Calibri"/>
                <w:sz w:val="24"/>
                <w:szCs w:val="22"/>
                <w:lang w:val="en-GB"/>
              </w:rPr>
              <w:t>Making service available in all locations, to all citizens and through multiple channels</w:t>
            </w:r>
          </w:p>
        </w:tc>
        <w:tc>
          <w:tcPr>
            <w:tcW w:w="567" w:type="dxa"/>
            <w:shd w:val="clear" w:color="auto" w:fill="auto"/>
            <w:noWrap/>
            <w:vAlign w:val="center"/>
            <w:hideMark/>
          </w:tcPr>
          <w:p w14:paraId="2FA6B6AC"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29BAA4A0"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767" w:type="dxa"/>
            <w:shd w:val="clear" w:color="auto" w:fill="auto"/>
            <w:noWrap/>
            <w:vAlign w:val="center"/>
            <w:hideMark/>
          </w:tcPr>
          <w:p w14:paraId="784A542E" w14:textId="77777777" w:rsidR="0053033F" w:rsidRPr="004D6930" w:rsidRDefault="0053033F" w:rsidP="002864BC">
            <w:pPr>
              <w:spacing w:beforeLines="40" w:before="96" w:afterLines="40" w:after="96"/>
              <w:jc w:val="center"/>
              <w:rPr>
                <w:sz w:val="24"/>
                <w:lang w:val="en-GB"/>
              </w:rPr>
            </w:pPr>
          </w:p>
        </w:tc>
        <w:tc>
          <w:tcPr>
            <w:tcW w:w="587" w:type="dxa"/>
            <w:shd w:val="clear" w:color="auto" w:fill="auto"/>
            <w:noWrap/>
            <w:vAlign w:val="center"/>
            <w:hideMark/>
          </w:tcPr>
          <w:p w14:paraId="568C628B" w14:textId="77777777" w:rsidR="0053033F" w:rsidRPr="004D6930" w:rsidRDefault="0053033F" w:rsidP="002864BC">
            <w:pPr>
              <w:spacing w:beforeLines="40" w:before="96" w:afterLines="40" w:after="96"/>
              <w:jc w:val="center"/>
              <w:rPr>
                <w:sz w:val="24"/>
                <w:lang w:val="en-GB"/>
              </w:rPr>
            </w:pPr>
          </w:p>
        </w:tc>
      </w:tr>
      <w:tr w:rsidR="0053033F" w:rsidRPr="0087080D" w14:paraId="40CA1472" w14:textId="77777777" w:rsidTr="00F066C9">
        <w:trPr>
          <w:trHeight w:val="300"/>
        </w:trPr>
        <w:tc>
          <w:tcPr>
            <w:tcW w:w="7035" w:type="dxa"/>
            <w:shd w:val="clear" w:color="auto" w:fill="auto"/>
            <w:noWrap/>
            <w:hideMark/>
          </w:tcPr>
          <w:p w14:paraId="2EC245A3"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Ensuring the system works equally well for people with acquired disabilities as a result of illness as it does for people with injuries</w:t>
            </w:r>
          </w:p>
        </w:tc>
        <w:tc>
          <w:tcPr>
            <w:tcW w:w="567" w:type="dxa"/>
            <w:shd w:val="clear" w:color="auto" w:fill="auto"/>
            <w:noWrap/>
            <w:vAlign w:val="center"/>
            <w:hideMark/>
          </w:tcPr>
          <w:p w14:paraId="6DF64AB7" w14:textId="77777777" w:rsidR="0053033F" w:rsidRPr="004D6930" w:rsidRDefault="0053033F" w:rsidP="002864BC">
            <w:pPr>
              <w:spacing w:beforeLines="40" w:before="96" w:afterLines="40" w:after="96"/>
              <w:jc w:val="center"/>
              <w:rPr>
                <w:sz w:val="24"/>
                <w:lang w:val="en-GB"/>
              </w:rPr>
            </w:pPr>
          </w:p>
        </w:tc>
        <w:tc>
          <w:tcPr>
            <w:tcW w:w="567" w:type="dxa"/>
            <w:shd w:val="clear" w:color="auto" w:fill="auto"/>
            <w:noWrap/>
            <w:vAlign w:val="center"/>
            <w:hideMark/>
          </w:tcPr>
          <w:p w14:paraId="1C9D39C8" w14:textId="77777777" w:rsidR="0053033F" w:rsidRPr="004D6930" w:rsidRDefault="0053033F" w:rsidP="002864BC">
            <w:pPr>
              <w:spacing w:beforeLines="40" w:before="96" w:afterLines="40" w:after="96"/>
              <w:jc w:val="center"/>
              <w:rPr>
                <w:sz w:val="24"/>
                <w:lang w:val="en-GB"/>
              </w:rPr>
            </w:pPr>
          </w:p>
        </w:tc>
        <w:tc>
          <w:tcPr>
            <w:tcW w:w="767" w:type="dxa"/>
            <w:shd w:val="clear" w:color="auto" w:fill="auto"/>
            <w:noWrap/>
            <w:vAlign w:val="center"/>
            <w:hideMark/>
          </w:tcPr>
          <w:p w14:paraId="56BE6554" w14:textId="77777777" w:rsidR="0053033F" w:rsidRPr="004D6930" w:rsidRDefault="0053033F" w:rsidP="002864BC">
            <w:pPr>
              <w:spacing w:beforeLines="40" w:before="96" w:afterLines="40" w:after="96"/>
              <w:jc w:val="center"/>
              <w:rPr>
                <w:sz w:val="24"/>
                <w:lang w:val="en-GB"/>
              </w:rPr>
            </w:pPr>
          </w:p>
        </w:tc>
        <w:tc>
          <w:tcPr>
            <w:tcW w:w="587" w:type="dxa"/>
            <w:shd w:val="clear" w:color="auto" w:fill="auto"/>
            <w:noWrap/>
            <w:vAlign w:val="center"/>
            <w:hideMark/>
          </w:tcPr>
          <w:p w14:paraId="61421FC8"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r>
      <w:tr w:rsidR="0053033F" w:rsidRPr="0087080D" w14:paraId="54E1AF5B" w14:textId="77777777" w:rsidTr="00F066C9">
        <w:trPr>
          <w:trHeight w:val="397"/>
        </w:trPr>
        <w:tc>
          <w:tcPr>
            <w:tcW w:w="7035" w:type="dxa"/>
            <w:shd w:val="clear" w:color="auto" w:fill="D9D9D9"/>
            <w:noWrap/>
            <w:hideMark/>
          </w:tcPr>
          <w:p w14:paraId="237F3C9F" w14:textId="77777777" w:rsidR="0053033F" w:rsidRPr="004D6930" w:rsidRDefault="0053033F" w:rsidP="002864BC">
            <w:pPr>
              <w:spacing w:beforeLines="40" w:before="96" w:afterLines="40" w:after="96"/>
              <w:rPr>
                <w:b/>
                <w:sz w:val="24"/>
                <w:lang w:val="en-GB"/>
              </w:rPr>
            </w:pPr>
            <w:r w:rsidRPr="004D6930">
              <w:rPr>
                <w:rFonts w:eastAsia="Calibri"/>
                <w:b/>
                <w:sz w:val="24"/>
                <w:szCs w:val="22"/>
                <w:lang w:val="en-GB"/>
              </w:rPr>
              <w:t>Creating a continuum of services</w:t>
            </w:r>
          </w:p>
        </w:tc>
        <w:tc>
          <w:tcPr>
            <w:tcW w:w="567" w:type="dxa"/>
            <w:shd w:val="clear" w:color="auto" w:fill="D9D9D9"/>
            <w:noWrap/>
            <w:vAlign w:val="center"/>
            <w:hideMark/>
          </w:tcPr>
          <w:p w14:paraId="6345661E"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b/>
                <w:sz w:val="24"/>
                <w:szCs w:val="22"/>
                <w:lang w:val="en-GB"/>
              </w:rPr>
              <w:t>●</w:t>
            </w:r>
          </w:p>
        </w:tc>
        <w:tc>
          <w:tcPr>
            <w:tcW w:w="567" w:type="dxa"/>
            <w:shd w:val="clear" w:color="auto" w:fill="D9D9D9"/>
            <w:noWrap/>
            <w:vAlign w:val="center"/>
            <w:hideMark/>
          </w:tcPr>
          <w:p w14:paraId="786B7C3D"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b/>
                <w:sz w:val="24"/>
                <w:szCs w:val="22"/>
                <w:lang w:val="en-GB"/>
              </w:rPr>
              <w:t>●</w:t>
            </w:r>
          </w:p>
        </w:tc>
        <w:tc>
          <w:tcPr>
            <w:tcW w:w="767" w:type="dxa"/>
            <w:shd w:val="clear" w:color="auto" w:fill="D9D9D9"/>
            <w:noWrap/>
            <w:vAlign w:val="center"/>
            <w:hideMark/>
          </w:tcPr>
          <w:p w14:paraId="4E8A2D37"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b/>
                <w:sz w:val="24"/>
                <w:szCs w:val="22"/>
                <w:lang w:val="en-GB"/>
              </w:rPr>
              <w:t>●</w:t>
            </w:r>
          </w:p>
        </w:tc>
        <w:tc>
          <w:tcPr>
            <w:tcW w:w="587" w:type="dxa"/>
            <w:shd w:val="clear" w:color="auto" w:fill="D9D9D9"/>
            <w:noWrap/>
            <w:vAlign w:val="center"/>
            <w:hideMark/>
          </w:tcPr>
          <w:p w14:paraId="25F576F7"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b/>
                <w:sz w:val="24"/>
                <w:szCs w:val="22"/>
                <w:lang w:val="en-GB"/>
              </w:rPr>
              <w:t>●</w:t>
            </w:r>
          </w:p>
        </w:tc>
      </w:tr>
      <w:tr w:rsidR="0053033F" w:rsidRPr="0087080D" w14:paraId="518140CE" w14:textId="77777777" w:rsidTr="00F066C9">
        <w:trPr>
          <w:trHeight w:val="300"/>
        </w:trPr>
        <w:tc>
          <w:tcPr>
            <w:tcW w:w="7035" w:type="dxa"/>
            <w:shd w:val="clear" w:color="auto" w:fill="auto"/>
            <w:noWrap/>
            <w:hideMark/>
          </w:tcPr>
          <w:p w14:paraId="711116CA"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Linking vocational rehabilitation to occupational health services</w:t>
            </w:r>
          </w:p>
        </w:tc>
        <w:tc>
          <w:tcPr>
            <w:tcW w:w="567" w:type="dxa"/>
            <w:shd w:val="clear" w:color="auto" w:fill="auto"/>
            <w:noWrap/>
            <w:vAlign w:val="center"/>
            <w:hideMark/>
          </w:tcPr>
          <w:p w14:paraId="37A43054"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30DEE48D"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767" w:type="dxa"/>
            <w:shd w:val="clear" w:color="auto" w:fill="auto"/>
            <w:noWrap/>
            <w:vAlign w:val="center"/>
            <w:hideMark/>
          </w:tcPr>
          <w:p w14:paraId="71F2CD7C"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0AC20D34" w14:textId="77777777" w:rsidR="0053033F" w:rsidRPr="004D6930" w:rsidRDefault="0053033F" w:rsidP="002864BC">
            <w:pPr>
              <w:spacing w:beforeLines="40" w:before="96" w:afterLines="40" w:after="96"/>
              <w:jc w:val="center"/>
              <w:rPr>
                <w:b/>
                <w:sz w:val="24"/>
                <w:lang w:val="en-GB"/>
              </w:rPr>
            </w:pPr>
          </w:p>
        </w:tc>
      </w:tr>
      <w:tr w:rsidR="0053033F" w:rsidRPr="0087080D" w14:paraId="5E7A63E3" w14:textId="77777777" w:rsidTr="00F066C9">
        <w:trPr>
          <w:trHeight w:val="300"/>
        </w:trPr>
        <w:tc>
          <w:tcPr>
            <w:tcW w:w="7035" w:type="dxa"/>
            <w:shd w:val="clear" w:color="auto" w:fill="auto"/>
            <w:noWrap/>
            <w:hideMark/>
          </w:tcPr>
          <w:p w14:paraId="66A01286"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Viewing prevention as a continuum of interventions from primary health and safety to tertiary vocational rehabilitation</w:t>
            </w:r>
          </w:p>
        </w:tc>
        <w:tc>
          <w:tcPr>
            <w:tcW w:w="567" w:type="dxa"/>
            <w:shd w:val="clear" w:color="auto" w:fill="auto"/>
            <w:noWrap/>
            <w:vAlign w:val="center"/>
            <w:hideMark/>
          </w:tcPr>
          <w:p w14:paraId="25F389E7"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0AFE39FD"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767" w:type="dxa"/>
            <w:shd w:val="clear" w:color="auto" w:fill="auto"/>
            <w:noWrap/>
            <w:vAlign w:val="center"/>
            <w:hideMark/>
          </w:tcPr>
          <w:p w14:paraId="560354EF"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58DE2D3D" w14:textId="77777777" w:rsidR="0053033F" w:rsidRPr="004D6930" w:rsidRDefault="0053033F" w:rsidP="002864BC">
            <w:pPr>
              <w:spacing w:beforeLines="40" w:before="96" w:afterLines="40" w:after="96"/>
              <w:jc w:val="center"/>
              <w:rPr>
                <w:b/>
                <w:sz w:val="24"/>
                <w:lang w:val="en-GB"/>
              </w:rPr>
            </w:pPr>
          </w:p>
        </w:tc>
      </w:tr>
      <w:tr w:rsidR="0053033F" w:rsidRPr="0087080D" w14:paraId="3166A1D0" w14:textId="77777777" w:rsidTr="00F066C9">
        <w:trPr>
          <w:trHeight w:val="300"/>
        </w:trPr>
        <w:tc>
          <w:tcPr>
            <w:tcW w:w="7035" w:type="dxa"/>
            <w:shd w:val="clear" w:color="auto" w:fill="auto"/>
            <w:noWrap/>
            <w:hideMark/>
          </w:tcPr>
          <w:p w14:paraId="1856D66E"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Finding ways to intervene early to prevent job loss and reduce the impact of impairments</w:t>
            </w:r>
          </w:p>
        </w:tc>
        <w:tc>
          <w:tcPr>
            <w:tcW w:w="567" w:type="dxa"/>
            <w:shd w:val="clear" w:color="auto" w:fill="auto"/>
            <w:noWrap/>
            <w:vAlign w:val="center"/>
            <w:hideMark/>
          </w:tcPr>
          <w:p w14:paraId="566D0111"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2ECED17A"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767" w:type="dxa"/>
            <w:shd w:val="clear" w:color="auto" w:fill="auto"/>
            <w:noWrap/>
            <w:vAlign w:val="center"/>
            <w:hideMark/>
          </w:tcPr>
          <w:p w14:paraId="4F47092A"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87" w:type="dxa"/>
            <w:shd w:val="clear" w:color="auto" w:fill="auto"/>
            <w:noWrap/>
            <w:vAlign w:val="center"/>
            <w:hideMark/>
          </w:tcPr>
          <w:p w14:paraId="733773E9" w14:textId="77777777" w:rsidR="0053033F" w:rsidRPr="004D6930" w:rsidRDefault="0053033F" w:rsidP="002864BC">
            <w:pPr>
              <w:spacing w:beforeLines="40" w:before="96" w:afterLines="40" w:after="96"/>
              <w:jc w:val="center"/>
              <w:rPr>
                <w:b/>
                <w:sz w:val="24"/>
                <w:lang w:val="en-GB"/>
              </w:rPr>
            </w:pPr>
          </w:p>
        </w:tc>
      </w:tr>
      <w:tr w:rsidR="0053033F" w:rsidRPr="0087080D" w14:paraId="262B1808" w14:textId="77777777" w:rsidTr="00F066C9">
        <w:trPr>
          <w:trHeight w:val="300"/>
        </w:trPr>
        <w:tc>
          <w:tcPr>
            <w:tcW w:w="7035" w:type="dxa"/>
            <w:shd w:val="clear" w:color="auto" w:fill="auto"/>
            <w:noWrap/>
            <w:hideMark/>
          </w:tcPr>
          <w:p w14:paraId="495A7F41"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Profiling client needs/ and strengths are a starting point for intervention</w:t>
            </w:r>
          </w:p>
        </w:tc>
        <w:tc>
          <w:tcPr>
            <w:tcW w:w="567" w:type="dxa"/>
            <w:shd w:val="clear" w:color="auto" w:fill="auto"/>
            <w:noWrap/>
            <w:vAlign w:val="center"/>
            <w:hideMark/>
          </w:tcPr>
          <w:p w14:paraId="2FD0C086"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76769B56"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3F321719"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7FACE070"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r>
      <w:tr w:rsidR="0053033F" w:rsidRPr="0087080D" w14:paraId="4946E992" w14:textId="77777777" w:rsidTr="00F066C9">
        <w:trPr>
          <w:trHeight w:val="300"/>
        </w:trPr>
        <w:tc>
          <w:tcPr>
            <w:tcW w:w="7035" w:type="dxa"/>
            <w:shd w:val="clear" w:color="auto" w:fill="auto"/>
            <w:noWrap/>
            <w:hideMark/>
          </w:tcPr>
          <w:p w14:paraId="5E45C1BF"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Provide follow up supports even after placement to employment including workplace adaptations</w:t>
            </w:r>
          </w:p>
        </w:tc>
        <w:tc>
          <w:tcPr>
            <w:tcW w:w="567" w:type="dxa"/>
            <w:shd w:val="clear" w:color="auto" w:fill="auto"/>
            <w:noWrap/>
            <w:vAlign w:val="center"/>
            <w:hideMark/>
          </w:tcPr>
          <w:p w14:paraId="3526AA3C"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275D7E37"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48BFC338"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7FB120DE" w14:textId="77777777" w:rsidR="0053033F" w:rsidRPr="004D6930" w:rsidRDefault="0053033F" w:rsidP="002864BC">
            <w:pPr>
              <w:spacing w:beforeLines="40" w:before="96" w:afterLines="40" w:after="96"/>
              <w:jc w:val="center"/>
              <w:rPr>
                <w:b/>
                <w:sz w:val="24"/>
                <w:lang w:val="en-GB"/>
              </w:rPr>
            </w:pPr>
          </w:p>
        </w:tc>
      </w:tr>
      <w:tr w:rsidR="0053033F" w:rsidRPr="0087080D" w14:paraId="65DA5114" w14:textId="77777777" w:rsidTr="00F066C9">
        <w:trPr>
          <w:trHeight w:val="397"/>
        </w:trPr>
        <w:tc>
          <w:tcPr>
            <w:tcW w:w="7035" w:type="dxa"/>
            <w:shd w:val="clear" w:color="auto" w:fill="D9D9D9"/>
            <w:noWrap/>
            <w:hideMark/>
          </w:tcPr>
          <w:p w14:paraId="407B68DF" w14:textId="77777777" w:rsidR="0053033F" w:rsidRPr="004D6930" w:rsidRDefault="0053033F" w:rsidP="002864BC">
            <w:pPr>
              <w:spacing w:beforeLines="40" w:before="96" w:afterLines="40" w:after="96"/>
              <w:rPr>
                <w:b/>
                <w:sz w:val="24"/>
                <w:lang w:val="en-GB"/>
              </w:rPr>
            </w:pPr>
            <w:r w:rsidRPr="004D6930">
              <w:rPr>
                <w:rFonts w:eastAsia="Calibri"/>
                <w:b/>
                <w:sz w:val="24"/>
                <w:szCs w:val="22"/>
                <w:lang w:val="en-GB"/>
              </w:rPr>
              <w:t>Engaging all actors in creating more responsive services</w:t>
            </w:r>
          </w:p>
        </w:tc>
        <w:tc>
          <w:tcPr>
            <w:tcW w:w="567" w:type="dxa"/>
            <w:shd w:val="clear" w:color="auto" w:fill="D9D9D9"/>
            <w:noWrap/>
            <w:vAlign w:val="center"/>
            <w:hideMark/>
          </w:tcPr>
          <w:p w14:paraId="5972FCE4"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67" w:type="dxa"/>
            <w:shd w:val="clear" w:color="auto" w:fill="D9D9D9"/>
            <w:noWrap/>
            <w:vAlign w:val="center"/>
            <w:hideMark/>
          </w:tcPr>
          <w:p w14:paraId="2B5C946A" w14:textId="77777777" w:rsidR="0053033F" w:rsidRPr="004D6930" w:rsidRDefault="0053033F" w:rsidP="002864BC">
            <w:pPr>
              <w:spacing w:beforeLines="40" w:before="96" w:afterLines="40" w:after="96"/>
              <w:jc w:val="center"/>
              <w:rPr>
                <w:b/>
                <w:sz w:val="24"/>
                <w:lang w:val="en-GB"/>
              </w:rPr>
            </w:pPr>
          </w:p>
        </w:tc>
        <w:tc>
          <w:tcPr>
            <w:tcW w:w="767" w:type="dxa"/>
            <w:shd w:val="clear" w:color="auto" w:fill="D9D9D9"/>
            <w:noWrap/>
            <w:vAlign w:val="center"/>
            <w:hideMark/>
          </w:tcPr>
          <w:p w14:paraId="19B67B54"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87" w:type="dxa"/>
            <w:shd w:val="clear" w:color="auto" w:fill="D9D9D9"/>
            <w:noWrap/>
            <w:vAlign w:val="center"/>
            <w:hideMark/>
          </w:tcPr>
          <w:p w14:paraId="08A610AC"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r>
      <w:tr w:rsidR="0053033F" w:rsidRPr="0087080D" w14:paraId="1BBD6FF2" w14:textId="77777777" w:rsidTr="00F066C9">
        <w:trPr>
          <w:trHeight w:val="300"/>
        </w:trPr>
        <w:tc>
          <w:tcPr>
            <w:tcW w:w="7035" w:type="dxa"/>
            <w:shd w:val="clear" w:color="auto" w:fill="auto"/>
            <w:noWrap/>
            <w:hideMark/>
          </w:tcPr>
          <w:p w14:paraId="036547C2"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Actively involving service users in developing their own multidisciplinary plans and in evaluating services</w:t>
            </w:r>
          </w:p>
        </w:tc>
        <w:tc>
          <w:tcPr>
            <w:tcW w:w="567" w:type="dxa"/>
            <w:shd w:val="clear" w:color="auto" w:fill="auto"/>
            <w:noWrap/>
            <w:vAlign w:val="center"/>
            <w:hideMark/>
          </w:tcPr>
          <w:p w14:paraId="5F7E88A2"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144CA0AC"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5ABC9696"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0FE9E9DD"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r>
      <w:tr w:rsidR="0053033F" w:rsidRPr="0087080D" w14:paraId="28C0C33C" w14:textId="77777777" w:rsidTr="00F066C9">
        <w:trPr>
          <w:trHeight w:val="300"/>
        </w:trPr>
        <w:tc>
          <w:tcPr>
            <w:tcW w:w="7035" w:type="dxa"/>
            <w:shd w:val="clear" w:color="auto" w:fill="auto"/>
            <w:noWrap/>
            <w:hideMark/>
          </w:tcPr>
          <w:p w14:paraId="4D7C5448"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 xml:space="preserve">The contribution of professional associations to improvements </w:t>
            </w:r>
          </w:p>
        </w:tc>
        <w:tc>
          <w:tcPr>
            <w:tcW w:w="567" w:type="dxa"/>
            <w:shd w:val="clear" w:color="auto" w:fill="auto"/>
            <w:noWrap/>
            <w:vAlign w:val="center"/>
            <w:hideMark/>
          </w:tcPr>
          <w:p w14:paraId="35BA1EEE"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404162F5"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277E2A52"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87" w:type="dxa"/>
            <w:shd w:val="clear" w:color="auto" w:fill="auto"/>
            <w:noWrap/>
            <w:vAlign w:val="center"/>
            <w:hideMark/>
          </w:tcPr>
          <w:p w14:paraId="2E2A530C" w14:textId="77777777" w:rsidR="0053033F" w:rsidRPr="004D6930" w:rsidRDefault="0053033F" w:rsidP="002864BC">
            <w:pPr>
              <w:spacing w:beforeLines="40" w:before="96" w:afterLines="40" w:after="96"/>
              <w:jc w:val="center"/>
              <w:rPr>
                <w:b/>
                <w:sz w:val="24"/>
                <w:lang w:val="en-GB"/>
              </w:rPr>
            </w:pPr>
          </w:p>
        </w:tc>
      </w:tr>
      <w:tr w:rsidR="0053033F" w:rsidRPr="0087080D" w14:paraId="095E1794" w14:textId="77777777" w:rsidTr="00F066C9">
        <w:trPr>
          <w:trHeight w:val="300"/>
        </w:trPr>
        <w:tc>
          <w:tcPr>
            <w:tcW w:w="7035" w:type="dxa"/>
            <w:shd w:val="clear" w:color="auto" w:fill="auto"/>
            <w:noWrap/>
            <w:hideMark/>
          </w:tcPr>
          <w:p w14:paraId="060EA067"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Enabling the involvement of all stakeholders in the design, development and governance of the VR process</w:t>
            </w:r>
          </w:p>
        </w:tc>
        <w:tc>
          <w:tcPr>
            <w:tcW w:w="567" w:type="dxa"/>
            <w:shd w:val="clear" w:color="auto" w:fill="auto"/>
            <w:noWrap/>
            <w:vAlign w:val="center"/>
            <w:hideMark/>
          </w:tcPr>
          <w:p w14:paraId="7A2C4D75"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10A46AA2"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0E9B7656"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7D177E88"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r>
      <w:tr w:rsidR="0053033F" w:rsidRPr="0087080D" w14:paraId="5F4D4855" w14:textId="77777777" w:rsidTr="00F066C9">
        <w:trPr>
          <w:trHeight w:val="397"/>
        </w:trPr>
        <w:tc>
          <w:tcPr>
            <w:tcW w:w="7035" w:type="dxa"/>
            <w:shd w:val="clear" w:color="auto" w:fill="D9D9D9"/>
            <w:noWrap/>
            <w:hideMark/>
          </w:tcPr>
          <w:p w14:paraId="79BB3917" w14:textId="77777777" w:rsidR="0053033F" w:rsidRPr="004D6930" w:rsidRDefault="0053033F" w:rsidP="002864BC">
            <w:pPr>
              <w:spacing w:beforeLines="40" w:before="96" w:afterLines="40" w:after="96"/>
              <w:rPr>
                <w:b/>
                <w:sz w:val="24"/>
                <w:lang w:val="en-GB"/>
              </w:rPr>
            </w:pPr>
            <w:r w:rsidRPr="004D6930">
              <w:rPr>
                <w:rFonts w:eastAsia="Calibri"/>
                <w:b/>
                <w:sz w:val="24"/>
                <w:szCs w:val="22"/>
                <w:lang w:val="en-GB"/>
              </w:rPr>
              <w:t>Working more closely with employers</w:t>
            </w:r>
          </w:p>
        </w:tc>
        <w:tc>
          <w:tcPr>
            <w:tcW w:w="567" w:type="dxa"/>
            <w:shd w:val="clear" w:color="auto" w:fill="D9D9D9"/>
            <w:noWrap/>
            <w:vAlign w:val="center"/>
            <w:hideMark/>
          </w:tcPr>
          <w:p w14:paraId="1E8A2DA1"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b/>
                <w:sz w:val="24"/>
                <w:szCs w:val="22"/>
                <w:lang w:val="en-GB"/>
              </w:rPr>
              <w:t>●</w:t>
            </w:r>
          </w:p>
        </w:tc>
        <w:tc>
          <w:tcPr>
            <w:tcW w:w="567" w:type="dxa"/>
            <w:shd w:val="clear" w:color="auto" w:fill="D9D9D9"/>
            <w:noWrap/>
            <w:vAlign w:val="center"/>
            <w:hideMark/>
          </w:tcPr>
          <w:p w14:paraId="36054026" w14:textId="77777777" w:rsidR="0053033F" w:rsidRPr="004D6930" w:rsidRDefault="0053033F" w:rsidP="002864BC">
            <w:pPr>
              <w:spacing w:beforeLines="40" w:before="96" w:afterLines="40" w:after="96"/>
              <w:jc w:val="center"/>
              <w:rPr>
                <w:b/>
                <w:sz w:val="24"/>
                <w:lang w:val="en-GB"/>
              </w:rPr>
            </w:pPr>
          </w:p>
        </w:tc>
        <w:tc>
          <w:tcPr>
            <w:tcW w:w="767" w:type="dxa"/>
            <w:shd w:val="clear" w:color="auto" w:fill="D9D9D9"/>
            <w:noWrap/>
            <w:vAlign w:val="center"/>
            <w:hideMark/>
          </w:tcPr>
          <w:p w14:paraId="027AB04D" w14:textId="77777777" w:rsidR="0053033F" w:rsidRPr="004D6930" w:rsidRDefault="0053033F" w:rsidP="002864BC">
            <w:pPr>
              <w:spacing w:beforeLines="40" w:before="96" w:afterLines="40" w:after="96"/>
              <w:jc w:val="center"/>
              <w:rPr>
                <w:b/>
                <w:sz w:val="24"/>
                <w:lang w:val="en-GB"/>
              </w:rPr>
            </w:pPr>
          </w:p>
        </w:tc>
        <w:tc>
          <w:tcPr>
            <w:tcW w:w="587" w:type="dxa"/>
            <w:shd w:val="clear" w:color="auto" w:fill="D9D9D9"/>
            <w:noWrap/>
            <w:vAlign w:val="center"/>
            <w:hideMark/>
          </w:tcPr>
          <w:p w14:paraId="37CA19D1"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b/>
                <w:sz w:val="24"/>
                <w:szCs w:val="22"/>
                <w:lang w:val="en-GB"/>
              </w:rPr>
              <w:t>●</w:t>
            </w:r>
          </w:p>
        </w:tc>
      </w:tr>
      <w:tr w:rsidR="0053033F" w:rsidRPr="0087080D" w14:paraId="76A3A769" w14:textId="77777777" w:rsidTr="00F066C9">
        <w:trPr>
          <w:trHeight w:val="300"/>
        </w:trPr>
        <w:tc>
          <w:tcPr>
            <w:tcW w:w="7035" w:type="dxa"/>
            <w:shd w:val="clear" w:color="auto" w:fill="auto"/>
            <w:noWrap/>
            <w:hideMark/>
          </w:tcPr>
          <w:p w14:paraId="32DCDAD1"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Responding to and collaborating with employers as direct customers of the services</w:t>
            </w:r>
          </w:p>
        </w:tc>
        <w:tc>
          <w:tcPr>
            <w:tcW w:w="567" w:type="dxa"/>
            <w:shd w:val="clear" w:color="auto" w:fill="auto"/>
            <w:noWrap/>
            <w:vAlign w:val="center"/>
            <w:hideMark/>
          </w:tcPr>
          <w:p w14:paraId="5DC35A04"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2A614058"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6FEE313B"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1FE3864B"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r>
      <w:tr w:rsidR="0053033F" w:rsidRPr="0087080D" w14:paraId="6ADBA8E9" w14:textId="77777777" w:rsidTr="00F066C9">
        <w:trPr>
          <w:trHeight w:val="300"/>
        </w:trPr>
        <w:tc>
          <w:tcPr>
            <w:tcW w:w="7035" w:type="dxa"/>
            <w:shd w:val="clear" w:color="auto" w:fill="auto"/>
            <w:noWrap/>
            <w:hideMark/>
          </w:tcPr>
          <w:p w14:paraId="7F5A61E0"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Building collaboration with employer organisations</w:t>
            </w:r>
          </w:p>
        </w:tc>
        <w:tc>
          <w:tcPr>
            <w:tcW w:w="567" w:type="dxa"/>
            <w:shd w:val="clear" w:color="auto" w:fill="auto"/>
            <w:noWrap/>
            <w:vAlign w:val="center"/>
            <w:hideMark/>
          </w:tcPr>
          <w:p w14:paraId="4969BC98"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7874F48C"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39D69D30"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79591DDD" w14:textId="77777777" w:rsidR="0053033F" w:rsidRPr="004D6930" w:rsidRDefault="0053033F" w:rsidP="002864BC">
            <w:pPr>
              <w:spacing w:beforeLines="40" w:before="96" w:afterLines="40" w:after="96"/>
              <w:jc w:val="center"/>
              <w:rPr>
                <w:b/>
                <w:sz w:val="24"/>
                <w:lang w:val="en-GB"/>
              </w:rPr>
            </w:pPr>
          </w:p>
        </w:tc>
      </w:tr>
      <w:tr w:rsidR="0053033F" w:rsidRPr="0087080D" w14:paraId="49D1675A" w14:textId="77777777" w:rsidTr="00F066C9">
        <w:trPr>
          <w:trHeight w:val="300"/>
        </w:trPr>
        <w:tc>
          <w:tcPr>
            <w:tcW w:w="7035" w:type="dxa"/>
            <w:shd w:val="clear" w:color="auto" w:fill="auto"/>
            <w:noWrap/>
            <w:hideMark/>
          </w:tcPr>
          <w:p w14:paraId="07EBD5C7"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Working with employers to create on the job training opportunities</w:t>
            </w:r>
          </w:p>
        </w:tc>
        <w:tc>
          <w:tcPr>
            <w:tcW w:w="567" w:type="dxa"/>
            <w:shd w:val="clear" w:color="auto" w:fill="auto"/>
            <w:noWrap/>
            <w:vAlign w:val="center"/>
            <w:hideMark/>
          </w:tcPr>
          <w:p w14:paraId="7D74F2C1"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0A91D08D"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16FA5D35"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1DD685A2" w14:textId="77777777" w:rsidR="0053033F" w:rsidRPr="004D6930" w:rsidRDefault="0053033F" w:rsidP="002864BC">
            <w:pPr>
              <w:spacing w:beforeLines="40" w:before="96" w:afterLines="40" w:after="96"/>
              <w:jc w:val="center"/>
              <w:rPr>
                <w:b/>
                <w:sz w:val="24"/>
                <w:lang w:val="en-GB"/>
              </w:rPr>
            </w:pPr>
          </w:p>
        </w:tc>
      </w:tr>
      <w:tr w:rsidR="0053033F" w:rsidRPr="0087080D" w14:paraId="3981A67D" w14:textId="77777777" w:rsidTr="00F066C9">
        <w:trPr>
          <w:trHeight w:val="300"/>
        </w:trPr>
        <w:tc>
          <w:tcPr>
            <w:tcW w:w="7035" w:type="dxa"/>
            <w:shd w:val="clear" w:color="auto" w:fill="auto"/>
            <w:noWrap/>
            <w:hideMark/>
          </w:tcPr>
          <w:p w14:paraId="0176B6D3"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Finding ways to incentivise employers to recruit and retain people with disabilities including quotas</w:t>
            </w:r>
          </w:p>
        </w:tc>
        <w:tc>
          <w:tcPr>
            <w:tcW w:w="567" w:type="dxa"/>
            <w:shd w:val="clear" w:color="auto" w:fill="auto"/>
            <w:noWrap/>
            <w:vAlign w:val="center"/>
            <w:hideMark/>
          </w:tcPr>
          <w:p w14:paraId="425068EF"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21D68014"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3CFC49BF"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35A5ECFE" w14:textId="77777777" w:rsidR="0053033F" w:rsidRPr="004D6930" w:rsidRDefault="0053033F" w:rsidP="002864BC">
            <w:pPr>
              <w:spacing w:beforeLines="40" w:before="96" w:afterLines="40" w:after="96"/>
              <w:jc w:val="center"/>
              <w:rPr>
                <w:b/>
                <w:sz w:val="24"/>
                <w:lang w:val="en-GB"/>
              </w:rPr>
            </w:pPr>
          </w:p>
        </w:tc>
      </w:tr>
      <w:tr w:rsidR="0053033F" w:rsidRPr="0087080D" w14:paraId="70EC91D9" w14:textId="77777777" w:rsidTr="00F066C9">
        <w:trPr>
          <w:trHeight w:val="397"/>
        </w:trPr>
        <w:tc>
          <w:tcPr>
            <w:tcW w:w="7035" w:type="dxa"/>
            <w:shd w:val="clear" w:color="auto" w:fill="D9D9D9"/>
            <w:noWrap/>
            <w:hideMark/>
          </w:tcPr>
          <w:p w14:paraId="3DDCD790" w14:textId="77777777" w:rsidR="0053033F" w:rsidRPr="004D6930" w:rsidRDefault="0053033F" w:rsidP="002864BC">
            <w:pPr>
              <w:keepNext/>
              <w:spacing w:beforeLines="40" w:before="96" w:afterLines="40" w:after="96"/>
              <w:rPr>
                <w:b/>
                <w:sz w:val="24"/>
                <w:lang w:val="en-GB"/>
              </w:rPr>
            </w:pPr>
            <w:r w:rsidRPr="004D6930">
              <w:rPr>
                <w:rFonts w:eastAsia="Calibri"/>
                <w:b/>
                <w:sz w:val="24"/>
                <w:szCs w:val="22"/>
                <w:lang w:val="en-GB"/>
              </w:rPr>
              <w:t>Implementing efficient quality improvement processes</w:t>
            </w:r>
          </w:p>
        </w:tc>
        <w:tc>
          <w:tcPr>
            <w:tcW w:w="567" w:type="dxa"/>
            <w:shd w:val="clear" w:color="auto" w:fill="D9D9D9"/>
            <w:noWrap/>
            <w:vAlign w:val="center"/>
            <w:hideMark/>
          </w:tcPr>
          <w:p w14:paraId="5C467418"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67" w:type="dxa"/>
            <w:shd w:val="clear" w:color="auto" w:fill="D9D9D9"/>
            <w:noWrap/>
            <w:vAlign w:val="center"/>
            <w:hideMark/>
          </w:tcPr>
          <w:p w14:paraId="15E0B32F" w14:textId="77777777" w:rsidR="0053033F" w:rsidRPr="004D6930" w:rsidRDefault="0053033F" w:rsidP="002864BC">
            <w:pPr>
              <w:spacing w:beforeLines="40" w:before="96" w:afterLines="40" w:after="96"/>
              <w:jc w:val="center"/>
              <w:rPr>
                <w:b/>
                <w:sz w:val="24"/>
                <w:lang w:val="en-GB"/>
              </w:rPr>
            </w:pPr>
          </w:p>
        </w:tc>
        <w:tc>
          <w:tcPr>
            <w:tcW w:w="767" w:type="dxa"/>
            <w:shd w:val="clear" w:color="auto" w:fill="D9D9D9"/>
            <w:noWrap/>
            <w:vAlign w:val="center"/>
            <w:hideMark/>
          </w:tcPr>
          <w:p w14:paraId="6846CC37"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87" w:type="dxa"/>
            <w:shd w:val="clear" w:color="auto" w:fill="D9D9D9"/>
            <w:noWrap/>
            <w:vAlign w:val="center"/>
            <w:hideMark/>
          </w:tcPr>
          <w:p w14:paraId="7F155862" w14:textId="77777777" w:rsidR="0053033F" w:rsidRPr="004D6930" w:rsidRDefault="0053033F" w:rsidP="002864BC">
            <w:pPr>
              <w:spacing w:beforeLines="40" w:before="96" w:afterLines="40" w:after="96"/>
              <w:jc w:val="center"/>
              <w:rPr>
                <w:b/>
                <w:sz w:val="24"/>
                <w:lang w:val="en-GB"/>
              </w:rPr>
            </w:pPr>
          </w:p>
        </w:tc>
      </w:tr>
      <w:tr w:rsidR="0053033F" w:rsidRPr="0087080D" w14:paraId="09FD1B2A" w14:textId="77777777" w:rsidTr="00F066C9">
        <w:trPr>
          <w:trHeight w:val="300"/>
        </w:trPr>
        <w:tc>
          <w:tcPr>
            <w:tcW w:w="7035" w:type="dxa"/>
            <w:shd w:val="clear" w:color="auto" w:fill="auto"/>
            <w:noWrap/>
            <w:hideMark/>
          </w:tcPr>
          <w:p w14:paraId="3EA4218D" w14:textId="77777777" w:rsidR="0053033F" w:rsidRPr="004D6930" w:rsidRDefault="0053033F" w:rsidP="002864BC">
            <w:pPr>
              <w:keepNext/>
              <w:keepLines/>
              <w:spacing w:beforeLines="40" w:before="96" w:afterLines="40" w:after="96"/>
              <w:rPr>
                <w:sz w:val="24"/>
                <w:lang w:val="en-GB"/>
              </w:rPr>
            </w:pPr>
            <w:r w:rsidRPr="004D6930">
              <w:rPr>
                <w:rFonts w:eastAsia="Calibri"/>
                <w:sz w:val="24"/>
                <w:szCs w:val="22"/>
                <w:lang w:val="en-GB"/>
              </w:rPr>
              <w:t>The publication of good practice guidelines for services and staff</w:t>
            </w:r>
          </w:p>
        </w:tc>
        <w:tc>
          <w:tcPr>
            <w:tcW w:w="567" w:type="dxa"/>
            <w:shd w:val="clear" w:color="auto" w:fill="auto"/>
            <w:noWrap/>
            <w:vAlign w:val="center"/>
            <w:hideMark/>
          </w:tcPr>
          <w:p w14:paraId="39A7F178"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7AE75ADD"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1895BB10"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87" w:type="dxa"/>
            <w:shd w:val="clear" w:color="auto" w:fill="auto"/>
            <w:noWrap/>
            <w:vAlign w:val="center"/>
            <w:hideMark/>
          </w:tcPr>
          <w:p w14:paraId="43360225" w14:textId="77777777" w:rsidR="0053033F" w:rsidRPr="004D6930" w:rsidRDefault="0053033F" w:rsidP="002864BC">
            <w:pPr>
              <w:spacing w:beforeLines="40" w:before="96" w:afterLines="40" w:after="96"/>
              <w:jc w:val="center"/>
              <w:rPr>
                <w:b/>
                <w:sz w:val="24"/>
                <w:lang w:val="en-GB"/>
              </w:rPr>
            </w:pPr>
          </w:p>
        </w:tc>
      </w:tr>
      <w:tr w:rsidR="0053033F" w:rsidRPr="0087080D" w14:paraId="7DE84DC8" w14:textId="77777777" w:rsidTr="00F066C9">
        <w:trPr>
          <w:trHeight w:val="300"/>
        </w:trPr>
        <w:tc>
          <w:tcPr>
            <w:tcW w:w="7035" w:type="dxa"/>
            <w:shd w:val="clear" w:color="auto" w:fill="auto"/>
            <w:noWrap/>
            <w:hideMark/>
          </w:tcPr>
          <w:p w14:paraId="4E07C5F1"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Training and accreditation for case managers</w:t>
            </w:r>
          </w:p>
        </w:tc>
        <w:tc>
          <w:tcPr>
            <w:tcW w:w="567" w:type="dxa"/>
            <w:shd w:val="clear" w:color="auto" w:fill="auto"/>
            <w:noWrap/>
            <w:vAlign w:val="center"/>
            <w:hideMark/>
          </w:tcPr>
          <w:p w14:paraId="1B41846C"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3B81DCDB"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00028B30"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87" w:type="dxa"/>
            <w:shd w:val="clear" w:color="auto" w:fill="auto"/>
            <w:noWrap/>
            <w:vAlign w:val="center"/>
            <w:hideMark/>
          </w:tcPr>
          <w:p w14:paraId="7CA26ACE" w14:textId="77777777" w:rsidR="0053033F" w:rsidRPr="004D6930" w:rsidRDefault="0053033F" w:rsidP="002864BC">
            <w:pPr>
              <w:spacing w:beforeLines="40" w:before="96" w:afterLines="40" w:after="96"/>
              <w:jc w:val="center"/>
              <w:rPr>
                <w:b/>
                <w:sz w:val="24"/>
                <w:lang w:val="en-GB"/>
              </w:rPr>
            </w:pPr>
          </w:p>
        </w:tc>
      </w:tr>
      <w:tr w:rsidR="0053033F" w:rsidRPr="0087080D" w14:paraId="39A72E7F" w14:textId="77777777" w:rsidTr="00F066C9">
        <w:trPr>
          <w:trHeight w:val="300"/>
        </w:trPr>
        <w:tc>
          <w:tcPr>
            <w:tcW w:w="7035" w:type="dxa"/>
            <w:shd w:val="clear" w:color="auto" w:fill="auto"/>
            <w:noWrap/>
            <w:hideMark/>
          </w:tcPr>
          <w:p w14:paraId="53FCDD7A"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Independent quality assurance for services</w:t>
            </w:r>
          </w:p>
        </w:tc>
        <w:tc>
          <w:tcPr>
            <w:tcW w:w="567" w:type="dxa"/>
            <w:shd w:val="clear" w:color="auto" w:fill="auto"/>
            <w:noWrap/>
            <w:vAlign w:val="center"/>
            <w:hideMark/>
          </w:tcPr>
          <w:p w14:paraId="26C979D9"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1A543C39"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2C9707A3" w14:textId="77777777" w:rsidR="0053033F" w:rsidRPr="004D6930" w:rsidRDefault="0053033F" w:rsidP="002864BC">
            <w:pPr>
              <w:spacing w:beforeLines="40" w:before="96" w:afterLines="40" w:after="96"/>
              <w:jc w:val="center"/>
              <w:rPr>
                <w:sz w:val="24"/>
                <w:lang w:val="en-GB"/>
              </w:rPr>
            </w:pPr>
            <w:r w:rsidRPr="004D6930">
              <w:rPr>
                <w:rFonts w:ascii="Arial" w:eastAsia="Calibri" w:hAnsi="Arial" w:cs="Arial"/>
                <w:sz w:val="24"/>
                <w:szCs w:val="22"/>
                <w:lang w:val="en-GB"/>
              </w:rPr>
              <w:t>●</w:t>
            </w:r>
          </w:p>
        </w:tc>
        <w:tc>
          <w:tcPr>
            <w:tcW w:w="587" w:type="dxa"/>
            <w:shd w:val="clear" w:color="auto" w:fill="auto"/>
            <w:noWrap/>
            <w:vAlign w:val="center"/>
            <w:hideMark/>
          </w:tcPr>
          <w:p w14:paraId="390CC325" w14:textId="77777777" w:rsidR="0053033F" w:rsidRPr="004D6930" w:rsidRDefault="0053033F" w:rsidP="002864BC">
            <w:pPr>
              <w:spacing w:beforeLines="40" w:before="96" w:afterLines="40" w:after="96"/>
              <w:jc w:val="center"/>
              <w:rPr>
                <w:b/>
                <w:sz w:val="24"/>
                <w:lang w:val="en-GB"/>
              </w:rPr>
            </w:pPr>
          </w:p>
        </w:tc>
      </w:tr>
      <w:tr w:rsidR="0053033F" w:rsidRPr="0087080D" w14:paraId="68A04EDB" w14:textId="77777777" w:rsidTr="00F066C9">
        <w:trPr>
          <w:trHeight w:val="300"/>
        </w:trPr>
        <w:tc>
          <w:tcPr>
            <w:tcW w:w="7035" w:type="dxa"/>
            <w:shd w:val="clear" w:color="auto" w:fill="auto"/>
            <w:noWrap/>
            <w:hideMark/>
          </w:tcPr>
          <w:p w14:paraId="5DAF7F9F"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Balancing regulation and standards with efficient administration</w:t>
            </w:r>
          </w:p>
        </w:tc>
        <w:tc>
          <w:tcPr>
            <w:tcW w:w="567" w:type="dxa"/>
            <w:shd w:val="clear" w:color="auto" w:fill="auto"/>
            <w:noWrap/>
            <w:vAlign w:val="center"/>
            <w:hideMark/>
          </w:tcPr>
          <w:p w14:paraId="30BFED86"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4E0803B2"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2482B196"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44E38CE0" w14:textId="77777777" w:rsidR="0053033F" w:rsidRPr="004D6930" w:rsidRDefault="0053033F" w:rsidP="002864BC">
            <w:pPr>
              <w:spacing w:beforeLines="40" w:before="96" w:afterLines="40" w:after="96"/>
              <w:jc w:val="center"/>
              <w:rPr>
                <w:b/>
                <w:sz w:val="24"/>
                <w:lang w:val="en-GB"/>
              </w:rPr>
            </w:pPr>
          </w:p>
        </w:tc>
      </w:tr>
      <w:tr w:rsidR="0053033F" w:rsidRPr="0087080D" w14:paraId="57BB1027" w14:textId="77777777" w:rsidTr="00F066C9">
        <w:trPr>
          <w:trHeight w:val="300"/>
        </w:trPr>
        <w:tc>
          <w:tcPr>
            <w:tcW w:w="7035" w:type="dxa"/>
            <w:shd w:val="clear" w:color="auto" w:fill="D9D9D9"/>
            <w:noWrap/>
            <w:hideMark/>
          </w:tcPr>
          <w:p w14:paraId="68FE0D75" w14:textId="77777777" w:rsidR="0053033F" w:rsidRPr="004D6930" w:rsidRDefault="0053033F" w:rsidP="002864BC">
            <w:pPr>
              <w:keepNext/>
              <w:spacing w:beforeLines="40" w:before="96" w:afterLines="40" w:after="96"/>
              <w:rPr>
                <w:b/>
                <w:sz w:val="24"/>
                <w:lang w:val="en-GB"/>
              </w:rPr>
            </w:pPr>
            <w:r w:rsidRPr="004D6930">
              <w:rPr>
                <w:rFonts w:eastAsia="Calibri"/>
                <w:b/>
                <w:sz w:val="24"/>
                <w:szCs w:val="22"/>
                <w:lang w:val="en-GB"/>
              </w:rPr>
              <w:t>Strengthening the policy basis for VR</w:t>
            </w:r>
          </w:p>
        </w:tc>
        <w:tc>
          <w:tcPr>
            <w:tcW w:w="567" w:type="dxa"/>
            <w:shd w:val="clear" w:color="auto" w:fill="D9D9D9"/>
            <w:noWrap/>
            <w:vAlign w:val="center"/>
            <w:hideMark/>
          </w:tcPr>
          <w:p w14:paraId="755742E7"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67" w:type="dxa"/>
            <w:shd w:val="clear" w:color="auto" w:fill="D9D9D9"/>
            <w:noWrap/>
            <w:vAlign w:val="center"/>
            <w:hideMark/>
          </w:tcPr>
          <w:p w14:paraId="2FAE8C5C" w14:textId="77777777" w:rsidR="0053033F" w:rsidRPr="004D6930" w:rsidRDefault="0053033F" w:rsidP="002864BC">
            <w:pPr>
              <w:spacing w:beforeLines="40" w:before="96" w:afterLines="40" w:after="96"/>
              <w:jc w:val="center"/>
              <w:rPr>
                <w:b/>
                <w:sz w:val="24"/>
                <w:lang w:val="en-GB"/>
              </w:rPr>
            </w:pPr>
          </w:p>
        </w:tc>
        <w:tc>
          <w:tcPr>
            <w:tcW w:w="767" w:type="dxa"/>
            <w:shd w:val="clear" w:color="auto" w:fill="D9D9D9"/>
            <w:noWrap/>
            <w:vAlign w:val="center"/>
            <w:hideMark/>
          </w:tcPr>
          <w:p w14:paraId="564B6363" w14:textId="77777777" w:rsidR="0053033F" w:rsidRPr="004D6930" w:rsidRDefault="0053033F" w:rsidP="002864BC">
            <w:pPr>
              <w:spacing w:beforeLines="40" w:before="96" w:afterLines="40" w:after="96"/>
              <w:jc w:val="center"/>
              <w:rPr>
                <w:b/>
                <w:sz w:val="24"/>
                <w:lang w:val="en-GB"/>
              </w:rPr>
            </w:pPr>
          </w:p>
        </w:tc>
        <w:tc>
          <w:tcPr>
            <w:tcW w:w="587" w:type="dxa"/>
            <w:shd w:val="clear" w:color="auto" w:fill="D9D9D9"/>
            <w:noWrap/>
            <w:vAlign w:val="center"/>
            <w:hideMark/>
          </w:tcPr>
          <w:p w14:paraId="2530AF1F"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r>
      <w:tr w:rsidR="0053033F" w:rsidRPr="0087080D" w14:paraId="5B337445" w14:textId="77777777" w:rsidTr="00F066C9">
        <w:trPr>
          <w:trHeight w:val="300"/>
        </w:trPr>
        <w:tc>
          <w:tcPr>
            <w:tcW w:w="7035" w:type="dxa"/>
            <w:shd w:val="clear" w:color="auto" w:fill="auto"/>
            <w:noWrap/>
            <w:hideMark/>
          </w:tcPr>
          <w:p w14:paraId="3E67847B"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Focusing on the return on investment that VR can create in terms of reduced future liability and individual quality of life</w:t>
            </w:r>
          </w:p>
        </w:tc>
        <w:tc>
          <w:tcPr>
            <w:tcW w:w="567" w:type="dxa"/>
            <w:shd w:val="clear" w:color="auto" w:fill="auto"/>
            <w:noWrap/>
            <w:vAlign w:val="center"/>
            <w:hideMark/>
          </w:tcPr>
          <w:p w14:paraId="24523422" w14:textId="77777777" w:rsidR="0053033F" w:rsidRPr="004D6930" w:rsidRDefault="0053033F" w:rsidP="002864BC">
            <w:pPr>
              <w:spacing w:beforeLines="40" w:before="96" w:afterLines="40" w:after="96"/>
              <w:jc w:val="center"/>
              <w:rPr>
                <w:b/>
                <w:sz w:val="24"/>
                <w:lang w:val="en-GB"/>
              </w:rPr>
            </w:pPr>
          </w:p>
        </w:tc>
        <w:tc>
          <w:tcPr>
            <w:tcW w:w="567" w:type="dxa"/>
            <w:shd w:val="clear" w:color="auto" w:fill="auto"/>
            <w:noWrap/>
            <w:vAlign w:val="center"/>
            <w:hideMark/>
          </w:tcPr>
          <w:p w14:paraId="00A6C0D7"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1840AC55"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04200383"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r>
      <w:tr w:rsidR="0053033F" w:rsidRPr="0087080D" w14:paraId="2E8B2B23" w14:textId="77777777" w:rsidTr="00F066C9">
        <w:trPr>
          <w:trHeight w:val="300"/>
        </w:trPr>
        <w:tc>
          <w:tcPr>
            <w:tcW w:w="7035" w:type="dxa"/>
            <w:shd w:val="clear" w:color="auto" w:fill="auto"/>
            <w:noWrap/>
            <w:hideMark/>
          </w:tcPr>
          <w:p w14:paraId="60005BAF" w14:textId="77777777" w:rsidR="0053033F" w:rsidRPr="004D6930" w:rsidRDefault="0053033F" w:rsidP="002864BC">
            <w:pPr>
              <w:spacing w:beforeLines="40" w:before="96" w:afterLines="40" w:after="96"/>
              <w:rPr>
                <w:sz w:val="24"/>
                <w:lang w:val="en-GB"/>
              </w:rPr>
            </w:pPr>
            <w:r w:rsidRPr="004D6930">
              <w:rPr>
                <w:rFonts w:eastAsia="Calibri"/>
                <w:sz w:val="24"/>
                <w:szCs w:val="22"/>
                <w:lang w:val="en-GB"/>
              </w:rPr>
              <w:t>Developing a legal basis for access to Vocational Rehabilitation</w:t>
            </w:r>
          </w:p>
        </w:tc>
        <w:tc>
          <w:tcPr>
            <w:tcW w:w="567" w:type="dxa"/>
            <w:shd w:val="clear" w:color="auto" w:fill="auto"/>
            <w:noWrap/>
            <w:vAlign w:val="center"/>
            <w:hideMark/>
          </w:tcPr>
          <w:p w14:paraId="08CA3E37" w14:textId="77777777" w:rsidR="0053033F" w:rsidRPr="004D6930" w:rsidRDefault="0053033F" w:rsidP="002864BC">
            <w:pPr>
              <w:spacing w:beforeLines="40" w:before="96" w:afterLines="40" w:after="96"/>
              <w:jc w:val="center"/>
              <w:rPr>
                <w:b/>
                <w:sz w:val="24"/>
                <w:lang w:val="en-GB"/>
              </w:rPr>
            </w:pPr>
            <w:r w:rsidRPr="004D6930">
              <w:rPr>
                <w:rFonts w:ascii="Arial" w:eastAsia="Calibri" w:hAnsi="Arial" w:cs="Arial"/>
                <w:sz w:val="24"/>
                <w:szCs w:val="22"/>
                <w:lang w:val="en-GB"/>
              </w:rPr>
              <w:t>●</w:t>
            </w:r>
          </w:p>
        </w:tc>
        <w:tc>
          <w:tcPr>
            <w:tcW w:w="567" w:type="dxa"/>
            <w:shd w:val="clear" w:color="auto" w:fill="auto"/>
            <w:noWrap/>
            <w:vAlign w:val="center"/>
            <w:hideMark/>
          </w:tcPr>
          <w:p w14:paraId="51C17E33" w14:textId="77777777" w:rsidR="0053033F" w:rsidRPr="004D6930" w:rsidRDefault="0053033F" w:rsidP="002864BC">
            <w:pPr>
              <w:spacing w:beforeLines="40" w:before="96" w:afterLines="40" w:after="96"/>
              <w:jc w:val="center"/>
              <w:rPr>
                <w:b/>
                <w:sz w:val="24"/>
                <w:lang w:val="en-GB"/>
              </w:rPr>
            </w:pPr>
          </w:p>
        </w:tc>
        <w:tc>
          <w:tcPr>
            <w:tcW w:w="767" w:type="dxa"/>
            <w:shd w:val="clear" w:color="auto" w:fill="auto"/>
            <w:noWrap/>
            <w:vAlign w:val="center"/>
            <w:hideMark/>
          </w:tcPr>
          <w:p w14:paraId="0713498A" w14:textId="77777777" w:rsidR="0053033F" w:rsidRPr="004D6930" w:rsidRDefault="0053033F" w:rsidP="002864BC">
            <w:pPr>
              <w:spacing w:beforeLines="40" w:before="96" w:afterLines="40" w:after="96"/>
              <w:jc w:val="center"/>
              <w:rPr>
                <w:b/>
                <w:sz w:val="24"/>
                <w:lang w:val="en-GB"/>
              </w:rPr>
            </w:pPr>
          </w:p>
        </w:tc>
        <w:tc>
          <w:tcPr>
            <w:tcW w:w="587" w:type="dxa"/>
            <w:shd w:val="clear" w:color="auto" w:fill="auto"/>
            <w:noWrap/>
            <w:vAlign w:val="center"/>
            <w:hideMark/>
          </w:tcPr>
          <w:p w14:paraId="09F8F2E7" w14:textId="77777777" w:rsidR="0053033F" w:rsidRPr="004D6930" w:rsidRDefault="0053033F" w:rsidP="002864BC">
            <w:pPr>
              <w:spacing w:beforeLines="40" w:before="96" w:afterLines="40" w:after="96"/>
              <w:jc w:val="center"/>
              <w:rPr>
                <w:b/>
                <w:sz w:val="24"/>
                <w:lang w:val="en-GB"/>
              </w:rPr>
            </w:pPr>
          </w:p>
        </w:tc>
      </w:tr>
    </w:tbl>
    <w:p w14:paraId="419AB62A" w14:textId="259B434A" w:rsidR="00826B39" w:rsidRDefault="00826B39" w:rsidP="00387760">
      <w:pPr>
        <w:pStyle w:val="Heading2"/>
        <w:spacing w:before="240"/>
      </w:pPr>
      <w:r>
        <w:t>Summary and implication of findings</w:t>
      </w:r>
    </w:p>
    <w:p w14:paraId="674B3648" w14:textId="77777777" w:rsidR="00826B39" w:rsidRDefault="00826B39" w:rsidP="00826B39">
      <w:pPr>
        <w:autoSpaceDE w:val="0"/>
        <w:autoSpaceDN w:val="0"/>
        <w:adjustRightInd w:val="0"/>
        <w:rPr>
          <w:szCs w:val="26"/>
        </w:rPr>
      </w:pPr>
      <w:r w:rsidRPr="00B75836">
        <w:rPr>
          <w:szCs w:val="26"/>
        </w:rPr>
        <w:t xml:space="preserve">A key finding of the </w:t>
      </w:r>
      <w:r>
        <w:rPr>
          <w:szCs w:val="26"/>
        </w:rPr>
        <w:t xml:space="preserve">international </w:t>
      </w:r>
      <w:r w:rsidRPr="00B75836">
        <w:rPr>
          <w:szCs w:val="26"/>
        </w:rPr>
        <w:t>research was that no other jurisdiction had a model of vocational rehabilitation that could be effectively adopted</w:t>
      </w:r>
      <w:r>
        <w:rPr>
          <w:szCs w:val="26"/>
        </w:rPr>
        <w:t xml:space="preserve"> wholesale for the Irish system. </w:t>
      </w:r>
    </w:p>
    <w:p w14:paraId="4B6E5DDE" w14:textId="77777777" w:rsidR="00826B39" w:rsidRDefault="00826B39" w:rsidP="00826B39">
      <w:pPr>
        <w:pStyle w:val="ListBullet"/>
        <w:numPr>
          <w:ilvl w:val="0"/>
          <w:numId w:val="0"/>
        </w:numPr>
        <w:spacing w:before="0" w:after="240"/>
        <w:rPr>
          <w:szCs w:val="26"/>
        </w:rPr>
      </w:pPr>
      <w:r w:rsidRPr="00B75836">
        <w:rPr>
          <w:szCs w:val="26"/>
        </w:rPr>
        <w:t>International research and practice suggests that the coordination of a range of measures to promote the employment of an individual with disabilities in the open labour market is at the core of an effective vocational rehabilitation system.</w:t>
      </w:r>
    </w:p>
    <w:p w14:paraId="6413F533" w14:textId="77777777" w:rsidR="00826B39" w:rsidRPr="005907E0" w:rsidRDefault="00826B39" w:rsidP="00826B39">
      <w:pPr>
        <w:rPr>
          <w:rFonts w:eastAsia="Calibri"/>
          <w:lang w:val="en-GB"/>
        </w:rPr>
      </w:pPr>
      <w:r w:rsidRPr="005907E0">
        <w:rPr>
          <w:rFonts w:eastAsia="Calibri"/>
        </w:rPr>
        <w:t xml:space="preserve">The NDA advises that </w:t>
      </w:r>
      <w:r w:rsidRPr="005907E0">
        <w:rPr>
          <w:rFonts w:eastAsia="Calibri"/>
          <w:lang w:val="en-GB"/>
        </w:rPr>
        <w:t xml:space="preserve">one of the primary challenges for effective vocational rehabilitation is understanding of the pathway from the perspective of the individual and achieving coordination between the actors involved in the social welfare benefits and employability process for someone with a health-related impairment or an acquired disability. </w:t>
      </w:r>
    </w:p>
    <w:p w14:paraId="2E3B7985" w14:textId="43EAEE80" w:rsidR="00826B39" w:rsidRDefault="00826B39" w:rsidP="0053033F">
      <w:pPr>
        <w:rPr>
          <w:rFonts w:eastAsia="Calibri"/>
          <w:lang w:val="en-GB"/>
        </w:rPr>
      </w:pPr>
      <w:r w:rsidRPr="005907E0">
        <w:rPr>
          <w:rFonts w:eastAsia="Calibri"/>
          <w:lang w:val="en-GB"/>
        </w:rPr>
        <w:t xml:space="preserve">As the situation and considerations will vary for each individual e.g. nature of health issue or disability and impact of same for nature of work they would return to, including any training or education they may need if a different kind of occupation would be involved, the NDA advises that effective case management will be key. </w:t>
      </w:r>
    </w:p>
    <w:p w14:paraId="7BAAFDE6" w14:textId="127A2FD2" w:rsidR="0053033F" w:rsidRPr="00570668" w:rsidRDefault="0053033F" w:rsidP="0053033F">
      <w:pPr>
        <w:rPr>
          <w:rFonts w:eastAsia="Calibri"/>
          <w:lang w:val="en-GB"/>
        </w:rPr>
      </w:pPr>
      <w:r>
        <w:rPr>
          <w:rFonts w:eastAsia="Calibri"/>
          <w:lang w:val="en-GB"/>
        </w:rPr>
        <w:t xml:space="preserve">The NDA </w:t>
      </w:r>
      <w:r w:rsidR="00AB6C0B">
        <w:rPr>
          <w:rFonts w:eastAsia="Calibri"/>
          <w:lang w:val="en-GB"/>
        </w:rPr>
        <w:t xml:space="preserve">advises that </w:t>
      </w:r>
      <w:r w:rsidR="00826B39">
        <w:rPr>
          <w:rFonts w:eastAsia="Calibri"/>
          <w:lang w:val="en-GB"/>
        </w:rPr>
        <w:t xml:space="preserve">the core </w:t>
      </w:r>
      <w:r>
        <w:rPr>
          <w:rFonts w:eastAsia="Calibri"/>
          <w:lang w:val="en-GB"/>
        </w:rPr>
        <w:t>components</w:t>
      </w:r>
      <w:r w:rsidR="00826B39">
        <w:rPr>
          <w:rFonts w:eastAsia="Calibri"/>
          <w:lang w:val="en-GB"/>
        </w:rPr>
        <w:t xml:space="preserve"> outlined above</w:t>
      </w:r>
      <w:r>
        <w:rPr>
          <w:rFonts w:eastAsia="Calibri"/>
          <w:lang w:val="en-GB"/>
        </w:rPr>
        <w:t xml:space="preserve"> </w:t>
      </w:r>
      <w:r w:rsidR="00AB6C0B">
        <w:rPr>
          <w:rFonts w:eastAsia="Calibri"/>
          <w:lang w:val="en-GB"/>
        </w:rPr>
        <w:t xml:space="preserve">can serve as </w:t>
      </w:r>
      <w:r>
        <w:rPr>
          <w:rFonts w:eastAsia="Calibri"/>
          <w:lang w:val="en-GB"/>
        </w:rPr>
        <w:t xml:space="preserve">the building blocks of a vocational rehabilitation </w:t>
      </w:r>
      <w:r w:rsidR="006E2CD7">
        <w:rPr>
          <w:rFonts w:eastAsia="Calibri"/>
          <w:lang w:val="en-GB"/>
        </w:rPr>
        <w:t>programme</w:t>
      </w:r>
      <w:r>
        <w:rPr>
          <w:rFonts w:eastAsia="Calibri"/>
          <w:lang w:val="en-GB"/>
        </w:rPr>
        <w:t xml:space="preserve"> for Ireland</w:t>
      </w:r>
      <w:r w:rsidR="00741C9F">
        <w:rPr>
          <w:rFonts w:eastAsia="Calibri"/>
          <w:lang w:val="en-GB"/>
        </w:rPr>
        <w:t xml:space="preserve">. These components are also necessary to support a return to work after unemployment such as </w:t>
      </w:r>
      <w:r w:rsidR="0074659F">
        <w:rPr>
          <w:rFonts w:eastAsia="Calibri"/>
          <w:lang w:val="en-GB"/>
        </w:rPr>
        <w:t>COVID-19</w:t>
      </w:r>
      <w:r w:rsidR="00741C9F">
        <w:rPr>
          <w:rFonts w:eastAsia="Calibri"/>
          <w:lang w:val="en-GB"/>
        </w:rPr>
        <w:t xml:space="preserve"> for people with disabilities. The delivery of these components in the Irish system </w:t>
      </w:r>
      <w:r>
        <w:rPr>
          <w:rFonts w:eastAsia="Calibri"/>
          <w:lang w:val="en-GB"/>
        </w:rPr>
        <w:t xml:space="preserve">will be described in the final section of this policy advice paper. However before outlining those steps it is necessary to describe the </w:t>
      </w:r>
      <w:r w:rsidR="00657362">
        <w:rPr>
          <w:rFonts w:eastAsia="Calibri"/>
          <w:lang w:val="en-GB"/>
        </w:rPr>
        <w:t>experience of people with acquired disabilities of these interventions</w:t>
      </w:r>
      <w:r w:rsidR="00D75BA5">
        <w:rPr>
          <w:rFonts w:eastAsia="Calibri"/>
          <w:lang w:val="en-GB"/>
        </w:rPr>
        <w:t>/supports</w:t>
      </w:r>
      <w:r w:rsidR="00657362">
        <w:rPr>
          <w:rFonts w:eastAsia="Calibri"/>
          <w:lang w:val="en-GB"/>
        </w:rPr>
        <w:t xml:space="preserve"> and the </w:t>
      </w:r>
      <w:r>
        <w:rPr>
          <w:rFonts w:eastAsia="Calibri"/>
          <w:lang w:val="en-GB"/>
        </w:rPr>
        <w:t xml:space="preserve">changing policy context in Ireland. </w:t>
      </w:r>
    </w:p>
    <w:p w14:paraId="69DB5092" w14:textId="77777777" w:rsidR="00D32ABD" w:rsidRPr="00D32ABD" w:rsidRDefault="0053033F" w:rsidP="00D32ABD">
      <w:pPr>
        <w:pStyle w:val="Heading1"/>
        <w:ind w:left="0"/>
      </w:pPr>
      <w:r>
        <w:t>Recent research on a</w:t>
      </w:r>
      <w:r w:rsidR="00D32ABD">
        <w:t>cquired disability</w:t>
      </w:r>
    </w:p>
    <w:p w14:paraId="1DAEE029" w14:textId="77777777" w:rsidR="006135EF" w:rsidRDefault="00D32ABD" w:rsidP="00BB0CFE">
      <w:pPr>
        <w:rPr>
          <w:rFonts w:eastAsia="Times New Roman" w:cs="Arial"/>
          <w:bCs/>
          <w:kern w:val="36"/>
          <w:lang w:eastAsia="en-IE"/>
        </w:rPr>
      </w:pPr>
      <w:r w:rsidRPr="006135EF">
        <w:t xml:space="preserve">The significant evidence base shows that return to work after </w:t>
      </w:r>
      <w:r w:rsidR="005D6ED4" w:rsidRPr="006135EF">
        <w:t>onset</w:t>
      </w:r>
      <w:r w:rsidRPr="006135EF">
        <w:t xml:space="preserve"> of disability or life long illness requires specific </w:t>
      </w:r>
      <w:r w:rsidR="00246204">
        <w:t xml:space="preserve">support </w:t>
      </w:r>
      <w:r w:rsidRPr="006135EF">
        <w:t xml:space="preserve">measures. </w:t>
      </w:r>
      <w:r w:rsidR="00C3058F">
        <w:t>Two r</w:t>
      </w:r>
      <w:r w:rsidR="006135EF" w:rsidRPr="006135EF">
        <w:t xml:space="preserve">esearch studies </w:t>
      </w:r>
      <w:r w:rsidR="006135EF" w:rsidRPr="006135EF">
        <w:rPr>
          <w:rFonts w:eastAsia="MS Gothic"/>
        </w:rPr>
        <w:t xml:space="preserve">funded by the </w:t>
      </w:r>
      <w:r w:rsidR="008140A4">
        <w:rPr>
          <w:rFonts w:eastAsia="MS Gothic"/>
        </w:rPr>
        <w:t>NDA</w:t>
      </w:r>
      <w:r w:rsidR="006135EF" w:rsidRPr="006135EF">
        <w:rPr>
          <w:rFonts w:eastAsia="MS Gothic"/>
        </w:rPr>
        <w:t xml:space="preserve"> Research Promotion Scheme examined </w:t>
      </w:r>
      <w:r w:rsidR="00673F56">
        <w:rPr>
          <w:rFonts w:eastAsia="MS Gothic"/>
        </w:rPr>
        <w:t>‘</w:t>
      </w:r>
      <w:r w:rsidR="006135EF" w:rsidRPr="006135EF">
        <w:rPr>
          <w:rFonts w:eastAsia="MS Gothic"/>
        </w:rPr>
        <w:t>Return to Work</w:t>
      </w:r>
      <w:r w:rsidR="00673F56">
        <w:rPr>
          <w:rFonts w:eastAsia="MS Gothic"/>
        </w:rPr>
        <w:t>’</w:t>
      </w:r>
      <w:r w:rsidR="006135EF" w:rsidRPr="006135EF">
        <w:rPr>
          <w:rFonts w:eastAsia="MS Gothic"/>
        </w:rPr>
        <w:t xml:space="preserve"> and sustaining work from the perspective of stroke survivors and of </w:t>
      </w:r>
      <w:r w:rsidR="006135EF" w:rsidRPr="006135EF">
        <w:rPr>
          <w:rFonts w:eastAsia="Times New Roman" w:cs="Arial"/>
          <w:bCs/>
          <w:kern w:val="36"/>
          <w:lang w:eastAsia="en-IE"/>
        </w:rPr>
        <w:t>people with rheumatic d</w:t>
      </w:r>
      <w:r w:rsidR="006135EF" w:rsidRPr="003F48D3">
        <w:rPr>
          <w:rFonts w:eastAsia="Times New Roman" w:cs="Arial"/>
          <w:bCs/>
          <w:kern w:val="36"/>
          <w:lang w:eastAsia="en-IE"/>
        </w:rPr>
        <w:t>isease</w:t>
      </w:r>
      <w:r w:rsidR="006135EF" w:rsidRPr="006135EF">
        <w:rPr>
          <w:rStyle w:val="FootnoteReference"/>
          <w:rFonts w:ascii="Gill Sans MT" w:hAnsi="Gill Sans MT" w:cs="Arial"/>
          <w:bCs/>
          <w:kern w:val="36"/>
          <w:sz w:val="26"/>
          <w:szCs w:val="26"/>
          <w:lang w:eastAsia="en-IE"/>
        </w:rPr>
        <w:footnoteReference w:id="22"/>
      </w:r>
      <w:r w:rsidR="006135EF">
        <w:rPr>
          <w:rFonts w:eastAsia="Times New Roman" w:cs="Arial"/>
          <w:bCs/>
          <w:kern w:val="36"/>
          <w:lang w:eastAsia="en-IE"/>
        </w:rPr>
        <w:t xml:space="preserve">. </w:t>
      </w:r>
    </w:p>
    <w:p w14:paraId="58DA46AE" w14:textId="77777777" w:rsidR="00673F56" w:rsidRPr="003F48D3" w:rsidRDefault="00673F56" w:rsidP="00673F56">
      <w:pPr>
        <w:rPr>
          <w:rFonts w:eastAsia="Times New Roman" w:cs="Arial"/>
          <w:szCs w:val="26"/>
          <w:lang w:eastAsia="en-IE"/>
        </w:rPr>
      </w:pPr>
      <w:r>
        <w:rPr>
          <w:rFonts w:eastAsia="Times New Roman" w:cs="Arial"/>
          <w:szCs w:val="26"/>
          <w:lang w:eastAsia="en-IE"/>
        </w:rPr>
        <w:t>T</w:t>
      </w:r>
      <w:r w:rsidRPr="003F48D3">
        <w:rPr>
          <w:rFonts w:eastAsia="Times New Roman" w:cs="Arial"/>
          <w:szCs w:val="26"/>
          <w:lang w:eastAsia="en-IE"/>
        </w:rPr>
        <w:t xml:space="preserve">he </w:t>
      </w:r>
      <w:hyperlink r:id="rId8" w:history="1">
        <w:r w:rsidRPr="003F48D3">
          <w:rPr>
            <w:rFonts w:eastAsia="Times New Roman" w:cs="Arial"/>
            <w:szCs w:val="26"/>
            <w:bdr w:val="none" w:sz="0" w:space="0" w:color="auto" w:frame="1"/>
            <w:lang w:eastAsia="en-IE"/>
          </w:rPr>
          <w:t>Royal College of Surgeons in Ireland</w:t>
        </w:r>
      </w:hyperlink>
      <w:r>
        <w:rPr>
          <w:rFonts w:eastAsia="Times New Roman" w:cs="Arial"/>
          <w:szCs w:val="26"/>
          <w:lang w:eastAsia="en-IE"/>
        </w:rPr>
        <w:t xml:space="preserve"> conducted the </w:t>
      </w:r>
      <w:r w:rsidRPr="003F48D3">
        <w:rPr>
          <w:rFonts w:eastAsia="Times New Roman" w:cs="Arial"/>
          <w:szCs w:val="26"/>
          <w:lang w:eastAsia="en-IE"/>
        </w:rPr>
        <w:t xml:space="preserve">research </w:t>
      </w:r>
      <w:r>
        <w:rPr>
          <w:rFonts w:eastAsia="Times New Roman" w:cs="Arial"/>
          <w:szCs w:val="26"/>
          <w:lang w:eastAsia="en-IE"/>
        </w:rPr>
        <w:t xml:space="preserve">on </w:t>
      </w:r>
      <w:r w:rsidR="008140A4">
        <w:rPr>
          <w:rFonts w:eastAsia="Times New Roman" w:cs="Arial"/>
          <w:szCs w:val="26"/>
          <w:lang w:eastAsia="en-IE"/>
        </w:rPr>
        <w:t>stroke</w:t>
      </w:r>
      <w:r w:rsidR="002C212A">
        <w:rPr>
          <w:rFonts w:eastAsia="Times New Roman" w:cs="Arial"/>
          <w:szCs w:val="26"/>
          <w:lang w:eastAsia="en-IE"/>
        </w:rPr>
        <w:t xml:space="preserve">, </w:t>
      </w:r>
      <w:r>
        <w:rPr>
          <w:rFonts w:eastAsia="Times New Roman" w:cs="Arial"/>
          <w:szCs w:val="26"/>
          <w:lang w:eastAsia="en-IE"/>
        </w:rPr>
        <w:t xml:space="preserve">which </w:t>
      </w:r>
      <w:r w:rsidRPr="003F48D3">
        <w:rPr>
          <w:rFonts w:eastAsia="Times New Roman" w:cs="Arial"/>
          <w:szCs w:val="26"/>
          <w:lang w:eastAsia="en-IE"/>
        </w:rPr>
        <w:t>included a literature review, a national survey of stroke survivors as well as focus groups and semi structured interviews. The findings emphasised</w:t>
      </w:r>
      <w:r w:rsidR="008140A4">
        <w:rPr>
          <w:rFonts w:eastAsia="Times New Roman" w:cs="Arial"/>
          <w:szCs w:val="26"/>
          <w:lang w:eastAsia="en-IE"/>
        </w:rPr>
        <w:t>:</w:t>
      </w:r>
      <w:r w:rsidRPr="003F48D3">
        <w:rPr>
          <w:rFonts w:eastAsia="Times New Roman" w:cs="Arial"/>
          <w:szCs w:val="26"/>
          <w:lang w:eastAsia="en-IE"/>
        </w:rPr>
        <w:t xml:space="preserve"> </w:t>
      </w:r>
    </w:p>
    <w:p w14:paraId="48D66D7B" w14:textId="77777777" w:rsidR="00673F56" w:rsidRPr="003F48D3" w:rsidRDefault="007804A6" w:rsidP="00724A24">
      <w:pPr>
        <w:pStyle w:val="ListParagraph"/>
        <w:numPr>
          <w:ilvl w:val="0"/>
          <w:numId w:val="16"/>
        </w:numPr>
        <w:spacing w:after="0"/>
        <w:contextualSpacing/>
        <w:rPr>
          <w:rFonts w:eastAsia="Times New Roman" w:cs="Arial"/>
          <w:szCs w:val="26"/>
          <w:lang w:eastAsia="en-IE"/>
        </w:rPr>
      </w:pPr>
      <w:r>
        <w:rPr>
          <w:rFonts w:eastAsia="Times New Roman" w:cs="Arial"/>
          <w:szCs w:val="26"/>
          <w:lang w:eastAsia="en-IE"/>
        </w:rPr>
        <w:t>The i</w:t>
      </w:r>
      <w:r w:rsidR="00673F56" w:rsidRPr="003F48D3">
        <w:rPr>
          <w:rFonts w:eastAsia="Times New Roman" w:cs="Arial"/>
          <w:szCs w:val="26"/>
          <w:lang w:eastAsia="en-IE"/>
        </w:rPr>
        <w:t>mportance of a multidisciplinary approach to assist people who have experienced stroke return to work</w:t>
      </w:r>
      <w:r w:rsidR="00F80046">
        <w:rPr>
          <w:rFonts w:eastAsia="Times New Roman" w:cs="Arial"/>
          <w:szCs w:val="26"/>
          <w:lang w:eastAsia="en-IE"/>
        </w:rPr>
        <w:t>;</w:t>
      </w:r>
    </w:p>
    <w:p w14:paraId="6532F394" w14:textId="77777777" w:rsidR="00673F56" w:rsidRPr="003F48D3" w:rsidRDefault="007804A6" w:rsidP="00724A24">
      <w:pPr>
        <w:pStyle w:val="ListParagraph"/>
        <w:numPr>
          <w:ilvl w:val="0"/>
          <w:numId w:val="16"/>
        </w:numPr>
        <w:spacing w:after="0"/>
        <w:contextualSpacing/>
        <w:rPr>
          <w:rFonts w:eastAsia="Times New Roman" w:cs="Arial"/>
          <w:szCs w:val="26"/>
          <w:lang w:eastAsia="en-IE"/>
        </w:rPr>
      </w:pPr>
      <w:r>
        <w:rPr>
          <w:rFonts w:eastAsia="Times New Roman" w:cs="Arial"/>
          <w:szCs w:val="26"/>
          <w:lang w:eastAsia="en-IE"/>
        </w:rPr>
        <w:t>That c</w:t>
      </w:r>
      <w:r w:rsidR="00673F56" w:rsidRPr="003F48D3">
        <w:rPr>
          <w:rFonts w:eastAsia="Times New Roman" w:cs="Arial"/>
          <w:szCs w:val="26"/>
          <w:lang w:eastAsia="en-IE"/>
        </w:rPr>
        <w:t>ommunication between healthcare professionals and employers is essential</w:t>
      </w:r>
      <w:r w:rsidR="00AB6C0B">
        <w:rPr>
          <w:rFonts w:eastAsia="Times New Roman" w:cs="Arial"/>
          <w:szCs w:val="26"/>
          <w:lang w:eastAsia="en-IE"/>
        </w:rPr>
        <w:t>;</w:t>
      </w:r>
    </w:p>
    <w:p w14:paraId="6EB7642E" w14:textId="77777777" w:rsidR="00673F56" w:rsidRPr="003F48D3" w:rsidRDefault="007804A6" w:rsidP="00724A24">
      <w:pPr>
        <w:pStyle w:val="ListParagraph"/>
        <w:numPr>
          <w:ilvl w:val="0"/>
          <w:numId w:val="16"/>
        </w:numPr>
        <w:spacing w:after="0"/>
        <w:contextualSpacing/>
        <w:rPr>
          <w:rFonts w:eastAsia="Times New Roman" w:cs="Arial"/>
          <w:szCs w:val="26"/>
          <w:lang w:eastAsia="en-IE"/>
        </w:rPr>
      </w:pPr>
      <w:r>
        <w:rPr>
          <w:rFonts w:eastAsia="Times New Roman" w:cs="Arial"/>
          <w:szCs w:val="26"/>
          <w:lang w:eastAsia="en-IE"/>
        </w:rPr>
        <w:t>That g</w:t>
      </w:r>
      <w:r w:rsidR="00673F56" w:rsidRPr="003F48D3">
        <w:rPr>
          <w:rFonts w:eastAsia="Times New Roman" w:cs="Arial"/>
          <w:szCs w:val="26"/>
          <w:lang w:eastAsia="en-IE"/>
        </w:rPr>
        <w:t>radual phased return to work was important in facilitating successful transition back to work</w:t>
      </w:r>
      <w:r w:rsidR="00AB6C0B">
        <w:rPr>
          <w:rFonts w:eastAsia="Times New Roman" w:cs="Arial"/>
          <w:szCs w:val="26"/>
          <w:lang w:eastAsia="en-IE"/>
        </w:rPr>
        <w:t>;</w:t>
      </w:r>
    </w:p>
    <w:p w14:paraId="0C8B3CBD" w14:textId="77777777" w:rsidR="00673F56" w:rsidRPr="003F48D3" w:rsidRDefault="00673F56" w:rsidP="00365970">
      <w:pPr>
        <w:pStyle w:val="ListParagraph"/>
        <w:numPr>
          <w:ilvl w:val="0"/>
          <w:numId w:val="16"/>
        </w:numPr>
        <w:contextualSpacing/>
        <w:rPr>
          <w:rFonts w:eastAsia="Times New Roman" w:cs="Arial"/>
          <w:szCs w:val="26"/>
          <w:lang w:eastAsia="en-IE"/>
        </w:rPr>
      </w:pPr>
      <w:r w:rsidRPr="003F48D3">
        <w:rPr>
          <w:rFonts w:eastAsia="Times New Roman" w:cs="Arial"/>
          <w:szCs w:val="26"/>
          <w:lang w:eastAsia="en-IE"/>
        </w:rPr>
        <w:t>The most common problems limiting ability to work were mental fatigue (84%), physical fatigue (78%) and difficulties thinking (78%)</w:t>
      </w:r>
      <w:r w:rsidR="008140A4">
        <w:rPr>
          <w:rFonts w:eastAsia="Times New Roman" w:cs="Arial"/>
          <w:szCs w:val="26"/>
          <w:lang w:eastAsia="en-IE"/>
        </w:rPr>
        <w:t>.</w:t>
      </w:r>
    </w:p>
    <w:p w14:paraId="54A5D43C" w14:textId="77777777" w:rsidR="00673F56" w:rsidRPr="003F48D3" w:rsidRDefault="00673F56" w:rsidP="00673F56">
      <w:pPr>
        <w:shd w:val="clear" w:color="auto" w:fill="FFFFFF"/>
        <w:spacing w:after="150"/>
        <w:textAlignment w:val="baseline"/>
        <w:rPr>
          <w:rFonts w:eastAsia="Times New Roman" w:cs="Arial"/>
          <w:color w:val="000000"/>
          <w:szCs w:val="26"/>
          <w:lang w:eastAsia="en-IE"/>
        </w:rPr>
      </w:pPr>
      <w:r w:rsidRPr="003F48D3">
        <w:rPr>
          <w:rFonts w:eastAsia="Times New Roman" w:cs="Arial"/>
          <w:color w:val="000000"/>
          <w:szCs w:val="26"/>
          <w:lang w:eastAsia="en-IE"/>
        </w:rPr>
        <w:t>The</w:t>
      </w:r>
      <w:r>
        <w:rPr>
          <w:rFonts w:eastAsia="Times New Roman" w:cs="Arial"/>
          <w:color w:val="000000"/>
          <w:szCs w:val="26"/>
          <w:lang w:eastAsia="en-IE"/>
        </w:rPr>
        <w:t xml:space="preserve"> second</w:t>
      </w:r>
      <w:r w:rsidRPr="003F48D3">
        <w:rPr>
          <w:rFonts w:eastAsia="Times New Roman" w:cs="Arial"/>
          <w:color w:val="000000"/>
          <w:szCs w:val="26"/>
          <w:lang w:eastAsia="en-IE"/>
        </w:rPr>
        <w:t xml:space="preserve"> research </w:t>
      </w:r>
      <w:r>
        <w:rPr>
          <w:rFonts w:eastAsia="Times New Roman" w:cs="Arial"/>
          <w:color w:val="000000"/>
          <w:szCs w:val="26"/>
          <w:lang w:eastAsia="en-IE"/>
        </w:rPr>
        <w:t xml:space="preserve">study </w:t>
      </w:r>
      <w:r w:rsidRPr="003F48D3">
        <w:rPr>
          <w:rFonts w:eastAsia="Times New Roman" w:cs="Arial"/>
          <w:color w:val="000000"/>
          <w:szCs w:val="26"/>
          <w:lang w:eastAsia="en-IE"/>
        </w:rPr>
        <w:t xml:space="preserve">was conducted by the </w:t>
      </w:r>
      <w:r w:rsidR="008140A4">
        <w:rPr>
          <w:rFonts w:eastAsia="Times New Roman" w:cs="Arial"/>
          <w:color w:val="000000"/>
          <w:szCs w:val="26"/>
          <w:lang w:eastAsia="en-IE"/>
        </w:rPr>
        <w:t>department</w:t>
      </w:r>
      <w:r w:rsidR="008140A4" w:rsidRPr="003F48D3">
        <w:rPr>
          <w:rFonts w:eastAsia="Times New Roman" w:cs="Arial"/>
          <w:color w:val="000000"/>
          <w:szCs w:val="26"/>
          <w:lang w:eastAsia="en-IE"/>
        </w:rPr>
        <w:t xml:space="preserve"> </w:t>
      </w:r>
      <w:r w:rsidRPr="003F48D3">
        <w:rPr>
          <w:rFonts w:eastAsia="Times New Roman" w:cs="Arial"/>
          <w:color w:val="000000"/>
          <w:szCs w:val="26"/>
          <w:lang w:eastAsia="en-IE"/>
        </w:rPr>
        <w:t>of Occupational Therapy, Trinity College Dublin.</w:t>
      </w:r>
      <w:r w:rsidR="00B31FD0">
        <w:rPr>
          <w:rFonts w:eastAsia="Times New Roman" w:cs="Arial"/>
          <w:color w:val="000000"/>
          <w:szCs w:val="26"/>
          <w:lang w:eastAsia="en-IE"/>
        </w:rPr>
        <w:t xml:space="preserve"> </w:t>
      </w:r>
      <w:r>
        <w:rPr>
          <w:rFonts w:eastAsia="Times New Roman" w:cs="Arial"/>
          <w:color w:val="000000"/>
          <w:szCs w:val="26"/>
          <w:lang w:eastAsia="en-IE"/>
        </w:rPr>
        <w:t xml:space="preserve">This work </w:t>
      </w:r>
      <w:r w:rsidR="00AB6C0B">
        <w:rPr>
          <w:rFonts w:eastAsia="Times New Roman" w:cs="Arial"/>
          <w:color w:val="000000"/>
          <w:szCs w:val="26"/>
          <w:lang w:eastAsia="en-IE"/>
        </w:rPr>
        <w:t xml:space="preserve">highlighted </w:t>
      </w:r>
      <w:r>
        <w:rPr>
          <w:rFonts w:eastAsia="Times New Roman" w:cs="Arial"/>
          <w:color w:val="000000"/>
          <w:szCs w:val="26"/>
          <w:lang w:eastAsia="en-IE"/>
        </w:rPr>
        <w:t xml:space="preserve">the </w:t>
      </w:r>
      <w:r w:rsidR="002C212A">
        <w:rPr>
          <w:rFonts w:eastAsia="Times New Roman" w:cs="Arial"/>
          <w:color w:val="000000"/>
          <w:szCs w:val="26"/>
          <w:lang w:eastAsia="en-IE"/>
        </w:rPr>
        <w:t xml:space="preserve">fact that a </w:t>
      </w:r>
      <w:r w:rsidRPr="003F48D3">
        <w:rPr>
          <w:rFonts w:eastAsia="Times New Roman" w:cs="Arial"/>
          <w:color w:val="000000"/>
          <w:szCs w:val="26"/>
          <w:lang w:eastAsia="en-IE"/>
        </w:rPr>
        <w:t>third of sick absences from work arise due to musculoskeletal conditions of which different forms of arthritis or rheumatic disease are a</w:t>
      </w:r>
      <w:r>
        <w:rPr>
          <w:rFonts w:eastAsia="Times New Roman" w:cs="Arial"/>
          <w:color w:val="000000"/>
          <w:szCs w:val="26"/>
          <w:lang w:eastAsia="en-IE"/>
        </w:rPr>
        <w:t>mong the most common. This study</w:t>
      </w:r>
      <w:r w:rsidRPr="003F48D3">
        <w:rPr>
          <w:rFonts w:eastAsia="Times New Roman" w:cs="Arial"/>
          <w:color w:val="000000"/>
          <w:szCs w:val="26"/>
          <w:lang w:eastAsia="en-IE"/>
        </w:rPr>
        <w:t xml:space="preserve"> focused on the influence of fatigue associated with these conditions on the ability to work. The study included a survey of </w:t>
      </w:r>
      <w:r w:rsidR="00AB6C0B">
        <w:rPr>
          <w:rFonts w:eastAsia="Times New Roman" w:cs="Arial"/>
          <w:color w:val="000000"/>
          <w:szCs w:val="26"/>
          <w:lang w:eastAsia="en-IE"/>
        </w:rPr>
        <w:t>approximately</w:t>
      </w:r>
      <w:r w:rsidR="00AB6C0B" w:rsidRPr="003F48D3">
        <w:rPr>
          <w:rFonts w:eastAsia="Times New Roman" w:cs="Arial"/>
          <w:color w:val="000000"/>
          <w:szCs w:val="26"/>
          <w:lang w:eastAsia="en-IE"/>
        </w:rPr>
        <w:t xml:space="preserve"> </w:t>
      </w:r>
      <w:r w:rsidRPr="003F48D3">
        <w:rPr>
          <w:rFonts w:eastAsia="Times New Roman" w:cs="Arial"/>
          <w:color w:val="000000"/>
          <w:szCs w:val="26"/>
          <w:lang w:eastAsia="en-IE"/>
        </w:rPr>
        <w:t>300 people, most of whom who were currently working, as well as semi-structured interviews and focus groups</w:t>
      </w:r>
      <w:r w:rsidR="00FB0580">
        <w:rPr>
          <w:rFonts w:eastAsia="Times New Roman" w:cs="Arial"/>
          <w:color w:val="000000"/>
          <w:szCs w:val="26"/>
          <w:lang w:eastAsia="en-IE"/>
        </w:rPr>
        <w:t xml:space="preserve"> with</w:t>
      </w:r>
      <w:r w:rsidR="007804A6">
        <w:rPr>
          <w:rFonts w:eastAsia="Times New Roman" w:cs="Arial"/>
          <w:color w:val="000000"/>
          <w:szCs w:val="26"/>
          <w:lang w:eastAsia="en-IE"/>
        </w:rPr>
        <w:t xml:space="preserve"> participants with</w:t>
      </w:r>
      <w:r w:rsidR="00FB0580">
        <w:rPr>
          <w:rFonts w:eastAsia="Times New Roman" w:cs="Arial"/>
          <w:color w:val="000000"/>
          <w:szCs w:val="26"/>
          <w:lang w:eastAsia="en-IE"/>
        </w:rPr>
        <w:t xml:space="preserve"> these conditions</w:t>
      </w:r>
      <w:r w:rsidRPr="003F48D3">
        <w:rPr>
          <w:rFonts w:eastAsia="Times New Roman" w:cs="Arial"/>
          <w:color w:val="000000"/>
          <w:szCs w:val="26"/>
          <w:lang w:eastAsia="en-IE"/>
        </w:rPr>
        <w:t>. Key findings were:</w:t>
      </w:r>
    </w:p>
    <w:p w14:paraId="78CBD6C3" w14:textId="77777777" w:rsidR="00673F56" w:rsidRPr="002C212A" w:rsidRDefault="00673F56" w:rsidP="00724A24">
      <w:pPr>
        <w:pStyle w:val="ListParagraph"/>
        <w:numPr>
          <w:ilvl w:val="0"/>
          <w:numId w:val="17"/>
        </w:numPr>
        <w:shd w:val="clear" w:color="auto" w:fill="FFFFFF"/>
        <w:spacing w:after="120"/>
        <w:textAlignment w:val="baseline"/>
        <w:rPr>
          <w:rFonts w:eastAsia="Times New Roman" w:cs="Arial"/>
          <w:color w:val="000000"/>
          <w:szCs w:val="26"/>
          <w:lang w:eastAsia="en-IE"/>
        </w:rPr>
      </w:pPr>
      <w:r w:rsidRPr="002C212A">
        <w:rPr>
          <w:rFonts w:eastAsia="Times New Roman" w:cs="Arial"/>
          <w:color w:val="000000"/>
          <w:szCs w:val="26"/>
          <w:lang w:eastAsia="en-IE"/>
        </w:rPr>
        <w:t>Fatigue is a pervasive symptom in employed individuals with rheumatic disease</w:t>
      </w:r>
      <w:r w:rsidR="00AB6C0B">
        <w:rPr>
          <w:rFonts w:eastAsia="Times New Roman" w:cs="Arial"/>
          <w:color w:val="000000"/>
          <w:szCs w:val="26"/>
          <w:lang w:eastAsia="en-IE"/>
        </w:rPr>
        <w:t>;</w:t>
      </w:r>
    </w:p>
    <w:p w14:paraId="3EFAF64B" w14:textId="77777777" w:rsidR="00673F56" w:rsidRPr="002C212A" w:rsidRDefault="00673F56" w:rsidP="00724A24">
      <w:pPr>
        <w:pStyle w:val="ListParagraph"/>
        <w:numPr>
          <w:ilvl w:val="0"/>
          <w:numId w:val="17"/>
        </w:numPr>
        <w:shd w:val="clear" w:color="auto" w:fill="FFFFFF"/>
        <w:spacing w:after="120"/>
        <w:textAlignment w:val="baseline"/>
        <w:rPr>
          <w:rFonts w:eastAsia="Times New Roman" w:cs="Arial"/>
          <w:color w:val="000000"/>
          <w:szCs w:val="26"/>
          <w:lang w:eastAsia="en-IE"/>
        </w:rPr>
      </w:pPr>
      <w:r w:rsidRPr="002C212A">
        <w:rPr>
          <w:rFonts w:eastAsia="Times New Roman" w:cs="Arial"/>
          <w:color w:val="000000"/>
          <w:szCs w:val="26"/>
          <w:lang w:eastAsia="en-IE"/>
        </w:rPr>
        <w:t>Physical demands of work, and fitting in with work schedules were the two reported areas of greatest difficulty, and higher fatigue levels meant greater difficulties</w:t>
      </w:r>
      <w:r w:rsidR="00AB6C0B">
        <w:rPr>
          <w:rFonts w:eastAsia="Times New Roman" w:cs="Arial"/>
          <w:color w:val="000000"/>
          <w:szCs w:val="26"/>
          <w:lang w:eastAsia="en-IE"/>
        </w:rPr>
        <w:t>;</w:t>
      </w:r>
    </w:p>
    <w:p w14:paraId="3CC77409" w14:textId="77777777" w:rsidR="00673F56" w:rsidRPr="002C212A" w:rsidRDefault="00673F56" w:rsidP="00724A24">
      <w:pPr>
        <w:pStyle w:val="ListParagraph"/>
        <w:numPr>
          <w:ilvl w:val="0"/>
          <w:numId w:val="17"/>
        </w:numPr>
        <w:shd w:val="clear" w:color="auto" w:fill="FFFFFF"/>
        <w:spacing w:after="120"/>
        <w:textAlignment w:val="baseline"/>
        <w:rPr>
          <w:rFonts w:eastAsia="Times New Roman" w:cs="Arial"/>
          <w:color w:val="000000"/>
          <w:szCs w:val="26"/>
          <w:lang w:eastAsia="en-IE"/>
        </w:rPr>
      </w:pPr>
      <w:r w:rsidRPr="002C212A">
        <w:rPr>
          <w:rFonts w:eastAsia="Times New Roman" w:cs="Arial"/>
          <w:color w:val="000000"/>
          <w:szCs w:val="26"/>
          <w:lang w:eastAsia="en-IE"/>
        </w:rPr>
        <w:t xml:space="preserve">A significant number of respondents had </w:t>
      </w:r>
      <w:r w:rsidR="00B31FD0">
        <w:rPr>
          <w:rFonts w:eastAsia="Times New Roman" w:cs="Arial"/>
          <w:color w:val="000000"/>
          <w:szCs w:val="26"/>
          <w:lang w:eastAsia="en-IE"/>
        </w:rPr>
        <w:t>a</w:t>
      </w:r>
      <w:r w:rsidR="00B31FD0" w:rsidRPr="002C212A">
        <w:rPr>
          <w:rFonts w:eastAsia="Times New Roman" w:cs="Arial"/>
          <w:color w:val="000000"/>
          <w:szCs w:val="26"/>
          <w:lang w:eastAsia="en-IE"/>
        </w:rPr>
        <w:t xml:space="preserve"> </w:t>
      </w:r>
      <w:r w:rsidRPr="002C212A">
        <w:rPr>
          <w:rFonts w:eastAsia="Times New Roman" w:cs="Arial"/>
          <w:color w:val="000000"/>
          <w:szCs w:val="26"/>
          <w:lang w:eastAsia="en-IE"/>
        </w:rPr>
        <w:t>concurrent condition</w:t>
      </w:r>
      <w:r w:rsidR="00AB6C0B">
        <w:rPr>
          <w:rFonts w:eastAsia="Times New Roman" w:cs="Arial"/>
          <w:color w:val="000000"/>
          <w:szCs w:val="26"/>
          <w:lang w:eastAsia="en-IE"/>
        </w:rPr>
        <w:t>;</w:t>
      </w:r>
    </w:p>
    <w:p w14:paraId="4ABB6079" w14:textId="77777777" w:rsidR="00673F56" w:rsidRPr="002C212A" w:rsidRDefault="00673F56" w:rsidP="00724A24">
      <w:pPr>
        <w:pStyle w:val="ListParagraph"/>
        <w:numPr>
          <w:ilvl w:val="0"/>
          <w:numId w:val="17"/>
        </w:numPr>
        <w:shd w:val="clear" w:color="auto" w:fill="FFFFFF"/>
        <w:spacing w:after="120"/>
        <w:textAlignment w:val="baseline"/>
        <w:rPr>
          <w:rFonts w:eastAsia="Times New Roman" w:cs="Arial"/>
          <w:color w:val="000000"/>
          <w:szCs w:val="26"/>
          <w:lang w:eastAsia="en-IE"/>
        </w:rPr>
      </w:pPr>
      <w:r w:rsidRPr="002C212A">
        <w:rPr>
          <w:rFonts w:eastAsia="Times New Roman" w:cs="Arial"/>
          <w:color w:val="000000"/>
          <w:szCs w:val="26"/>
          <w:lang w:eastAsia="en-IE"/>
        </w:rPr>
        <w:t>Younger workers tended to experience more difficulties related to fatigue</w:t>
      </w:r>
      <w:r w:rsidR="00AB6C0B">
        <w:rPr>
          <w:rFonts w:eastAsia="Times New Roman" w:cs="Arial"/>
          <w:color w:val="000000"/>
          <w:szCs w:val="26"/>
          <w:lang w:eastAsia="en-IE"/>
        </w:rPr>
        <w:t>;</w:t>
      </w:r>
    </w:p>
    <w:p w14:paraId="1170EEAE" w14:textId="77777777" w:rsidR="007804A6" w:rsidRDefault="00673F56" w:rsidP="007804A6">
      <w:pPr>
        <w:pStyle w:val="ListParagraph"/>
        <w:numPr>
          <w:ilvl w:val="0"/>
          <w:numId w:val="17"/>
        </w:numPr>
        <w:shd w:val="clear" w:color="auto" w:fill="FFFFFF"/>
        <w:spacing w:after="120"/>
        <w:textAlignment w:val="baseline"/>
        <w:rPr>
          <w:rFonts w:eastAsia="Times New Roman" w:cs="Arial"/>
          <w:color w:val="000000"/>
          <w:szCs w:val="26"/>
          <w:lang w:eastAsia="en-IE"/>
        </w:rPr>
      </w:pPr>
      <w:r w:rsidRPr="002C212A">
        <w:rPr>
          <w:rFonts w:eastAsia="Times New Roman" w:cs="Arial"/>
          <w:color w:val="000000"/>
          <w:szCs w:val="26"/>
          <w:lang w:eastAsia="en-IE"/>
        </w:rPr>
        <w:t>Employers tended to have little awareness of the fatigue issue</w:t>
      </w:r>
      <w:r w:rsidR="00AB6C0B">
        <w:rPr>
          <w:rFonts w:eastAsia="Times New Roman" w:cs="Arial"/>
          <w:color w:val="000000"/>
          <w:szCs w:val="26"/>
          <w:lang w:eastAsia="en-IE"/>
        </w:rPr>
        <w:t>.</w:t>
      </w:r>
    </w:p>
    <w:p w14:paraId="34815231" w14:textId="77777777" w:rsidR="00BB0CFE" w:rsidRPr="00BB0CFE" w:rsidRDefault="00BB0CFE" w:rsidP="00BB0CFE">
      <w:pPr>
        <w:rPr>
          <w:szCs w:val="26"/>
          <w:shd w:val="clear" w:color="auto" w:fill="FFFFFF"/>
        </w:rPr>
      </w:pPr>
      <w:r w:rsidRPr="00BB0CFE">
        <w:rPr>
          <w:szCs w:val="26"/>
        </w:rPr>
        <w:t xml:space="preserve">While these studies reveal the characteristics that can effect returning to work for two specific conditions, NDA notes that some of the findings would be common across disability types where a disability is acquired during an individual’s working life. These studies reveal </w:t>
      </w:r>
      <w:r w:rsidRPr="00BB0CFE">
        <w:rPr>
          <w:szCs w:val="26"/>
          <w:shd w:val="clear" w:color="auto" w:fill="FFFFFF"/>
        </w:rPr>
        <w:t xml:space="preserve">that once an employee goes on sickness absence, early and sustained support is required to support their return to work. </w:t>
      </w:r>
    </w:p>
    <w:p w14:paraId="603AF87E" w14:textId="77777777" w:rsidR="00D86929" w:rsidRPr="00D86929" w:rsidRDefault="00BB0CFE" w:rsidP="00D86929">
      <w:pPr>
        <w:spacing w:after="0"/>
        <w:rPr>
          <w:rFonts w:ascii="Gill Sans" w:eastAsia="Times New Roman" w:hAnsi="Gill Sans"/>
          <w:szCs w:val="26"/>
        </w:rPr>
      </w:pPr>
      <w:r w:rsidRPr="00BB0CFE">
        <w:rPr>
          <w:szCs w:val="26"/>
          <w:shd w:val="clear" w:color="auto" w:fill="FFFFFF"/>
        </w:rPr>
        <w:t xml:space="preserve">Additional research </w:t>
      </w:r>
      <w:r w:rsidR="00F80046">
        <w:rPr>
          <w:szCs w:val="26"/>
          <w:shd w:val="clear" w:color="auto" w:fill="FFFFFF"/>
        </w:rPr>
        <w:t>reviewed</w:t>
      </w:r>
      <w:r w:rsidR="00F80046" w:rsidRPr="00BB0CFE">
        <w:rPr>
          <w:szCs w:val="26"/>
          <w:shd w:val="clear" w:color="auto" w:fill="FFFFFF"/>
        </w:rPr>
        <w:t xml:space="preserve"> </w:t>
      </w:r>
      <w:r w:rsidRPr="00BB0CFE">
        <w:rPr>
          <w:szCs w:val="26"/>
          <w:shd w:val="clear" w:color="auto" w:fill="FFFFFF"/>
        </w:rPr>
        <w:t xml:space="preserve">by the NDA has shown that the longer someone is not engaged on this issue the less likely reintegration to work becomes. </w:t>
      </w:r>
      <w:r w:rsidRPr="00BB0CFE">
        <w:rPr>
          <w:szCs w:val="26"/>
        </w:rPr>
        <w:t>This is an important finding from the NDA commissioned literature review that explored</w:t>
      </w:r>
      <w:r>
        <w:t xml:space="preserve"> the evidence from research and good practice guidance on acquired disability and return to work. This literature review is a companion piece to Retaining Employees Who Acquire a Disability - A Guide for Employers</w:t>
      </w:r>
      <w:r w:rsidRPr="00C3058F">
        <w:rPr>
          <w:rStyle w:val="FootnoteReference"/>
          <w:rFonts w:ascii="Gill Sans MT" w:hAnsi="Gill Sans MT"/>
          <w:sz w:val="26"/>
          <w:szCs w:val="26"/>
        </w:rPr>
        <w:footnoteReference w:id="23"/>
      </w:r>
      <w:r w:rsidRPr="00BB0CFE">
        <w:rPr>
          <w:szCs w:val="26"/>
        </w:rPr>
        <w:t xml:space="preserve">. </w:t>
      </w:r>
      <w:r w:rsidR="006E2CD7">
        <w:rPr>
          <w:szCs w:val="26"/>
        </w:rPr>
        <w:t xml:space="preserve"> </w:t>
      </w:r>
      <w:r w:rsidR="00D86929">
        <w:rPr>
          <w:szCs w:val="26"/>
        </w:rPr>
        <w:t xml:space="preserve">The NDAs guidance provides top tips to support staff includes </w:t>
      </w:r>
      <w:r w:rsidR="00D86929" w:rsidRPr="00D86929">
        <w:rPr>
          <w:rFonts w:ascii="Gill Sans" w:eastAsia="Times New Roman" w:hAnsi="Gill Sans"/>
          <w:szCs w:val="26"/>
        </w:rPr>
        <w:t>the following key steps:</w:t>
      </w:r>
    </w:p>
    <w:p w14:paraId="515BD9AE" w14:textId="77777777" w:rsidR="00D86929" w:rsidRPr="00D86929" w:rsidRDefault="00D86929" w:rsidP="00365970">
      <w:pPr>
        <w:tabs>
          <w:tab w:val="num" w:pos="360"/>
        </w:tabs>
        <w:spacing w:before="240" w:after="0"/>
        <w:ind w:left="1080" w:hanging="360"/>
        <w:rPr>
          <w:rFonts w:ascii="Gill Sans" w:eastAsia="Times New Roman" w:hAnsi="Gill Sans"/>
          <w:szCs w:val="26"/>
        </w:rPr>
      </w:pPr>
      <w:r w:rsidRPr="00D86929">
        <w:rPr>
          <w:rFonts w:ascii="Gill Sans" w:eastAsia="Times New Roman" w:hAnsi="Gill Sans"/>
          <w:b/>
          <w:bCs/>
          <w:szCs w:val="26"/>
        </w:rPr>
        <w:t xml:space="preserve">Early intervention: </w:t>
      </w:r>
      <w:r w:rsidRPr="00D86929">
        <w:rPr>
          <w:rFonts w:ascii="Gill Sans" w:eastAsia="Times New Roman" w:hAnsi="Gill Sans"/>
          <w:szCs w:val="26"/>
        </w:rPr>
        <w:t>Offer appropriate supports from the early stages of absence from work</w:t>
      </w:r>
    </w:p>
    <w:p w14:paraId="4BBAD53B" w14:textId="77777777" w:rsidR="00D86929" w:rsidRPr="00D86929" w:rsidRDefault="00D86929" w:rsidP="00D86929">
      <w:pPr>
        <w:tabs>
          <w:tab w:val="num" w:pos="360"/>
        </w:tabs>
        <w:spacing w:after="0"/>
        <w:ind w:left="1080" w:hanging="360"/>
        <w:rPr>
          <w:rFonts w:ascii="Gill Sans" w:eastAsia="Times New Roman" w:hAnsi="Gill Sans"/>
          <w:szCs w:val="26"/>
        </w:rPr>
      </w:pPr>
      <w:r w:rsidRPr="00D86929">
        <w:rPr>
          <w:rFonts w:ascii="Gill Sans" w:eastAsia="Times New Roman" w:hAnsi="Gill Sans"/>
          <w:b/>
          <w:bCs/>
          <w:szCs w:val="26"/>
        </w:rPr>
        <w:t xml:space="preserve">Keep in touch: </w:t>
      </w:r>
      <w:r w:rsidRPr="00D86929">
        <w:rPr>
          <w:rFonts w:ascii="Gill Sans" w:eastAsia="Times New Roman" w:hAnsi="Gill Sans"/>
          <w:szCs w:val="26"/>
        </w:rPr>
        <w:t>When a person is off work, ensure that they are kept up to date with social activities and other events at work. Check that they are comfortable with such regular contact</w:t>
      </w:r>
    </w:p>
    <w:p w14:paraId="59931D49" w14:textId="77777777" w:rsidR="00D86929" w:rsidRPr="00D86929" w:rsidRDefault="00D86929" w:rsidP="00D86929">
      <w:pPr>
        <w:tabs>
          <w:tab w:val="num" w:pos="360"/>
        </w:tabs>
        <w:spacing w:after="0"/>
        <w:ind w:left="1080" w:hanging="360"/>
        <w:rPr>
          <w:rFonts w:ascii="Gill Sans" w:eastAsia="Times New Roman" w:hAnsi="Gill Sans"/>
          <w:szCs w:val="26"/>
        </w:rPr>
      </w:pPr>
      <w:r w:rsidRPr="00D86929">
        <w:rPr>
          <w:rFonts w:ascii="Gill Sans" w:eastAsia="Times New Roman" w:hAnsi="Gill Sans"/>
          <w:b/>
          <w:bCs/>
          <w:szCs w:val="26"/>
        </w:rPr>
        <w:t xml:space="preserve">Return to work assessment: </w:t>
      </w:r>
      <w:r w:rsidRPr="00D86929">
        <w:rPr>
          <w:rFonts w:ascii="Gill Sans" w:eastAsia="Times New Roman" w:hAnsi="Gill Sans"/>
          <w:szCs w:val="26"/>
        </w:rPr>
        <w:t>When the person is due to return to work, give their doctor and your occupational health doctor a detailed job specification in order to assess what tasks the employee is able to do on their return, and any special requirements they may need to do their work</w:t>
      </w:r>
    </w:p>
    <w:p w14:paraId="7BD76616" w14:textId="77777777" w:rsidR="00D86929" w:rsidRPr="00D86929" w:rsidRDefault="00D86929" w:rsidP="00D86929">
      <w:pPr>
        <w:tabs>
          <w:tab w:val="num" w:pos="360"/>
        </w:tabs>
        <w:spacing w:after="0"/>
        <w:ind w:left="1080" w:hanging="360"/>
        <w:rPr>
          <w:rFonts w:ascii="Gill Sans" w:eastAsia="Times New Roman" w:hAnsi="Gill Sans"/>
          <w:szCs w:val="26"/>
        </w:rPr>
      </w:pPr>
      <w:r w:rsidRPr="00D86929">
        <w:rPr>
          <w:rFonts w:ascii="Gill Sans" w:eastAsia="Times New Roman" w:hAnsi="Gill Sans"/>
          <w:b/>
          <w:bCs/>
          <w:szCs w:val="26"/>
        </w:rPr>
        <w:t xml:space="preserve">Return to work plan: </w:t>
      </w:r>
      <w:r w:rsidRPr="00D86929">
        <w:rPr>
          <w:rFonts w:ascii="Gill Sans" w:eastAsia="Times New Roman" w:hAnsi="Gill Sans"/>
          <w:szCs w:val="26"/>
        </w:rPr>
        <w:t>Develop a return to work plan based on the above assessment. This plan should detail what happens in the initial period on return to work and how any potential difficulties might be managed</w:t>
      </w:r>
    </w:p>
    <w:p w14:paraId="117461C4" w14:textId="77777777" w:rsidR="00D86929" w:rsidRPr="00D86929" w:rsidRDefault="00D86929" w:rsidP="00D86929">
      <w:pPr>
        <w:tabs>
          <w:tab w:val="num" w:pos="360"/>
        </w:tabs>
        <w:spacing w:after="0"/>
        <w:ind w:left="1080" w:hanging="360"/>
        <w:rPr>
          <w:rFonts w:ascii="Gill Sans" w:eastAsia="Times New Roman" w:hAnsi="Gill Sans"/>
          <w:szCs w:val="26"/>
        </w:rPr>
      </w:pPr>
      <w:r w:rsidRPr="00D86929">
        <w:rPr>
          <w:rFonts w:ascii="Gill Sans" w:eastAsia="Times New Roman" w:hAnsi="Gill Sans"/>
          <w:b/>
          <w:bCs/>
          <w:szCs w:val="26"/>
        </w:rPr>
        <w:t xml:space="preserve">Reasonable accommodation: </w:t>
      </w:r>
      <w:r w:rsidRPr="00D86929">
        <w:rPr>
          <w:rFonts w:ascii="Gill Sans" w:eastAsia="Times New Roman" w:hAnsi="Gill Sans"/>
          <w:szCs w:val="26"/>
        </w:rPr>
        <w:t>Before they return to work, discuss with the person what supports they may need to do their job, for example, assistive technology, flexible working hours. Ensure these supports are in place when they return to work</w:t>
      </w:r>
    </w:p>
    <w:p w14:paraId="37DC0F17" w14:textId="2AB00820" w:rsidR="00D86929" w:rsidRPr="00387760" w:rsidRDefault="00D86929" w:rsidP="00387760">
      <w:pPr>
        <w:tabs>
          <w:tab w:val="num" w:pos="360"/>
        </w:tabs>
        <w:ind w:left="1080" w:hanging="360"/>
        <w:rPr>
          <w:rFonts w:ascii="Gill Sans" w:eastAsia="Times New Roman" w:hAnsi="Gill Sans"/>
          <w:szCs w:val="26"/>
        </w:rPr>
      </w:pPr>
      <w:r w:rsidRPr="00D86929">
        <w:rPr>
          <w:rFonts w:ascii="Gill Sans" w:eastAsia="Times New Roman" w:hAnsi="Gill Sans"/>
          <w:b/>
          <w:bCs/>
          <w:szCs w:val="26"/>
        </w:rPr>
        <w:t xml:space="preserve">Option for phased return: </w:t>
      </w:r>
      <w:r w:rsidRPr="00D86929">
        <w:rPr>
          <w:rFonts w:ascii="Gill Sans" w:eastAsia="Times New Roman" w:hAnsi="Gill Sans"/>
          <w:szCs w:val="26"/>
        </w:rPr>
        <w:t>A person may need some time to resume the full range of tasks. Before they return to work, agree with them what the transitional arrangements will be, and how they will be reviewed</w:t>
      </w:r>
      <w:r w:rsidRPr="00D86929">
        <w:rPr>
          <w:rFonts w:ascii="Gill Sans" w:eastAsia="Times New Roman" w:hAnsi="Gill Sans"/>
          <w:b/>
          <w:bCs/>
          <w:szCs w:val="26"/>
        </w:rPr>
        <w:t xml:space="preserve"> </w:t>
      </w:r>
    </w:p>
    <w:p w14:paraId="103BB30F" w14:textId="77777777" w:rsidR="00007978" w:rsidRDefault="00007978" w:rsidP="00007978">
      <w:pPr>
        <w:pStyle w:val="Heading2"/>
      </w:pPr>
      <w:r>
        <w:t>I</w:t>
      </w:r>
      <w:r w:rsidRPr="003436A6">
        <w:t>mpact of target</w:t>
      </w:r>
      <w:r>
        <w:t>ed</w:t>
      </w:r>
      <w:r w:rsidRPr="003436A6">
        <w:t xml:space="preserve"> early interventions to prevent chronic disability</w:t>
      </w:r>
    </w:p>
    <w:p w14:paraId="5D5107C9" w14:textId="77777777" w:rsidR="00007978" w:rsidRPr="00007978" w:rsidRDefault="00007978" w:rsidP="002C212A">
      <w:r w:rsidRPr="003436A6">
        <w:t xml:space="preserve">In 2003, the Renaissance project </w:t>
      </w:r>
      <w:r>
        <w:t xml:space="preserve">devised by the Chief Medical Officer in the </w:t>
      </w:r>
      <w:r w:rsidR="00F80046">
        <w:t xml:space="preserve">then </w:t>
      </w:r>
      <w:r>
        <w:t xml:space="preserve">Department of Social Welfare </w:t>
      </w:r>
      <w:r w:rsidRPr="003436A6">
        <w:t>explored the impact of target</w:t>
      </w:r>
      <w:r>
        <w:t>ed</w:t>
      </w:r>
      <w:r w:rsidRPr="003436A6">
        <w:t xml:space="preserve"> early interventions to prevent chronic disability for Disability Benefit</w:t>
      </w:r>
      <w:r>
        <w:t xml:space="preserve"> </w:t>
      </w:r>
      <w:r w:rsidRPr="003436A6">
        <w:t>and Injury Benefit</w:t>
      </w:r>
      <w:r>
        <w:t xml:space="preserve"> </w:t>
      </w:r>
      <w:r w:rsidRPr="003436A6">
        <w:t>recipients with low back pain</w:t>
      </w:r>
      <w:r>
        <w:t xml:space="preserve"> in Ireland</w:t>
      </w:r>
      <w:r w:rsidRPr="003436A6">
        <w:t>.</w:t>
      </w:r>
      <w:r w:rsidRPr="00B6276F">
        <w:rPr>
          <w:rStyle w:val="FootnoteReference"/>
        </w:rPr>
        <w:t xml:space="preserve"> </w:t>
      </w:r>
      <w:r>
        <w:rPr>
          <w:rStyle w:val="FootnoteReference"/>
        </w:rPr>
        <w:footnoteReference w:id="24"/>
      </w:r>
      <w:r>
        <w:t xml:space="preserve"> P</w:t>
      </w:r>
      <w:r w:rsidRPr="003436A6">
        <w:t>articipants were assigned to three categories: simple back pain, nerve root pain and potentially serious spinal pathology.</w:t>
      </w:r>
      <w:r>
        <w:t xml:space="preserve"> </w:t>
      </w:r>
      <w:r w:rsidRPr="003436A6">
        <w:t xml:space="preserve">Results indicated that early intervention for benefit applicants with low back pain significantly </w:t>
      </w:r>
      <w:r>
        <w:t>decreased</w:t>
      </w:r>
      <w:r w:rsidRPr="003436A6">
        <w:t xml:space="preserve"> progression to chronic disability, the duration of claims and delivered over half a million euros in cost savings</w:t>
      </w:r>
      <w:r>
        <w:t xml:space="preserve">. </w:t>
      </w:r>
    </w:p>
    <w:p w14:paraId="08A492D9" w14:textId="77777777" w:rsidR="00D32ABD" w:rsidRPr="00D32ABD" w:rsidRDefault="00220853" w:rsidP="00D32ABD">
      <w:pPr>
        <w:pStyle w:val="Heading1"/>
        <w:ind w:left="0"/>
      </w:pPr>
      <w:r>
        <w:t>Acquired disability and employment in Ireland</w:t>
      </w:r>
    </w:p>
    <w:p w14:paraId="2CA246BB" w14:textId="77777777" w:rsidR="005C3D76" w:rsidRDefault="00782B39" w:rsidP="005467F2">
      <w:pPr>
        <w:rPr>
          <w:lang w:val="en-GB"/>
        </w:rPr>
      </w:pPr>
      <w:r>
        <w:rPr>
          <w:lang w:val="en-GB"/>
        </w:rPr>
        <w:t>In Census 2016, t</w:t>
      </w:r>
      <w:r w:rsidR="005C3D76">
        <w:rPr>
          <w:lang w:val="en-GB"/>
        </w:rPr>
        <w:t xml:space="preserve">here </w:t>
      </w:r>
      <w:r w:rsidRPr="00247421">
        <w:rPr>
          <w:lang w:val="en-GB"/>
        </w:rPr>
        <w:t>were</w:t>
      </w:r>
      <w:r w:rsidR="005C3D76" w:rsidRPr="00247421">
        <w:rPr>
          <w:lang w:val="en-GB"/>
        </w:rPr>
        <w:t xml:space="preserve"> 64</w:t>
      </w:r>
      <w:r w:rsidRPr="00247421">
        <w:rPr>
          <w:lang w:val="en-GB"/>
        </w:rPr>
        <w:t>3,131</w:t>
      </w:r>
      <w:r w:rsidR="005C3D76" w:rsidRPr="00247421">
        <w:rPr>
          <w:lang w:val="en-GB"/>
        </w:rPr>
        <w:t xml:space="preserve"> people with disabilities</w:t>
      </w:r>
      <w:r w:rsidR="00B96B2F" w:rsidRPr="00247421">
        <w:rPr>
          <w:lang w:val="en-GB"/>
        </w:rPr>
        <w:t xml:space="preserve"> in Ireland, of which </w:t>
      </w:r>
      <w:r w:rsidRPr="00247421">
        <w:rPr>
          <w:lang w:val="en-GB"/>
        </w:rPr>
        <w:t>331</w:t>
      </w:r>
      <w:r w:rsidR="00B96B2F" w:rsidRPr="00247421">
        <w:rPr>
          <w:lang w:val="en-GB"/>
        </w:rPr>
        <w:t>,</w:t>
      </w:r>
      <w:r w:rsidRPr="00247421">
        <w:rPr>
          <w:lang w:val="en-GB"/>
        </w:rPr>
        <w:t>145</w:t>
      </w:r>
      <w:r w:rsidR="00B96B2F" w:rsidRPr="00247421">
        <w:rPr>
          <w:lang w:val="en-GB"/>
        </w:rPr>
        <w:t xml:space="preserve"> </w:t>
      </w:r>
      <w:r w:rsidRPr="00247421">
        <w:rPr>
          <w:lang w:val="en-GB"/>
        </w:rPr>
        <w:t xml:space="preserve">were </w:t>
      </w:r>
      <w:r w:rsidR="00B96B2F" w:rsidRPr="00247421">
        <w:rPr>
          <w:lang w:val="en-GB"/>
        </w:rPr>
        <w:t>aged between 20 and 6</w:t>
      </w:r>
      <w:r w:rsidR="00E50CF7" w:rsidRPr="00247421">
        <w:rPr>
          <w:lang w:val="en-GB"/>
        </w:rPr>
        <w:t>4</w:t>
      </w:r>
      <w:r w:rsidR="00B96B2F" w:rsidRPr="00247421">
        <w:rPr>
          <w:lang w:val="en-GB"/>
        </w:rPr>
        <w:t xml:space="preserve">. In overall terms 36.5% </w:t>
      </w:r>
      <w:r w:rsidRPr="00247421">
        <w:rPr>
          <w:lang w:val="en-GB"/>
        </w:rPr>
        <w:t xml:space="preserve">were </w:t>
      </w:r>
      <w:r w:rsidR="00B96B2F" w:rsidRPr="00247421">
        <w:rPr>
          <w:lang w:val="en-GB"/>
        </w:rPr>
        <w:t>in employment compared to 72.8% of persons without a disability.</w:t>
      </w:r>
      <w:r w:rsidR="00B96B2F" w:rsidRPr="00B96B2F">
        <w:rPr>
          <w:lang w:val="en-GB"/>
        </w:rPr>
        <w:t xml:space="preserve"> </w:t>
      </w:r>
    </w:p>
    <w:p w14:paraId="68803ABD" w14:textId="25273F75" w:rsidR="00B96B2F" w:rsidRPr="002E5750" w:rsidRDefault="00F1438A" w:rsidP="002E5750">
      <w:pPr>
        <w:rPr>
          <w:lang w:val="en-GB"/>
        </w:rPr>
      </w:pPr>
      <w:r>
        <w:rPr>
          <w:lang w:val="en-GB"/>
        </w:rPr>
        <w:t>Figure 1</w:t>
      </w:r>
      <w:r w:rsidR="00B96B2F" w:rsidRPr="00B96B2F">
        <w:rPr>
          <w:lang w:val="en-GB"/>
        </w:rPr>
        <w:t xml:space="preserve"> below shows how this employment gap is experienced at different ages across the life cycle.</w:t>
      </w:r>
      <w:r w:rsidR="00E50CF7">
        <w:rPr>
          <w:lang w:val="en-GB"/>
        </w:rPr>
        <w:t xml:space="preserve"> The graph shows that </w:t>
      </w:r>
      <w:r w:rsidR="00247421">
        <w:rPr>
          <w:lang w:val="en-GB"/>
        </w:rPr>
        <w:t>older</w:t>
      </w:r>
      <w:r w:rsidR="00E50CF7">
        <w:rPr>
          <w:lang w:val="en-GB"/>
        </w:rPr>
        <w:t xml:space="preserve"> </w:t>
      </w:r>
      <w:r w:rsidR="00E50CF7" w:rsidRPr="00E50CF7">
        <w:rPr>
          <w:lang w:val="en-GB"/>
        </w:rPr>
        <w:t>people with a disability</w:t>
      </w:r>
      <w:r w:rsidR="00E50CF7">
        <w:rPr>
          <w:lang w:val="en-GB"/>
        </w:rPr>
        <w:t xml:space="preserve"> are les</w:t>
      </w:r>
      <w:r w:rsidR="00247421">
        <w:rPr>
          <w:lang w:val="en-GB"/>
        </w:rPr>
        <w:t xml:space="preserve">s likely to </w:t>
      </w:r>
      <w:r w:rsidR="00A135EA">
        <w:rPr>
          <w:lang w:val="en-GB"/>
        </w:rPr>
        <w:t xml:space="preserve">be </w:t>
      </w:r>
      <w:r w:rsidR="00247421">
        <w:rPr>
          <w:lang w:val="en-GB"/>
        </w:rPr>
        <w:t>employed.</w:t>
      </w:r>
    </w:p>
    <w:p w14:paraId="1A5A5774" w14:textId="77777777" w:rsidR="00E95FE0" w:rsidRPr="00E95FE0" w:rsidRDefault="00E95FE0" w:rsidP="00E95FE0">
      <w:pPr>
        <w:rPr>
          <w:lang w:val="en-GB"/>
        </w:rPr>
      </w:pPr>
      <w:r w:rsidRPr="00B75836">
        <w:rPr>
          <w:rFonts w:eastAsia="Times New Roman"/>
          <w:noProof/>
          <w:szCs w:val="26"/>
          <w:lang w:eastAsia="en-IE"/>
        </w:rPr>
        <w:drawing>
          <wp:inline distT="0" distB="0" distL="0" distR="0" wp14:anchorId="171E3948" wp14:editId="66AB3E38">
            <wp:extent cx="4581525" cy="2752725"/>
            <wp:effectExtent l="0" t="0" r="9525" b="9525"/>
            <wp:docPr id="2" name="Chart 1" descr="Graph shows figures on how this employment gap is experienced at different ages across the life cycle.  Graph show that older people with a disability are less likely to be employed" title="Graph 1. Employment by age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D9BB1C" w14:textId="77777777" w:rsidR="006E656B" w:rsidRDefault="006E656B" w:rsidP="006E656B">
      <w:pPr>
        <w:pStyle w:val="Heading2"/>
        <w:rPr>
          <w:rFonts w:eastAsia="Calibri"/>
          <w:lang w:val="en-GB"/>
        </w:rPr>
      </w:pPr>
      <w:r>
        <w:rPr>
          <w:rFonts w:eastAsia="Calibri"/>
          <w:lang w:val="en-GB"/>
        </w:rPr>
        <w:t>Employment rates fall significantly after onset of disability</w:t>
      </w:r>
    </w:p>
    <w:p w14:paraId="39EBDCF7" w14:textId="77777777" w:rsidR="006F171A" w:rsidRDefault="00193832" w:rsidP="00220853">
      <w:r>
        <w:rPr>
          <w:rFonts w:eastAsia="Calibri"/>
          <w:szCs w:val="26"/>
          <w:lang w:val="en-GB"/>
        </w:rPr>
        <w:t xml:space="preserve">Relevant Government departments have examined acquired disability and work. During the </w:t>
      </w:r>
      <w:r w:rsidR="00247421">
        <w:rPr>
          <w:rFonts w:eastAsia="Calibri"/>
          <w:szCs w:val="26"/>
          <w:lang w:val="en-GB"/>
        </w:rPr>
        <w:t xml:space="preserve">2007 – 2008 </w:t>
      </w:r>
      <w:r>
        <w:rPr>
          <w:rFonts w:eastAsia="Calibri"/>
          <w:szCs w:val="26"/>
          <w:lang w:val="en-GB"/>
        </w:rPr>
        <w:t>period evidence gathered stated that a</w:t>
      </w:r>
      <w:r w:rsidR="00220853">
        <w:rPr>
          <w:rFonts w:eastAsia="Calibri"/>
          <w:szCs w:val="26"/>
          <w:lang w:val="en-GB"/>
        </w:rPr>
        <w:t xml:space="preserve">bout three quarters of people </w:t>
      </w:r>
      <w:r w:rsidR="006F171A">
        <w:rPr>
          <w:rFonts w:eastAsia="Calibri"/>
          <w:szCs w:val="26"/>
          <w:lang w:val="en-GB"/>
        </w:rPr>
        <w:t xml:space="preserve">of working age </w:t>
      </w:r>
      <w:r w:rsidR="00220853">
        <w:rPr>
          <w:rFonts w:eastAsia="Calibri"/>
          <w:szCs w:val="26"/>
          <w:lang w:val="en-GB"/>
        </w:rPr>
        <w:t xml:space="preserve">with disabilities have </w:t>
      </w:r>
      <w:r w:rsidR="00F64DE6">
        <w:rPr>
          <w:rFonts w:eastAsia="Calibri"/>
          <w:szCs w:val="26"/>
          <w:lang w:val="en-GB"/>
        </w:rPr>
        <w:t xml:space="preserve">acquired their disability </w:t>
      </w:r>
      <w:r w:rsidR="00E50CF7">
        <w:rPr>
          <w:rFonts w:eastAsia="Calibri"/>
          <w:szCs w:val="26"/>
          <w:lang w:val="en-GB"/>
        </w:rPr>
        <w:t xml:space="preserve">after the age of 18 and before the age of 65. </w:t>
      </w:r>
      <w:r w:rsidR="00944C91">
        <w:rPr>
          <w:rFonts w:eastAsia="Calibri"/>
          <w:szCs w:val="26"/>
          <w:lang w:val="en-GB"/>
        </w:rPr>
        <w:t>Many of those affected cease employment within a fairly short time.</w:t>
      </w:r>
      <w:r w:rsidR="00944C91">
        <w:rPr>
          <w:rStyle w:val="FootnoteReference"/>
          <w:rFonts w:eastAsia="Calibri"/>
          <w:szCs w:val="26"/>
          <w:lang w:val="en-GB"/>
        </w:rPr>
        <w:footnoteReference w:id="25"/>
      </w:r>
      <w:r w:rsidR="009178BF">
        <w:rPr>
          <w:rFonts w:eastAsia="Calibri"/>
          <w:szCs w:val="26"/>
          <w:lang w:val="en-GB"/>
        </w:rPr>
        <w:t xml:space="preserve"> One study showed </w:t>
      </w:r>
      <w:r w:rsidR="009178BF">
        <w:t xml:space="preserve">employment rates of people with disabilities dropped </w:t>
      </w:r>
      <w:r w:rsidR="0053033F">
        <w:t xml:space="preserve">to about </w:t>
      </w:r>
      <w:r w:rsidR="009178BF">
        <w:t>a third.</w:t>
      </w:r>
      <w:r w:rsidR="009178BF">
        <w:rPr>
          <w:rStyle w:val="FootnoteReference"/>
        </w:rPr>
        <w:footnoteReference w:id="26"/>
      </w:r>
      <w:r w:rsidR="009178BF">
        <w:t xml:space="preserve"> </w:t>
      </w:r>
      <w:r w:rsidR="00C81B2D">
        <w:t>A number of those remaining at work do so part-time. This can reflect stamina and fatigue issues experienced by many people with disabilities.</w:t>
      </w:r>
      <w:r w:rsidR="00C81B2D">
        <w:rPr>
          <w:rStyle w:val="FootnoteReference"/>
          <w:rFonts w:hint="eastAsia"/>
        </w:rPr>
        <w:footnoteReference w:id="27"/>
      </w:r>
    </w:p>
    <w:p w14:paraId="2888C7A0" w14:textId="77777777" w:rsidR="006E656B" w:rsidRDefault="006E656B" w:rsidP="006E656B">
      <w:pPr>
        <w:pStyle w:val="Heading2"/>
        <w:rPr>
          <w:rFonts w:eastAsia="Calibri"/>
          <w:lang w:val="en-GB"/>
        </w:rPr>
      </w:pPr>
      <w:r>
        <w:rPr>
          <w:rFonts w:eastAsia="Calibri"/>
          <w:lang w:val="en-GB"/>
        </w:rPr>
        <w:t xml:space="preserve">Older, </w:t>
      </w:r>
      <w:r w:rsidR="004678A3">
        <w:rPr>
          <w:rFonts w:eastAsia="Calibri"/>
          <w:lang w:val="en-GB"/>
        </w:rPr>
        <w:t>with less educational attainment</w:t>
      </w:r>
      <w:r>
        <w:rPr>
          <w:rFonts w:eastAsia="Calibri"/>
          <w:lang w:val="en-GB"/>
        </w:rPr>
        <w:t xml:space="preserve"> than workforce at large</w:t>
      </w:r>
    </w:p>
    <w:p w14:paraId="225EFB13" w14:textId="77777777" w:rsidR="006E656B" w:rsidRDefault="009178BF" w:rsidP="00220853">
      <w:r>
        <w:rPr>
          <w:rFonts w:eastAsia="Calibri"/>
          <w:szCs w:val="26"/>
          <w:lang w:val="en-GB"/>
        </w:rPr>
        <w:t>People who experience onset of disa</w:t>
      </w:r>
      <w:r w:rsidR="0053033F">
        <w:rPr>
          <w:rFonts w:eastAsia="Calibri"/>
          <w:szCs w:val="26"/>
          <w:lang w:val="en-GB"/>
        </w:rPr>
        <w:t>bility are on average older</w:t>
      </w:r>
      <w:r w:rsidR="00231D2E">
        <w:rPr>
          <w:rFonts w:eastAsia="Calibri"/>
          <w:szCs w:val="26"/>
          <w:lang w:val="en-GB"/>
        </w:rPr>
        <w:t xml:space="preserve"> and</w:t>
      </w:r>
      <w:r w:rsidR="0053033F">
        <w:rPr>
          <w:rFonts w:eastAsia="Calibri"/>
          <w:szCs w:val="26"/>
          <w:lang w:val="en-GB"/>
        </w:rPr>
        <w:t xml:space="preserve"> have less education attainment</w:t>
      </w:r>
      <w:r>
        <w:rPr>
          <w:rFonts w:eastAsia="Calibri"/>
          <w:szCs w:val="26"/>
          <w:lang w:val="en-GB"/>
        </w:rPr>
        <w:t xml:space="preserve"> than the working-age population at large</w:t>
      </w:r>
      <w:r w:rsidR="006F171A">
        <w:rPr>
          <w:rFonts w:eastAsia="Calibri"/>
          <w:szCs w:val="26"/>
          <w:lang w:val="en-GB"/>
        </w:rPr>
        <w:t>.</w:t>
      </w:r>
      <w:r w:rsidR="006F171A">
        <w:rPr>
          <w:rStyle w:val="FootnoteReference"/>
        </w:rPr>
        <w:footnoteReference w:id="28"/>
      </w:r>
      <w:r w:rsidR="006F171A">
        <w:rPr>
          <w:rFonts w:eastAsia="Calibri"/>
          <w:szCs w:val="26"/>
          <w:lang w:val="en-GB"/>
        </w:rPr>
        <w:t xml:space="preserve"> </w:t>
      </w:r>
      <w:r>
        <w:rPr>
          <w:rFonts w:eastAsia="Calibri"/>
          <w:szCs w:val="26"/>
          <w:lang w:val="en-GB"/>
        </w:rPr>
        <w:t>Roughly a third who move on to disability payments have a musculoskeletal condition</w:t>
      </w:r>
      <w:r w:rsidR="001B6411">
        <w:rPr>
          <w:rFonts w:eastAsia="Calibri"/>
          <w:szCs w:val="26"/>
          <w:lang w:val="en-GB"/>
        </w:rPr>
        <w:t xml:space="preserve"> such as back problems</w:t>
      </w:r>
      <w:r>
        <w:rPr>
          <w:rFonts w:eastAsia="Calibri"/>
          <w:szCs w:val="26"/>
          <w:lang w:val="en-GB"/>
        </w:rPr>
        <w:t>, and roughly a third a mental health condition</w:t>
      </w:r>
      <w:r w:rsidR="001B6411">
        <w:rPr>
          <w:rFonts w:eastAsia="Calibri"/>
          <w:szCs w:val="26"/>
          <w:lang w:val="en-GB"/>
        </w:rPr>
        <w:t xml:space="preserve"> </w:t>
      </w:r>
      <w:r w:rsidR="00FF6E5F">
        <w:rPr>
          <w:rFonts w:eastAsia="Calibri"/>
          <w:szCs w:val="26"/>
          <w:lang w:val="en-GB"/>
        </w:rPr>
        <w:t xml:space="preserve">such as </w:t>
      </w:r>
      <w:r w:rsidR="001B6411">
        <w:rPr>
          <w:rFonts w:eastAsia="Calibri"/>
          <w:szCs w:val="26"/>
          <w:lang w:val="en-GB"/>
        </w:rPr>
        <w:t>depression or anxiety</w:t>
      </w:r>
      <w:r>
        <w:rPr>
          <w:rFonts w:eastAsia="Calibri"/>
          <w:szCs w:val="26"/>
          <w:lang w:val="en-GB"/>
        </w:rPr>
        <w:t xml:space="preserve">. </w:t>
      </w:r>
      <w:r w:rsidR="006F171A">
        <w:t>Independent of the effectiveness of any vocational rehabilitation measures or return to work policies, t</w:t>
      </w:r>
      <w:r>
        <w:t>he likelihood of return to work will depend on the nature and degree of incapacity, education and ski</w:t>
      </w:r>
      <w:r w:rsidR="006F171A">
        <w:t>lls, and the individual’s age</w:t>
      </w:r>
      <w:r>
        <w:t xml:space="preserve">. </w:t>
      </w:r>
    </w:p>
    <w:p w14:paraId="30D2D95A" w14:textId="77777777" w:rsidR="006E656B" w:rsidRDefault="006E656B" w:rsidP="006E656B">
      <w:pPr>
        <w:pStyle w:val="Heading2"/>
      </w:pPr>
      <w:r>
        <w:t>Most have a work history, many are interested in work</w:t>
      </w:r>
    </w:p>
    <w:p w14:paraId="23E9162F" w14:textId="77777777" w:rsidR="009178BF" w:rsidRDefault="00363408" w:rsidP="00220853">
      <w:r>
        <w:t>While only a third of people with disabilities may be at work, four out of five have a work history, and half are either at work or have an interest in working.</w:t>
      </w:r>
      <w:r>
        <w:rPr>
          <w:rStyle w:val="FootnoteReference"/>
          <w:rFonts w:hint="eastAsia"/>
        </w:rPr>
        <w:footnoteReference w:id="29"/>
      </w:r>
      <w:r>
        <w:t xml:space="preserve"> </w:t>
      </w:r>
      <w:r w:rsidR="006F171A">
        <w:t>Y</w:t>
      </w:r>
      <w:r w:rsidR="009178BF">
        <w:t>ounger people with disabilities are more likely to express an interest in taking up employment if the circumstances are right.</w:t>
      </w:r>
      <w:r w:rsidR="006F171A">
        <w:rPr>
          <w:rStyle w:val="FootnoteReference"/>
          <w:rFonts w:hint="eastAsia"/>
        </w:rPr>
        <w:footnoteReference w:id="30"/>
      </w:r>
    </w:p>
    <w:p w14:paraId="4004BD4D" w14:textId="77777777" w:rsidR="006E656B" w:rsidRDefault="0069320A" w:rsidP="006E656B">
      <w:pPr>
        <w:pStyle w:val="Heading2"/>
      </w:pPr>
      <w:r>
        <w:t>People with disabilities more likely to exit, less likely to enter work</w:t>
      </w:r>
    </w:p>
    <w:p w14:paraId="10DEFD9B" w14:textId="77777777" w:rsidR="00992185" w:rsidRPr="008B414E" w:rsidRDefault="00D92166" w:rsidP="00992185">
      <w:pPr>
        <w:spacing w:after="120"/>
        <w:rPr>
          <w:rFonts w:eastAsia="Calibri"/>
          <w:szCs w:val="26"/>
          <w:lang w:val="en-GB"/>
        </w:rPr>
      </w:pPr>
      <w:r>
        <w:rPr>
          <w:szCs w:val="26"/>
        </w:rPr>
        <w:t>NDA-commissioned r</w:t>
      </w:r>
      <w:r w:rsidR="00992185" w:rsidRPr="008B414E">
        <w:rPr>
          <w:szCs w:val="26"/>
        </w:rPr>
        <w:t xml:space="preserve">esearch on </w:t>
      </w:r>
      <w:r w:rsidR="00992185" w:rsidRPr="008B414E">
        <w:rPr>
          <w:rFonts w:eastAsia="Calibri"/>
          <w:szCs w:val="26"/>
          <w:lang w:val="en-GB"/>
        </w:rPr>
        <w:t>patterns of exit and entry to employment over the period 2010-2015</w:t>
      </w:r>
      <w:r w:rsidR="00992185" w:rsidRPr="008B414E">
        <w:rPr>
          <w:rStyle w:val="FootnoteReference"/>
          <w:rFonts w:ascii="Gill Sans MT" w:eastAsia="Times New Roman" w:hAnsi="Gill Sans MT"/>
          <w:sz w:val="26"/>
          <w:szCs w:val="26"/>
        </w:rPr>
        <w:footnoteReference w:id="31"/>
      </w:r>
      <w:r w:rsidR="00992185" w:rsidRPr="008B414E">
        <w:rPr>
          <w:rFonts w:eastAsia="Calibri"/>
          <w:szCs w:val="26"/>
          <w:lang w:val="en-GB"/>
        </w:rPr>
        <w:t xml:space="preserve"> shows</w:t>
      </w:r>
      <w:r>
        <w:rPr>
          <w:rFonts w:eastAsia="Calibri"/>
          <w:szCs w:val="26"/>
          <w:lang w:val="en-GB"/>
        </w:rPr>
        <w:t>:</w:t>
      </w:r>
    </w:p>
    <w:p w14:paraId="55B3D37D" w14:textId="77777777" w:rsidR="00992185" w:rsidRPr="008B414E" w:rsidRDefault="00992185" w:rsidP="00724A24">
      <w:pPr>
        <w:pStyle w:val="ListParagraph"/>
        <w:numPr>
          <w:ilvl w:val="0"/>
          <w:numId w:val="10"/>
        </w:numPr>
        <w:spacing w:after="120"/>
        <w:ind w:left="714" w:hanging="357"/>
        <w:rPr>
          <w:rFonts w:eastAsia="Calibri"/>
          <w:szCs w:val="26"/>
          <w:lang w:val="en-GB"/>
        </w:rPr>
      </w:pPr>
      <w:r w:rsidRPr="008B414E">
        <w:rPr>
          <w:rFonts w:eastAsia="Calibri"/>
          <w:szCs w:val="26"/>
          <w:lang w:val="en-GB"/>
        </w:rPr>
        <w:t>People with disabilities are more likely to exit a job than those without a disability – 5% of those with a disability exit work in any quarter versus 2% of others</w:t>
      </w:r>
      <w:r w:rsidR="00D92166">
        <w:rPr>
          <w:rFonts w:eastAsia="Calibri"/>
          <w:szCs w:val="26"/>
          <w:lang w:val="en-GB"/>
        </w:rPr>
        <w:t>;</w:t>
      </w:r>
    </w:p>
    <w:p w14:paraId="6EC53461" w14:textId="77777777" w:rsidR="00992185" w:rsidRPr="008B414E" w:rsidRDefault="00992185" w:rsidP="00724A24">
      <w:pPr>
        <w:pStyle w:val="ListParagraph"/>
        <w:numPr>
          <w:ilvl w:val="0"/>
          <w:numId w:val="10"/>
        </w:numPr>
        <w:spacing w:after="120"/>
        <w:ind w:left="714" w:hanging="357"/>
        <w:rPr>
          <w:rFonts w:eastAsia="Calibri"/>
          <w:szCs w:val="26"/>
          <w:lang w:val="en-GB"/>
        </w:rPr>
      </w:pPr>
      <w:r w:rsidRPr="008B414E">
        <w:rPr>
          <w:rFonts w:eastAsia="Calibri"/>
          <w:szCs w:val="26"/>
          <w:lang w:val="en-GB"/>
        </w:rPr>
        <w:t>People with disabilities who are out of work are less likely to enter employment than people without a disability – 2% in any given quarter versus 8% of others</w:t>
      </w:r>
      <w:r w:rsidR="00D92166">
        <w:rPr>
          <w:rFonts w:eastAsia="Calibri"/>
          <w:szCs w:val="26"/>
          <w:lang w:val="en-GB"/>
        </w:rPr>
        <w:t>;</w:t>
      </w:r>
    </w:p>
    <w:p w14:paraId="1E776281" w14:textId="77777777" w:rsidR="00775E06" w:rsidRPr="008B414E" w:rsidRDefault="00775E06" w:rsidP="00724A24">
      <w:pPr>
        <w:pStyle w:val="ListParagraph"/>
        <w:numPr>
          <w:ilvl w:val="0"/>
          <w:numId w:val="10"/>
        </w:numPr>
        <w:spacing w:after="120"/>
        <w:ind w:left="714" w:hanging="357"/>
        <w:rPr>
          <w:rFonts w:eastAsia="Calibri"/>
          <w:szCs w:val="26"/>
          <w:lang w:val="en-GB"/>
        </w:rPr>
      </w:pPr>
      <w:r w:rsidRPr="008B414E">
        <w:rPr>
          <w:rFonts w:eastAsia="Calibri"/>
          <w:szCs w:val="26"/>
          <w:lang w:val="en-GB"/>
        </w:rPr>
        <w:t>People with multiple difficulties were most likely to leave, and less likely to enter work</w:t>
      </w:r>
      <w:r w:rsidR="00D92166">
        <w:rPr>
          <w:rFonts w:eastAsia="Calibri"/>
          <w:szCs w:val="26"/>
          <w:lang w:val="en-GB"/>
        </w:rPr>
        <w:t>;</w:t>
      </w:r>
      <w:r w:rsidRPr="008B414E">
        <w:rPr>
          <w:rFonts w:eastAsia="Calibri"/>
          <w:szCs w:val="26"/>
          <w:lang w:val="en-GB"/>
        </w:rPr>
        <w:t xml:space="preserve"> </w:t>
      </w:r>
    </w:p>
    <w:p w14:paraId="650AACAD" w14:textId="77777777" w:rsidR="008A7BFF" w:rsidRDefault="00CC5083" w:rsidP="00724A24">
      <w:pPr>
        <w:pStyle w:val="ListParagraph"/>
        <w:numPr>
          <w:ilvl w:val="0"/>
          <w:numId w:val="10"/>
        </w:numPr>
        <w:ind w:left="714" w:hanging="357"/>
        <w:rPr>
          <w:rFonts w:eastAsia="Calibri"/>
          <w:szCs w:val="26"/>
          <w:lang w:val="en-GB"/>
        </w:rPr>
      </w:pPr>
      <w:r>
        <w:rPr>
          <w:rFonts w:eastAsia="Calibri"/>
          <w:szCs w:val="26"/>
          <w:lang w:val="en-GB"/>
        </w:rPr>
        <w:t>Therefore</w:t>
      </w:r>
      <w:r w:rsidR="00775E06" w:rsidRPr="008B414E">
        <w:rPr>
          <w:rFonts w:eastAsia="Calibri"/>
          <w:szCs w:val="26"/>
          <w:lang w:val="en-GB"/>
        </w:rPr>
        <w:t xml:space="preserve">, people with no additional difficulties, other than having a disability, were more likely to leave work, and less likely to enter, than non-disabled people. </w:t>
      </w:r>
      <w:r w:rsidR="008A7BFF" w:rsidRPr="008B414E">
        <w:rPr>
          <w:rFonts w:eastAsia="Calibri"/>
          <w:szCs w:val="26"/>
          <w:lang w:val="en-GB"/>
        </w:rPr>
        <w:t>Even when allowance is made for the fact that people with di</w:t>
      </w:r>
      <w:r w:rsidR="00193832">
        <w:rPr>
          <w:rFonts w:eastAsia="Calibri"/>
          <w:szCs w:val="26"/>
          <w:lang w:val="en-GB"/>
        </w:rPr>
        <w:t xml:space="preserve">sabilities are older, </w:t>
      </w:r>
      <w:r w:rsidR="00D92166">
        <w:rPr>
          <w:rFonts w:eastAsia="Calibri"/>
          <w:szCs w:val="26"/>
          <w:lang w:val="en-GB"/>
        </w:rPr>
        <w:t xml:space="preserve">may have </w:t>
      </w:r>
      <w:r w:rsidR="00193832">
        <w:rPr>
          <w:rFonts w:eastAsia="Calibri"/>
          <w:szCs w:val="26"/>
          <w:lang w:val="en-GB"/>
        </w:rPr>
        <w:t>less education attainment</w:t>
      </w:r>
      <w:r w:rsidR="008A7BFF" w:rsidRPr="008B414E">
        <w:rPr>
          <w:rFonts w:eastAsia="Calibri"/>
          <w:szCs w:val="26"/>
          <w:lang w:val="en-GB"/>
        </w:rPr>
        <w:t xml:space="preserve"> and other characteristics, they are only half as likely to get a job as people without a disability</w:t>
      </w:r>
      <w:r w:rsidR="00D92166">
        <w:rPr>
          <w:rFonts w:eastAsia="Calibri"/>
          <w:szCs w:val="26"/>
          <w:lang w:val="en-GB"/>
        </w:rPr>
        <w:t>.</w:t>
      </w:r>
    </w:p>
    <w:p w14:paraId="658F636E" w14:textId="77777777" w:rsidR="00F8601C" w:rsidRPr="0011518D" w:rsidRDefault="00F8601C" w:rsidP="00F8601C">
      <w:pPr>
        <w:pStyle w:val="ListBullet"/>
        <w:numPr>
          <w:ilvl w:val="0"/>
          <w:numId w:val="0"/>
        </w:numPr>
        <w:jc w:val="both"/>
        <w:rPr>
          <w:b/>
        </w:rPr>
      </w:pPr>
      <w:r w:rsidRPr="004678A3">
        <w:rPr>
          <w:b/>
          <w:sz w:val="28"/>
          <w:szCs w:val="28"/>
        </w:rPr>
        <w:t>The Inactive Working Age Population</w:t>
      </w:r>
      <w:r>
        <w:rPr>
          <w:rStyle w:val="FootnoteReference"/>
          <w:b/>
        </w:rPr>
        <w:footnoteReference w:id="32"/>
      </w:r>
    </w:p>
    <w:p w14:paraId="48E65318" w14:textId="77777777" w:rsidR="00F8601C" w:rsidRDefault="00F8601C" w:rsidP="00F8601C">
      <w:pPr>
        <w:pStyle w:val="ListBullet"/>
        <w:numPr>
          <w:ilvl w:val="0"/>
          <w:numId w:val="0"/>
        </w:numPr>
        <w:spacing w:before="0" w:after="0"/>
      </w:pPr>
      <w:r>
        <w:rPr>
          <w:rFonts w:cs="Arial"/>
          <w:szCs w:val="26"/>
          <w:shd w:val="clear" w:color="auto" w:fill="FFFFFF"/>
        </w:rPr>
        <w:t xml:space="preserve">The issues presented in this section have been </w:t>
      </w:r>
      <w:r w:rsidR="00D92166">
        <w:rPr>
          <w:rFonts w:cs="Arial"/>
          <w:szCs w:val="26"/>
          <w:shd w:val="clear" w:color="auto" w:fill="FFFFFF"/>
        </w:rPr>
        <w:t xml:space="preserve">emphasised in </w:t>
      </w:r>
      <w:r>
        <w:rPr>
          <w:rFonts w:cs="Arial"/>
          <w:szCs w:val="26"/>
          <w:shd w:val="clear" w:color="auto" w:fill="FFFFFF"/>
        </w:rPr>
        <w:t>a recent paper from t</w:t>
      </w:r>
      <w:r w:rsidRPr="008B5393">
        <w:rPr>
          <w:rFonts w:cs="Arial"/>
          <w:szCs w:val="26"/>
          <w:shd w:val="clear" w:color="auto" w:fill="FFFFFF"/>
        </w:rPr>
        <w:t>he Irish Government Economic and Evaluation Service</w:t>
      </w:r>
      <w:r w:rsidRPr="008B5393">
        <w:rPr>
          <w:szCs w:val="26"/>
        </w:rPr>
        <w:t xml:space="preserve"> (IGEES)</w:t>
      </w:r>
      <w:r>
        <w:t>. This study examined the inactive working age population. One of the groups examined was those with a disability. This study found that</w:t>
      </w:r>
      <w:r w:rsidR="00D92166">
        <w:t>:</w:t>
      </w:r>
    </w:p>
    <w:p w14:paraId="470E9B48" w14:textId="77777777" w:rsidR="00F8601C" w:rsidRDefault="00F8601C" w:rsidP="00724A24">
      <w:pPr>
        <w:pStyle w:val="ListBullet"/>
        <w:numPr>
          <w:ilvl w:val="0"/>
          <w:numId w:val="18"/>
        </w:numPr>
        <w:spacing w:before="0" w:after="0"/>
      </w:pPr>
      <w:r>
        <w:t>A</w:t>
      </w:r>
      <w:r w:rsidRPr="007A08B9">
        <w:t xml:space="preserve"> high proportion </w:t>
      </w:r>
      <w:r>
        <w:t xml:space="preserve">of people with a disability who are inactive </w:t>
      </w:r>
      <w:r w:rsidRPr="00C84A5A">
        <w:rPr>
          <w:b/>
        </w:rPr>
        <w:t xml:space="preserve">have previous work experience </w:t>
      </w:r>
      <w:r w:rsidRPr="007A08B9">
        <w:t>(75%)</w:t>
      </w:r>
      <w:r w:rsidR="00C90BD9">
        <w:t>;</w:t>
      </w:r>
      <w:r>
        <w:t xml:space="preserve"> </w:t>
      </w:r>
    </w:p>
    <w:p w14:paraId="1667F1A6" w14:textId="77777777" w:rsidR="00F8601C" w:rsidRPr="00C84A5A" w:rsidRDefault="00C90BD9" w:rsidP="00724A24">
      <w:pPr>
        <w:pStyle w:val="ListBullet"/>
        <w:numPr>
          <w:ilvl w:val="0"/>
          <w:numId w:val="18"/>
        </w:numPr>
        <w:spacing w:before="0" w:after="0"/>
        <w:rPr>
          <w:b/>
        </w:rPr>
      </w:pPr>
      <w:r>
        <w:t>However,</w:t>
      </w:r>
      <w:r w:rsidRPr="007A08B9">
        <w:t xml:space="preserve"> </w:t>
      </w:r>
      <w:r w:rsidR="00F8601C">
        <w:t>for about half of them (52</w:t>
      </w:r>
      <w:r w:rsidR="00F8601C" w:rsidRPr="007A08B9">
        <w:t>%</w:t>
      </w:r>
      <w:r w:rsidR="00F8601C">
        <w:t xml:space="preserve">) </w:t>
      </w:r>
      <w:r w:rsidR="00F8601C" w:rsidRPr="00C84A5A">
        <w:rPr>
          <w:b/>
        </w:rPr>
        <w:t xml:space="preserve">the work experience was from over 10 years ago. </w:t>
      </w:r>
    </w:p>
    <w:p w14:paraId="3226280F" w14:textId="4C336E76" w:rsidR="006F32BC" w:rsidRDefault="00F8601C" w:rsidP="00F8601C">
      <w:pPr>
        <w:pStyle w:val="ListBullet"/>
        <w:numPr>
          <w:ilvl w:val="0"/>
          <w:numId w:val="0"/>
        </w:numPr>
        <w:spacing w:before="0" w:after="0"/>
      </w:pPr>
      <w:r>
        <w:t xml:space="preserve">This means that a third of people with a disability who are counted as inactive have been </w:t>
      </w:r>
      <w:r w:rsidR="005907E0">
        <w:t>employed in the last ten years.</w:t>
      </w:r>
      <w:r>
        <w:t xml:space="preserve"> </w:t>
      </w:r>
    </w:p>
    <w:p w14:paraId="0E07253E" w14:textId="24CCC6F9" w:rsidR="009F3BC8" w:rsidRDefault="00F8601C" w:rsidP="00387760">
      <w:pPr>
        <w:pStyle w:val="ListBullet"/>
        <w:numPr>
          <w:ilvl w:val="0"/>
          <w:numId w:val="0"/>
        </w:numPr>
        <w:spacing w:after="0"/>
      </w:pPr>
      <w:r>
        <w:t xml:space="preserve">As with other studies presented in this policy advice paper the IGEES paper </w:t>
      </w:r>
      <w:r w:rsidR="00C90BD9">
        <w:t xml:space="preserve">found </w:t>
      </w:r>
      <w:r>
        <w:t xml:space="preserve">that the disabled inactive population had </w:t>
      </w:r>
      <w:r w:rsidRPr="007A08B9">
        <w:t>relatively lower levels of education (52% lower primary/secondary)</w:t>
      </w:r>
      <w:r>
        <w:t xml:space="preserve"> and p</w:t>
      </w:r>
      <w:r w:rsidRPr="007A08B9">
        <w:t xml:space="preserve">redominantly </w:t>
      </w:r>
      <w:r>
        <w:t xml:space="preserve">worked </w:t>
      </w:r>
      <w:r w:rsidRPr="007A08B9">
        <w:t xml:space="preserve">in occupations which are likely to require a physical aspect to the work (55% in </w:t>
      </w:r>
      <w:r w:rsidR="00C90BD9">
        <w:t>‘</w:t>
      </w:r>
      <w:r w:rsidRPr="007A08B9">
        <w:t>skilled trade, operatives and elementary</w:t>
      </w:r>
      <w:r w:rsidR="00C90BD9">
        <w:t>’ category</w:t>
      </w:r>
      <w:r w:rsidRPr="007A08B9">
        <w:t xml:space="preserve">). </w:t>
      </w:r>
      <w:r>
        <w:t xml:space="preserve">From a return to work perspective the IGEES paper </w:t>
      </w:r>
      <w:r w:rsidR="00C90BD9">
        <w:t xml:space="preserve">indicates </w:t>
      </w:r>
      <w:r>
        <w:t>that people in these occupations may be physically unable to resume their previous work or that income replacement means that i</w:t>
      </w:r>
      <w:r w:rsidR="00F12785">
        <w:t xml:space="preserve">t is financially unattractive. </w:t>
      </w:r>
    </w:p>
    <w:p w14:paraId="492E1CEB" w14:textId="77777777" w:rsidR="00657362" w:rsidRDefault="00657362" w:rsidP="00E03CA8">
      <w:pPr>
        <w:pStyle w:val="Heading1"/>
        <w:rPr>
          <w:lang w:val="en"/>
        </w:rPr>
      </w:pPr>
      <w:r>
        <w:rPr>
          <w:lang w:val="en"/>
        </w:rPr>
        <w:t>Vocational rehabilitation the Irish experience</w:t>
      </w:r>
    </w:p>
    <w:p w14:paraId="6DDC3A37" w14:textId="09A90486" w:rsidR="00E618D2" w:rsidRPr="007A1414" w:rsidRDefault="003E4C18" w:rsidP="00E618D2">
      <w:pPr>
        <w:autoSpaceDE w:val="0"/>
        <w:autoSpaceDN w:val="0"/>
        <w:adjustRightInd w:val="0"/>
        <w:rPr>
          <w:rFonts w:cs="Gill Sans MT"/>
          <w:lang w:val="en"/>
        </w:rPr>
      </w:pPr>
      <w:r w:rsidRPr="007A1414">
        <w:rPr>
          <w:rFonts w:cs="Gill Sans MT"/>
          <w:lang w:val="en"/>
        </w:rPr>
        <w:t xml:space="preserve">Understanding the lived experience of people with acquired disabilities and their interaction with proven elements of vocational rehabilitation was central to informing this advice paper. </w:t>
      </w:r>
      <w:r w:rsidR="008C240E" w:rsidRPr="007A1414">
        <w:rPr>
          <w:rFonts w:cs="Gill Sans MT"/>
          <w:lang w:val="en"/>
        </w:rPr>
        <w:t xml:space="preserve">In 2021, the NDA conducted a consultation to explore the experiences of </w:t>
      </w:r>
      <w:r w:rsidR="00CC7F5C" w:rsidRPr="007A1414">
        <w:rPr>
          <w:rFonts w:cs="Gill Sans MT"/>
          <w:lang w:val="en"/>
        </w:rPr>
        <w:t xml:space="preserve">the </w:t>
      </w:r>
      <w:r w:rsidR="008C240E" w:rsidRPr="007A1414">
        <w:rPr>
          <w:rFonts w:cs="Gill Sans MT"/>
          <w:lang w:val="en"/>
        </w:rPr>
        <w:t>support to return to work received by a sample of people with acquired disabilities or illness</w:t>
      </w:r>
      <w:r w:rsidR="00CC7F5C" w:rsidRPr="007A1414">
        <w:rPr>
          <w:rFonts w:cs="Gill Sans MT"/>
          <w:lang w:val="en"/>
        </w:rPr>
        <w:t>es</w:t>
      </w:r>
      <w:r w:rsidR="008C240E" w:rsidRPr="007A1414">
        <w:rPr>
          <w:rFonts w:cs="Gill Sans MT"/>
          <w:lang w:val="en"/>
        </w:rPr>
        <w:t xml:space="preserve">. This consultation involved an online </w:t>
      </w:r>
      <w:r w:rsidRPr="007A1414">
        <w:rPr>
          <w:rFonts w:cs="Gill Sans MT"/>
          <w:lang w:val="en"/>
        </w:rPr>
        <w:t xml:space="preserve">survey </w:t>
      </w:r>
      <w:r w:rsidR="008C240E" w:rsidRPr="007A1414">
        <w:rPr>
          <w:rFonts w:cs="Gill Sans MT"/>
          <w:lang w:val="en"/>
        </w:rPr>
        <w:t xml:space="preserve">completed by 115 respondents and case study interviews of </w:t>
      </w:r>
      <w:r w:rsidR="0068577F" w:rsidRPr="007A1414">
        <w:rPr>
          <w:rFonts w:cs="Gill Sans MT"/>
          <w:lang w:val="en"/>
        </w:rPr>
        <w:t>seven</w:t>
      </w:r>
      <w:r w:rsidR="00DA47EE" w:rsidRPr="007A1414">
        <w:rPr>
          <w:rFonts w:cs="Gill Sans MT"/>
          <w:lang w:val="en"/>
        </w:rPr>
        <w:t xml:space="preserve"> of the </w:t>
      </w:r>
      <w:r w:rsidR="00387760" w:rsidRPr="007A1414">
        <w:rPr>
          <w:rFonts w:cs="Gill Sans MT"/>
          <w:lang w:val="en"/>
        </w:rPr>
        <w:t>respondents</w:t>
      </w:r>
      <w:r w:rsidR="008C240E" w:rsidRPr="007A1414">
        <w:rPr>
          <w:rFonts w:cs="Gill Sans MT"/>
          <w:lang w:val="en"/>
        </w:rPr>
        <w:t xml:space="preserve">. </w:t>
      </w:r>
      <w:r w:rsidR="00E618D2" w:rsidRPr="007A1414">
        <w:rPr>
          <w:rFonts w:cs="Gill Sans MT"/>
          <w:lang w:val="en"/>
        </w:rPr>
        <w:t xml:space="preserve">While the following </w:t>
      </w:r>
      <w:r w:rsidR="005C7A6E" w:rsidRPr="007A1414">
        <w:rPr>
          <w:rFonts w:cs="Gill Sans MT"/>
          <w:lang w:val="en"/>
        </w:rPr>
        <w:t>is a brief summary of the</w:t>
      </w:r>
      <w:r w:rsidR="00E618D2" w:rsidRPr="007A1414">
        <w:rPr>
          <w:rFonts w:cs="Gill Sans MT"/>
          <w:lang w:val="en"/>
        </w:rPr>
        <w:t xml:space="preserve"> experiences of those respondents, a full analysis of the survey results </w:t>
      </w:r>
      <w:r w:rsidR="005C7A6E" w:rsidRPr="007A1414">
        <w:rPr>
          <w:rFonts w:cs="Gill Sans MT"/>
          <w:lang w:val="en"/>
        </w:rPr>
        <w:t>and</w:t>
      </w:r>
      <w:r w:rsidR="00E618D2" w:rsidRPr="007A1414">
        <w:rPr>
          <w:rFonts w:cs="Gill Sans MT"/>
          <w:lang w:val="en"/>
        </w:rPr>
        <w:t xml:space="preserve"> series of case studies describing </w:t>
      </w:r>
      <w:r w:rsidR="005C7A6E" w:rsidRPr="007A1414">
        <w:rPr>
          <w:rFonts w:cs="Gill Sans MT"/>
          <w:lang w:val="en"/>
        </w:rPr>
        <w:t>the</w:t>
      </w:r>
      <w:r w:rsidR="00E618D2" w:rsidRPr="007A1414">
        <w:rPr>
          <w:rFonts w:cs="Gill Sans MT"/>
          <w:lang w:val="en"/>
        </w:rPr>
        <w:t xml:space="preserve"> lived experience is available at </w:t>
      </w:r>
      <w:r w:rsidR="00E618D2" w:rsidRPr="007A1414">
        <w:rPr>
          <w:rFonts w:cs="Gill Sans MT"/>
          <w:color w:val="0000FF"/>
          <w:u w:val="single"/>
          <w:lang w:val="en"/>
        </w:rPr>
        <w:t>www.nda.ie.</w:t>
      </w:r>
    </w:p>
    <w:p w14:paraId="55EA74A9" w14:textId="596625A2" w:rsidR="00E86E1C" w:rsidRPr="007A1414" w:rsidRDefault="00CA68D8" w:rsidP="00E86E1C">
      <w:pPr>
        <w:autoSpaceDE w:val="0"/>
        <w:autoSpaceDN w:val="0"/>
        <w:adjustRightInd w:val="0"/>
        <w:rPr>
          <w:rFonts w:cs="Gill Sans MT"/>
          <w:lang w:val="en"/>
        </w:rPr>
      </w:pPr>
      <w:r w:rsidRPr="007A1414">
        <w:rPr>
          <w:rFonts w:cs="Gill Sans MT"/>
          <w:lang w:val="en"/>
        </w:rPr>
        <w:t xml:space="preserve">Of the 115 people who took part in the survey, the majority of them, just over three quarters, had one disability while the rest had two or more disabilities. The most common disabilities reported were a vision impairment, an acquired brain injury and a neurological condition. The other </w:t>
      </w:r>
      <w:r w:rsidR="00F072B7" w:rsidRPr="007A1414">
        <w:rPr>
          <w:rFonts w:cs="Gill Sans MT"/>
          <w:lang w:val="en"/>
        </w:rPr>
        <w:t>disabilities and conditions reported included</w:t>
      </w:r>
      <w:r w:rsidRPr="007A1414">
        <w:rPr>
          <w:rFonts w:cs="Gill Sans MT"/>
          <w:lang w:val="en"/>
        </w:rPr>
        <w:t xml:space="preserve"> mental health conditions, other conditions (not specified), physical disabilities, and deafness or hard of hearing.</w:t>
      </w:r>
      <w:r w:rsidR="005F1A54" w:rsidRPr="007A1414">
        <w:rPr>
          <w:rFonts w:cs="Gill Sans MT"/>
          <w:lang w:val="en"/>
        </w:rPr>
        <w:t xml:space="preserve"> </w:t>
      </w:r>
      <w:r w:rsidRPr="007A1414">
        <w:rPr>
          <w:rFonts w:cs="Gill Sans MT"/>
          <w:lang w:val="en"/>
        </w:rPr>
        <w:t xml:space="preserve">In terms of geographical spread </w:t>
      </w:r>
      <w:r w:rsidR="00DA47EE" w:rsidRPr="007A1414">
        <w:rPr>
          <w:rFonts w:cs="Gill Sans MT"/>
          <w:lang w:val="en"/>
        </w:rPr>
        <w:t xml:space="preserve">the </w:t>
      </w:r>
      <w:r w:rsidRPr="007A1414">
        <w:rPr>
          <w:rFonts w:cs="Gill Sans MT"/>
          <w:lang w:val="en"/>
        </w:rPr>
        <w:t>respondents were substantially from Dublin and Cork, with the remaining 60.0% based in 20 other counties.</w:t>
      </w:r>
      <w:r w:rsidR="00F072B7" w:rsidRPr="007A1414">
        <w:rPr>
          <w:rFonts w:cs="Gill Sans MT"/>
          <w:lang w:val="en"/>
        </w:rPr>
        <w:t xml:space="preserve"> </w:t>
      </w:r>
      <w:r w:rsidR="005F1A54" w:rsidRPr="007A1414">
        <w:rPr>
          <w:rFonts w:cs="Gill Sans MT"/>
          <w:lang w:val="en"/>
        </w:rPr>
        <w:t>Survey</w:t>
      </w:r>
      <w:r w:rsidRPr="007A1414">
        <w:rPr>
          <w:rFonts w:cs="Gill Sans MT"/>
          <w:lang w:val="en"/>
        </w:rPr>
        <w:t xml:space="preserve"> r</w:t>
      </w:r>
      <w:r w:rsidR="003E4C18" w:rsidRPr="007A1414">
        <w:rPr>
          <w:rFonts w:cs="Gill Sans MT"/>
          <w:lang w:val="en"/>
        </w:rPr>
        <w:t>espondents</w:t>
      </w:r>
      <w:r w:rsidR="00F920B3" w:rsidRPr="007A1414">
        <w:rPr>
          <w:rFonts w:cs="Gill Sans MT"/>
          <w:lang w:val="en"/>
        </w:rPr>
        <w:t xml:space="preserve"> were asked about their experiences in returning to work (or not) after acquiring a disability/illness, whether</w:t>
      </w:r>
      <w:r w:rsidR="00E86E1C" w:rsidRPr="007A1414">
        <w:rPr>
          <w:rFonts w:cs="Gill Sans MT"/>
          <w:lang w:val="en"/>
        </w:rPr>
        <w:t xml:space="preserve"> they had received any key supports, and how useful they found these supports. The key supports respondents were asked about </w:t>
      </w:r>
      <w:r w:rsidR="000576F3" w:rsidRPr="007A1414">
        <w:rPr>
          <w:rFonts w:cs="Gill Sans MT"/>
          <w:lang w:val="en"/>
        </w:rPr>
        <w:t>are considered to be</w:t>
      </w:r>
      <w:r w:rsidR="00E86E1C" w:rsidRPr="007A1414">
        <w:rPr>
          <w:rFonts w:cs="Gill Sans MT"/>
          <w:lang w:val="en"/>
        </w:rPr>
        <w:t xml:space="preserve"> core elements of a vocational rehabilitation pathway and include:</w:t>
      </w:r>
    </w:p>
    <w:p w14:paraId="624948E5" w14:textId="5EFCEF9B" w:rsidR="00E86E1C" w:rsidRPr="007A1414" w:rsidRDefault="00E86E1C" w:rsidP="00616584">
      <w:pPr>
        <w:pStyle w:val="ListBullet"/>
        <w:rPr>
          <w:lang w:val="en"/>
        </w:rPr>
      </w:pPr>
      <w:r w:rsidRPr="007A1414">
        <w:rPr>
          <w:lang w:val="en"/>
        </w:rPr>
        <w:t xml:space="preserve">Assessment or evaluation </w:t>
      </w:r>
    </w:p>
    <w:p w14:paraId="307E6397" w14:textId="2880EB0C" w:rsidR="00E86E1C" w:rsidRPr="007A1414" w:rsidRDefault="00E86E1C" w:rsidP="00616584">
      <w:pPr>
        <w:pStyle w:val="ListBullet"/>
        <w:rPr>
          <w:lang w:val="en"/>
        </w:rPr>
      </w:pPr>
      <w:r w:rsidRPr="007A1414">
        <w:rPr>
          <w:lang w:val="en"/>
        </w:rPr>
        <w:t xml:space="preserve">Advice or guidance </w:t>
      </w:r>
    </w:p>
    <w:p w14:paraId="7BBF6EFE" w14:textId="74C5E7C0" w:rsidR="00E86E1C" w:rsidRPr="007A1414" w:rsidRDefault="00E86E1C" w:rsidP="00616584">
      <w:pPr>
        <w:pStyle w:val="ListBullet"/>
        <w:rPr>
          <w:lang w:val="en"/>
        </w:rPr>
      </w:pPr>
      <w:r w:rsidRPr="007A1414">
        <w:rPr>
          <w:lang w:val="en"/>
        </w:rPr>
        <w:t>New skills training or education</w:t>
      </w:r>
    </w:p>
    <w:p w14:paraId="7A120FFD" w14:textId="67589A06" w:rsidR="00E86E1C" w:rsidRPr="007A1414" w:rsidRDefault="00E86E1C" w:rsidP="00616584">
      <w:pPr>
        <w:pStyle w:val="ListBullet"/>
        <w:rPr>
          <w:lang w:val="en"/>
        </w:rPr>
      </w:pPr>
      <w:r w:rsidRPr="007A1414">
        <w:rPr>
          <w:lang w:val="en"/>
        </w:rPr>
        <w:t xml:space="preserve">Health and wellbeing support </w:t>
      </w:r>
    </w:p>
    <w:p w14:paraId="21FC57B8" w14:textId="4D19B9F6" w:rsidR="00E86E1C" w:rsidRPr="007A1414" w:rsidRDefault="00E86E1C" w:rsidP="00616584">
      <w:pPr>
        <w:pStyle w:val="ListBullet"/>
        <w:rPr>
          <w:lang w:val="en"/>
        </w:rPr>
      </w:pPr>
      <w:r w:rsidRPr="007A1414">
        <w:rPr>
          <w:lang w:val="en"/>
        </w:rPr>
        <w:t xml:space="preserve">On the job support </w:t>
      </w:r>
    </w:p>
    <w:p w14:paraId="68BDFC97" w14:textId="6EFFEDC7" w:rsidR="00E86E1C" w:rsidRPr="007A1414" w:rsidRDefault="00E86E1C" w:rsidP="00616584">
      <w:pPr>
        <w:pStyle w:val="ListBullet"/>
        <w:rPr>
          <w:lang w:val="en"/>
        </w:rPr>
      </w:pPr>
      <w:r w:rsidRPr="007A1414">
        <w:rPr>
          <w:lang w:val="en"/>
        </w:rPr>
        <w:t xml:space="preserve">Adaptations or technologies </w:t>
      </w:r>
    </w:p>
    <w:p w14:paraId="78ED860E" w14:textId="516C6225" w:rsidR="00E86E1C" w:rsidRPr="007A1414" w:rsidRDefault="00E86E1C" w:rsidP="00616584">
      <w:pPr>
        <w:pStyle w:val="ListBullet"/>
        <w:rPr>
          <w:lang w:val="en"/>
        </w:rPr>
      </w:pPr>
      <w:r w:rsidRPr="007A1414">
        <w:rPr>
          <w:lang w:val="en"/>
        </w:rPr>
        <w:t>Service coordination.</w:t>
      </w:r>
    </w:p>
    <w:p w14:paraId="45FE09C5" w14:textId="2708EBC6" w:rsidR="006870A7" w:rsidRPr="007A1414" w:rsidRDefault="006870A7" w:rsidP="00616584">
      <w:pPr>
        <w:pStyle w:val="ListBullet"/>
        <w:numPr>
          <w:ilvl w:val="0"/>
          <w:numId w:val="0"/>
        </w:numPr>
        <w:rPr>
          <w:lang w:val="en"/>
        </w:rPr>
      </w:pPr>
      <w:r w:rsidRPr="007A1414">
        <w:rPr>
          <w:lang w:val="en"/>
        </w:rPr>
        <w:t>The case study interviews</w:t>
      </w:r>
      <w:r w:rsidR="000576F3" w:rsidRPr="007A1414">
        <w:rPr>
          <w:lang w:val="en"/>
        </w:rPr>
        <w:t xml:space="preserve"> then</w:t>
      </w:r>
      <w:r w:rsidRPr="007A1414">
        <w:rPr>
          <w:lang w:val="en"/>
        </w:rPr>
        <w:t xml:space="preserve"> gave respondents an opportunity to tell us about their experiences in greater depth.</w:t>
      </w:r>
    </w:p>
    <w:p w14:paraId="5528120B" w14:textId="7B7646FB" w:rsidR="00F11E98" w:rsidRPr="007A1414" w:rsidRDefault="00F11E98" w:rsidP="00616584">
      <w:pPr>
        <w:pStyle w:val="Heading2"/>
        <w:rPr>
          <w:lang w:val="en"/>
        </w:rPr>
      </w:pPr>
      <w:r w:rsidRPr="007A1414">
        <w:rPr>
          <w:lang w:val="en"/>
        </w:rPr>
        <w:t>Returning to work after acquiring a disability or illness</w:t>
      </w:r>
    </w:p>
    <w:p w14:paraId="45DA1492" w14:textId="20856D94" w:rsidR="00417912" w:rsidRPr="007A1414" w:rsidRDefault="00377F63" w:rsidP="00417912">
      <w:r w:rsidRPr="007A1414">
        <w:rPr>
          <w:rFonts w:cs="Gill Sans MT"/>
          <w:lang w:val="en"/>
        </w:rPr>
        <w:t>Out of this sample of 115 people, a minority of them returned to work or started work after acquiring their disability (36.5%). Most of these respondents returned to their original job, and the rest returned to a different role in the same or different organisation or became self-employed. It is significant that of those who did not return to work, over half of them said they would have liked to. Around two in every three of these respondents who would have liked to return would prefer part-time work</w:t>
      </w:r>
      <w:r w:rsidR="006870A7" w:rsidRPr="007A1414">
        <w:rPr>
          <w:rFonts w:cs="Gill Sans MT"/>
          <w:lang w:val="en"/>
        </w:rPr>
        <w:t>,</w:t>
      </w:r>
      <w:r w:rsidRPr="007A1414">
        <w:rPr>
          <w:rFonts w:cs="Gill Sans MT"/>
          <w:lang w:val="en"/>
        </w:rPr>
        <w:t xml:space="preserve"> compared to about one in three who would like to return to full-time work.</w:t>
      </w:r>
      <w:r w:rsidR="00417912" w:rsidRPr="007A1414">
        <w:rPr>
          <w:rFonts w:cs="Gill Sans MT"/>
          <w:lang w:val="en"/>
        </w:rPr>
        <w:t xml:space="preserve"> </w:t>
      </w:r>
      <w:r w:rsidR="00417912" w:rsidRPr="007A1414">
        <w:t>One of the respondents who has tried repeatedly to return to work stated:</w:t>
      </w:r>
    </w:p>
    <w:p w14:paraId="5A53FA3B" w14:textId="7C38BAD8" w:rsidR="00417912" w:rsidRPr="007A1414" w:rsidRDefault="00417912" w:rsidP="00417912">
      <w:pPr>
        <w:pStyle w:val="BlockQuote"/>
      </w:pPr>
      <w:r w:rsidRPr="007A1414">
        <w:t>Not working only adds to the comorbid conditions associated with my disability - depression, anxiety, fatigue - which increase your visits to the doctor/hospital (</w:t>
      </w:r>
      <w:r w:rsidR="00DA47EE" w:rsidRPr="007A1414">
        <w:t>plus</w:t>
      </w:r>
      <w:r w:rsidRPr="007A1414">
        <w:t xml:space="preserve"> costs to state), more medication, less brain stimulation, increased fatigue, increased isolation and so on. It's a recipe for disaster, a vicious circle, on an individual level, societal level and at a cost level.</w:t>
      </w:r>
    </w:p>
    <w:p w14:paraId="431B3F78" w14:textId="0AAC13B7" w:rsidR="00E66E69" w:rsidRPr="007A1414" w:rsidRDefault="00417912" w:rsidP="00417912">
      <w:r w:rsidRPr="007A1414">
        <w:t>Some respondents shared the challenges of working with a disability, including how difficult, s</w:t>
      </w:r>
      <w:r w:rsidR="009142D8" w:rsidRPr="007A1414">
        <w:t>tressful and worrying it can be</w:t>
      </w:r>
      <w:r w:rsidRPr="007A1414">
        <w:t xml:space="preserve">. </w:t>
      </w:r>
      <w:r w:rsidR="009142D8" w:rsidRPr="007A1414">
        <w:t>Others</w:t>
      </w:r>
      <w:r w:rsidR="00C70F31" w:rsidRPr="007A1414">
        <w:t xml:space="preserve"> discussed challenges in getting supports, such as having to ‘beg’ and ‘fight’ for reasonable accommodations, and having to source their own equipment and technologies for work.</w:t>
      </w:r>
      <w:r w:rsidR="00E66E69" w:rsidRPr="007A1414">
        <w:t xml:space="preserve"> Two of our case study participants give stark descriptions of </w:t>
      </w:r>
      <w:r w:rsidR="00370703" w:rsidRPr="007A1414">
        <w:t>the challenges of</w:t>
      </w:r>
      <w:r w:rsidR="00E66E69" w:rsidRPr="007A1414">
        <w:t xml:space="preserve"> returning to work to employers who lack the knowledge</w:t>
      </w:r>
      <w:r w:rsidR="00F74323" w:rsidRPr="007A1414">
        <w:t xml:space="preserve"> and/or motivation</w:t>
      </w:r>
      <w:r w:rsidR="00E66E69" w:rsidRPr="007A1414">
        <w:t xml:space="preserve"> of how to</w:t>
      </w:r>
      <w:r w:rsidR="00F74323" w:rsidRPr="007A1414">
        <w:t xml:space="preserve"> appropriately</w:t>
      </w:r>
      <w:r w:rsidR="00E66E69" w:rsidRPr="007A1414">
        <w:t xml:space="preserve"> support people to do this</w:t>
      </w:r>
      <w:r w:rsidR="00F74323" w:rsidRPr="007A1414">
        <w:t>.</w:t>
      </w:r>
      <w:r w:rsidR="00E66E69" w:rsidRPr="007A1414">
        <w:t xml:space="preserve"> </w:t>
      </w:r>
      <w:r w:rsidR="00F74323" w:rsidRPr="007A1414">
        <w:t>One of them noted:</w:t>
      </w:r>
    </w:p>
    <w:p w14:paraId="03129BC4" w14:textId="62C2F2A6" w:rsidR="00F74323" w:rsidRPr="007A1414" w:rsidRDefault="00F74323" w:rsidP="00F74323">
      <w:pPr>
        <w:pStyle w:val="BlockQuote"/>
      </w:pPr>
      <w:r w:rsidRPr="007A1414">
        <w:t xml:space="preserve">I had to fight for everything and it is so draining. Especially when that energy would be better spent recovering or feeling well. </w:t>
      </w:r>
    </w:p>
    <w:p w14:paraId="4DA0F3B7" w14:textId="67FE1815" w:rsidR="00417912" w:rsidRPr="007A1414" w:rsidRDefault="00417912" w:rsidP="00417912">
      <w:r w:rsidRPr="007A1414">
        <w:t xml:space="preserve">Given the challenges faced by people who have acquired disabilities, and that many of them still want to work, support to help them enter into appropriate roles and to navigate employment or self-employment is critical. </w:t>
      </w:r>
    </w:p>
    <w:p w14:paraId="173B234C" w14:textId="1DCCB1A8" w:rsidR="00D41FDF" w:rsidRPr="007A1414" w:rsidRDefault="00D41FDF" w:rsidP="00616584">
      <w:pPr>
        <w:pStyle w:val="Heading2"/>
        <w:rPr>
          <w:lang w:val="en"/>
        </w:rPr>
      </w:pPr>
      <w:r w:rsidRPr="007A1414">
        <w:rPr>
          <w:lang w:val="en"/>
        </w:rPr>
        <w:t>Supports received</w:t>
      </w:r>
      <w:r w:rsidR="0025485F" w:rsidRPr="007A1414">
        <w:rPr>
          <w:lang w:val="en"/>
        </w:rPr>
        <w:t xml:space="preserve"> after acquiring a disability or illness</w:t>
      </w:r>
    </w:p>
    <w:p w14:paraId="6C090EBE" w14:textId="77777777" w:rsidR="00375196" w:rsidRPr="007A1414" w:rsidRDefault="00D41FDF" w:rsidP="00375196">
      <w:r w:rsidRPr="007A1414">
        <w:t>For the most part, respondents found it challenging to find information and services to support them back to work</w:t>
      </w:r>
      <w:r w:rsidR="002A5A16" w:rsidRPr="007A1414">
        <w:t xml:space="preserve"> after acquiring their disability or illness</w:t>
      </w:r>
      <w:r w:rsidRPr="007A1414">
        <w:t xml:space="preserve">. </w:t>
      </w:r>
      <w:r w:rsidR="00375196" w:rsidRPr="007A1414">
        <w:t>The important role that family has played for respondents was clear from responses to this consultation, with family members seeking information on available services, supports, accommodations, benefits and entitlements and navigating these often complex processes. This type of support can place an extra burden on families, it can be time consuming and challenging for those involved, and of course is not available to all people who acquire a disability. This informal support from family fills the gap where clear advice and information should be.</w:t>
      </w:r>
    </w:p>
    <w:p w14:paraId="28BB884D" w14:textId="6BE3B3A7" w:rsidR="00D41FDF" w:rsidRPr="007A1414" w:rsidRDefault="00D41FDF" w:rsidP="00D41FDF">
      <w:r w:rsidRPr="007A1414">
        <w:t>While the majority of respondents had received at least one of the seven supports</w:t>
      </w:r>
      <w:r w:rsidRPr="007A1414">
        <w:rPr>
          <w:rStyle w:val="FootnoteReference"/>
        </w:rPr>
        <w:footnoteReference w:id="33"/>
      </w:r>
      <w:r w:rsidRPr="007A1414">
        <w:t xml:space="preserve"> asked about in the survey, just over one third of them had not received any. None of these supports stood out as being commonly available, as only a minority of respondents had received each one</w:t>
      </w:r>
      <w:r w:rsidR="0074086D" w:rsidRPr="007A1414">
        <w:t xml:space="preserve"> (see Figure </w:t>
      </w:r>
      <w:r w:rsidR="00F1438A" w:rsidRPr="007A1414">
        <w:t>2</w:t>
      </w:r>
      <w:r w:rsidR="0074086D" w:rsidRPr="007A1414">
        <w:t>)</w:t>
      </w:r>
      <w:r w:rsidRPr="007A1414">
        <w:t xml:space="preserve">. For example, the most common support received by respondents was advice or guidance, but this was only received by 36.5% of respondents, compared to 60% who had not received it. The next most commonly received support was assessment or evaluation, followed by health and wellbeing support, new skills training or education, on the job support, adaptations and technology, and service coordination. On a positive note, almost all of those who received any of these supports found them useful. </w:t>
      </w:r>
    </w:p>
    <w:p w14:paraId="7C93A30D" w14:textId="196FF658" w:rsidR="0074086D" w:rsidRPr="007A1414" w:rsidRDefault="0074086D" w:rsidP="0074086D">
      <w:pPr>
        <w:keepNext/>
        <w:keepLines/>
        <w:spacing w:after="120"/>
        <w:jc w:val="center"/>
        <w:rPr>
          <w:rFonts w:eastAsia="Times New Roman"/>
          <w:b/>
        </w:rPr>
      </w:pPr>
      <w:bookmarkStart w:id="3" w:name="_Toc80720049"/>
      <w:r w:rsidRPr="007A1414">
        <w:rPr>
          <w:rFonts w:eastAsia="Times New Roman"/>
          <w:b/>
        </w:rPr>
        <w:t xml:space="preserve">Figure </w:t>
      </w:r>
      <w:r w:rsidR="00F1438A" w:rsidRPr="007A1414">
        <w:rPr>
          <w:rFonts w:eastAsia="Times New Roman"/>
          <w:b/>
        </w:rPr>
        <w:t>2</w:t>
      </w:r>
      <w:r w:rsidRPr="007A1414">
        <w:rPr>
          <w:rFonts w:eastAsia="Times New Roman"/>
          <w:b/>
        </w:rPr>
        <w:t xml:space="preserve"> - Supports received by respondents after acquiring disability</w:t>
      </w:r>
      <w:bookmarkEnd w:id="3"/>
    </w:p>
    <w:p w14:paraId="22C77028" w14:textId="3E400F4D" w:rsidR="00D41FDF" w:rsidRPr="005957BB" w:rsidRDefault="0074086D" w:rsidP="00616584">
      <w:pPr>
        <w:pStyle w:val="ListBullet"/>
        <w:numPr>
          <w:ilvl w:val="0"/>
          <w:numId w:val="0"/>
        </w:numPr>
        <w:rPr>
          <w:rFonts w:cs="Gill Sans MT"/>
          <w:highlight w:val="yellow"/>
          <w:lang w:val="en"/>
        </w:rPr>
      </w:pPr>
      <w:r w:rsidRPr="005957BB">
        <w:rPr>
          <w:rFonts w:cs="Gill Sans MT"/>
          <w:noProof/>
          <w:highlight w:val="yellow"/>
          <w:lang w:eastAsia="en-IE"/>
        </w:rPr>
        <w:drawing>
          <wp:inline distT="0" distB="0" distL="0" distR="0" wp14:anchorId="63F96941" wp14:editId="2F9A8A1F">
            <wp:extent cx="5712460" cy="3523615"/>
            <wp:effectExtent l="0" t="0" r="2540" b="635"/>
            <wp:docPr id="3" name="Picture 3" descr="Figures include:&#10;Advice or guidance&#10;Assessment or evaluation&#10;New skills training or education&#10;Health and wellbeing support&#10;On the job support&#10;Adaptations and technology&#10;Service co-ordination" title="Figure 2, Supports received by respondents after acquiring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3523615"/>
                    </a:xfrm>
                    <a:prstGeom prst="rect">
                      <a:avLst/>
                    </a:prstGeom>
                    <a:noFill/>
                  </pic:spPr>
                </pic:pic>
              </a:graphicData>
            </a:graphic>
          </wp:inline>
        </w:drawing>
      </w:r>
    </w:p>
    <w:p w14:paraId="670029E2" w14:textId="77777777" w:rsidR="00B46227" w:rsidRPr="007A1414" w:rsidRDefault="00B46227" w:rsidP="00B46227">
      <w:pPr>
        <w:pStyle w:val="Heading2"/>
        <w:spacing w:before="60"/>
      </w:pPr>
      <w:bookmarkStart w:id="4" w:name="_Toc80720182"/>
      <w:r w:rsidRPr="007A1414">
        <w:t>Support needs for those who have acquired a disability or illness</w:t>
      </w:r>
      <w:bookmarkEnd w:id="4"/>
    </w:p>
    <w:p w14:paraId="0C53A9C2" w14:textId="1815C16D" w:rsidR="00B46227" w:rsidRPr="007A1414" w:rsidRDefault="00B46227" w:rsidP="00B46227">
      <w:r w:rsidRPr="007A1414">
        <w:t>The survey respondents identified how much of a priority the aforementioned seven supports would be for them. The way that respondents prioritised these supports is perhaps not surprising. The top two priorities were advice or guidance and assessment or evaluation. These kind of foundational supports would be necessary at the beginning of a possible journey back to work. The next three priorities were health and wellbeing support, adaptations and technology, and new skills education and training. These supports would be fundamental to help people adapt to the changes in their life and acquire the skills and tools necessary to do their job. The two supports w</w:t>
      </w:r>
      <w:r w:rsidR="00387760" w:rsidRPr="007A1414">
        <w:t>hich were the lowest priority for</w:t>
      </w:r>
      <w:r w:rsidRPr="007A1414">
        <w:t xml:space="preserve"> respondents were on the job support and service coordination. While these were the lowest priorities, they were still important to respondents. These supports would be of </w:t>
      </w:r>
      <w:r w:rsidR="00F65352" w:rsidRPr="007A1414">
        <w:t xml:space="preserve">most </w:t>
      </w:r>
      <w:r w:rsidRPr="007A1414">
        <w:t>importance for those for whom returning to work is desirable and feasible after acquiring a disability.</w:t>
      </w:r>
    </w:p>
    <w:p w14:paraId="5D819D95" w14:textId="73C646C0" w:rsidR="007F0746" w:rsidRPr="007A1414" w:rsidRDefault="00D41FDF" w:rsidP="007F0746">
      <w:r w:rsidRPr="007A1414">
        <w:rPr>
          <w:rFonts w:cs="Gill Sans MT"/>
          <w:lang w:val="en"/>
        </w:rPr>
        <w:t xml:space="preserve">The findings </w:t>
      </w:r>
      <w:r w:rsidR="00DE37BE" w:rsidRPr="007A1414">
        <w:rPr>
          <w:rFonts w:cs="Gill Sans MT"/>
          <w:lang w:val="en"/>
        </w:rPr>
        <w:t>from this consultation</w:t>
      </w:r>
      <w:r w:rsidR="00E13890" w:rsidRPr="007A1414">
        <w:rPr>
          <w:rFonts w:cs="Gill Sans MT"/>
          <w:lang w:val="en"/>
        </w:rPr>
        <w:t xml:space="preserve"> highlight that there is no</w:t>
      </w:r>
      <w:r w:rsidR="00DE37BE" w:rsidRPr="007A1414">
        <w:rPr>
          <w:rFonts w:cs="Gill Sans MT"/>
          <w:lang w:val="en"/>
        </w:rPr>
        <w:t xml:space="preserve"> </w:t>
      </w:r>
      <w:r w:rsidRPr="007A1414">
        <w:rPr>
          <w:rFonts w:cs="Gill Sans MT"/>
          <w:lang w:val="en"/>
        </w:rPr>
        <w:t xml:space="preserve">coherent national approach to </w:t>
      </w:r>
      <w:r w:rsidR="00616B03" w:rsidRPr="007A1414">
        <w:rPr>
          <w:rFonts w:cs="Gill Sans MT"/>
          <w:lang w:val="en"/>
        </w:rPr>
        <w:t>vocational rehabilitation</w:t>
      </w:r>
      <w:r w:rsidRPr="007A1414">
        <w:rPr>
          <w:rFonts w:cs="Gill Sans MT"/>
          <w:lang w:val="en"/>
        </w:rPr>
        <w:t xml:space="preserve"> in Ireland</w:t>
      </w:r>
      <w:r w:rsidR="00E13890" w:rsidRPr="007A1414">
        <w:rPr>
          <w:rFonts w:cs="Gill Sans MT"/>
          <w:lang w:val="en"/>
        </w:rPr>
        <w:t xml:space="preserve">. </w:t>
      </w:r>
      <w:r w:rsidR="009142D8" w:rsidRPr="007A1414">
        <w:rPr>
          <w:rFonts w:cs="Gill Sans MT"/>
          <w:lang w:val="en"/>
        </w:rPr>
        <w:t>On a positive note,</w:t>
      </w:r>
      <w:r w:rsidR="008D23C9" w:rsidRPr="007A1414">
        <w:rPr>
          <w:rFonts w:cs="Gill Sans MT"/>
          <w:lang w:val="en"/>
        </w:rPr>
        <w:t xml:space="preserve"> </w:t>
      </w:r>
      <w:r w:rsidR="00AB09F1" w:rsidRPr="007A1414">
        <w:rPr>
          <w:rFonts w:cs="Gill Sans MT"/>
          <w:lang w:val="en"/>
        </w:rPr>
        <w:t xml:space="preserve">when </w:t>
      </w:r>
      <w:r w:rsidR="008D23C9" w:rsidRPr="007A1414">
        <w:rPr>
          <w:rFonts w:cs="Gill Sans MT"/>
          <w:lang w:val="en"/>
        </w:rPr>
        <w:t xml:space="preserve">people did </w:t>
      </w:r>
      <w:r w:rsidR="008D23C9" w:rsidRPr="007A1414">
        <w:rPr>
          <w:lang w:val="en"/>
        </w:rPr>
        <w:t xml:space="preserve">receive vocational rehabilitation interventions, they overwhelmingly found these interventions useful. </w:t>
      </w:r>
      <w:r w:rsidR="00542B0F" w:rsidRPr="007A1414">
        <w:t xml:space="preserve">People’s experiences have been shaped by a myriad of factors including the impact of their disability or illness on their lives and the information and supports, or lack thereof, which they were given after acquiring their disability. </w:t>
      </w:r>
      <w:r w:rsidR="00512961" w:rsidRPr="007A1414">
        <w:t>On the personal side, t</w:t>
      </w:r>
      <w:r w:rsidR="00542B0F" w:rsidRPr="007A1414">
        <w:t>heir experiences have also been shaped by how employers and colleagues responded to their change in circumstances, as well as general attitudes towards people with disabilities</w:t>
      </w:r>
      <w:r w:rsidR="007F0746" w:rsidRPr="007A1414">
        <w:t>. On this, regarding what the government could do, one person answered:</w:t>
      </w:r>
    </w:p>
    <w:p w14:paraId="50873625" w14:textId="64BA2897" w:rsidR="007F0746" w:rsidRDefault="007F0746" w:rsidP="007F0746">
      <w:pPr>
        <w:pStyle w:val="BlockQuote"/>
      </w:pPr>
      <w:r w:rsidRPr="007A1414">
        <w:t>Prioritising disability issues - employment, cityscapes, housing, spending, making them more visible in the media, promoting them within government and contractors - and therefore normalising disability and disabled people as part of the workforce and positions of power, not as a box to tick. Prioritising diversity and inclusion issues to include disability more to the fore - ensuring all their contractors and agents employ people with disabilities, and tenders request information regarding this (accessibility of workplace, disability policies, diversity and inclusion...).</w:t>
      </w:r>
    </w:p>
    <w:p w14:paraId="21FFE9B4" w14:textId="77777777" w:rsidR="00A106DC" w:rsidRPr="00B75836" w:rsidRDefault="007E0750" w:rsidP="00A106DC">
      <w:pPr>
        <w:pStyle w:val="Heading1"/>
      </w:pPr>
      <w:r>
        <w:t xml:space="preserve">Recent developments </w:t>
      </w:r>
      <w:r w:rsidR="003549E2">
        <w:t xml:space="preserve">in </w:t>
      </w:r>
      <w:r w:rsidR="00A106DC">
        <w:t xml:space="preserve">policy landscape in Ireland </w:t>
      </w:r>
    </w:p>
    <w:p w14:paraId="57C158E6" w14:textId="0A1A7327" w:rsidR="0029151D" w:rsidRPr="00387760" w:rsidRDefault="001F363C" w:rsidP="00387760">
      <w:pPr>
        <w:spacing w:after="0"/>
        <w:rPr>
          <w:rFonts w:eastAsia="Calibri"/>
          <w:szCs w:val="26"/>
          <w:lang w:val="en-GB"/>
        </w:rPr>
      </w:pPr>
      <w:r w:rsidRPr="00B75836">
        <w:rPr>
          <w:szCs w:val="26"/>
        </w:rPr>
        <w:t>T</w:t>
      </w:r>
      <w:r>
        <w:rPr>
          <w:szCs w:val="26"/>
        </w:rPr>
        <w:t xml:space="preserve">he </w:t>
      </w:r>
      <w:r w:rsidR="006F32BC">
        <w:rPr>
          <w:szCs w:val="26"/>
        </w:rPr>
        <w:t>OECD</w:t>
      </w:r>
      <w:r w:rsidRPr="00B75836">
        <w:rPr>
          <w:szCs w:val="26"/>
        </w:rPr>
        <w:t xml:space="preserve"> in their </w:t>
      </w:r>
      <w:r w:rsidRPr="00527B08">
        <w:rPr>
          <w:b/>
          <w:szCs w:val="26"/>
        </w:rPr>
        <w:t>Sickness, Disability and Work – Breaking the Barriers</w:t>
      </w:r>
      <w:r w:rsidR="004E5A7D">
        <w:rPr>
          <w:szCs w:val="26"/>
        </w:rPr>
        <w:t xml:space="preserve"> </w:t>
      </w:r>
      <w:r w:rsidRPr="00B75836">
        <w:rPr>
          <w:szCs w:val="26"/>
        </w:rPr>
        <w:t xml:space="preserve">report concluded that with regard to Ireland </w:t>
      </w:r>
      <w:r w:rsidRPr="002F771E">
        <w:rPr>
          <w:szCs w:val="26"/>
        </w:rPr>
        <w:t>‘disability benefit take up is a one-way street</w:t>
      </w:r>
      <w:r w:rsidR="00527B08" w:rsidRPr="002F771E">
        <w:rPr>
          <w:szCs w:val="26"/>
        </w:rPr>
        <w:t>’</w:t>
      </w:r>
      <w:r w:rsidRPr="00B75836">
        <w:rPr>
          <w:szCs w:val="26"/>
        </w:rPr>
        <w:t xml:space="preserve"> (p.10).</w:t>
      </w:r>
      <w:r w:rsidRPr="00B75836">
        <w:rPr>
          <w:rStyle w:val="FootnoteReference"/>
          <w:rFonts w:ascii="Gill Sans MT" w:hAnsi="Gill Sans MT"/>
          <w:sz w:val="26"/>
          <w:szCs w:val="26"/>
        </w:rPr>
        <w:footnoteReference w:id="34"/>
      </w:r>
      <w:r w:rsidRPr="00B75836">
        <w:rPr>
          <w:szCs w:val="26"/>
        </w:rPr>
        <w:t xml:space="preserve"> This report recognised ‘early vocational rehabilitation’ as an option that can reduce the inflow to, and enhance the outflow f</w:t>
      </w:r>
      <w:r w:rsidR="009739CF">
        <w:rPr>
          <w:szCs w:val="26"/>
        </w:rPr>
        <w:t>rom, disability pension systems</w:t>
      </w:r>
      <w:r w:rsidRPr="00B75836">
        <w:rPr>
          <w:szCs w:val="26"/>
        </w:rPr>
        <w:t>.</w:t>
      </w:r>
      <w:r w:rsidR="00D371A2">
        <w:rPr>
          <w:rFonts w:eastAsia="Calibri"/>
          <w:szCs w:val="26"/>
          <w:lang w:val="en-GB"/>
        </w:rPr>
        <w:t xml:space="preserve"> </w:t>
      </w:r>
      <w:r w:rsidR="00D371A2">
        <w:rPr>
          <w:szCs w:val="26"/>
        </w:rPr>
        <w:t>However the Irish policy landscape has changed significantly since the last OECD reports</w:t>
      </w:r>
      <w:r w:rsidR="007C2BEA">
        <w:rPr>
          <w:rStyle w:val="FootnoteReference"/>
          <w:szCs w:val="26"/>
        </w:rPr>
        <w:footnoteReference w:id="35"/>
      </w:r>
      <w:r w:rsidR="007F1643">
        <w:rPr>
          <w:szCs w:val="26"/>
        </w:rPr>
        <w:t xml:space="preserve">. </w:t>
      </w:r>
      <w:r w:rsidR="00C90BD9">
        <w:rPr>
          <w:szCs w:val="26"/>
        </w:rPr>
        <w:t>D</w:t>
      </w:r>
      <w:r w:rsidR="00D371A2" w:rsidRPr="00D371A2">
        <w:rPr>
          <w:szCs w:val="26"/>
        </w:rPr>
        <w:t>evelopments underway through</w:t>
      </w:r>
      <w:r w:rsidR="00D371A2" w:rsidRPr="009739CF">
        <w:rPr>
          <w:szCs w:val="26"/>
        </w:rPr>
        <w:t xml:space="preserve"> the </w:t>
      </w:r>
      <w:r w:rsidR="009739CF" w:rsidRPr="009739CF">
        <w:rPr>
          <w:rFonts w:eastAsia="Times New Roman"/>
          <w:szCs w:val="26"/>
        </w:rPr>
        <w:t>Pathways to Work Strategy</w:t>
      </w:r>
      <w:r w:rsidR="009739CF" w:rsidRPr="009739CF">
        <w:rPr>
          <w:szCs w:val="26"/>
        </w:rPr>
        <w:t xml:space="preserve"> </w:t>
      </w:r>
      <w:r w:rsidR="009739CF">
        <w:rPr>
          <w:szCs w:val="26"/>
        </w:rPr>
        <w:t xml:space="preserve">and the </w:t>
      </w:r>
      <w:r w:rsidR="00D371A2" w:rsidRPr="00D371A2">
        <w:rPr>
          <w:szCs w:val="26"/>
        </w:rPr>
        <w:t xml:space="preserve">Comprehensive Employment Strategy for People with Disabilities 2015 to 2024 </w:t>
      </w:r>
      <w:r w:rsidR="009739CF">
        <w:rPr>
          <w:szCs w:val="26"/>
        </w:rPr>
        <w:t xml:space="preserve">have </w:t>
      </w:r>
      <w:r w:rsidR="00D371A2" w:rsidRPr="00D371A2">
        <w:rPr>
          <w:szCs w:val="26"/>
        </w:rPr>
        <w:t xml:space="preserve">delivered a number of </w:t>
      </w:r>
      <w:r w:rsidR="00C90BD9">
        <w:rPr>
          <w:szCs w:val="26"/>
        </w:rPr>
        <w:t xml:space="preserve">relevant </w:t>
      </w:r>
      <w:r w:rsidR="007C2BEA">
        <w:rPr>
          <w:szCs w:val="26"/>
        </w:rPr>
        <w:t>developments</w:t>
      </w:r>
      <w:r w:rsidR="00C90BD9">
        <w:rPr>
          <w:szCs w:val="26"/>
        </w:rPr>
        <w:t>.</w:t>
      </w:r>
    </w:p>
    <w:p w14:paraId="4A5E9301" w14:textId="69C7DC92" w:rsidR="000F1D47" w:rsidRDefault="00C0448D" w:rsidP="00387760">
      <w:pPr>
        <w:shd w:val="clear" w:color="auto" w:fill="FFFFFF"/>
        <w:spacing w:before="240" w:after="0"/>
        <w:rPr>
          <w:szCs w:val="26"/>
        </w:rPr>
      </w:pPr>
      <w:r w:rsidRPr="000F1D47">
        <w:rPr>
          <w:szCs w:val="26"/>
        </w:rPr>
        <w:t xml:space="preserve">The </w:t>
      </w:r>
      <w:r w:rsidR="007C2BEA" w:rsidRPr="000F1D47">
        <w:rPr>
          <w:b/>
          <w:szCs w:val="26"/>
        </w:rPr>
        <w:t>Pathways to Work Strategy</w:t>
      </w:r>
      <w:r w:rsidRPr="000F1D47">
        <w:rPr>
          <w:szCs w:val="26"/>
        </w:rPr>
        <w:t xml:space="preserve"> </w:t>
      </w:r>
      <w:r w:rsidR="007C2BEA" w:rsidRPr="000F1D47">
        <w:rPr>
          <w:szCs w:val="26"/>
        </w:rPr>
        <w:t xml:space="preserve">was </w:t>
      </w:r>
      <w:r w:rsidR="000B24F0" w:rsidRPr="000F1D47">
        <w:rPr>
          <w:szCs w:val="26"/>
        </w:rPr>
        <w:t xml:space="preserve">originally </w:t>
      </w:r>
      <w:r w:rsidR="007C2BEA" w:rsidRPr="000F1D47">
        <w:rPr>
          <w:szCs w:val="26"/>
        </w:rPr>
        <w:t xml:space="preserve">published by </w:t>
      </w:r>
      <w:r w:rsidR="009739CF" w:rsidRPr="000F1D47">
        <w:rPr>
          <w:szCs w:val="26"/>
        </w:rPr>
        <w:t xml:space="preserve">Department of Social Protection (DSP) </w:t>
      </w:r>
      <w:r w:rsidR="007C2BEA" w:rsidRPr="000F1D47">
        <w:rPr>
          <w:szCs w:val="26"/>
        </w:rPr>
        <w:t>in 2015</w:t>
      </w:r>
      <w:r w:rsidRPr="000F1D47">
        <w:rPr>
          <w:rStyle w:val="FootnoteReference"/>
          <w:rFonts w:ascii="Gill Sans MT" w:hAnsi="Gill Sans MT"/>
          <w:sz w:val="26"/>
          <w:szCs w:val="26"/>
        </w:rPr>
        <w:footnoteReference w:id="36"/>
      </w:r>
      <w:r w:rsidR="00387760">
        <w:rPr>
          <w:szCs w:val="26"/>
        </w:rPr>
        <w:t>. A</w:t>
      </w:r>
      <w:r w:rsidR="000B24F0" w:rsidRPr="000F1D47">
        <w:rPr>
          <w:szCs w:val="26"/>
        </w:rPr>
        <w:t xml:space="preserve"> new iteration of the strategy was published in July 202</w:t>
      </w:r>
      <w:r w:rsidR="00B40DD1" w:rsidRPr="000F1D47">
        <w:rPr>
          <w:szCs w:val="26"/>
        </w:rPr>
        <w:t>1</w:t>
      </w:r>
      <w:r w:rsidR="001C2B59">
        <w:rPr>
          <w:rStyle w:val="FootnoteReference"/>
          <w:szCs w:val="26"/>
        </w:rPr>
        <w:footnoteReference w:id="37"/>
      </w:r>
      <w:r w:rsidR="000F1D47" w:rsidRPr="000F1D47">
        <w:rPr>
          <w:szCs w:val="26"/>
        </w:rPr>
        <w:t xml:space="preserve"> and</w:t>
      </w:r>
      <w:r w:rsidR="001054F5" w:rsidRPr="000F1D47">
        <w:rPr>
          <w:rFonts w:cs="Lato-Light"/>
          <w:szCs w:val="26"/>
        </w:rPr>
        <w:t xml:space="preserve"> states ‘the Government intends to deliver on the goal, set out in the Roadmap for Social Inclusion, of increasing the employment rate of people with disabilities from 22.3% in 2016 to 33% by 2026</w:t>
      </w:r>
      <w:r w:rsidR="00447CFA" w:rsidRPr="000F1D47">
        <w:rPr>
          <w:szCs w:val="26"/>
        </w:rPr>
        <w:t xml:space="preserve">’ </w:t>
      </w:r>
      <w:r w:rsidR="000F1D47" w:rsidRPr="000F1D47">
        <w:rPr>
          <w:szCs w:val="26"/>
        </w:rPr>
        <w:t>through commitments made in this strategy.</w:t>
      </w:r>
      <w:r w:rsidR="001C2B59">
        <w:rPr>
          <w:szCs w:val="26"/>
        </w:rPr>
        <w:t xml:space="preserve"> More detail on commitments are outlined in Appendix 2.</w:t>
      </w:r>
    </w:p>
    <w:p w14:paraId="2F7C6678" w14:textId="4AEB9276" w:rsidR="008E4CAF" w:rsidRPr="00447CFA" w:rsidRDefault="000B24F0" w:rsidP="00387760">
      <w:pPr>
        <w:shd w:val="clear" w:color="auto" w:fill="FFFFFF"/>
        <w:spacing w:before="240" w:after="0"/>
        <w:rPr>
          <w:szCs w:val="26"/>
        </w:rPr>
      </w:pPr>
      <w:r>
        <w:rPr>
          <w:szCs w:val="26"/>
        </w:rPr>
        <w:t xml:space="preserve">This strategy focuses on the </w:t>
      </w:r>
      <w:r w:rsidR="00BC374E">
        <w:rPr>
          <w:szCs w:val="26"/>
        </w:rPr>
        <w:t>government’s</w:t>
      </w:r>
      <w:r>
        <w:rPr>
          <w:szCs w:val="26"/>
        </w:rPr>
        <w:t xml:space="preserve"> national employment service and </w:t>
      </w:r>
      <w:r w:rsidR="007C2BEA" w:rsidRPr="008E4CAF">
        <w:rPr>
          <w:szCs w:val="26"/>
        </w:rPr>
        <w:t>requires</w:t>
      </w:r>
      <w:r w:rsidR="00256400" w:rsidRPr="008E4CAF">
        <w:rPr>
          <w:szCs w:val="26"/>
        </w:rPr>
        <w:t xml:space="preserve"> the network of Intreo offices to </w:t>
      </w:r>
      <w:r w:rsidR="007C2BEA" w:rsidRPr="008E4CAF">
        <w:rPr>
          <w:szCs w:val="26"/>
        </w:rPr>
        <w:t xml:space="preserve">support </w:t>
      </w:r>
      <w:r w:rsidR="008E4CAF" w:rsidRPr="008E4CAF">
        <w:rPr>
          <w:szCs w:val="26"/>
        </w:rPr>
        <w:t xml:space="preserve">all jobseekers including </w:t>
      </w:r>
      <w:r w:rsidR="007C2BEA" w:rsidRPr="008E4CAF">
        <w:rPr>
          <w:szCs w:val="26"/>
        </w:rPr>
        <w:t>people with disabilities who wish to work, and to secure jobs in the open labour market.</w:t>
      </w:r>
      <w:r w:rsidR="008E4CAF" w:rsidRPr="00EC4258">
        <w:rPr>
          <w:color w:val="000000"/>
          <w:szCs w:val="26"/>
          <w:lang w:eastAsia="en-IE"/>
        </w:rPr>
        <w:t xml:space="preserve"> It offers practical, tailored employment services and supports to both jobseekers and employers.</w:t>
      </w:r>
    </w:p>
    <w:p w14:paraId="5273C72F" w14:textId="50C8C566" w:rsidR="008E4CAF" w:rsidRPr="00EC4258" w:rsidRDefault="00B40DD1" w:rsidP="00387760">
      <w:pPr>
        <w:shd w:val="clear" w:color="auto" w:fill="FFFFFF"/>
        <w:spacing w:before="240" w:after="0"/>
        <w:rPr>
          <w:color w:val="000000"/>
          <w:szCs w:val="26"/>
          <w:lang w:eastAsia="en-IE"/>
        </w:rPr>
      </w:pPr>
      <w:r>
        <w:rPr>
          <w:color w:val="000000"/>
          <w:szCs w:val="26"/>
          <w:lang w:eastAsia="en-IE"/>
        </w:rPr>
        <w:t>Intreo provides jobseekers with</w:t>
      </w:r>
      <w:r w:rsidR="008E4CAF" w:rsidRPr="00EC4258">
        <w:rPr>
          <w:color w:val="000000"/>
          <w:szCs w:val="26"/>
          <w:lang w:eastAsia="en-IE"/>
        </w:rPr>
        <w:t>:</w:t>
      </w:r>
    </w:p>
    <w:p w14:paraId="3EAD3BC1" w14:textId="1F167D89" w:rsidR="008E4CAF" w:rsidRPr="008E4CAF" w:rsidRDefault="00203E42" w:rsidP="00F1497E">
      <w:pPr>
        <w:pStyle w:val="ListParagraph"/>
        <w:numPr>
          <w:ilvl w:val="0"/>
          <w:numId w:val="34"/>
        </w:numPr>
        <w:shd w:val="clear" w:color="auto" w:fill="FFFFFF"/>
        <w:spacing w:after="120"/>
        <w:rPr>
          <w:color w:val="000000"/>
          <w:szCs w:val="26"/>
          <w:lang w:eastAsia="en-IE"/>
        </w:rPr>
      </w:pPr>
      <w:r w:rsidRPr="008E4CAF">
        <w:rPr>
          <w:color w:val="000000"/>
          <w:szCs w:val="26"/>
          <w:lang w:eastAsia="en-IE"/>
        </w:rPr>
        <w:t>Employment</w:t>
      </w:r>
      <w:r w:rsidR="008E4CAF" w:rsidRPr="008E4CAF">
        <w:rPr>
          <w:color w:val="000000"/>
          <w:szCs w:val="26"/>
          <w:lang w:eastAsia="en-IE"/>
        </w:rPr>
        <w:t xml:space="preserve"> services a</w:t>
      </w:r>
      <w:r w:rsidR="00F1497E">
        <w:rPr>
          <w:color w:val="000000"/>
          <w:szCs w:val="26"/>
          <w:lang w:eastAsia="en-IE"/>
        </w:rPr>
        <w:t>nd income supports in one place;</w:t>
      </w:r>
    </w:p>
    <w:p w14:paraId="16DA2140" w14:textId="49585C81" w:rsidR="008E4CAF" w:rsidRPr="008E4CAF" w:rsidRDefault="00203E42" w:rsidP="00F1497E">
      <w:pPr>
        <w:pStyle w:val="ListParagraph"/>
        <w:numPr>
          <w:ilvl w:val="0"/>
          <w:numId w:val="34"/>
        </w:numPr>
        <w:shd w:val="clear" w:color="auto" w:fill="FFFFFF"/>
        <w:spacing w:after="120"/>
        <w:rPr>
          <w:color w:val="000000"/>
          <w:szCs w:val="26"/>
          <w:lang w:eastAsia="en-IE"/>
        </w:rPr>
      </w:pPr>
      <w:r w:rsidRPr="008E4CAF">
        <w:rPr>
          <w:color w:val="000000"/>
          <w:szCs w:val="26"/>
          <w:lang w:eastAsia="en-IE"/>
        </w:rPr>
        <w:t>Expert</w:t>
      </w:r>
      <w:r w:rsidR="008E4CAF" w:rsidRPr="008E4CAF">
        <w:rPr>
          <w:color w:val="000000"/>
          <w:szCs w:val="26"/>
          <w:lang w:eastAsia="en-IE"/>
        </w:rPr>
        <w:t xml:space="preserve"> assistance and advice on employment, training and personal development opportunitie</w:t>
      </w:r>
      <w:r w:rsidR="000F1D47">
        <w:rPr>
          <w:color w:val="000000"/>
          <w:szCs w:val="26"/>
          <w:lang w:eastAsia="en-IE"/>
        </w:rPr>
        <w:t>s from a dedicated Case Officer or Job Coach</w:t>
      </w:r>
      <w:r w:rsidR="00F1497E">
        <w:rPr>
          <w:color w:val="000000"/>
          <w:szCs w:val="26"/>
          <w:lang w:eastAsia="en-IE"/>
        </w:rPr>
        <w:t>;</w:t>
      </w:r>
    </w:p>
    <w:p w14:paraId="493A4853" w14:textId="463DBF4B" w:rsidR="008E4CAF" w:rsidRPr="008E4CAF" w:rsidRDefault="00203E42" w:rsidP="00F1497E">
      <w:pPr>
        <w:pStyle w:val="ListParagraph"/>
        <w:numPr>
          <w:ilvl w:val="0"/>
          <w:numId w:val="34"/>
        </w:numPr>
        <w:shd w:val="clear" w:color="auto" w:fill="FFFFFF"/>
        <w:spacing w:after="120"/>
        <w:rPr>
          <w:color w:val="000000"/>
          <w:szCs w:val="26"/>
          <w:lang w:eastAsia="en-IE"/>
        </w:rPr>
      </w:pPr>
      <w:r w:rsidRPr="008E4CAF">
        <w:rPr>
          <w:color w:val="000000"/>
          <w:szCs w:val="26"/>
          <w:lang w:eastAsia="en-IE"/>
        </w:rPr>
        <w:t>A</w:t>
      </w:r>
      <w:r w:rsidR="008E4CAF" w:rsidRPr="008E4CAF">
        <w:rPr>
          <w:color w:val="000000"/>
          <w:szCs w:val="26"/>
          <w:lang w:eastAsia="en-IE"/>
        </w:rPr>
        <w:t xml:space="preserve"> focus on your individual needs to help you </w:t>
      </w:r>
      <w:r w:rsidR="00F1497E">
        <w:rPr>
          <w:color w:val="000000"/>
          <w:szCs w:val="26"/>
          <w:lang w:eastAsia="en-IE"/>
        </w:rPr>
        <w:t>enter or re-enter the workforce;</w:t>
      </w:r>
    </w:p>
    <w:p w14:paraId="051B52ED" w14:textId="26E24F9F" w:rsidR="000961C3" w:rsidRPr="00387760" w:rsidRDefault="00203E42" w:rsidP="00F1497E">
      <w:pPr>
        <w:pStyle w:val="ListParagraph"/>
        <w:numPr>
          <w:ilvl w:val="0"/>
          <w:numId w:val="34"/>
        </w:numPr>
        <w:shd w:val="clear" w:color="auto" w:fill="FFFFFF"/>
        <w:spacing w:after="120"/>
        <w:rPr>
          <w:color w:val="000000"/>
          <w:szCs w:val="26"/>
          <w:lang w:eastAsia="en-IE"/>
        </w:rPr>
      </w:pPr>
      <w:r>
        <w:rPr>
          <w:color w:val="000000"/>
          <w:szCs w:val="26"/>
          <w:lang w:eastAsia="en-IE"/>
        </w:rPr>
        <w:t>A</w:t>
      </w:r>
      <w:r w:rsidR="00A37051">
        <w:rPr>
          <w:color w:val="000000"/>
          <w:szCs w:val="26"/>
          <w:lang w:eastAsia="en-IE"/>
        </w:rPr>
        <w:t xml:space="preserve">ccess to job vacancies via </w:t>
      </w:r>
      <w:hyperlink r:id="rId11" w:history="1">
        <w:r w:rsidR="008E4CAF" w:rsidRPr="008E4CAF">
          <w:rPr>
            <w:color w:val="2C55A2"/>
            <w:szCs w:val="26"/>
            <w:u w:val="single"/>
            <w:lang w:eastAsia="en-IE"/>
          </w:rPr>
          <w:t>www.jobsireland.ie</w:t>
        </w:r>
      </w:hyperlink>
    </w:p>
    <w:p w14:paraId="5F1F3858" w14:textId="77777777" w:rsidR="00F1497E" w:rsidRDefault="00F1497E" w:rsidP="000961C3">
      <w:pPr>
        <w:spacing w:after="0"/>
        <w:rPr>
          <w:highlight w:val="yellow"/>
        </w:rPr>
      </w:pPr>
    </w:p>
    <w:p w14:paraId="100170A4" w14:textId="5F33BE7A" w:rsidR="00BC374E" w:rsidRPr="007A1414" w:rsidRDefault="00BC374E" w:rsidP="000961C3">
      <w:pPr>
        <w:spacing w:after="0"/>
      </w:pPr>
      <w:r w:rsidRPr="007A1414">
        <w:t xml:space="preserve">DSP have </w:t>
      </w:r>
      <w:r w:rsidR="0068577F" w:rsidRPr="007A1414">
        <w:t>built on the first Pathways to Work strategy to</w:t>
      </w:r>
      <w:r w:rsidR="002B5B78" w:rsidRPr="007A1414">
        <w:t xml:space="preserve"> </w:t>
      </w:r>
      <w:r w:rsidR="0068577F" w:rsidRPr="007A1414">
        <w:t xml:space="preserve">commit to a number of </w:t>
      </w:r>
      <w:r w:rsidRPr="007A1414">
        <w:t>actions</w:t>
      </w:r>
      <w:r w:rsidR="0068577F" w:rsidRPr="007A1414">
        <w:t xml:space="preserve"> that can serve to underpin a vocational rehabilitation – return to work pathway. These include</w:t>
      </w:r>
      <w:r w:rsidR="00F1497E" w:rsidRPr="007A1414">
        <w:t>:</w:t>
      </w:r>
    </w:p>
    <w:p w14:paraId="38358A47" w14:textId="77777777" w:rsidR="00F1497E" w:rsidRPr="007A1414" w:rsidRDefault="00F1497E" w:rsidP="000961C3">
      <w:pPr>
        <w:spacing w:after="0"/>
      </w:pPr>
    </w:p>
    <w:p w14:paraId="712F5C37" w14:textId="1E839BB8" w:rsidR="005A6428" w:rsidRPr="007A1414" w:rsidRDefault="005A6428" w:rsidP="000961C3">
      <w:pPr>
        <w:pStyle w:val="ListParagraph"/>
        <w:numPr>
          <w:ilvl w:val="0"/>
          <w:numId w:val="38"/>
        </w:numPr>
        <w:spacing w:after="0"/>
        <w:rPr>
          <w:spacing w:val="-4"/>
          <w:szCs w:val="26"/>
        </w:rPr>
      </w:pPr>
      <w:r w:rsidRPr="007A1414">
        <w:rPr>
          <w:spacing w:val="-3"/>
          <w:szCs w:val="26"/>
        </w:rPr>
        <w:t xml:space="preserve">Maintain </w:t>
      </w:r>
      <w:r w:rsidRPr="007A1414">
        <w:rPr>
          <w:szCs w:val="26"/>
        </w:rPr>
        <w:t xml:space="preserve">the </w:t>
      </w:r>
      <w:r w:rsidRPr="007A1414">
        <w:rPr>
          <w:spacing w:val="-4"/>
          <w:szCs w:val="26"/>
        </w:rPr>
        <w:t xml:space="preserve">resource </w:t>
      </w:r>
      <w:r w:rsidRPr="007A1414">
        <w:rPr>
          <w:spacing w:val="-3"/>
          <w:szCs w:val="26"/>
        </w:rPr>
        <w:t xml:space="preserve">capacity </w:t>
      </w:r>
      <w:r w:rsidRPr="007A1414">
        <w:rPr>
          <w:szCs w:val="26"/>
        </w:rPr>
        <w:t xml:space="preserve">of </w:t>
      </w:r>
      <w:r w:rsidRPr="007A1414">
        <w:rPr>
          <w:spacing w:val="-3"/>
          <w:szCs w:val="26"/>
        </w:rPr>
        <w:t xml:space="preserve">contracted </w:t>
      </w:r>
      <w:r w:rsidRPr="007A1414">
        <w:rPr>
          <w:szCs w:val="26"/>
        </w:rPr>
        <w:t xml:space="preserve">service </w:t>
      </w:r>
      <w:r w:rsidRPr="007A1414">
        <w:rPr>
          <w:spacing w:val="-4"/>
          <w:szCs w:val="26"/>
        </w:rPr>
        <w:t xml:space="preserve">provision </w:t>
      </w:r>
      <w:r w:rsidRPr="007A1414">
        <w:rPr>
          <w:szCs w:val="26"/>
        </w:rPr>
        <w:t xml:space="preserve">and </w:t>
      </w:r>
      <w:r w:rsidRPr="007A1414">
        <w:rPr>
          <w:spacing w:val="-4"/>
          <w:szCs w:val="26"/>
        </w:rPr>
        <w:t xml:space="preserve">increase </w:t>
      </w:r>
      <w:r w:rsidRPr="007A1414">
        <w:rPr>
          <w:szCs w:val="26"/>
        </w:rPr>
        <w:t xml:space="preserve">the </w:t>
      </w:r>
      <w:r w:rsidRPr="007A1414">
        <w:rPr>
          <w:spacing w:val="-3"/>
          <w:szCs w:val="26"/>
        </w:rPr>
        <w:t xml:space="preserve">funding </w:t>
      </w:r>
      <w:r w:rsidRPr="007A1414">
        <w:rPr>
          <w:szCs w:val="26"/>
        </w:rPr>
        <w:t xml:space="preserve">of </w:t>
      </w:r>
      <w:r w:rsidRPr="007A1414">
        <w:rPr>
          <w:spacing w:val="-4"/>
          <w:szCs w:val="26"/>
        </w:rPr>
        <w:t xml:space="preserve">local/regional </w:t>
      </w:r>
      <w:r w:rsidRPr="007A1414">
        <w:rPr>
          <w:spacing w:val="-3"/>
          <w:szCs w:val="26"/>
        </w:rPr>
        <w:t xml:space="preserve">employment services </w:t>
      </w:r>
      <w:r w:rsidRPr="007A1414">
        <w:rPr>
          <w:szCs w:val="26"/>
        </w:rPr>
        <w:t xml:space="preserve">to </w:t>
      </w:r>
      <w:r w:rsidRPr="007A1414">
        <w:rPr>
          <w:spacing w:val="-4"/>
          <w:szCs w:val="26"/>
        </w:rPr>
        <w:t xml:space="preserve">provide </w:t>
      </w:r>
      <w:r w:rsidRPr="007A1414">
        <w:rPr>
          <w:spacing w:val="-3"/>
          <w:szCs w:val="26"/>
        </w:rPr>
        <w:t xml:space="preserve">full </w:t>
      </w:r>
      <w:r w:rsidRPr="007A1414">
        <w:rPr>
          <w:szCs w:val="26"/>
        </w:rPr>
        <w:t xml:space="preserve">national </w:t>
      </w:r>
      <w:r w:rsidRPr="007A1414">
        <w:rPr>
          <w:spacing w:val="-4"/>
          <w:szCs w:val="26"/>
        </w:rPr>
        <w:t>coverage</w:t>
      </w:r>
      <w:r w:rsidR="00F1497E" w:rsidRPr="007A1414">
        <w:rPr>
          <w:spacing w:val="-4"/>
          <w:szCs w:val="26"/>
        </w:rPr>
        <w:t>;</w:t>
      </w:r>
    </w:p>
    <w:p w14:paraId="5ADBBCD9" w14:textId="69ACBF69" w:rsidR="005F5133" w:rsidRPr="007A1414" w:rsidRDefault="005F5133" w:rsidP="000961C3">
      <w:pPr>
        <w:pStyle w:val="ListParagraph"/>
        <w:numPr>
          <w:ilvl w:val="0"/>
          <w:numId w:val="38"/>
        </w:numPr>
        <w:spacing w:after="0"/>
        <w:rPr>
          <w:spacing w:val="-4"/>
          <w:szCs w:val="26"/>
        </w:rPr>
      </w:pPr>
      <w:r w:rsidRPr="007A1414">
        <w:rPr>
          <w:rFonts w:cs="Lato-Light"/>
          <w:szCs w:val="26"/>
        </w:rPr>
        <w:t>Implementation of a holistic profiling tool for use by Case Officers/Job Coaches to promote consistency in approach &amp; assist them in forming an understanding of what might work best for their client</w:t>
      </w:r>
      <w:r w:rsidR="00F1497E" w:rsidRPr="007A1414">
        <w:rPr>
          <w:rFonts w:cs="Lato-Light"/>
          <w:szCs w:val="26"/>
        </w:rPr>
        <w:t>;</w:t>
      </w:r>
    </w:p>
    <w:p w14:paraId="23380D4B" w14:textId="77777777" w:rsidR="00F1497E" w:rsidRPr="007A1414" w:rsidRDefault="00F1497E" w:rsidP="00F1497E">
      <w:pPr>
        <w:pStyle w:val="ListParagraph"/>
        <w:spacing w:after="0"/>
        <w:rPr>
          <w:spacing w:val="-4"/>
          <w:szCs w:val="26"/>
        </w:rPr>
      </w:pPr>
    </w:p>
    <w:p w14:paraId="0F6B9DA9" w14:textId="436A30C3" w:rsidR="005A6428" w:rsidRPr="007A1414" w:rsidRDefault="005A6428" w:rsidP="000961C3">
      <w:pPr>
        <w:pStyle w:val="ListParagraph"/>
        <w:numPr>
          <w:ilvl w:val="0"/>
          <w:numId w:val="38"/>
        </w:numPr>
        <w:spacing w:after="0"/>
        <w:rPr>
          <w:spacing w:val="-2"/>
          <w:szCs w:val="26"/>
        </w:rPr>
      </w:pPr>
      <w:r w:rsidRPr="007A1414">
        <w:rPr>
          <w:spacing w:val="-3"/>
          <w:szCs w:val="26"/>
        </w:rPr>
        <w:t>Explore</w:t>
      </w:r>
      <w:r w:rsidRPr="007A1414">
        <w:rPr>
          <w:spacing w:val="-10"/>
          <w:szCs w:val="26"/>
        </w:rPr>
        <w:t xml:space="preserve"> </w:t>
      </w:r>
      <w:r w:rsidRPr="007A1414">
        <w:rPr>
          <w:szCs w:val="26"/>
        </w:rPr>
        <w:t>and,</w:t>
      </w:r>
      <w:r w:rsidRPr="007A1414">
        <w:rPr>
          <w:spacing w:val="-9"/>
          <w:szCs w:val="26"/>
        </w:rPr>
        <w:t xml:space="preserve"> </w:t>
      </w:r>
      <w:r w:rsidRPr="007A1414">
        <w:rPr>
          <w:szCs w:val="26"/>
        </w:rPr>
        <w:t>if</w:t>
      </w:r>
      <w:r w:rsidRPr="007A1414">
        <w:rPr>
          <w:spacing w:val="-12"/>
          <w:szCs w:val="26"/>
        </w:rPr>
        <w:t xml:space="preserve"> </w:t>
      </w:r>
      <w:r w:rsidRPr="007A1414">
        <w:rPr>
          <w:spacing w:val="-3"/>
          <w:szCs w:val="26"/>
        </w:rPr>
        <w:t>appropriate,</w:t>
      </w:r>
      <w:r w:rsidRPr="007A1414">
        <w:rPr>
          <w:spacing w:val="-9"/>
          <w:szCs w:val="26"/>
        </w:rPr>
        <w:t xml:space="preserve"> </w:t>
      </w:r>
      <w:r w:rsidRPr="007A1414">
        <w:rPr>
          <w:spacing w:val="-3"/>
          <w:szCs w:val="26"/>
        </w:rPr>
        <w:t>develop</w:t>
      </w:r>
      <w:r w:rsidRPr="007A1414">
        <w:rPr>
          <w:spacing w:val="-9"/>
          <w:szCs w:val="26"/>
        </w:rPr>
        <w:t xml:space="preserve"> </w:t>
      </w:r>
      <w:r w:rsidRPr="007A1414">
        <w:rPr>
          <w:szCs w:val="26"/>
        </w:rPr>
        <w:t>a</w:t>
      </w:r>
      <w:r w:rsidRPr="007A1414">
        <w:rPr>
          <w:spacing w:val="-9"/>
          <w:szCs w:val="26"/>
        </w:rPr>
        <w:t xml:space="preserve"> </w:t>
      </w:r>
      <w:r w:rsidRPr="007A1414">
        <w:rPr>
          <w:szCs w:val="26"/>
        </w:rPr>
        <w:t>holistic</w:t>
      </w:r>
      <w:r w:rsidRPr="007A1414">
        <w:rPr>
          <w:spacing w:val="-9"/>
          <w:szCs w:val="26"/>
        </w:rPr>
        <w:t xml:space="preserve"> </w:t>
      </w:r>
      <w:r w:rsidRPr="007A1414">
        <w:rPr>
          <w:szCs w:val="26"/>
        </w:rPr>
        <w:t>diagnostic tool</w:t>
      </w:r>
      <w:r w:rsidRPr="007A1414">
        <w:rPr>
          <w:spacing w:val="-10"/>
          <w:szCs w:val="26"/>
        </w:rPr>
        <w:t xml:space="preserve"> </w:t>
      </w:r>
      <w:r w:rsidRPr="007A1414">
        <w:rPr>
          <w:szCs w:val="26"/>
        </w:rPr>
        <w:t>to</w:t>
      </w:r>
      <w:r w:rsidRPr="007A1414">
        <w:rPr>
          <w:spacing w:val="-9"/>
          <w:szCs w:val="26"/>
        </w:rPr>
        <w:t xml:space="preserve"> </w:t>
      </w:r>
      <w:r w:rsidRPr="007A1414">
        <w:rPr>
          <w:szCs w:val="26"/>
        </w:rPr>
        <w:t>support</w:t>
      </w:r>
      <w:r w:rsidRPr="007A1414">
        <w:rPr>
          <w:spacing w:val="-9"/>
          <w:szCs w:val="26"/>
        </w:rPr>
        <w:t xml:space="preserve"> </w:t>
      </w:r>
      <w:r w:rsidRPr="007A1414">
        <w:rPr>
          <w:rFonts w:cs="Lato"/>
          <w:iCs/>
          <w:spacing w:val="-4"/>
          <w:szCs w:val="26"/>
        </w:rPr>
        <w:t>Intreo</w:t>
      </w:r>
      <w:r w:rsidRPr="007A1414">
        <w:rPr>
          <w:rFonts w:cs="Lato"/>
          <w:i/>
          <w:iCs/>
          <w:spacing w:val="-1"/>
          <w:szCs w:val="26"/>
        </w:rPr>
        <w:t xml:space="preserve"> </w:t>
      </w:r>
      <w:r w:rsidRPr="007A1414">
        <w:rPr>
          <w:szCs w:val="26"/>
        </w:rPr>
        <w:t>Case</w:t>
      </w:r>
      <w:r w:rsidRPr="007A1414">
        <w:rPr>
          <w:spacing w:val="-9"/>
          <w:szCs w:val="26"/>
        </w:rPr>
        <w:t xml:space="preserve"> </w:t>
      </w:r>
      <w:r w:rsidRPr="007A1414">
        <w:rPr>
          <w:spacing w:val="-3"/>
          <w:szCs w:val="26"/>
        </w:rPr>
        <w:t>Officers</w:t>
      </w:r>
      <w:r w:rsidRPr="007A1414">
        <w:rPr>
          <w:spacing w:val="-10"/>
          <w:szCs w:val="26"/>
        </w:rPr>
        <w:t xml:space="preserve"> </w:t>
      </w:r>
      <w:r w:rsidRPr="007A1414">
        <w:rPr>
          <w:szCs w:val="26"/>
        </w:rPr>
        <w:t>in</w:t>
      </w:r>
      <w:r w:rsidRPr="007A1414">
        <w:rPr>
          <w:spacing w:val="-9"/>
          <w:szCs w:val="26"/>
        </w:rPr>
        <w:t xml:space="preserve"> </w:t>
      </w:r>
      <w:r w:rsidRPr="007A1414">
        <w:rPr>
          <w:spacing w:val="-3"/>
          <w:szCs w:val="26"/>
        </w:rPr>
        <w:t>their</w:t>
      </w:r>
      <w:r w:rsidRPr="007A1414">
        <w:rPr>
          <w:spacing w:val="-13"/>
          <w:szCs w:val="26"/>
        </w:rPr>
        <w:t xml:space="preserve"> </w:t>
      </w:r>
      <w:r w:rsidRPr="007A1414">
        <w:rPr>
          <w:szCs w:val="26"/>
        </w:rPr>
        <w:t xml:space="preserve">assessment of </w:t>
      </w:r>
      <w:r w:rsidRPr="007A1414">
        <w:rPr>
          <w:spacing w:val="-3"/>
          <w:szCs w:val="26"/>
        </w:rPr>
        <w:t xml:space="preserve">individual </w:t>
      </w:r>
      <w:r w:rsidRPr="007A1414">
        <w:rPr>
          <w:spacing w:val="-4"/>
          <w:szCs w:val="26"/>
        </w:rPr>
        <w:t>jobseeker</w:t>
      </w:r>
      <w:r w:rsidRPr="007A1414">
        <w:rPr>
          <w:spacing w:val="-19"/>
          <w:szCs w:val="26"/>
        </w:rPr>
        <w:t xml:space="preserve"> </w:t>
      </w:r>
      <w:r w:rsidRPr="007A1414">
        <w:rPr>
          <w:spacing w:val="-2"/>
          <w:szCs w:val="26"/>
        </w:rPr>
        <w:t>needs</w:t>
      </w:r>
      <w:r w:rsidR="00F1497E" w:rsidRPr="007A1414">
        <w:rPr>
          <w:spacing w:val="-2"/>
          <w:szCs w:val="26"/>
        </w:rPr>
        <w:t>;</w:t>
      </w:r>
    </w:p>
    <w:p w14:paraId="5BDD70EB" w14:textId="69E0E629" w:rsidR="00F1497E" w:rsidRPr="007A1414" w:rsidRDefault="00F1497E" w:rsidP="00F1497E">
      <w:pPr>
        <w:spacing w:after="0"/>
        <w:rPr>
          <w:spacing w:val="-2"/>
          <w:szCs w:val="26"/>
        </w:rPr>
      </w:pPr>
    </w:p>
    <w:p w14:paraId="765016E0" w14:textId="0FB120F1" w:rsidR="005A6428" w:rsidRPr="007A1414" w:rsidRDefault="005A6428" w:rsidP="000961C3">
      <w:pPr>
        <w:pStyle w:val="ListParagraph"/>
        <w:numPr>
          <w:ilvl w:val="0"/>
          <w:numId w:val="38"/>
        </w:numPr>
        <w:spacing w:after="0"/>
        <w:rPr>
          <w:szCs w:val="26"/>
        </w:rPr>
      </w:pPr>
      <w:r w:rsidRPr="007A1414">
        <w:rPr>
          <w:szCs w:val="26"/>
        </w:rPr>
        <w:t xml:space="preserve">Develop and progress a Case Officer / Job Coach model of case work within </w:t>
      </w:r>
      <w:r w:rsidRPr="007A1414">
        <w:rPr>
          <w:rFonts w:cs="Lato"/>
          <w:iCs/>
          <w:szCs w:val="26"/>
        </w:rPr>
        <w:t>Intreo</w:t>
      </w:r>
      <w:r w:rsidR="00F1497E" w:rsidRPr="007A1414">
        <w:rPr>
          <w:rFonts w:cs="Lato"/>
          <w:iCs/>
          <w:szCs w:val="26"/>
        </w:rPr>
        <w:t>;</w:t>
      </w:r>
    </w:p>
    <w:p w14:paraId="194984E3" w14:textId="3D5D0FD5" w:rsidR="00F1497E" w:rsidRPr="007A1414" w:rsidRDefault="00F1497E" w:rsidP="00F1497E">
      <w:pPr>
        <w:spacing w:after="0"/>
        <w:rPr>
          <w:szCs w:val="26"/>
        </w:rPr>
      </w:pPr>
    </w:p>
    <w:p w14:paraId="744A6783" w14:textId="581015EE" w:rsidR="00F1497E" w:rsidRPr="007A1414" w:rsidRDefault="005A6428" w:rsidP="00F1497E">
      <w:pPr>
        <w:pStyle w:val="ListParagraph"/>
        <w:numPr>
          <w:ilvl w:val="0"/>
          <w:numId w:val="38"/>
        </w:numPr>
        <w:spacing w:after="120"/>
        <w:rPr>
          <w:szCs w:val="26"/>
        </w:rPr>
      </w:pPr>
      <w:r w:rsidRPr="007A1414">
        <w:rPr>
          <w:spacing w:val="-4"/>
          <w:szCs w:val="26"/>
        </w:rPr>
        <w:t>Developing and operating ‘Returner’ programmes to encourage and support people who left the workforce and have been outside of the workforce for some time to take up employme</w:t>
      </w:r>
      <w:r w:rsidR="00F1497E" w:rsidRPr="007A1414">
        <w:rPr>
          <w:spacing w:val="-4"/>
          <w:szCs w:val="26"/>
        </w:rPr>
        <w:t>nt;</w:t>
      </w:r>
    </w:p>
    <w:p w14:paraId="3D07F171" w14:textId="77777777" w:rsidR="00F1497E" w:rsidRPr="007A1414" w:rsidRDefault="00F1497E" w:rsidP="00F1497E">
      <w:pPr>
        <w:pStyle w:val="ListParagraph"/>
        <w:spacing w:after="120"/>
        <w:rPr>
          <w:szCs w:val="26"/>
        </w:rPr>
      </w:pPr>
    </w:p>
    <w:p w14:paraId="360AFB56" w14:textId="53212D01" w:rsidR="009A40A5" w:rsidRPr="002B7E53" w:rsidRDefault="009A40A5" w:rsidP="009A40A5">
      <w:pPr>
        <w:pStyle w:val="NormalWeb"/>
        <w:shd w:val="clear" w:color="auto" w:fill="FFFFFF"/>
        <w:spacing w:after="288"/>
        <w:rPr>
          <w:rFonts w:ascii="Gill Sans MT" w:hAnsi="Gill Sans MT"/>
          <w:sz w:val="26"/>
          <w:szCs w:val="26"/>
        </w:rPr>
      </w:pPr>
      <w:r>
        <w:rPr>
          <w:rFonts w:ascii="Gill Sans MT" w:hAnsi="Gill Sans MT"/>
          <w:sz w:val="26"/>
          <w:szCs w:val="26"/>
        </w:rPr>
        <w:t>DSP has acknowledged that some people will require specific and sustained support to access employment</w:t>
      </w:r>
      <w:r w:rsidR="00CD6F66">
        <w:rPr>
          <w:rStyle w:val="FootnoteReference"/>
          <w:szCs w:val="26"/>
        </w:rPr>
        <w:footnoteReference w:id="38"/>
      </w:r>
      <w:r>
        <w:rPr>
          <w:rFonts w:ascii="Gill Sans MT" w:hAnsi="Gill Sans MT"/>
          <w:sz w:val="26"/>
          <w:szCs w:val="26"/>
        </w:rPr>
        <w:t>.</w:t>
      </w:r>
      <w:r w:rsidR="00CD6F66">
        <w:rPr>
          <w:rFonts w:ascii="Gill Sans MT" w:hAnsi="Gill Sans MT"/>
          <w:sz w:val="26"/>
          <w:szCs w:val="26"/>
        </w:rPr>
        <w:t xml:space="preserve"> Newer commitments include increasing capacity of commissioned services. The NDA recommend that this increased capacity should include increased capacity in supported employment and support for</w:t>
      </w:r>
      <w:r w:rsidR="002B7E53">
        <w:rPr>
          <w:rFonts w:ascii="Gill Sans MT" w:hAnsi="Gill Sans MT"/>
          <w:sz w:val="26"/>
          <w:szCs w:val="26"/>
        </w:rPr>
        <w:t xml:space="preserve"> access to</w:t>
      </w:r>
      <w:r w:rsidR="00CD6F66">
        <w:rPr>
          <w:rFonts w:ascii="Gill Sans MT" w:hAnsi="Gill Sans MT"/>
          <w:sz w:val="26"/>
          <w:szCs w:val="26"/>
        </w:rPr>
        <w:t xml:space="preserve"> part time options </w:t>
      </w:r>
      <w:r w:rsidR="002B7E53">
        <w:rPr>
          <w:rFonts w:ascii="Gill Sans MT" w:hAnsi="Gill Sans MT"/>
          <w:sz w:val="26"/>
          <w:szCs w:val="26"/>
        </w:rPr>
        <w:t xml:space="preserve">for persons with disabilities </w:t>
      </w:r>
      <w:r w:rsidR="00CD6F66">
        <w:rPr>
          <w:rFonts w:ascii="Gill Sans MT" w:hAnsi="Gill Sans MT"/>
          <w:sz w:val="26"/>
          <w:szCs w:val="26"/>
        </w:rPr>
        <w:t>across the programme of employment supports.</w:t>
      </w:r>
      <w:r w:rsidR="002B7E53">
        <w:rPr>
          <w:rFonts w:ascii="Gill Sans MT" w:hAnsi="Gill Sans MT"/>
          <w:sz w:val="26"/>
          <w:szCs w:val="26"/>
        </w:rPr>
        <w:t xml:space="preserve"> Most welcome is the Pathways to Work approach to development of the Case Officer / Job Coach role. These roles are key in supporting persons with disabilities, they </w:t>
      </w:r>
      <w:r w:rsidR="00E754E2" w:rsidRPr="00A340DC">
        <w:rPr>
          <w:rFonts w:ascii="Gill Sans MT" w:hAnsi="Gill Sans MT" w:cs="Arial"/>
          <w:spacing w:val="3"/>
          <w:sz w:val="26"/>
          <w:szCs w:val="26"/>
        </w:rPr>
        <w:t xml:space="preserve">draw up </w:t>
      </w:r>
      <w:r w:rsidR="00E754E2" w:rsidRPr="003F3333">
        <w:rPr>
          <w:rFonts w:ascii="Gill Sans MT" w:hAnsi="Gill Sans MT" w:cs="Arial"/>
          <w:b/>
          <w:spacing w:val="3"/>
          <w:sz w:val="26"/>
          <w:szCs w:val="26"/>
        </w:rPr>
        <w:t>a Personal Progression Plan</w:t>
      </w:r>
      <w:r w:rsidR="00E754E2" w:rsidRPr="00A340DC">
        <w:rPr>
          <w:rFonts w:ascii="Gill Sans MT" w:hAnsi="Gill Sans MT" w:cs="Arial"/>
          <w:spacing w:val="3"/>
          <w:sz w:val="26"/>
          <w:szCs w:val="26"/>
        </w:rPr>
        <w:t xml:space="preserve"> with </w:t>
      </w:r>
      <w:r w:rsidR="006F32BC" w:rsidRPr="00A340DC">
        <w:rPr>
          <w:rFonts w:ascii="Gill Sans MT" w:hAnsi="Gill Sans MT" w:cs="Arial"/>
          <w:spacing w:val="3"/>
          <w:sz w:val="26"/>
          <w:szCs w:val="26"/>
        </w:rPr>
        <w:t xml:space="preserve">the individual </w:t>
      </w:r>
      <w:r w:rsidR="00E754E2" w:rsidRPr="00A340DC">
        <w:rPr>
          <w:rFonts w:ascii="Gill Sans MT" w:hAnsi="Gill Sans MT" w:cs="Arial"/>
          <w:spacing w:val="3"/>
          <w:sz w:val="26"/>
          <w:szCs w:val="26"/>
        </w:rPr>
        <w:t xml:space="preserve">which will include a series of activities and actions designed to help </w:t>
      </w:r>
      <w:r w:rsidR="006F32BC" w:rsidRPr="00A340DC">
        <w:rPr>
          <w:rFonts w:ascii="Gill Sans MT" w:hAnsi="Gill Sans MT" w:cs="Arial"/>
          <w:spacing w:val="3"/>
          <w:sz w:val="26"/>
          <w:szCs w:val="26"/>
        </w:rPr>
        <w:t xml:space="preserve">them </w:t>
      </w:r>
      <w:r w:rsidR="00E754E2" w:rsidRPr="00A340DC">
        <w:rPr>
          <w:rFonts w:ascii="Gill Sans MT" w:hAnsi="Gill Sans MT" w:cs="Arial"/>
          <w:spacing w:val="3"/>
          <w:sz w:val="26"/>
          <w:szCs w:val="26"/>
        </w:rPr>
        <w:t xml:space="preserve">get a job. These might include work experience, training and other relevant supports. </w:t>
      </w:r>
      <w:r w:rsidR="006F32BC" w:rsidRPr="00A340DC">
        <w:rPr>
          <w:rFonts w:ascii="Gill Sans MT" w:hAnsi="Gill Sans MT" w:cs="Arial"/>
          <w:spacing w:val="3"/>
          <w:sz w:val="26"/>
          <w:szCs w:val="26"/>
        </w:rPr>
        <w:t xml:space="preserve">They </w:t>
      </w:r>
      <w:r w:rsidR="00E754E2" w:rsidRPr="00A340DC">
        <w:rPr>
          <w:rFonts w:ascii="Gill Sans MT" w:hAnsi="Gill Sans MT" w:cs="Arial"/>
          <w:spacing w:val="3"/>
          <w:sz w:val="26"/>
          <w:szCs w:val="26"/>
        </w:rPr>
        <w:t xml:space="preserve">will be given career advice and helped with CV and interview preparation. </w:t>
      </w:r>
      <w:r w:rsidR="006F32BC" w:rsidRPr="00A340DC">
        <w:rPr>
          <w:rFonts w:ascii="Gill Sans MT" w:hAnsi="Gill Sans MT" w:cs="Arial"/>
          <w:spacing w:val="3"/>
          <w:sz w:val="26"/>
          <w:szCs w:val="26"/>
        </w:rPr>
        <w:t xml:space="preserve">Individuals </w:t>
      </w:r>
      <w:r w:rsidR="00E754E2" w:rsidRPr="00A340DC">
        <w:rPr>
          <w:rFonts w:ascii="Gill Sans MT" w:hAnsi="Gill Sans MT" w:cs="Arial"/>
          <w:spacing w:val="3"/>
          <w:sz w:val="26"/>
          <w:szCs w:val="26"/>
        </w:rPr>
        <w:t xml:space="preserve">can also get support and advice about starting </w:t>
      </w:r>
      <w:r w:rsidR="006F32BC" w:rsidRPr="00A340DC">
        <w:rPr>
          <w:rFonts w:ascii="Gill Sans MT" w:hAnsi="Gill Sans MT" w:cs="Arial"/>
          <w:spacing w:val="3"/>
          <w:sz w:val="26"/>
          <w:szCs w:val="26"/>
        </w:rPr>
        <w:t xml:space="preserve">their </w:t>
      </w:r>
      <w:r>
        <w:rPr>
          <w:rFonts w:ascii="Gill Sans MT" w:hAnsi="Gill Sans MT" w:cs="Arial"/>
          <w:spacing w:val="3"/>
          <w:sz w:val="26"/>
          <w:szCs w:val="26"/>
        </w:rPr>
        <w:t>own business. The NDA note that</w:t>
      </w:r>
      <w:r w:rsidR="00E754E2" w:rsidRPr="00A340DC">
        <w:rPr>
          <w:rFonts w:ascii="Gill Sans MT" w:hAnsi="Gill Sans MT" w:cs="Arial"/>
          <w:spacing w:val="3"/>
          <w:sz w:val="26"/>
          <w:szCs w:val="26"/>
        </w:rPr>
        <w:t xml:space="preserve"> this activation model </w:t>
      </w:r>
      <w:r>
        <w:rPr>
          <w:rFonts w:ascii="Gill Sans MT" w:hAnsi="Gill Sans MT" w:cs="Arial"/>
          <w:spacing w:val="3"/>
          <w:sz w:val="26"/>
          <w:szCs w:val="26"/>
        </w:rPr>
        <w:t xml:space="preserve">provides component parts of a vocational rehabilitation pathway but </w:t>
      </w:r>
      <w:r w:rsidR="002B7E53">
        <w:rPr>
          <w:rFonts w:ascii="Gill Sans MT" w:hAnsi="Gill Sans MT" w:cs="Arial"/>
          <w:spacing w:val="3"/>
          <w:sz w:val="26"/>
          <w:szCs w:val="26"/>
        </w:rPr>
        <w:t>that p</w:t>
      </w:r>
      <w:r w:rsidR="000B052E">
        <w:rPr>
          <w:rFonts w:ascii="Gill Sans MT" w:hAnsi="Gill Sans MT" w:cs="Arial"/>
          <w:spacing w:val="3"/>
          <w:sz w:val="26"/>
          <w:szCs w:val="26"/>
        </w:rPr>
        <w:t>art time or</w:t>
      </w:r>
      <w:r w:rsidR="002B7E53">
        <w:rPr>
          <w:rFonts w:ascii="Gill Sans MT" w:hAnsi="Gill Sans MT" w:cs="Arial"/>
          <w:spacing w:val="3"/>
          <w:sz w:val="26"/>
          <w:szCs w:val="26"/>
        </w:rPr>
        <w:t xml:space="preserve"> staggered return to employment should be </w:t>
      </w:r>
      <w:r w:rsidR="00E754E2" w:rsidRPr="00A340DC">
        <w:rPr>
          <w:rFonts w:ascii="Gill Sans MT" w:hAnsi="Gill Sans MT" w:cs="Arial"/>
          <w:spacing w:val="3"/>
          <w:sz w:val="26"/>
          <w:szCs w:val="26"/>
        </w:rPr>
        <w:t>an outcome,</w:t>
      </w:r>
      <w:r w:rsidR="00C57510">
        <w:rPr>
          <w:rFonts w:ascii="Gill Sans MT" w:hAnsi="Gill Sans MT" w:cs="Arial"/>
          <w:spacing w:val="3"/>
          <w:sz w:val="26"/>
          <w:szCs w:val="26"/>
        </w:rPr>
        <w:t xml:space="preserve"> </w:t>
      </w:r>
      <w:r w:rsidR="000B052E">
        <w:rPr>
          <w:rFonts w:ascii="Gill Sans MT" w:hAnsi="Gill Sans MT" w:cs="Arial"/>
          <w:spacing w:val="3"/>
          <w:sz w:val="26"/>
          <w:szCs w:val="26"/>
        </w:rPr>
        <w:t>as</w:t>
      </w:r>
      <w:r w:rsidR="00E754E2" w:rsidRPr="00A340DC">
        <w:rPr>
          <w:rFonts w:ascii="Gill Sans MT" w:hAnsi="Gill Sans MT" w:cs="Arial"/>
          <w:spacing w:val="3"/>
          <w:sz w:val="26"/>
          <w:szCs w:val="26"/>
        </w:rPr>
        <w:t xml:space="preserve"> many people with disabilities</w:t>
      </w:r>
      <w:r w:rsidR="00C57510">
        <w:rPr>
          <w:rFonts w:ascii="Gill Sans MT" w:hAnsi="Gill Sans MT" w:cs="Arial"/>
          <w:spacing w:val="3"/>
          <w:sz w:val="26"/>
          <w:szCs w:val="26"/>
        </w:rPr>
        <w:t xml:space="preserve"> who may prefer part-time opportunities</w:t>
      </w:r>
      <w:r w:rsidR="00E754E2" w:rsidRPr="00A340DC">
        <w:rPr>
          <w:rFonts w:ascii="Gill Sans MT" w:hAnsi="Gill Sans MT" w:cs="Arial"/>
          <w:spacing w:val="3"/>
          <w:sz w:val="26"/>
          <w:szCs w:val="26"/>
        </w:rPr>
        <w:t>.</w:t>
      </w:r>
    </w:p>
    <w:p w14:paraId="6DDF04C3" w14:textId="77777777" w:rsidR="005321BB" w:rsidRDefault="005321BB" w:rsidP="005321BB">
      <w:pPr>
        <w:pStyle w:val="Heading3"/>
      </w:pPr>
      <w:r>
        <w:t>Relevant CES changes</w:t>
      </w:r>
    </w:p>
    <w:p w14:paraId="5E58E03E" w14:textId="08779014" w:rsidR="00D7375A" w:rsidRPr="00D7375A" w:rsidRDefault="00D7375A" w:rsidP="00D7375A">
      <w:pPr>
        <w:spacing w:after="120" w:line="259" w:lineRule="auto"/>
        <w:rPr>
          <w:rFonts w:eastAsiaTheme="minorHAnsi" w:cstheme="minorBidi"/>
          <w:szCs w:val="26"/>
        </w:rPr>
      </w:pPr>
      <w:r>
        <w:rPr>
          <w:szCs w:val="26"/>
        </w:rPr>
        <w:t xml:space="preserve">The </w:t>
      </w:r>
      <w:r w:rsidR="00C57510">
        <w:rPr>
          <w:szCs w:val="26"/>
        </w:rPr>
        <w:t>CES</w:t>
      </w:r>
      <w:r>
        <w:rPr>
          <w:szCs w:val="26"/>
        </w:rPr>
        <w:t xml:space="preserve"> has delivered changes to support more people with disabilities to access work. </w:t>
      </w:r>
      <w:r>
        <w:rPr>
          <w:rFonts w:eastAsiaTheme="minorHAnsi" w:cstheme="minorBidi"/>
          <w:szCs w:val="26"/>
        </w:rPr>
        <w:t xml:space="preserve">The </w:t>
      </w:r>
      <w:r w:rsidRPr="003F2414">
        <w:rPr>
          <w:rFonts w:eastAsia="Times New Roman" w:cs="Arial"/>
          <w:szCs w:val="26"/>
          <w:lang w:val="en-GB"/>
        </w:rPr>
        <w:t>Make Work Pay report examined</w:t>
      </w:r>
      <w:r w:rsidRPr="003F2414">
        <w:rPr>
          <w:rFonts w:eastAsia="Times New Roman"/>
          <w:szCs w:val="26"/>
        </w:rPr>
        <w:t xml:space="preserve"> the complex details of the disincentives to work for people with disabilities</w:t>
      </w:r>
      <w:r w:rsidR="00944D4B" w:rsidRPr="003F2414">
        <w:rPr>
          <w:rFonts w:eastAsia="Times New Roman"/>
          <w:szCs w:val="26"/>
        </w:rPr>
        <w:t>,</w:t>
      </w:r>
      <w:r w:rsidR="00944D4B">
        <w:rPr>
          <w:rFonts w:eastAsia="Times New Roman"/>
          <w:szCs w:val="26"/>
        </w:rPr>
        <w:t xml:space="preserve"> including </w:t>
      </w:r>
      <w:r w:rsidRPr="003F2414">
        <w:rPr>
          <w:rFonts w:eastAsia="Times New Roman"/>
          <w:szCs w:val="26"/>
        </w:rPr>
        <w:t>fear of losing their Medical Card</w:t>
      </w:r>
      <w:r w:rsidR="00944D4B">
        <w:rPr>
          <w:rFonts w:eastAsia="Times New Roman"/>
          <w:szCs w:val="26"/>
        </w:rPr>
        <w:t>,</w:t>
      </w:r>
      <w:r w:rsidRPr="003F2414">
        <w:rPr>
          <w:rFonts w:eastAsia="Times New Roman"/>
          <w:szCs w:val="26"/>
          <w:vertAlign w:val="superscript"/>
        </w:rPr>
        <w:footnoteReference w:id="39"/>
      </w:r>
      <w:r w:rsidRPr="003F2414">
        <w:rPr>
          <w:rFonts w:eastAsia="Times New Roman"/>
          <w:szCs w:val="26"/>
        </w:rPr>
        <w:t xml:space="preserve"> </w:t>
      </w:r>
      <w:r w:rsidR="00C90BD9" w:rsidRPr="003F2414">
        <w:rPr>
          <w:rFonts w:eastAsia="Times New Roman"/>
          <w:szCs w:val="26"/>
        </w:rPr>
        <w:t xml:space="preserve">the </w:t>
      </w:r>
      <w:r w:rsidR="00C90BD9">
        <w:rPr>
          <w:rFonts w:eastAsia="Times New Roman"/>
          <w:szCs w:val="26"/>
        </w:rPr>
        <w:t xml:space="preserve">need for increased flexibility with regard to </w:t>
      </w:r>
      <w:r w:rsidR="00C90BD9" w:rsidRPr="003F2414">
        <w:rPr>
          <w:rFonts w:eastAsia="Times New Roman"/>
          <w:szCs w:val="26"/>
        </w:rPr>
        <w:t>disregard of earnings</w:t>
      </w:r>
      <w:r w:rsidR="00C90BD9">
        <w:rPr>
          <w:rFonts w:eastAsia="Times New Roman"/>
          <w:szCs w:val="26"/>
        </w:rPr>
        <w:t>, and</w:t>
      </w:r>
      <w:r w:rsidR="00C90BD9" w:rsidRPr="003F2414">
        <w:rPr>
          <w:rFonts w:eastAsia="Times New Roman"/>
          <w:szCs w:val="26"/>
        </w:rPr>
        <w:t xml:space="preserve"> </w:t>
      </w:r>
      <w:r w:rsidRPr="003F2414">
        <w:rPr>
          <w:rFonts w:eastAsia="Times New Roman"/>
          <w:szCs w:val="26"/>
        </w:rPr>
        <w:t>the apprehension about re-qualifying for bene</w:t>
      </w:r>
      <w:r w:rsidR="009019DA">
        <w:rPr>
          <w:rFonts w:eastAsia="Times New Roman"/>
          <w:szCs w:val="26"/>
        </w:rPr>
        <w:t>fits if a job does not work out</w:t>
      </w:r>
      <w:r w:rsidR="00944D4B">
        <w:rPr>
          <w:rFonts w:eastAsia="Times New Roman"/>
          <w:szCs w:val="26"/>
        </w:rPr>
        <w:t>. These</w:t>
      </w:r>
      <w:r w:rsidRPr="003F2414">
        <w:rPr>
          <w:rFonts w:eastAsia="Times New Roman"/>
          <w:szCs w:val="26"/>
        </w:rPr>
        <w:t xml:space="preserve"> </w:t>
      </w:r>
      <w:r w:rsidR="00C90BD9">
        <w:rPr>
          <w:rFonts w:eastAsia="Times New Roman"/>
          <w:szCs w:val="26"/>
        </w:rPr>
        <w:t xml:space="preserve">concerns </w:t>
      </w:r>
      <w:r w:rsidRPr="003F2414">
        <w:rPr>
          <w:rFonts w:eastAsia="Times New Roman"/>
          <w:szCs w:val="26"/>
        </w:rPr>
        <w:t xml:space="preserve">were all addressed in a series </w:t>
      </w:r>
      <w:r w:rsidRPr="00034BCD">
        <w:rPr>
          <w:rFonts w:eastAsia="Times New Roman"/>
          <w:szCs w:val="26"/>
        </w:rPr>
        <w:t>of meaning</w:t>
      </w:r>
      <w:r>
        <w:rPr>
          <w:rFonts w:eastAsia="Times New Roman"/>
          <w:szCs w:val="26"/>
        </w:rPr>
        <w:t>ful</w:t>
      </w:r>
      <w:r w:rsidRPr="00034BCD">
        <w:rPr>
          <w:rFonts w:eastAsia="Times New Roman"/>
          <w:szCs w:val="26"/>
        </w:rPr>
        <w:t xml:space="preserve"> recommendations</w:t>
      </w:r>
      <w:r w:rsidR="00C90BD9">
        <w:rPr>
          <w:rFonts w:eastAsia="Times New Roman"/>
          <w:szCs w:val="26"/>
        </w:rPr>
        <w:t xml:space="preserve"> within the report, and </w:t>
      </w:r>
      <w:r w:rsidR="00C90BD9">
        <w:rPr>
          <w:rFonts w:eastAsia="Times New Roman" w:cs="Arial"/>
          <w:szCs w:val="26"/>
          <w:lang w:val="en-GB"/>
        </w:rPr>
        <w:t>the</w:t>
      </w:r>
      <w:r w:rsidR="00944D4B">
        <w:rPr>
          <w:rFonts w:eastAsia="Times New Roman" w:cs="Arial"/>
          <w:szCs w:val="26"/>
          <w:lang w:val="en-GB"/>
        </w:rPr>
        <w:t xml:space="preserve"> following measures have </w:t>
      </w:r>
      <w:r w:rsidR="00C90BD9">
        <w:rPr>
          <w:rFonts w:eastAsia="Times New Roman" w:cs="Arial"/>
          <w:szCs w:val="26"/>
          <w:lang w:val="en-GB"/>
        </w:rPr>
        <w:t xml:space="preserve">since </w:t>
      </w:r>
      <w:r w:rsidR="00944D4B">
        <w:rPr>
          <w:rFonts w:eastAsia="Times New Roman" w:cs="Arial"/>
          <w:szCs w:val="26"/>
          <w:lang w:val="en-GB"/>
        </w:rPr>
        <w:t xml:space="preserve">been </w:t>
      </w:r>
      <w:r w:rsidR="00944D4B" w:rsidRPr="00626908">
        <w:rPr>
          <w:rFonts w:cstheme="minorHAnsi"/>
          <w:szCs w:val="26"/>
        </w:rPr>
        <w:t>implemented</w:t>
      </w:r>
      <w:r w:rsidR="00944D4B">
        <w:rPr>
          <w:rFonts w:cstheme="minorHAnsi"/>
          <w:szCs w:val="26"/>
        </w:rPr>
        <w:t>:</w:t>
      </w:r>
      <w:r w:rsidR="00B31FD0">
        <w:rPr>
          <w:rFonts w:eastAsia="Times New Roman" w:cs="Arial"/>
          <w:szCs w:val="26"/>
          <w:lang w:val="en-GB"/>
        </w:rPr>
        <w:t xml:space="preserve"> </w:t>
      </w:r>
    </w:p>
    <w:p w14:paraId="129F87BD" w14:textId="4D113908" w:rsidR="009D3F1E" w:rsidRPr="00580D52" w:rsidRDefault="009D3F1E" w:rsidP="00724A24">
      <w:pPr>
        <w:pStyle w:val="ListParagraph"/>
        <w:numPr>
          <w:ilvl w:val="0"/>
          <w:numId w:val="7"/>
        </w:numPr>
        <w:spacing w:after="120"/>
        <w:rPr>
          <w:szCs w:val="26"/>
        </w:rPr>
      </w:pPr>
      <w:r w:rsidRPr="00580D52">
        <w:rPr>
          <w:szCs w:val="26"/>
        </w:rPr>
        <w:t>Establishing a fast track return to disability benefits for those people with disabilities who take up employment and for any reason th</w:t>
      </w:r>
      <w:r w:rsidR="00F1497E">
        <w:rPr>
          <w:szCs w:val="26"/>
        </w:rPr>
        <w:t>at employment does not work out;</w:t>
      </w:r>
    </w:p>
    <w:p w14:paraId="0D270FA4" w14:textId="67653992" w:rsidR="009D3F1E" w:rsidRPr="00580D52" w:rsidRDefault="009D3F1E" w:rsidP="00724A24">
      <w:pPr>
        <w:pStyle w:val="ListParagraph"/>
        <w:numPr>
          <w:ilvl w:val="0"/>
          <w:numId w:val="7"/>
        </w:numPr>
        <w:spacing w:after="120"/>
        <w:rPr>
          <w:szCs w:val="26"/>
        </w:rPr>
      </w:pPr>
      <w:r w:rsidRPr="00580D52">
        <w:rPr>
          <w:szCs w:val="26"/>
        </w:rPr>
        <w:t xml:space="preserve">The development of an on line ‘ready reckoner’ for people to calculate their total earnings once they commence work, </w:t>
      </w:r>
      <w:r w:rsidRPr="00580D52">
        <w:rPr>
          <w:szCs w:val="26"/>
          <w:lang w:val="en"/>
        </w:rPr>
        <w:t xml:space="preserve">called a </w:t>
      </w:r>
      <w:hyperlink r:id="rId12" w:history="1">
        <w:r w:rsidRPr="00580D52">
          <w:rPr>
            <w:rStyle w:val="Hyperlink"/>
            <w:szCs w:val="26"/>
            <w:lang w:val="en"/>
          </w:rPr>
          <w:t>Benefit of Work Estimator</w:t>
        </w:r>
      </w:hyperlink>
      <w:r w:rsidRPr="00580D52">
        <w:rPr>
          <w:szCs w:val="26"/>
          <w:lang w:val="en"/>
        </w:rPr>
        <w:t xml:space="preserve"> tool for people getting Disability Allowance, Blind Pension, Invali</w:t>
      </w:r>
      <w:r w:rsidR="00F1497E">
        <w:rPr>
          <w:szCs w:val="26"/>
          <w:lang w:val="en"/>
        </w:rPr>
        <w:t>dity Pension or Illness Benefit;</w:t>
      </w:r>
    </w:p>
    <w:p w14:paraId="2E8FBFF9" w14:textId="392474B2" w:rsidR="009D3F1E" w:rsidRPr="00580D52" w:rsidRDefault="009D3F1E" w:rsidP="00724A24">
      <w:pPr>
        <w:pStyle w:val="ListParagraph"/>
        <w:numPr>
          <w:ilvl w:val="0"/>
          <w:numId w:val="7"/>
        </w:numPr>
        <w:spacing w:after="120"/>
        <w:rPr>
          <w:szCs w:val="26"/>
          <w:lang w:eastAsia="en-IE"/>
        </w:rPr>
      </w:pPr>
      <w:r w:rsidRPr="00580D52">
        <w:rPr>
          <w:szCs w:val="26"/>
        </w:rPr>
        <w:t xml:space="preserve">For people who are </w:t>
      </w:r>
      <w:r w:rsidRPr="00580D52">
        <w:rPr>
          <w:szCs w:val="26"/>
          <w:lang w:eastAsia="en-IE"/>
        </w:rPr>
        <w:t xml:space="preserve">in receipt of Disability Allowance that may take up employment using the </w:t>
      </w:r>
      <w:r w:rsidRPr="00C82821">
        <w:rPr>
          <w:bCs/>
          <w:szCs w:val="26"/>
          <w:lang w:eastAsia="en-IE"/>
        </w:rPr>
        <w:t>DA Employment Disregard</w:t>
      </w:r>
      <w:r w:rsidR="00C82821">
        <w:rPr>
          <w:szCs w:val="26"/>
          <w:lang w:eastAsia="en-IE"/>
        </w:rPr>
        <w:t>. The first €14</w:t>
      </w:r>
      <w:r w:rsidRPr="00580D52">
        <w:rPr>
          <w:szCs w:val="26"/>
          <w:lang w:eastAsia="en-IE"/>
        </w:rPr>
        <w:t>0 of weekly earnings is disregarded in means test for the payment while earnings betwe</w:t>
      </w:r>
      <w:r w:rsidR="00C82821">
        <w:rPr>
          <w:szCs w:val="26"/>
          <w:lang w:eastAsia="en-IE"/>
        </w:rPr>
        <w:t>en €14</w:t>
      </w:r>
      <w:r w:rsidRPr="00580D52">
        <w:rPr>
          <w:szCs w:val="26"/>
          <w:lang w:eastAsia="en-IE"/>
        </w:rPr>
        <w:t xml:space="preserve">0 and €350 are assessed at 50%. </w:t>
      </w:r>
      <w:r w:rsidRPr="00580D52">
        <w:rPr>
          <w:szCs w:val="26"/>
          <w:lang w:val="en"/>
        </w:rPr>
        <w:t>All earnings from work over €350 are assessed as income</w:t>
      </w:r>
      <w:r w:rsidR="00F1497E">
        <w:rPr>
          <w:szCs w:val="26"/>
          <w:lang w:val="en"/>
        </w:rPr>
        <w:t>;</w:t>
      </w:r>
      <w:r w:rsidR="00C82821">
        <w:rPr>
          <w:rStyle w:val="FootnoteReference"/>
          <w:szCs w:val="26"/>
          <w:lang w:val="en"/>
        </w:rPr>
        <w:footnoteReference w:id="40"/>
      </w:r>
    </w:p>
    <w:p w14:paraId="5BC4928A" w14:textId="5BBFD55D" w:rsidR="009D3F1E" w:rsidRDefault="009D3F1E" w:rsidP="00724A24">
      <w:pPr>
        <w:pStyle w:val="ListParagraph"/>
        <w:numPr>
          <w:ilvl w:val="0"/>
          <w:numId w:val="7"/>
        </w:numPr>
        <w:spacing w:after="120"/>
        <w:rPr>
          <w:szCs w:val="26"/>
        </w:rPr>
      </w:pPr>
      <w:r w:rsidRPr="00580D52">
        <w:rPr>
          <w:szCs w:val="26"/>
        </w:rPr>
        <w:t>The removal of the restriction that work while on DA must be ‘rehabilitative’ in nature and therefore removing the need for a GP to endorse this form of employment</w:t>
      </w:r>
      <w:r w:rsidR="00F1497E">
        <w:rPr>
          <w:szCs w:val="26"/>
        </w:rPr>
        <w:t>.</w:t>
      </w:r>
    </w:p>
    <w:p w14:paraId="76601BCD" w14:textId="77777777" w:rsidR="00CF3F32" w:rsidRPr="008C5041" w:rsidRDefault="00CF3F32" w:rsidP="00E03CA8">
      <w:pPr>
        <w:pStyle w:val="Heading2"/>
        <w:rPr>
          <w:rFonts w:eastAsia="Times New Roman"/>
          <w:lang w:val="en-GB"/>
        </w:rPr>
      </w:pPr>
      <w:r w:rsidRPr="008C5041">
        <w:rPr>
          <w:rFonts w:eastAsia="Times New Roman"/>
          <w:lang w:val="en-GB"/>
        </w:rPr>
        <w:t>National Skills Strategy</w:t>
      </w:r>
    </w:p>
    <w:p w14:paraId="10CADC33" w14:textId="0C2913D7" w:rsidR="00182DDF" w:rsidRDefault="00E754E2" w:rsidP="002C68CD">
      <w:pPr>
        <w:rPr>
          <w:rFonts w:cs="Arial"/>
          <w:szCs w:val="26"/>
        </w:rPr>
      </w:pPr>
      <w:r w:rsidRPr="00E754E2">
        <w:rPr>
          <w:rFonts w:eastAsia="Times New Roman"/>
          <w:szCs w:val="26"/>
          <w:lang w:val="en-GB" w:eastAsia="en-GB"/>
        </w:rPr>
        <w:t>Reform is</w:t>
      </w:r>
      <w:r w:rsidR="002B40E5" w:rsidRPr="00E754E2">
        <w:rPr>
          <w:rFonts w:eastAsia="Times New Roman"/>
          <w:szCs w:val="26"/>
          <w:lang w:val="en-GB" w:eastAsia="en-GB"/>
        </w:rPr>
        <w:t xml:space="preserve"> </w:t>
      </w:r>
      <w:r w:rsidR="00944D4B" w:rsidRPr="00E754E2">
        <w:rPr>
          <w:rFonts w:eastAsia="Times New Roman"/>
          <w:szCs w:val="26"/>
          <w:lang w:val="en-GB" w:eastAsia="en-GB"/>
        </w:rPr>
        <w:t xml:space="preserve">also </w:t>
      </w:r>
      <w:r w:rsidR="002B40E5" w:rsidRPr="00E754E2">
        <w:rPr>
          <w:rFonts w:eastAsia="Times New Roman"/>
          <w:szCs w:val="26"/>
          <w:lang w:val="en-GB" w:eastAsia="en-GB"/>
        </w:rPr>
        <w:t xml:space="preserve">underway in </w:t>
      </w:r>
      <w:r w:rsidR="002B40E5" w:rsidRPr="00A340DC">
        <w:rPr>
          <w:rFonts w:eastAsia="Times New Roman"/>
          <w:szCs w:val="26"/>
          <w:lang w:val="en-GB" w:eastAsia="en-GB"/>
        </w:rPr>
        <w:t xml:space="preserve">the </w:t>
      </w:r>
      <w:r w:rsidRPr="00A340DC">
        <w:rPr>
          <w:rFonts w:cs="Open Sans"/>
          <w:szCs w:val="26"/>
          <w:shd w:val="clear" w:color="auto" w:fill="FFFFFF"/>
        </w:rPr>
        <w:t xml:space="preserve">education and training </w:t>
      </w:r>
      <w:r w:rsidR="00A37051">
        <w:rPr>
          <w:rFonts w:cs="Open Sans"/>
          <w:szCs w:val="26"/>
          <w:shd w:val="clear" w:color="auto" w:fill="FFFFFF"/>
        </w:rPr>
        <w:t>sector to ensure a more</w:t>
      </w:r>
      <w:r w:rsidRPr="00A340DC">
        <w:rPr>
          <w:rFonts w:cs="Open Sans"/>
          <w:szCs w:val="26"/>
          <w:shd w:val="clear" w:color="auto" w:fill="FFFFFF"/>
        </w:rPr>
        <w:t xml:space="preserve"> responsive and high quality system that provides all learners with the knowledge and skills they need to participate fully in society and the economy</w:t>
      </w:r>
      <w:r w:rsidRPr="00A340DC">
        <w:rPr>
          <w:rFonts w:eastAsia="Times New Roman"/>
          <w:szCs w:val="26"/>
          <w:lang w:val="en-GB" w:eastAsia="en-GB"/>
        </w:rPr>
        <w:t xml:space="preserve">. </w:t>
      </w:r>
      <w:r w:rsidR="008B692F">
        <w:rPr>
          <w:rFonts w:eastAsia="Times New Roman"/>
          <w:szCs w:val="26"/>
          <w:lang w:val="en-GB" w:eastAsia="en-GB"/>
        </w:rPr>
        <w:t>SOLAS</w:t>
      </w:r>
      <w:r w:rsidR="009D3F1E">
        <w:rPr>
          <w:rStyle w:val="FootnoteReference"/>
          <w:rFonts w:eastAsia="Times New Roman"/>
          <w:szCs w:val="26"/>
          <w:lang w:val="en-GB" w:eastAsia="en-GB"/>
        </w:rPr>
        <w:footnoteReference w:id="41"/>
      </w:r>
      <w:r w:rsidR="00A106DC" w:rsidRPr="00330C1D">
        <w:rPr>
          <w:rFonts w:eastAsia="Times New Roman"/>
          <w:szCs w:val="26"/>
          <w:lang w:val="en-GB" w:eastAsia="en-GB"/>
        </w:rPr>
        <w:t xml:space="preserve"> </w:t>
      </w:r>
      <w:r w:rsidR="009D3F1E">
        <w:rPr>
          <w:rFonts w:eastAsia="Times New Roman"/>
          <w:szCs w:val="26"/>
          <w:lang w:val="en-GB" w:eastAsia="en-GB"/>
        </w:rPr>
        <w:t xml:space="preserve">has </w:t>
      </w:r>
      <w:r>
        <w:rPr>
          <w:rFonts w:eastAsia="Times New Roman"/>
          <w:szCs w:val="26"/>
          <w:lang w:val="en-GB" w:eastAsia="en-GB"/>
        </w:rPr>
        <w:t xml:space="preserve">a role </w:t>
      </w:r>
      <w:r w:rsidR="009D3F1E">
        <w:rPr>
          <w:rFonts w:eastAsia="Times New Roman"/>
          <w:szCs w:val="26"/>
          <w:lang w:val="en-GB" w:eastAsia="en-GB"/>
        </w:rPr>
        <w:t xml:space="preserve">to </w:t>
      </w:r>
      <w:r w:rsidR="009D3F1E">
        <w:rPr>
          <w:rFonts w:cs="Segoe UI"/>
          <w:szCs w:val="26"/>
          <w:lang w:val="en-US"/>
        </w:rPr>
        <w:t>co-ordinate and monitor</w:t>
      </w:r>
      <w:r w:rsidR="00A106DC" w:rsidRPr="00330C1D">
        <w:rPr>
          <w:rFonts w:cs="Segoe UI"/>
          <w:szCs w:val="26"/>
          <w:lang w:val="en-US"/>
        </w:rPr>
        <w:t xml:space="preserve"> Further Education and Training </w:t>
      </w:r>
      <w:r w:rsidR="00561824">
        <w:rPr>
          <w:rFonts w:cs="Segoe UI"/>
          <w:szCs w:val="26"/>
          <w:lang w:val="en-US"/>
        </w:rPr>
        <w:t xml:space="preserve">(FET) </w:t>
      </w:r>
      <w:r w:rsidR="00A106DC" w:rsidRPr="00330C1D">
        <w:rPr>
          <w:rFonts w:cs="Segoe UI"/>
          <w:szCs w:val="26"/>
          <w:lang w:val="en-US"/>
        </w:rPr>
        <w:t xml:space="preserve">provision to develop a sector that is more responsive to the needs of learners and employers, and the needs of </w:t>
      </w:r>
      <w:r w:rsidR="008E0182">
        <w:rPr>
          <w:rFonts w:cs="Arial"/>
          <w:szCs w:val="26"/>
        </w:rPr>
        <w:t>DSP</w:t>
      </w:r>
      <w:r w:rsidR="00A106DC" w:rsidRPr="00330C1D">
        <w:rPr>
          <w:rFonts w:cs="Arial"/>
          <w:szCs w:val="26"/>
        </w:rPr>
        <w:t xml:space="preserve"> priority groups</w:t>
      </w:r>
      <w:r w:rsidR="00A106DC" w:rsidRPr="00B75836">
        <w:rPr>
          <w:rStyle w:val="FootnoteReference"/>
          <w:rFonts w:cs="Arial"/>
          <w:sz w:val="26"/>
          <w:szCs w:val="26"/>
        </w:rPr>
        <w:footnoteReference w:id="42"/>
      </w:r>
      <w:r w:rsidR="000E349D">
        <w:rPr>
          <w:rFonts w:cs="Arial"/>
          <w:szCs w:val="26"/>
        </w:rPr>
        <w:t>.</w:t>
      </w:r>
      <w:r w:rsidR="00B00688">
        <w:rPr>
          <w:rFonts w:cs="Arial"/>
          <w:szCs w:val="26"/>
        </w:rPr>
        <w:t xml:space="preserve"> </w:t>
      </w:r>
      <w:r w:rsidR="008B692F">
        <w:rPr>
          <w:rFonts w:cs="Arial"/>
          <w:szCs w:val="26"/>
        </w:rPr>
        <w:t>SOLAS</w:t>
      </w:r>
      <w:r w:rsidR="00B00688">
        <w:rPr>
          <w:rFonts w:cs="Arial"/>
          <w:szCs w:val="26"/>
        </w:rPr>
        <w:t xml:space="preserve"> </w:t>
      </w:r>
      <w:r w:rsidR="00AC5143">
        <w:rPr>
          <w:rFonts w:cs="Arial"/>
          <w:szCs w:val="26"/>
        </w:rPr>
        <w:t>also has</w:t>
      </w:r>
      <w:r w:rsidR="00C90BD9">
        <w:rPr>
          <w:rFonts w:cs="Arial"/>
          <w:szCs w:val="26"/>
        </w:rPr>
        <w:t xml:space="preserve"> </w:t>
      </w:r>
      <w:r w:rsidR="00B00688">
        <w:rPr>
          <w:rFonts w:cs="Arial"/>
          <w:szCs w:val="26"/>
        </w:rPr>
        <w:t>responsibility for those involved in delivering</w:t>
      </w:r>
      <w:r w:rsidR="00007978">
        <w:rPr>
          <w:rFonts w:cs="Arial"/>
          <w:szCs w:val="26"/>
        </w:rPr>
        <w:t xml:space="preserve"> Specialist Training Provision (STP) who provide a nationwide programme of vocational and employer based training.</w:t>
      </w:r>
      <w:r w:rsidR="00AC5143">
        <w:rPr>
          <w:rFonts w:cs="Arial"/>
          <w:szCs w:val="26"/>
        </w:rPr>
        <w:t xml:space="preserve"> This training model is an important element of vocational rehabilitation</w:t>
      </w:r>
      <w:r w:rsidR="00A340DC">
        <w:rPr>
          <w:rFonts w:cs="Arial"/>
          <w:szCs w:val="26"/>
        </w:rPr>
        <w:t xml:space="preserve"> and through efficient referrals process with Intreo case officers </w:t>
      </w:r>
      <w:r w:rsidR="00A37051">
        <w:rPr>
          <w:rFonts w:cs="Arial"/>
          <w:szCs w:val="26"/>
        </w:rPr>
        <w:t xml:space="preserve">can </w:t>
      </w:r>
      <w:r w:rsidR="00A340DC">
        <w:rPr>
          <w:rFonts w:cs="Arial"/>
          <w:szCs w:val="26"/>
        </w:rPr>
        <w:t>easily form part of the VR pathway.</w:t>
      </w:r>
      <w:r w:rsidR="00785A2A">
        <w:rPr>
          <w:rFonts w:cs="Arial"/>
          <w:szCs w:val="26"/>
        </w:rPr>
        <w:t xml:space="preserve"> </w:t>
      </w:r>
    </w:p>
    <w:p w14:paraId="70CBE795" w14:textId="46146E88" w:rsidR="00182DDF" w:rsidRPr="007A1414" w:rsidRDefault="00182DDF" w:rsidP="00A54C69">
      <w:pPr>
        <w:pStyle w:val="Heading2"/>
      </w:pPr>
      <w:r w:rsidRPr="007A1414">
        <w:t>Statutory Sick Leave Scheme</w:t>
      </w:r>
    </w:p>
    <w:p w14:paraId="33E95171" w14:textId="235CCE27" w:rsidR="002C68CD" w:rsidRPr="007A1414" w:rsidRDefault="0080644A" w:rsidP="006F56CB">
      <w:pPr>
        <w:rPr>
          <w:szCs w:val="26"/>
        </w:rPr>
      </w:pPr>
      <w:r w:rsidRPr="007A1414">
        <w:t xml:space="preserve">The introduction of a statutory sick leave scheme is to be welcomed. The forthcoming OECD publication ”Disability, Work and Inclusion in Ireland: Engaging and supporting employers” states that ‘Paid sick leave protects workers’ </w:t>
      </w:r>
      <w:r w:rsidRPr="007A1414">
        <w:rPr>
          <w:szCs w:val="26"/>
        </w:rPr>
        <w:t>(1) incomes; (2) jobs, by preserving employment relationships; as well as (3) health, by allowing sick workers to recover at home. Working while sick can pr</w:t>
      </w:r>
      <w:r w:rsidR="006F56CB" w:rsidRPr="007A1414">
        <w:rPr>
          <w:szCs w:val="26"/>
        </w:rPr>
        <w:t>olong illness and have further</w:t>
      </w:r>
      <w:r w:rsidR="002B742E" w:rsidRPr="007A1414">
        <w:rPr>
          <w:szCs w:val="26"/>
        </w:rPr>
        <w:t xml:space="preserve"> long term impact</w:t>
      </w:r>
      <w:r w:rsidR="006F56CB" w:rsidRPr="007A1414">
        <w:rPr>
          <w:szCs w:val="26"/>
        </w:rPr>
        <w:t xml:space="preserve">. </w:t>
      </w:r>
      <w:r w:rsidRPr="007A1414">
        <w:rPr>
          <w:szCs w:val="26"/>
        </w:rPr>
        <w:t xml:space="preserve"> Lower infection rates translate into lower absence and lower employer costs. The introduction of paid sick leave in Connecticut and Washington DC, for example, led to an estimated 18% decrease in sick leave, most likely through lower probabilities of get</w:t>
      </w:r>
      <w:r w:rsidR="00CC5D25" w:rsidRPr="007A1414">
        <w:rPr>
          <w:szCs w:val="26"/>
        </w:rPr>
        <w:t xml:space="preserve">ting sick. </w:t>
      </w:r>
    </w:p>
    <w:p w14:paraId="02973FC5" w14:textId="2E35928B" w:rsidR="00AE6ABB" w:rsidRPr="00CB1730" w:rsidRDefault="005321BB" w:rsidP="006F56CB">
      <w:pPr>
        <w:rPr>
          <w:color w:val="000000"/>
          <w:szCs w:val="26"/>
          <w:shd w:val="clear" w:color="auto" w:fill="FFFFFF"/>
        </w:rPr>
      </w:pPr>
      <w:r w:rsidRPr="007A1414">
        <w:rPr>
          <w:szCs w:val="26"/>
        </w:rPr>
        <w:t>T</w:t>
      </w:r>
      <w:r w:rsidR="00CC5D25" w:rsidRPr="007A1414">
        <w:rPr>
          <w:szCs w:val="26"/>
        </w:rPr>
        <w:t xml:space="preserve">he </w:t>
      </w:r>
      <w:r w:rsidRPr="007A1414">
        <w:rPr>
          <w:color w:val="000000"/>
          <w:szCs w:val="26"/>
          <w:shd w:val="clear" w:color="auto" w:fill="FFFFFF"/>
        </w:rPr>
        <w:t>s</w:t>
      </w:r>
      <w:r w:rsidR="00CC5D25" w:rsidRPr="007A1414">
        <w:rPr>
          <w:color w:val="000000"/>
          <w:szCs w:val="26"/>
          <w:shd w:val="clear" w:color="auto" w:fill="FFFFFF"/>
        </w:rPr>
        <w:t>tatutory entitlement to sick pay</w:t>
      </w:r>
      <w:r w:rsidR="002C68CD" w:rsidRPr="007A1414">
        <w:rPr>
          <w:color w:val="000000"/>
          <w:szCs w:val="26"/>
          <w:shd w:val="clear" w:color="auto" w:fill="FFFFFF"/>
        </w:rPr>
        <w:t xml:space="preserve"> in Ireland</w:t>
      </w:r>
      <w:r w:rsidR="00CC5D25" w:rsidRPr="007A1414">
        <w:rPr>
          <w:color w:val="000000"/>
          <w:szCs w:val="26"/>
          <w:shd w:val="clear" w:color="auto" w:fill="FFFFFF"/>
        </w:rPr>
        <w:t xml:space="preserve"> will be phased in as part of a 4-year plan and will initially be for 3 days per annum in 2022. This will effectively fill the gap in coverage caused by Illness Benefit waiting days. Closing the gap of current waiting days before being able to access Illness Benefit will minimise the numbers of sick employees presenting for work</w:t>
      </w:r>
      <w:r w:rsidRPr="007A1414">
        <w:rPr>
          <w:color w:val="000000"/>
          <w:szCs w:val="26"/>
          <w:shd w:val="clear" w:color="auto" w:fill="FFFFFF"/>
        </w:rPr>
        <w:t xml:space="preserve">. This new measure will allow people to view returning to work in a new way. </w:t>
      </w:r>
      <w:r w:rsidR="002C68CD" w:rsidRPr="007A1414">
        <w:rPr>
          <w:color w:val="000000"/>
          <w:szCs w:val="26"/>
          <w:shd w:val="clear" w:color="auto" w:fill="FFFFFF"/>
        </w:rPr>
        <w:t>The NDA advises that f</w:t>
      </w:r>
      <w:r w:rsidRPr="007A1414">
        <w:rPr>
          <w:color w:val="000000"/>
          <w:szCs w:val="26"/>
          <w:shd w:val="clear" w:color="auto" w:fill="FFFFFF"/>
        </w:rPr>
        <w:t>urther work is necessary to link sick leave with access to vocation</w:t>
      </w:r>
      <w:r w:rsidR="006F56CB" w:rsidRPr="007A1414">
        <w:rPr>
          <w:color w:val="000000"/>
          <w:szCs w:val="26"/>
          <w:shd w:val="clear" w:color="auto" w:fill="FFFFFF"/>
        </w:rPr>
        <w:t>al rehabilitation interventions for those conditions that are long term.</w:t>
      </w:r>
      <w:r w:rsidR="00CB1730" w:rsidRPr="007A1414">
        <w:rPr>
          <w:color w:val="000000"/>
          <w:szCs w:val="26"/>
          <w:shd w:val="clear" w:color="auto" w:fill="FFFFFF"/>
        </w:rPr>
        <w:t xml:space="preserve"> Further consideration is echoed by the OECD when they stated that</w:t>
      </w:r>
      <w:r w:rsidR="00AF55E3" w:rsidRPr="007A1414">
        <w:rPr>
          <w:color w:val="000000"/>
          <w:szCs w:val="26"/>
          <w:shd w:val="clear" w:color="auto" w:fill="FFFFFF"/>
        </w:rPr>
        <w:t xml:space="preserve"> with</w:t>
      </w:r>
      <w:r w:rsidR="00CB1730" w:rsidRPr="007A1414">
        <w:rPr>
          <w:color w:val="000000"/>
          <w:szCs w:val="26"/>
          <w:shd w:val="clear" w:color="auto" w:fill="FFFFFF"/>
        </w:rPr>
        <w:t xml:space="preserve"> ‘</w:t>
      </w:r>
      <w:r w:rsidR="00CB1730" w:rsidRPr="007A1414">
        <w:t>the introduction of statutory sick pay, the Irish Government should aim for an encompassing system that covers all health conditions and all types of employment, to realise the largest gains for workers and the Irish population at large. Ireland should also consider implementing a vocational rehabilitation pathway, with shared responsibilities with the employers. Vocational rehabilitation helps to restore and develop skills and capabilities of employed persons with disabilities, so that they can continue to participate in the general workforce</w:t>
      </w:r>
      <w:r w:rsidR="00AF55E3" w:rsidRPr="007A1414">
        <w:t>.</w:t>
      </w:r>
      <w:r w:rsidR="00CB1730" w:rsidRPr="007A1414">
        <w:t>’</w:t>
      </w:r>
    </w:p>
    <w:p w14:paraId="71274348" w14:textId="5A314C35" w:rsidR="00AE6ABB" w:rsidRPr="0088292A" w:rsidRDefault="00AC5143" w:rsidP="00A340DC">
      <w:pPr>
        <w:spacing w:after="0" w:line="259" w:lineRule="auto"/>
        <w:rPr>
          <w:rFonts w:eastAsia="Times New Roman" w:cs="Arial"/>
          <w:szCs w:val="26"/>
          <w:lang w:val="en-GB"/>
        </w:rPr>
      </w:pPr>
      <w:r>
        <w:rPr>
          <w:rFonts w:eastAsia="Times New Roman" w:cs="Arial"/>
          <w:szCs w:val="26"/>
          <w:lang w:val="en-GB"/>
        </w:rPr>
        <w:t xml:space="preserve">The </w:t>
      </w:r>
      <w:r w:rsidR="00AE6ABB">
        <w:rPr>
          <w:rFonts w:eastAsia="Times New Roman" w:cs="Arial"/>
          <w:szCs w:val="26"/>
          <w:lang w:val="en-GB"/>
        </w:rPr>
        <w:t xml:space="preserve">NDA </w:t>
      </w:r>
      <w:r>
        <w:rPr>
          <w:rFonts w:eastAsia="Times New Roman" w:cs="Arial"/>
          <w:szCs w:val="26"/>
          <w:lang w:val="en-GB"/>
        </w:rPr>
        <w:t xml:space="preserve">highlights these developments across the spectrum of the system to illustrate that there is progress and development with regard to the provision of supports both at the mainstream agency level such as Intreo as </w:t>
      </w:r>
      <w:r w:rsidR="00A37051">
        <w:rPr>
          <w:rFonts w:eastAsia="Times New Roman" w:cs="Arial"/>
          <w:szCs w:val="26"/>
          <w:lang w:val="en-GB"/>
        </w:rPr>
        <w:t xml:space="preserve">the </w:t>
      </w:r>
      <w:r w:rsidR="00A37051" w:rsidRPr="008B5018">
        <w:rPr>
          <w:color w:val="000000"/>
          <w:szCs w:val="26"/>
          <w:lang w:eastAsia="en-IE"/>
        </w:rPr>
        <w:t>single point of contact for all</w:t>
      </w:r>
      <w:r w:rsidR="0088292A">
        <w:rPr>
          <w:color w:val="000000"/>
          <w:szCs w:val="26"/>
          <w:lang w:eastAsia="en-IE"/>
        </w:rPr>
        <w:t xml:space="preserve"> employment and income support,</w:t>
      </w:r>
      <w:r w:rsidR="00A37051">
        <w:rPr>
          <w:rFonts w:eastAsia="Times New Roman" w:cs="Arial"/>
          <w:szCs w:val="26"/>
          <w:lang w:val="en-GB"/>
        </w:rPr>
        <w:t xml:space="preserve"> </w:t>
      </w:r>
      <w:r>
        <w:rPr>
          <w:rFonts w:eastAsia="Times New Roman" w:cs="Arial"/>
          <w:szCs w:val="26"/>
          <w:lang w:val="en-GB"/>
        </w:rPr>
        <w:t xml:space="preserve">and at the particular or tailored level such as specialist training provision. </w:t>
      </w:r>
      <w:r w:rsidR="00854E18">
        <w:rPr>
          <w:rFonts w:eastAsia="Times New Roman" w:cs="Arial"/>
          <w:szCs w:val="26"/>
          <w:lang w:val="en-GB"/>
        </w:rPr>
        <w:t>The Irish system of benefits, supports</w:t>
      </w:r>
      <w:r w:rsidR="0088292A">
        <w:rPr>
          <w:rFonts w:eastAsia="Times New Roman" w:cs="Arial"/>
          <w:szCs w:val="26"/>
          <w:lang w:val="en-GB"/>
        </w:rPr>
        <w:t>, and</w:t>
      </w:r>
      <w:r w:rsidR="00854E18">
        <w:rPr>
          <w:rFonts w:eastAsia="Times New Roman" w:cs="Arial"/>
          <w:szCs w:val="26"/>
          <w:lang w:val="en-GB"/>
        </w:rPr>
        <w:t xml:space="preserve"> education provision has </w:t>
      </w:r>
      <w:r w:rsidR="006056BE">
        <w:rPr>
          <w:rFonts w:eastAsia="Times New Roman" w:cs="Arial"/>
          <w:szCs w:val="26"/>
          <w:lang w:val="en-GB"/>
        </w:rPr>
        <w:t xml:space="preserve">already </w:t>
      </w:r>
      <w:r w:rsidR="00854E18">
        <w:rPr>
          <w:rFonts w:eastAsia="Times New Roman" w:cs="Arial"/>
          <w:szCs w:val="26"/>
          <w:lang w:val="en-GB"/>
        </w:rPr>
        <w:t xml:space="preserve">undergone </w:t>
      </w:r>
      <w:r w:rsidR="006056BE">
        <w:rPr>
          <w:rFonts w:eastAsia="Times New Roman" w:cs="Arial"/>
          <w:szCs w:val="26"/>
          <w:lang w:val="en-GB"/>
        </w:rPr>
        <w:t xml:space="preserve">substantial </w:t>
      </w:r>
      <w:r w:rsidR="00854E18">
        <w:rPr>
          <w:rFonts w:eastAsia="Times New Roman" w:cs="Arial"/>
          <w:szCs w:val="26"/>
          <w:lang w:val="en-GB"/>
        </w:rPr>
        <w:t xml:space="preserve">reform and change. With some further capacity building </w:t>
      </w:r>
      <w:r w:rsidR="0088292A">
        <w:rPr>
          <w:rFonts w:eastAsia="Times New Roman" w:cs="Arial"/>
          <w:szCs w:val="26"/>
          <w:lang w:val="en-GB"/>
        </w:rPr>
        <w:t xml:space="preserve">to include delivery of tailored supports, </w:t>
      </w:r>
      <w:r w:rsidR="00854E18">
        <w:rPr>
          <w:rFonts w:eastAsia="Times New Roman" w:cs="Arial"/>
          <w:szCs w:val="26"/>
          <w:lang w:val="en-GB"/>
        </w:rPr>
        <w:t>t</w:t>
      </w:r>
      <w:r>
        <w:rPr>
          <w:rFonts w:eastAsia="Times New Roman" w:cs="Arial"/>
          <w:szCs w:val="26"/>
          <w:lang w:val="en-GB"/>
        </w:rPr>
        <w:t xml:space="preserve">he implementation of agreed protocols and efficient </w:t>
      </w:r>
      <w:r w:rsidR="0088292A">
        <w:rPr>
          <w:rFonts w:eastAsia="Times New Roman" w:cs="Arial"/>
          <w:szCs w:val="26"/>
          <w:lang w:val="en-GB"/>
        </w:rPr>
        <w:t xml:space="preserve">use of </w:t>
      </w:r>
      <w:r>
        <w:rPr>
          <w:rFonts w:eastAsia="Times New Roman" w:cs="Arial"/>
          <w:szCs w:val="26"/>
          <w:lang w:val="en-GB"/>
        </w:rPr>
        <w:t xml:space="preserve">referrals mechanism </w:t>
      </w:r>
      <w:r w:rsidR="00854E18">
        <w:rPr>
          <w:rFonts w:eastAsia="Times New Roman" w:cs="Arial"/>
          <w:szCs w:val="26"/>
          <w:lang w:val="en-GB"/>
        </w:rPr>
        <w:t xml:space="preserve">there </w:t>
      </w:r>
      <w:r w:rsidR="0088292A">
        <w:rPr>
          <w:rFonts w:eastAsia="Times New Roman" w:cs="Arial"/>
          <w:szCs w:val="26"/>
          <w:lang w:val="en-GB"/>
        </w:rPr>
        <w:t>will</w:t>
      </w:r>
      <w:r w:rsidR="006056BE">
        <w:rPr>
          <w:rFonts w:eastAsia="Times New Roman" w:cs="Arial"/>
          <w:szCs w:val="26"/>
          <w:lang w:val="en-GB"/>
        </w:rPr>
        <w:t xml:space="preserve"> </w:t>
      </w:r>
      <w:r w:rsidR="00854E18">
        <w:rPr>
          <w:rFonts w:eastAsia="Times New Roman" w:cs="Arial"/>
          <w:szCs w:val="26"/>
          <w:lang w:val="en-GB"/>
        </w:rPr>
        <w:t>be</w:t>
      </w:r>
      <w:r>
        <w:rPr>
          <w:rFonts w:eastAsia="Times New Roman" w:cs="Arial"/>
          <w:szCs w:val="26"/>
          <w:lang w:val="en-GB"/>
        </w:rPr>
        <w:t xml:space="preserve"> an impact on those with disabilities who</w:t>
      </w:r>
      <w:r w:rsidR="00AE6ABB">
        <w:rPr>
          <w:rFonts w:eastAsia="Times New Roman" w:cs="Arial"/>
          <w:szCs w:val="26"/>
          <w:lang w:val="en-GB"/>
        </w:rPr>
        <w:t xml:space="preserve"> wish to work. </w:t>
      </w:r>
      <w:r w:rsidR="00854E18">
        <w:rPr>
          <w:rFonts w:eastAsia="Times New Roman" w:cs="Arial"/>
          <w:szCs w:val="26"/>
          <w:lang w:val="en-GB"/>
        </w:rPr>
        <w:t xml:space="preserve">The CES work with regard to high support needs and vocational rehabilitation </w:t>
      </w:r>
      <w:r w:rsidR="006056BE">
        <w:rPr>
          <w:rFonts w:eastAsia="Times New Roman" w:cs="Arial"/>
          <w:szCs w:val="26"/>
          <w:lang w:val="en-GB"/>
        </w:rPr>
        <w:t xml:space="preserve">has </w:t>
      </w:r>
      <w:r w:rsidR="00854E18">
        <w:rPr>
          <w:rFonts w:eastAsia="Times New Roman" w:cs="Arial"/>
          <w:szCs w:val="26"/>
          <w:lang w:val="en-GB"/>
        </w:rPr>
        <w:t xml:space="preserve">illustrated that the provision of tailored supports for people with disabilities </w:t>
      </w:r>
      <w:r w:rsidR="006056BE">
        <w:rPr>
          <w:rFonts w:eastAsia="Times New Roman" w:cs="Arial"/>
          <w:szCs w:val="26"/>
          <w:lang w:val="en-GB"/>
        </w:rPr>
        <w:t xml:space="preserve">also </w:t>
      </w:r>
      <w:r w:rsidR="00854E18">
        <w:rPr>
          <w:rFonts w:eastAsia="Times New Roman" w:cs="Arial"/>
          <w:szCs w:val="26"/>
          <w:lang w:val="en-GB"/>
        </w:rPr>
        <w:t xml:space="preserve">requires the involvement of disability organisations who are providing </w:t>
      </w:r>
      <w:r w:rsidR="00561824">
        <w:rPr>
          <w:rFonts w:eastAsia="Times New Roman" w:cs="Arial"/>
          <w:szCs w:val="26"/>
          <w:lang w:val="en-GB"/>
        </w:rPr>
        <w:t xml:space="preserve">some of </w:t>
      </w:r>
      <w:r w:rsidR="00854E18">
        <w:rPr>
          <w:rFonts w:eastAsia="Times New Roman" w:cs="Arial"/>
          <w:szCs w:val="26"/>
          <w:lang w:val="en-GB"/>
        </w:rPr>
        <w:t>these supports at a local level.</w:t>
      </w:r>
      <w:r w:rsidR="006F56CB">
        <w:rPr>
          <w:rStyle w:val="FootnoteReference"/>
          <w:rFonts w:eastAsia="Times New Roman" w:cs="Arial"/>
          <w:szCs w:val="26"/>
          <w:lang w:val="en-GB"/>
        </w:rPr>
        <w:footnoteReference w:id="43"/>
      </w:r>
    </w:p>
    <w:p w14:paraId="0A4D0530" w14:textId="7A43296A" w:rsidR="00330C1D" w:rsidRDefault="00330C1D" w:rsidP="006E0997">
      <w:pPr>
        <w:pStyle w:val="Heading1"/>
        <w:pBdr>
          <w:bottom w:val="single" w:sz="4" w:space="8" w:color="auto"/>
        </w:pBdr>
        <w:rPr>
          <w:lang w:val="en-GB"/>
        </w:rPr>
      </w:pPr>
      <w:r>
        <w:rPr>
          <w:lang w:val="en-GB"/>
        </w:rPr>
        <w:t xml:space="preserve">Gaps in </w:t>
      </w:r>
      <w:r w:rsidR="00106A9A">
        <w:rPr>
          <w:lang w:val="en-GB"/>
        </w:rPr>
        <w:t>Vocational</w:t>
      </w:r>
      <w:r w:rsidR="00B334D9">
        <w:rPr>
          <w:lang w:val="en-GB"/>
        </w:rPr>
        <w:t xml:space="preserve"> Rehabilitation</w:t>
      </w:r>
      <w:r w:rsidR="00D70EB3">
        <w:rPr>
          <w:lang w:val="en-GB"/>
        </w:rPr>
        <w:t xml:space="preserve"> in Ireland</w:t>
      </w:r>
    </w:p>
    <w:p w14:paraId="47CCC8CC" w14:textId="6E00650E" w:rsidR="0039076A" w:rsidRDefault="009F252A" w:rsidP="00B334D9">
      <w:pPr>
        <w:rPr>
          <w:szCs w:val="26"/>
        </w:rPr>
      </w:pPr>
      <w:r>
        <w:t>While the above summary highlights the extensive range of activity underway to implement national policies</w:t>
      </w:r>
      <w:r w:rsidR="00C90BD9">
        <w:t xml:space="preserve"> relevant to improving employment outcomes for persons with disabilities</w:t>
      </w:r>
      <w:r>
        <w:t xml:space="preserve">, there remain some gaps that would need to be addressed in order to secure an effective approach to </w:t>
      </w:r>
      <w:r w:rsidR="00C90BD9">
        <w:t>vocational rehabilitation</w:t>
      </w:r>
      <w:r w:rsidR="00DB1C1D">
        <w:t>.</w:t>
      </w:r>
      <w:r>
        <w:t xml:space="preserve"> </w:t>
      </w:r>
      <w:r w:rsidR="00CB1730">
        <w:t xml:space="preserve"> </w:t>
      </w:r>
    </w:p>
    <w:p w14:paraId="16400318" w14:textId="77777777" w:rsidR="006F7D7B" w:rsidRPr="009F252A" w:rsidRDefault="0028534F" w:rsidP="00B334D9">
      <w:r>
        <w:rPr>
          <w:szCs w:val="26"/>
        </w:rPr>
        <w:t>NDA advises a se</w:t>
      </w:r>
      <w:r w:rsidR="00A7315B">
        <w:rPr>
          <w:szCs w:val="26"/>
        </w:rPr>
        <w:t>ries of elements are required for</w:t>
      </w:r>
      <w:r>
        <w:rPr>
          <w:szCs w:val="26"/>
        </w:rPr>
        <w:t xml:space="preserve"> an effective system of vocational rehabilitation</w:t>
      </w:r>
      <w:r w:rsidR="00A7315B">
        <w:rPr>
          <w:szCs w:val="26"/>
        </w:rPr>
        <w:t xml:space="preserve"> suitable for Ireland</w:t>
      </w:r>
      <w:r>
        <w:rPr>
          <w:szCs w:val="26"/>
        </w:rPr>
        <w:t>, and these are set out below.</w:t>
      </w:r>
    </w:p>
    <w:p w14:paraId="30C3600C" w14:textId="77777777" w:rsidR="00C530E7" w:rsidRDefault="00C530E7" w:rsidP="00C530E7">
      <w:pPr>
        <w:pStyle w:val="Heading2"/>
        <w:rPr>
          <w:rFonts w:eastAsia="Calibri"/>
          <w:lang w:val="en-GB"/>
        </w:rPr>
      </w:pPr>
      <w:r>
        <w:rPr>
          <w:rFonts w:eastAsia="Calibri"/>
          <w:lang w:val="en-GB"/>
        </w:rPr>
        <w:t xml:space="preserve">Early intervention essential </w:t>
      </w:r>
    </w:p>
    <w:p w14:paraId="52488C44" w14:textId="77777777" w:rsidR="00094933" w:rsidRDefault="00823669" w:rsidP="00C81B2D">
      <w:pPr>
        <w:rPr>
          <w:rFonts w:eastAsia="Calibri"/>
          <w:szCs w:val="26"/>
          <w:lang w:val="en-GB"/>
        </w:rPr>
      </w:pPr>
      <w:r>
        <w:rPr>
          <w:rFonts w:eastAsia="Calibri"/>
          <w:szCs w:val="26"/>
          <w:lang w:val="en-GB"/>
        </w:rPr>
        <w:t xml:space="preserve">For those who experience acquired disability and or long term health conditions </w:t>
      </w:r>
      <w:r w:rsidR="004B75F5">
        <w:rPr>
          <w:rFonts w:eastAsia="Calibri"/>
          <w:szCs w:val="26"/>
          <w:lang w:val="en-GB"/>
        </w:rPr>
        <w:t>Ireland does not have an early intervention process</w:t>
      </w:r>
      <w:r>
        <w:rPr>
          <w:rFonts w:eastAsia="Calibri"/>
          <w:szCs w:val="26"/>
          <w:lang w:val="en-GB"/>
        </w:rPr>
        <w:t>. NDA commissioned research</w:t>
      </w:r>
      <w:r w:rsidR="004B75F5">
        <w:rPr>
          <w:rFonts w:eastAsia="Calibri"/>
          <w:szCs w:val="26"/>
          <w:lang w:val="en-GB"/>
        </w:rPr>
        <w:t xml:space="preserve"> </w:t>
      </w:r>
      <w:r w:rsidR="00C530E7">
        <w:rPr>
          <w:rFonts w:eastAsia="Calibri"/>
          <w:szCs w:val="26"/>
          <w:lang w:val="en-GB"/>
        </w:rPr>
        <w:t xml:space="preserve">shows that the likelihood of re-entry to work </w:t>
      </w:r>
      <w:r w:rsidR="0028534F">
        <w:rPr>
          <w:rFonts w:eastAsia="Calibri"/>
          <w:szCs w:val="26"/>
          <w:lang w:val="en-GB"/>
        </w:rPr>
        <w:t>declines</w:t>
      </w:r>
      <w:r w:rsidR="00C530E7">
        <w:rPr>
          <w:rFonts w:eastAsia="Calibri"/>
          <w:szCs w:val="26"/>
          <w:lang w:val="en-GB"/>
        </w:rPr>
        <w:t xml:space="preserve"> the longer someone has been out of work.</w:t>
      </w:r>
      <w:r w:rsidR="00C530E7">
        <w:rPr>
          <w:rStyle w:val="FootnoteReference"/>
          <w:rFonts w:eastAsia="Calibri"/>
          <w:szCs w:val="26"/>
          <w:lang w:val="en-GB"/>
        </w:rPr>
        <w:footnoteReference w:id="44"/>
      </w:r>
      <w:r w:rsidR="00C530E7">
        <w:rPr>
          <w:rFonts w:eastAsia="Calibri"/>
          <w:szCs w:val="26"/>
          <w:lang w:val="en-GB"/>
        </w:rPr>
        <w:t xml:space="preserve"> Indeed, for many private sector workers, after six months, there may no longer be a job to return to.</w:t>
      </w:r>
      <w:r w:rsidR="00C530E7">
        <w:rPr>
          <w:rStyle w:val="FootnoteReference"/>
          <w:rFonts w:eastAsia="Calibri"/>
          <w:szCs w:val="26"/>
          <w:lang w:val="en-GB"/>
        </w:rPr>
        <w:footnoteReference w:id="45"/>
      </w:r>
      <w:r w:rsidR="00C530E7">
        <w:rPr>
          <w:rFonts w:eastAsia="Calibri"/>
          <w:szCs w:val="26"/>
          <w:lang w:val="en-GB"/>
        </w:rPr>
        <w:t xml:space="preserve"> This emphasises the importance of early intervention to keep work on the individual’s agenda, with research suggesting that 6-10 weeks after leaving work is the critical intervention period. </w:t>
      </w:r>
      <w:r w:rsidR="00C530E7">
        <w:rPr>
          <w:rStyle w:val="FootnoteReference"/>
          <w:rFonts w:eastAsia="Calibri"/>
          <w:szCs w:val="26"/>
          <w:lang w:val="en-GB"/>
        </w:rPr>
        <w:footnoteReference w:id="46"/>
      </w:r>
      <w:r w:rsidR="00094933" w:rsidRPr="004744A3">
        <w:rPr>
          <w:lang w:val="en-GB"/>
        </w:rPr>
        <w:t xml:space="preserve">The NDA suggest that </w:t>
      </w:r>
      <w:r w:rsidR="00094933">
        <w:rPr>
          <w:lang w:val="en-GB"/>
        </w:rPr>
        <w:t>w</w:t>
      </w:r>
      <w:r w:rsidR="00094933" w:rsidRPr="004744A3">
        <w:rPr>
          <w:lang w:val="en-GB"/>
        </w:rPr>
        <w:t>hile the average early intervention milestone is usually between one week and three months, it can vary widely depending on the severity and complexity of the health condition.</w:t>
      </w:r>
      <w:r>
        <w:rPr>
          <w:lang w:val="en-GB"/>
        </w:rPr>
        <w:t xml:space="preserve"> The NDA also advice that for employers and employees may require the services of an occupational health professional to support a return to work.</w:t>
      </w:r>
    </w:p>
    <w:p w14:paraId="4439F9B9" w14:textId="77777777" w:rsidR="0069320A" w:rsidRDefault="0069320A" w:rsidP="0069320A">
      <w:pPr>
        <w:pStyle w:val="Heading2"/>
        <w:rPr>
          <w:rFonts w:eastAsia="Calibri"/>
          <w:lang w:val="en-GB"/>
        </w:rPr>
      </w:pPr>
      <w:r>
        <w:rPr>
          <w:rFonts w:eastAsia="Calibri"/>
          <w:lang w:val="en-GB"/>
        </w:rPr>
        <w:t>Medical rehabilitation an important first step</w:t>
      </w:r>
    </w:p>
    <w:p w14:paraId="7F2E130F" w14:textId="77777777" w:rsidR="00C530E7" w:rsidRDefault="0028534F" w:rsidP="00C81B2D">
      <w:pPr>
        <w:rPr>
          <w:rFonts w:eastAsia="Calibri"/>
          <w:szCs w:val="26"/>
          <w:lang w:val="en-GB"/>
        </w:rPr>
      </w:pPr>
      <w:r>
        <w:rPr>
          <w:rFonts w:eastAsia="Calibri"/>
          <w:szCs w:val="26"/>
          <w:lang w:val="en-GB"/>
        </w:rPr>
        <w:t>M</w:t>
      </w:r>
      <w:r w:rsidR="00EB4B0F">
        <w:rPr>
          <w:rFonts w:eastAsia="Calibri"/>
          <w:szCs w:val="26"/>
          <w:lang w:val="en-GB"/>
        </w:rPr>
        <w:t>edical rehabilitation is for many an important first step on the journey back to work</w:t>
      </w:r>
      <w:r>
        <w:rPr>
          <w:rFonts w:eastAsia="Calibri"/>
          <w:szCs w:val="26"/>
          <w:lang w:val="en-GB"/>
        </w:rPr>
        <w:t>, but NDA advises the importance of vocational rehabilitation being considered as part of clinical recovery pathways</w:t>
      </w:r>
      <w:r w:rsidR="00EB4B0F">
        <w:rPr>
          <w:rFonts w:eastAsia="Calibri"/>
          <w:szCs w:val="26"/>
          <w:lang w:val="en-GB"/>
        </w:rPr>
        <w:t>. The National Neuro-Rehabilitation Strategy</w:t>
      </w:r>
      <w:r w:rsidR="004B75F5">
        <w:rPr>
          <w:rFonts w:eastAsia="Calibri"/>
          <w:szCs w:val="26"/>
          <w:lang w:val="en-GB"/>
        </w:rPr>
        <w:t xml:space="preserve"> [2011</w:t>
      </w:r>
      <w:r w:rsidR="004A48C4">
        <w:rPr>
          <w:rFonts w:eastAsia="Calibri"/>
          <w:szCs w:val="26"/>
          <w:lang w:val="en-GB"/>
        </w:rPr>
        <w:t>]</w:t>
      </w:r>
      <w:r w:rsidR="00EB4B0F">
        <w:rPr>
          <w:rFonts w:eastAsia="Calibri"/>
          <w:szCs w:val="26"/>
          <w:lang w:val="en-GB"/>
        </w:rPr>
        <w:t>, and its</w:t>
      </w:r>
      <w:r w:rsidR="004A48C4">
        <w:rPr>
          <w:rFonts w:eastAsia="Calibri"/>
          <w:szCs w:val="26"/>
          <w:lang w:val="en-GB"/>
        </w:rPr>
        <w:t xml:space="preserve"> associated</w:t>
      </w:r>
      <w:r w:rsidR="00EB4B0F">
        <w:rPr>
          <w:rFonts w:eastAsia="Calibri"/>
          <w:szCs w:val="26"/>
          <w:lang w:val="en-GB"/>
        </w:rPr>
        <w:t xml:space="preserve"> implementation plan,</w:t>
      </w:r>
      <w:r w:rsidR="00F81534">
        <w:rPr>
          <w:rStyle w:val="FootnoteReference"/>
          <w:rFonts w:eastAsia="Calibri"/>
          <w:szCs w:val="26"/>
          <w:lang w:val="en-GB"/>
        </w:rPr>
        <w:footnoteReference w:id="47"/>
      </w:r>
      <w:r w:rsidR="00EB4B0F">
        <w:rPr>
          <w:rFonts w:eastAsia="Calibri"/>
          <w:szCs w:val="26"/>
          <w:lang w:val="en-GB"/>
        </w:rPr>
        <w:t xml:space="preserve"> </w:t>
      </w:r>
      <w:r>
        <w:rPr>
          <w:rFonts w:eastAsia="Calibri"/>
          <w:szCs w:val="26"/>
          <w:lang w:val="en-GB"/>
        </w:rPr>
        <w:t xml:space="preserve">has </w:t>
      </w:r>
      <w:r w:rsidR="00EB4B0F">
        <w:rPr>
          <w:rFonts w:eastAsia="Calibri"/>
          <w:szCs w:val="26"/>
          <w:lang w:val="en-GB"/>
        </w:rPr>
        <w:t xml:space="preserve">laid out the models of </w:t>
      </w:r>
      <w:r w:rsidR="00FC581F">
        <w:rPr>
          <w:rFonts w:eastAsia="Calibri"/>
          <w:szCs w:val="26"/>
          <w:lang w:val="en-GB"/>
        </w:rPr>
        <w:t>community</w:t>
      </w:r>
      <w:r w:rsidR="008E0182">
        <w:rPr>
          <w:rFonts w:eastAsia="Calibri"/>
          <w:szCs w:val="26"/>
          <w:lang w:val="en-GB"/>
        </w:rPr>
        <w:t>-</w:t>
      </w:r>
      <w:r w:rsidR="00FC581F">
        <w:rPr>
          <w:rFonts w:eastAsia="Calibri"/>
          <w:szCs w:val="26"/>
          <w:lang w:val="en-GB"/>
        </w:rPr>
        <w:t xml:space="preserve">based </w:t>
      </w:r>
      <w:r w:rsidR="00EB4B0F">
        <w:rPr>
          <w:rFonts w:eastAsia="Calibri"/>
          <w:szCs w:val="26"/>
          <w:lang w:val="en-GB"/>
        </w:rPr>
        <w:t xml:space="preserve">care </w:t>
      </w:r>
      <w:r w:rsidR="004A48C4">
        <w:rPr>
          <w:rFonts w:eastAsia="Calibri"/>
          <w:szCs w:val="26"/>
          <w:lang w:val="en-GB"/>
        </w:rPr>
        <w:t xml:space="preserve">required to facilitate and support the medical rehabilitation of those </w:t>
      </w:r>
      <w:r w:rsidR="00EB4B0F">
        <w:rPr>
          <w:rFonts w:eastAsia="Calibri"/>
          <w:szCs w:val="26"/>
          <w:lang w:val="en-GB"/>
        </w:rPr>
        <w:t>who have experienced major neurological trauma such as spinal cord injuries, acquired brain injuries or stroke</w:t>
      </w:r>
      <w:r w:rsidR="005B0850">
        <w:rPr>
          <w:rStyle w:val="FootnoteReference"/>
          <w:rFonts w:eastAsia="Calibri"/>
          <w:szCs w:val="26"/>
          <w:lang w:val="en-GB"/>
        </w:rPr>
        <w:footnoteReference w:id="48"/>
      </w:r>
      <w:r w:rsidR="00EB4B0F">
        <w:rPr>
          <w:rFonts w:eastAsia="Calibri"/>
          <w:szCs w:val="26"/>
          <w:lang w:val="en-GB"/>
        </w:rPr>
        <w:t xml:space="preserve">. </w:t>
      </w:r>
      <w:r w:rsidR="004B75F5">
        <w:rPr>
          <w:rFonts w:eastAsia="Calibri"/>
          <w:szCs w:val="26"/>
          <w:lang w:val="en-GB"/>
        </w:rPr>
        <w:t xml:space="preserve">However </w:t>
      </w:r>
      <w:r w:rsidR="002F771E">
        <w:rPr>
          <w:rFonts w:eastAsia="Calibri"/>
          <w:szCs w:val="26"/>
          <w:lang w:val="en-GB"/>
        </w:rPr>
        <w:t>while the Neuro–</w:t>
      </w:r>
      <w:r w:rsidR="00561824">
        <w:rPr>
          <w:rFonts w:eastAsia="Calibri"/>
          <w:szCs w:val="26"/>
          <w:lang w:val="en-GB"/>
        </w:rPr>
        <w:t xml:space="preserve">Rehabilitation strategy does acknowledge vocational rehabilitation </w:t>
      </w:r>
      <w:r w:rsidR="004B75F5">
        <w:rPr>
          <w:rFonts w:eastAsia="Calibri"/>
          <w:szCs w:val="26"/>
          <w:lang w:val="en-GB"/>
        </w:rPr>
        <w:t>the</w:t>
      </w:r>
      <w:r w:rsidR="00561824">
        <w:rPr>
          <w:rFonts w:eastAsia="Calibri"/>
          <w:szCs w:val="26"/>
          <w:lang w:val="en-GB"/>
        </w:rPr>
        <w:t xml:space="preserve">re is limited or no referral from that system of rehabilitation to </w:t>
      </w:r>
      <w:r w:rsidR="002F771E">
        <w:rPr>
          <w:rFonts w:eastAsia="Calibri"/>
          <w:szCs w:val="26"/>
          <w:lang w:val="en-GB"/>
        </w:rPr>
        <w:t>vocational rehabilitation, t</w:t>
      </w:r>
      <w:r w:rsidR="00561824">
        <w:rPr>
          <w:rFonts w:eastAsia="Calibri"/>
          <w:szCs w:val="26"/>
          <w:lang w:val="en-GB"/>
        </w:rPr>
        <w:t>herefore further marginalising those</w:t>
      </w:r>
      <w:r w:rsidR="00F3394F">
        <w:rPr>
          <w:rFonts w:eastAsia="Calibri"/>
          <w:szCs w:val="26"/>
          <w:lang w:val="en-GB"/>
        </w:rPr>
        <w:t xml:space="preserve"> that</w:t>
      </w:r>
      <w:r w:rsidR="004F292F">
        <w:rPr>
          <w:rFonts w:eastAsia="Calibri"/>
          <w:szCs w:val="26"/>
          <w:lang w:val="en-GB"/>
        </w:rPr>
        <w:t xml:space="preserve"> could benefit from </w:t>
      </w:r>
      <w:r w:rsidR="00F3394F">
        <w:rPr>
          <w:rFonts w:eastAsia="Calibri"/>
          <w:szCs w:val="26"/>
          <w:lang w:val="en-GB"/>
        </w:rPr>
        <w:t xml:space="preserve">assistance to support the return to work. </w:t>
      </w:r>
    </w:p>
    <w:p w14:paraId="259E1306" w14:textId="77777777" w:rsidR="00A7315B" w:rsidRPr="007F0A03" w:rsidRDefault="00A7315B" w:rsidP="007F0A03">
      <w:pPr>
        <w:spacing w:after="0"/>
        <w:rPr>
          <w:rFonts w:eastAsia="Calibri"/>
          <w:b/>
          <w:szCs w:val="26"/>
          <w:lang w:val="en-GB"/>
        </w:rPr>
      </w:pPr>
      <w:r w:rsidRPr="007F0A03">
        <w:rPr>
          <w:rFonts w:eastAsia="Calibri"/>
          <w:b/>
          <w:szCs w:val="26"/>
          <w:lang w:val="en-GB"/>
        </w:rPr>
        <w:t>Working with employers</w:t>
      </w:r>
    </w:p>
    <w:p w14:paraId="3C4C884C" w14:textId="39470995" w:rsidR="00AB3B36" w:rsidRDefault="00DC1C98" w:rsidP="00CC1954">
      <w:pPr>
        <w:rPr>
          <w:rFonts w:eastAsia="Calibri"/>
          <w:szCs w:val="26"/>
          <w:lang w:val="en-GB"/>
        </w:rPr>
      </w:pPr>
      <w:r>
        <w:rPr>
          <w:rFonts w:eastAsia="Calibri"/>
          <w:szCs w:val="26"/>
          <w:lang w:val="en-GB"/>
        </w:rPr>
        <w:t>Business and the trade union movement has led</w:t>
      </w:r>
      <w:r w:rsidR="007F0A03" w:rsidRPr="004744A3">
        <w:rPr>
          <w:rFonts w:eastAsia="Calibri"/>
          <w:szCs w:val="26"/>
          <w:lang w:val="en-GB"/>
        </w:rPr>
        <w:t xml:space="preserve"> some of the response of</w:t>
      </w:r>
      <w:r w:rsidR="00E754E2" w:rsidRPr="004744A3">
        <w:rPr>
          <w:rFonts w:eastAsia="Calibri"/>
          <w:szCs w:val="26"/>
          <w:lang w:val="en-GB"/>
        </w:rPr>
        <w:t xml:space="preserve"> return to work post</w:t>
      </w:r>
      <w:r w:rsidR="008E0182">
        <w:rPr>
          <w:rFonts w:eastAsia="Calibri"/>
          <w:szCs w:val="26"/>
          <w:lang w:val="en-GB"/>
        </w:rPr>
        <w:t>-</w:t>
      </w:r>
      <w:r w:rsidR="0074659F">
        <w:rPr>
          <w:rFonts w:eastAsia="Calibri"/>
          <w:szCs w:val="26"/>
          <w:lang w:val="en-GB"/>
        </w:rPr>
        <w:t>COVID-19</w:t>
      </w:r>
      <w:r w:rsidR="00E754E2" w:rsidRPr="004744A3">
        <w:rPr>
          <w:rFonts w:eastAsia="Calibri"/>
          <w:szCs w:val="26"/>
          <w:lang w:val="en-GB"/>
        </w:rPr>
        <w:t xml:space="preserve">. </w:t>
      </w:r>
      <w:r w:rsidR="00F07250">
        <w:rPr>
          <w:rFonts w:eastAsia="Calibri"/>
          <w:szCs w:val="26"/>
          <w:lang w:val="en-GB"/>
        </w:rPr>
        <w:t xml:space="preserve">Businesses have adopted measures that have previously supported people with acquired disability back to work. Measures such as </w:t>
      </w:r>
      <w:r w:rsidR="00F07250">
        <w:rPr>
          <w:lang w:val="en-GB"/>
        </w:rPr>
        <w:t>m</w:t>
      </w:r>
      <w:r w:rsidR="007F0A03" w:rsidRPr="004744A3">
        <w:rPr>
          <w:lang w:val="en-GB"/>
        </w:rPr>
        <w:t>aking con</w:t>
      </w:r>
      <w:r w:rsidR="00F07250">
        <w:rPr>
          <w:lang w:val="en-GB"/>
        </w:rPr>
        <w:t xml:space="preserve">tact with absent employees, </w:t>
      </w:r>
      <w:r w:rsidR="007F0A03" w:rsidRPr="004744A3">
        <w:rPr>
          <w:lang w:val="en-GB"/>
        </w:rPr>
        <w:t>providing necessary interventions in a safe and timely manner while the person has an employment contract,</w:t>
      </w:r>
      <w:r w:rsidR="00F07250">
        <w:rPr>
          <w:lang w:val="en-GB"/>
        </w:rPr>
        <w:t xml:space="preserve"> and staggered return to work attendance are all measures of a proven </w:t>
      </w:r>
      <w:r w:rsidR="007F0A03" w:rsidRPr="004744A3">
        <w:rPr>
          <w:lang w:val="en-GB"/>
        </w:rPr>
        <w:t>successful return to work</w:t>
      </w:r>
      <w:r w:rsidR="00F07250">
        <w:rPr>
          <w:lang w:val="en-GB"/>
        </w:rPr>
        <w:t xml:space="preserve"> process</w:t>
      </w:r>
      <w:r w:rsidR="007F0A03" w:rsidRPr="004744A3">
        <w:rPr>
          <w:lang w:val="en-GB"/>
        </w:rPr>
        <w:t xml:space="preserve">. </w:t>
      </w:r>
      <w:r w:rsidR="00AB3B36">
        <w:rPr>
          <w:rFonts w:eastAsia="Calibri"/>
          <w:szCs w:val="26"/>
          <w:lang w:val="en-GB"/>
        </w:rPr>
        <w:t>Measures currently in operation</w:t>
      </w:r>
      <w:r w:rsidR="007F0A03" w:rsidRPr="004744A3">
        <w:rPr>
          <w:rFonts w:eastAsia="Calibri"/>
          <w:szCs w:val="26"/>
          <w:lang w:val="en-GB"/>
        </w:rPr>
        <w:t xml:space="preserve"> </w:t>
      </w:r>
      <w:r w:rsidR="00AB3B36">
        <w:rPr>
          <w:rFonts w:eastAsia="Calibri"/>
          <w:szCs w:val="26"/>
          <w:lang w:val="en-GB"/>
        </w:rPr>
        <w:t xml:space="preserve">illustrate that employers can adapt and change to ensure their workforce can return to a safe place of work. </w:t>
      </w:r>
    </w:p>
    <w:p w14:paraId="026D2F71" w14:textId="7AA95DBB" w:rsidR="008809CB" w:rsidRPr="00071C6A" w:rsidRDefault="008809CB" w:rsidP="00071C6A">
      <w:pPr>
        <w:pStyle w:val="NormalAfterList"/>
      </w:pPr>
      <w:r w:rsidRPr="007A1414">
        <w:t>However additional effort is required to engage employers to adapt and accommodate work activity. To make work accommodation widely available for all workers, including those with disabilities, a statutory entitlement to working-</w:t>
      </w:r>
      <w:r w:rsidRPr="007A1414">
        <w:rPr>
          <w:spacing w:val="-2"/>
        </w:rPr>
        <w:t>time flexibility, working-hour reduction and working from home could be introduced. Such a measure</w:t>
      </w:r>
      <w:r w:rsidRPr="007A1414">
        <w:t>, which would apply to everyone, will reduce employment barriers for persons with disabilities</w:t>
      </w:r>
      <w:r w:rsidRPr="007A1414">
        <w:rPr>
          <w:rStyle w:val="FootnoteReference"/>
        </w:rPr>
        <w:footnoteReference w:id="49"/>
      </w:r>
      <w:r w:rsidRPr="007A1414">
        <w:t>. Information</w:t>
      </w:r>
      <w:r>
        <w:t xml:space="preserve"> and guidance should be made available to employers</w:t>
      </w:r>
      <w:r w:rsidRPr="004C026C">
        <w:t xml:space="preserve"> </w:t>
      </w:r>
      <w:r>
        <w:t>on how to put reasonable accommodation into practice for workers with disabilities</w:t>
      </w:r>
      <w:r w:rsidR="00071C6A">
        <w:t xml:space="preserve"> across on-site and off-site work settings.</w:t>
      </w:r>
      <w:r w:rsidR="00226EB1">
        <w:t xml:space="preserve"> For further details please see NDA publication on reasonable accommodation practice in Ireland 2019</w:t>
      </w:r>
      <w:r w:rsidR="00226EB1">
        <w:rPr>
          <w:rStyle w:val="FootnoteReference"/>
        </w:rPr>
        <w:footnoteReference w:id="50"/>
      </w:r>
    </w:p>
    <w:p w14:paraId="5F15B183" w14:textId="77777777" w:rsidR="00CC1954" w:rsidRPr="00D601D0" w:rsidRDefault="00E754E2" w:rsidP="00CC1954">
      <w:r w:rsidRPr="004744A3">
        <w:rPr>
          <w:rFonts w:eastAsia="Calibri"/>
          <w:szCs w:val="26"/>
          <w:lang w:val="en-GB"/>
        </w:rPr>
        <w:t xml:space="preserve">The NDA commissioned research maintains that employers require a system of vocational rehabilitation that is worth investing in and that will aid rather than impede the return to work </w:t>
      </w:r>
      <w:r w:rsidR="00A16FB2">
        <w:rPr>
          <w:rFonts w:eastAsia="Calibri"/>
          <w:szCs w:val="26"/>
          <w:lang w:val="en-GB"/>
        </w:rPr>
        <w:t>process for staff</w:t>
      </w:r>
      <w:r w:rsidRPr="004744A3">
        <w:rPr>
          <w:rFonts w:eastAsia="Calibri"/>
          <w:szCs w:val="26"/>
          <w:lang w:val="en-GB"/>
        </w:rPr>
        <w:t xml:space="preserve"> with disabilities.</w:t>
      </w:r>
      <w:r w:rsidR="00B81823">
        <w:rPr>
          <w:rFonts w:eastAsia="Calibri"/>
          <w:szCs w:val="26"/>
          <w:lang w:val="en-GB"/>
        </w:rPr>
        <w:t xml:space="preserve"> </w:t>
      </w:r>
      <w:r w:rsidR="00B81823">
        <w:t>Th</w:t>
      </w:r>
      <w:r w:rsidR="00CC1954">
        <w:t xml:space="preserve">e size of an employer </w:t>
      </w:r>
      <w:r w:rsidR="00E96EDF">
        <w:t>business</w:t>
      </w:r>
      <w:r w:rsidR="00CC1954">
        <w:t xml:space="preserve"> will determine the elements of support </w:t>
      </w:r>
      <w:r w:rsidR="00E96EDF">
        <w:t>it has access to</w:t>
      </w:r>
      <w:r w:rsidR="00CC1954">
        <w:t xml:space="preserve">. </w:t>
      </w:r>
      <w:r w:rsidR="00CC1954" w:rsidRPr="00D601D0">
        <w:t xml:space="preserve">A number of large private sector employers </w:t>
      </w:r>
      <w:r w:rsidR="00CC1954">
        <w:t>provide</w:t>
      </w:r>
      <w:r w:rsidR="00CC1954" w:rsidRPr="00D601D0">
        <w:t xml:space="preserve"> employee benefits which are often delivered under contract by private specialist providers.</w:t>
      </w:r>
      <w:r w:rsidR="00CC1954">
        <w:t xml:space="preserve"> </w:t>
      </w:r>
      <w:r w:rsidR="00CC1954" w:rsidRPr="00D601D0">
        <w:t xml:space="preserve">These providers also operate on behalf of insurance providers. Services available include: </w:t>
      </w:r>
    </w:p>
    <w:p w14:paraId="5E47C9A0" w14:textId="77777777" w:rsidR="00CC1954" w:rsidRPr="00D601D0" w:rsidRDefault="00CC1954" w:rsidP="00CC1954">
      <w:pPr>
        <w:numPr>
          <w:ilvl w:val="0"/>
          <w:numId w:val="35"/>
        </w:numPr>
        <w:ind w:left="924" w:hanging="357"/>
        <w:contextualSpacing/>
      </w:pPr>
      <w:r w:rsidRPr="00D601D0">
        <w:t>Work Capacity Evaluation</w:t>
      </w:r>
    </w:p>
    <w:p w14:paraId="030EF391" w14:textId="77777777" w:rsidR="00CC1954" w:rsidRPr="00D601D0" w:rsidRDefault="00CC1954" w:rsidP="00CC1954">
      <w:pPr>
        <w:numPr>
          <w:ilvl w:val="0"/>
          <w:numId w:val="35"/>
        </w:numPr>
        <w:ind w:left="924" w:hanging="357"/>
        <w:contextualSpacing/>
      </w:pPr>
      <w:r w:rsidRPr="00D601D0">
        <w:t>Functional Capacity Evaluation</w:t>
      </w:r>
    </w:p>
    <w:p w14:paraId="6FA2BF7D" w14:textId="77777777" w:rsidR="00CC1954" w:rsidRPr="00D601D0" w:rsidRDefault="00CC1954" w:rsidP="00CC1954">
      <w:pPr>
        <w:numPr>
          <w:ilvl w:val="0"/>
          <w:numId w:val="35"/>
        </w:numPr>
        <w:ind w:left="924" w:hanging="357"/>
        <w:contextualSpacing/>
      </w:pPr>
      <w:r w:rsidRPr="00D601D0">
        <w:t>Worksite Evaluation</w:t>
      </w:r>
    </w:p>
    <w:p w14:paraId="519918FF" w14:textId="77777777" w:rsidR="00CC1954" w:rsidRPr="00D601D0" w:rsidRDefault="00CC1954" w:rsidP="00CC1954">
      <w:pPr>
        <w:numPr>
          <w:ilvl w:val="0"/>
          <w:numId w:val="35"/>
        </w:numPr>
        <w:ind w:left="924" w:hanging="357"/>
        <w:contextualSpacing/>
      </w:pPr>
      <w:r w:rsidRPr="00D601D0">
        <w:t>Ergonomics</w:t>
      </w:r>
    </w:p>
    <w:p w14:paraId="7960BF7B" w14:textId="77777777" w:rsidR="00CC1954" w:rsidRPr="00D601D0" w:rsidRDefault="00CC1954" w:rsidP="00CC1954">
      <w:pPr>
        <w:numPr>
          <w:ilvl w:val="0"/>
          <w:numId w:val="35"/>
        </w:numPr>
        <w:ind w:left="924" w:hanging="357"/>
        <w:contextualSpacing/>
      </w:pPr>
      <w:r w:rsidRPr="00D601D0">
        <w:t>Vocational Redirection Evaluation</w:t>
      </w:r>
    </w:p>
    <w:p w14:paraId="0F9ED184" w14:textId="77777777" w:rsidR="00CC1954" w:rsidRPr="00D601D0" w:rsidRDefault="00CC1954" w:rsidP="00CC1954">
      <w:pPr>
        <w:numPr>
          <w:ilvl w:val="0"/>
          <w:numId w:val="35"/>
        </w:numPr>
        <w:ind w:left="924" w:hanging="357"/>
        <w:contextualSpacing/>
      </w:pPr>
      <w:r w:rsidRPr="00D601D0">
        <w:t>Transferrable Skills Analysis</w:t>
      </w:r>
    </w:p>
    <w:p w14:paraId="5AD863EF" w14:textId="77777777" w:rsidR="00CC1954" w:rsidRPr="00D601D0" w:rsidRDefault="00CC1954" w:rsidP="00CC1954">
      <w:pPr>
        <w:numPr>
          <w:ilvl w:val="0"/>
          <w:numId w:val="35"/>
        </w:numPr>
        <w:ind w:left="924" w:hanging="357"/>
        <w:contextualSpacing/>
      </w:pPr>
      <w:r w:rsidRPr="00D601D0">
        <w:t>Return to Work Case Management</w:t>
      </w:r>
    </w:p>
    <w:p w14:paraId="3A7E9D65" w14:textId="77777777" w:rsidR="00CC1954" w:rsidRPr="00D601D0" w:rsidRDefault="00CC1954" w:rsidP="00CC1954">
      <w:pPr>
        <w:numPr>
          <w:ilvl w:val="0"/>
          <w:numId w:val="35"/>
        </w:numPr>
        <w:ind w:left="924" w:hanging="357"/>
      </w:pPr>
      <w:r w:rsidRPr="00D601D0">
        <w:t>Initial Needs Vocational Rehabilitation Evaluation</w:t>
      </w:r>
    </w:p>
    <w:p w14:paraId="22C46996" w14:textId="2413407C" w:rsidR="00CC1954" w:rsidRPr="006E0997" w:rsidRDefault="00CC1954" w:rsidP="006E0997">
      <w:pPr>
        <w:pStyle w:val="Default"/>
        <w:rPr>
          <w:rFonts w:cs="Times New Roman"/>
          <w:color w:val="auto"/>
          <w:sz w:val="26"/>
          <w:lang w:eastAsia="en-US"/>
        </w:rPr>
      </w:pPr>
      <w:r w:rsidRPr="008B5018">
        <w:rPr>
          <w:color w:val="auto"/>
          <w:sz w:val="26"/>
          <w:szCs w:val="26"/>
        </w:rPr>
        <w:t xml:space="preserve">In some of the jurisdictions studied for smaller sized employer organisations the </w:t>
      </w:r>
      <w:r w:rsidR="00E96EDF">
        <w:rPr>
          <w:color w:val="auto"/>
          <w:sz w:val="26"/>
          <w:szCs w:val="26"/>
        </w:rPr>
        <w:t xml:space="preserve">vocational rehabilitation </w:t>
      </w:r>
      <w:r w:rsidRPr="008B5018">
        <w:rPr>
          <w:color w:val="auto"/>
          <w:sz w:val="26"/>
          <w:szCs w:val="26"/>
        </w:rPr>
        <w:t>case manager sourced these services and interventions.</w:t>
      </w:r>
      <w:r w:rsidR="008B5018" w:rsidRPr="008B5018">
        <w:rPr>
          <w:color w:val="auto"/>
          <w:sz w:val="26"/>
          <w:szCs w:val="26"/>
        </w:rPr>
        <w:t xml:space="preserve"> For example as in the </w:t>
      </w:r>
      <w:r w:rsidR="008B5018" w:rsidRPr="008B5018">
        <w:rPr>
          <w:rFonts w:cs="Calibri"/>
          <w:color w:val="auto"/>
          <w:sz w:val="26"/>
          <w:szCs w:val="26"/>
          <w:lang w:eastAsia="en-US"/>
        </w:rPr>
        <w:t>return to work case managers as modelled in the Scottish example</w:t>
      </w:r>
      <w:r w:rsidR="008B5018">
        <w:rPr>
          <w:rFonts w:cs="Times New Roman"/>
          <w:color w:val="auto"/>
          <w:sz w:val="26"/>
          <w:lang w:eastAsia="en-US"/>
        </w:rPr>
        <w:t>.</w:t>
      </w:r>
      <w:r w:rsidR="006E0997">
        <w:rPr>
          <w:rFonts w:cs="Times New Roman"/>
          <w:color w:val="auto"/>
          <w:sz w:val="26"/>
          <w:lang w:eastAsia="en-US"/>
        </w:rPr>
        <w:t xml:space="preserve"> </w:t>
      </w:r>
    </w:p>
    <w:p w14:paraId="6413585C" w14:textId="77777777" w:rsidR="00B334D9" w:rsidRPr="00854E18" w:rsidRDefault="00B334D9" w:rsidP="006E0997">
      <w:pPr>
        <w:pStyle w:val="Heading2"/>
        <w:spacing w:before="240"/>
        <w:rPr>
          <w:rFonts w:eastAsia="Calibri"/>
          <w:lang w:val="en-GB"/>
        </w:rPr>
      </w:pPr>
      <w:r w:rsidRPr="00854E18">
        <w:rPr>
          <w:rFonts w:eastAsia="Calibri"/>
          <w:lang w:val="en-GB"/>
        </w:rPr>
        <w:t>Counselling and guidance supports</w:t>
      </w:r>
    </w:p>
    <w:p w14:paraId="701791B8" w14:textId="23B1BFCB" w:rsidR="00447618" w:rsidRDefault="00106A9A" w:rsidP="00B334D9">
      <w:pPr>
        <w:spacing w:after="0"/>
        <w:rPr>
          <w:rFonts w:eastAsia="Calibri"/>
          <w:szCs w:val="26"/>
          <w:lang w:val="en-GB"/>
        </w:rPr>
      </w:pPr>
      <w:r>
        <w:rPr>
          <w:rFonts w:eastAsia="Calibri"/>
          <w:szCs w:val="26"/>
          <w:lang w:val="en-GB"/>
        </w:rPr>
        <w:t>Recent</w:t>
      </w:r>
      <w:r w:rsidR="00EB4B0F">
        <w:rPr>
          <w:rFonts w:eastAsia="Calibri"/>
          <w:szCs w:val="26"/>
          <w:lang w:val="en-GB"/>
        </w:rPr>
        <w:t xml:space="preserve"> reports have documented shortfalls in </w:t>
      </w:r>
      <w:r w:rsidR="00B2567C">
        <w:rPr>
          <w:rFonts w:eastAsia="Calibri"/>
          <w:szCs w:val="26"/>
          <w:lang w:val="en-GB"/>
        </w:rPr>
        <w:t xml:space="preserve">availability or accessibility </w:t>
      </w:r>
      <w:r w:rsidR="00EB4B0F">
        <w:rPr>
          <w:rFonts w:eastAsia="Calibri"/>
          <w:szCs w:val="26"/>
          <w:lang w:val="en-GB"/>
        </w:rPr>
        <w:t>o</w:t>
      </w:r>
      <w:r w:rsidR="005B0850">
        <w:rPr>
          <w:rFonts w:eastAsia="Calibri"/>
          <w:szCs w:val="26"/>
          <w:lang w:val="en-GB"/>
        </w:rPr>
        <w:t>f</w:t>
      </w:r>
      <w:r w:rsidR="00EB4B0F">
        <w:rPr>
          <w:rFonts w:eastAsia="Calibri"/>
          <w:szCs w:val="26"/>
          <w:lang w:val="en-GB"/>
        </w:rPr>
        <w:t xml:space="preserve"> </w:t>
      </w:r>
      <w:r w:rsidR="00330BB5">
        <w:rPr>
          <w:rFonts w:eastAsia="Calibri"/>
          <w:szCs w:val="26"/>
          <w:lang w:val="en-GB"/>
        </w:rPr>
        <w:t xml:space="preserve">appropriate counselling </w:t>
      </w:r>
      <w:r w:rsidR="004539F0">
        <w:rPr>
          <w:rFonts w:eastAsia="Calibri"/>
          <w:szCs w:val="26"/>
          <w:lang w:val="en-GB"/>
        </w:rPr>
        <w:t xml:space="preserve">and guidance supports, noting that the provision of employment guidance is not </w:t>
      </w:r>
      <w:r w:rsidR="00341CF7">
        <w:rPr>
          <w:rFonts w:eastAsia="Calibri"/>
          <w:szCs w:val="26"/>
          <w:lang w:val="en-GB"/>
        </w:rPr>
        <w:t xml:space="preserve">a </w:t>
      </w:r>
      <w:r w:rsidR="004539F0">
        <w:rPr>
          <w:rFonts w:eastAsia="Calibri"/>
          <w:szCs w:val="26"/>
          <w:lang w:val="en-GB"/>
        </w:rPr>
        <w:t>strong feature of the Irish system. A research project und</w:t>
      </w:r>
      <w:r>
        <w:rPr>
          <w:rFonts w:eastAsia="Calibri"/>
          <w:szCs w:val="26"/>
          <w:lang w:val="en-GB"/>
        </w:rPr>
        <w:t>erway in Maynooth University</w:t>
      </w:r>
      <w:r w:rsidR="004539F0">
        <w:rPr>
          <w:rFonts w:eastAsia="Calibri"/>
          <w:szCs w:val="26"/>
          <w:lang w:val="en-GB"/>
        </w:rPr>
        <w:t xml:space="preserve"> </w:t>
      </w:r>
      <w:r w:rsidR="004539F0">
        <w:t>examine</w:t>
      </w:r>
      <w:r>
        <w:t>d</w:t>
      </w:r>
      <w:r w:rsidR="004539F0">
        <w:t xml:space="preserve"> the effectiveness of a new high support career guidance intervention for long-term unemployed in terms of its impact on aspects of wellbeing, perceived employability and enhancing career sustainability</w:t>
      </w:r>
      <w:r w:rsidR="004539F0">
        <w:rPr>
          <w:rStyle w:val="FootnoteReference"/>
        </w:rPr>
        <w:footnoteReference w:id="51"/>
      </w:r>
      <w:r w:rsidR="004539F0">
        <w:t>.</w:t>
      </w:r>
      <w:r w:rsidR="004539F0">
        <w:rPr>
          <w:rFonts w:eastAsia="Calibri"/>
          <w:szCs w:val="26"/>
          <w:lang w:val="en-GB"/>
        </w:rPr>
        <w:t xml:space="preserve"> </w:t>
      </w:r>
      <w:r w:rsidR="005E7640">
        <w:rPr>
          <w:rFonts w:eastAsia="Calibri"/>
          <w:szCs w:val="26"/>
          <w:lang w:val="en-GB"/>
        </w:rPr>
        <w:t>Supporting and preparing people to return to work requires a specific set of skills</w:t>
      </w:r>
      <w:r w:rsidR="00267153">
        <w:rPr>
          <w:rFonts w:eastAsia="Calibri"/>
          <w:szCs w:val="26"/>
          <w:lang w:val="en-GB"/>
        </w:rPr>
        <w:t xml:space="preserve">. </w:t>
      </w:r>
      <w:r>
        <w:rPr>
          <w:rFonts w:eastAsia="Calibri"/>
          <w:szCs w:val="26"/>
          <w:lang w:val="en-GB"/>
        </w:rPr>
        <w:t xml:space="preserve">An </w:t>
      </w:r>
      <w:r w:rsidR="00267153">
        <w:rPr>
          <w:rFonts w:eastAsia="Calibri"/>
          <w:szCs w:val="26"/>
          <w:lang w:val="en-GB"/>
        </w:rPr>
        <w:t>Ibec campaign</w:t>
      </w:r>
      <w:r>
        <w:rPr>
          <w:rFonts w:eastAsia="Calibri"/>
          <w:szCs w:val="26"/>
          <w:lang w:val="en-GB"/>
        </w:rPr>
        <w:t xml:space="preserve"> described</w:t>
      </w:r>
      <w:r w:rsidR="004744A3">
        <w:rPr>
          <w:rFonts w:eastAsia="Calibri"/>
          <w:szCs w:val="26"/>
          <w:lang w:val="en-GB"/>
        </w:rPr>
        <w:t xml:space="preserve"> the </w:t>
      </w:r>
      <w:r w:rsidR="00267153">
        <w:rPr>
          <w:rFonts w:eastAsia="Calibri"/>
          <w:szCs w:val="26"/>
          <w:lang w:val="en-GB"/>
        </w:rPr>
        <w:t>need for the provisi</w:t>
      </w:r>
      <w:r w:rsidR="004539F0">
        <w:rPr>
          <w:rFonts w:eastAsia="Calibri"/>
          <w:szCs w:val="26"/>
          <w:lang w:val="en-GB"/>
        </w:rPr>
        <w:t xml:space="preserve">on of life long career guidance. While the Indecon report on ‘Guidance for All’ was published in 2019, </w:t>
      </w:r>
      <w:r>
        <w:rPr>
          <w:rFonts w:eastAsia="Calibri"/>
          <w:szCs w:val="26"/>
          <w:lang w:val="en-GB"/>
        </w:rPr>
        <w:t xml:space="preserve">states that </w:t>
      </w:r>
      <w:r w:rsidR="004539F0">
        <w:rPr>
          <w:rFonts w:eastAsia="Calibri"/>
          <w:szCs w:val="26"/>
          <w:lang w:val="en-GB"/>
        </w:rPr>
        <w:t>provision of career guidance remains a</w:t>
      </w:r>
      <w:r w:rsidR="00267153">
        <w:rPr>
          <w:rFonts w:eastAsia="Calibri"/>
          <w:szCs w:val="26"/>
          <w:lang w:val="en-GB"/>
        </w:rPr>
        <w:t xml:space="preserve"> </w:t>
      </w:r>
      <w:r w:rsidR="004539F0">
        <w:rPr>
          <w:rFonts w:eastAsia="Calibri"/>
          <w:szCs w:val="26"/>
          <w:lang w:val="en-GB"/>
        </w:rPr>
        <w:t>significant gap in the system</w:t>
      </w:r>
      <w:r w:rsidR="004539F0">
        <w:rPr>
          <w:rStyle w:val="FootnoteReference"/>
          <w:rFonts w:eastAsia="Calibri"/>
          <w:szCs w:val="26"/>
          <w:lang w:val="en-GB"/>
        </w:rPr>
        <w:footnoteReference w:id="52"/>
      </w:r>
      <w:r w:rsidR="004539F0">
        <w:rPr>
          <w:rFonts w:eastAsia="Calibri"/>
          <w:szCs w:val="26"/>
          <w:lang w:val="en-GB"/>
        </w:rPr>
        <w:t xml:space="preserve">. Resourcing and developing capacity in guidance and counselling regarding employment and </w:t>
      </w:r>
      <w:r w:rsidR="00F6799A">
        <w:rPr>
          <w:rFonts w:eastAsia="Calibri"/>
          <w:szCs w:val="26"/>
          <w:lang w:val="en-GB"/>
        </w:rPr>
        <w:t xml:space="preserve">career </w:t>
      </w:r>
      <w:r w:rsidR="00F6799A" w:rsidDel="002101E1">
        <w:t>choices</w:t>
      </w:r>
      <w:r w:rsidR="002101E1">
        <w:t xml:space="preserve"> for persons with disabilities requires investment.</w:t>
      </w:r>
    </w:p>
    <w:p w14:paraId="533E290B" w14:textId="77777777" w:rsidR="005A1694" w:rsidRPr="001143A2" w:rsidRDefault="00D00F60" w:rsidP="006E0997">
      <w:pPr>
        <w:pStyle w:val="Heading2"/>
        <w:spacing w:before="240"/>
      </w:pPr>
      <w:r>
        <w:t xml:space="preserve">Functional assessment </w:t>
      </w:r>
      <w:r w:rsidR="00447618">
        <w:t>interventions</w:t>
      </w:r>
    </w:p>
    <w:p w14:paraId="12B965BD" w14:textId="77777777" w:rsidR="005A1694" w:rsidRDefault="004F292F" w:rsidP="00872E4B">
      <w:pPr>
        <w:rPr>
          <w:lang w:val="en-GB"/>
        </w:rPr>
      </w:pPr>
      <w:r w:rsidRPr="004F292F">
        <w:rPr>
          <w:lang w:val="en-GB"/>
        </w:rPr>
        <w:t xml:space="preserve">Within the current Irish system </w:t>
      </w:r>
      <w:r w:rsidR="005C5918">
        <w:rPr>
          <w:lang w:val="en-GB"/>
        </w:rPr>
        <w:t>there is a lack of provision of functional capacity e</w:t>
      </w:r>
      <w:r w:rsidR="005A1694" w:rsidRPr="004F292F">
        <w:rPr>
          <w:lang w:val="en-GB"/>
        </w:rPr>
        <w:t>valuatio</w:t>
      </w:r>
      <w:r w:rsidR="005C5918">
        <w:rPr>
          <w:lang w:val="en-GB"/>
        </w:rPr>
        <w:t>n, which is described as ‘a</w:t>
      </w:r>
      <w:r w:rsidR="005A1694" w:rsidRPr="004F292F">
        <w:rPr>
          <w:lang w:val="en-GB"/>
        </w:rPr>
        <w:t>n assessment,</w:t>
      </w:r>
      <w:r w:rsidR="005A1694" w:rsidRPr="0029489D">
        <w:t xml:space="preserve"> </w:t>
      </w:r>
      <w:r w:rsidR="005A1694" w:rsidRPr="004F292F">
        <w:rPr>
          <w:lang w:val="en-GB"/>
        </w:rPr>
        <w:t>usually carried out by a physiotherapist or occupational therapist, which evaluates an individual's health status, and body functions and structures, and compares them to the demands of t</w:t>
      </w:r>
      <w:r w:rsidR="005C5918">
        <w:rPr>
          <w:lang w:val="en-GB"/>
        </w:rPr>
        <w:t>he job and the work environment’. In tandem with evaluation is the ability of the individual to avail of i</w:t>
      </w:r>
      <w:r w:rsidR="005A1694" w:rsidRPr="005C5918">
        <w:rPr>
          <w:lang w:val="en-GB"/>
        </w:rPr>
        <w:t>nterventions intended to build stamina, endurance, physical capacity and psychosocial resilience. It can include physiotherapy, occupational therapy, and pain management in a</w:t>
      </w:r>
      <w:r w:rsidR="005C5918">
        <w:rPr>
          <w:lang w:val="en-GB"/>
        </w:rPr>
        <w:t xml:space="preserve"> simulated or real work setting, which is commonly refer to as f</w:t>
      </w:r>
      <w:r w:rsidR="005C5918" w:rsidRPr="005C5918">
        <w:rPr>
          <w:lang w:val="en-GB"/>
        </w:rPr>
        <w:t xml:space="preserve">unctional </w:t>
      </w:r>
      <w:r w:rsidR="005C5918">
        <w:rPr>
          <w:lang w:val="en-GB"/>
        </w:rPr>
        <w:t>capacity building.</w:t>
      </w:r>
      <w:r w:rsidR="00872E4B">
        <w:rPr>
          <w:lang w:val="en-GB"/>
        </w:rPr>
        <w:t xml:space="preserve"> This is the essence of a </w:t>
      </w:r>
      <w:r w:rsidR="0039076A">
        <w:rPr>
          <w:lang w:val="en-GB"/>
        </w:rPr>
        <w:t xml:space="preserve">robust </w:t>
      </w:r>
      <w:r w:rsidR="00872E4B">
        <w:rPr>
          <w:lang w:val="en-GB"/>
        </w:rPr>
        <w:t>vocational rehabilitation process</w:t>
      </w:r>
      <w:r w:rsidR="008E0182">
        <w:rPr>
          <w:lang w:val="en-GB"/>
        </w:rPr>
        <w:t>.</w:t>
      </w:r>
      <w:r w:rsidR="00872E4B">
        <w:rPr>
          <w:lang w:val="en-GB"/>
        </w:rPr>
        <w:t xml:space="preserve"> </w:t>
      </w:r>
    </w:p>
    <w:p w14:paraId="6D80B5DC" w14:textId="77777777" w:rsidR="001C4575" w:rsidRPr="001C4575" w:rsidRDefault="001C4575" w:rsidP="00E03CA8">
      <w:pPr>
        <w:pStyle w:val="Heading2"/>
      </w:pPr>
      <w:r w:rsidRPr="001C4575">
        <w:t>Staff trained in the provision of vocational rehabilitation</w:t>
      </w:r>
    </w:p>
    <w:p w14:paraId="56892649" w14:textId="66001A85" w:rsidR="0044698D" w:rsidRPr="006E0997" w:rsidRDefault="001C4575" w:rsidP="006E0997">
      <w:pPr>
        <w:pStyle w:val="Default"/>
        <w:rPr>
          <w:sz w:val="20"/>
          <w:szCs w:val="20"/>
        </w:rPr>
      </w:pPr>
      <w:r w:rsidRPr="008B5018">
        <w:rPr>
          <w:sz w:val="26"/>
          <w:szCs w:val="26"/>
        </w:rPr>
        <w:t>The NDA commissioned research showed that there was a wide variation on the t</w:t>
      </w:r>
      <w:r w:rsidR="0044698D" w:rsidRPr="008B5018">
        <w:rPr>
          <w:sz w:val="26"/>
          <w:szCs w:val="26"/>
        </w:rPr>
        <w:t xml:space="preserve">raining of staff involved in VR across the jurisdictions. </w:t>
      </w:r>
      <w:r w:rsidRPr="008B5018">
        <w:rPr>
          <w:sz w:val="26"/>
          <w:szCs w:val="26"/>
        </w:rPr>
        <w:t xml:space="preserve">In Queensland, staff generally have a qualification in rehabilitation counselling, an allied health profession or in human services. There are two professional associations to which vocational rehabilitation professionals can affiliate – the Australian Society of Rehabilitation Counsellors and the Rehabilitation Counselling Association of Australasia. </w:t>
      </w:r>
      <w:r w:rsidR="0044698D" w:rsidRPr="008B5018">
        <w:rPr>
          <w:sz w:val="26"/>
          <w:szCs w:val="26"/>
          <w:lang w:eastAsia="en-GB"/>
        </w:rPr>
        <w:t>I</w:t>
      </w:r>
      <w:r w:rsidRPr="008B5018">
        <w:rPr>
          <w:sz w:val="26"/>
          <w:szCs w:val="26"/>
          <w:lang w:eastAsia="en-GB"/>
        </w:rPr>
        <w:t>n New Zealand. Auckland University of Technology has a qualification at both undergraduate and postgraduate level in case management and a postgraduate Diploma</w:t>
      </w:r>
      <w:r w:rsidRPr="00D601D0">
        <w:rPr>
          <w:lang w:eastAsia="en-GB"/>
        </w:rPr>
        <w:t xml:space="preserve"> </w:t>
      </w:r>
      <w:r w:rsidRPr="008B5018">
        <w:rPr>
          <w:sz w:val="26"/>
          <w:szCs w:val="26"/>
          <w:lang w:eastAsia="en-GB"/>
        </w:rPr>
        <w:t xml:space="preserve">in Vocational Rehabilitation. Rehabilitation staff in Finland come from a wide range of disciplines who acquire their qualifications during the course of their careers. Continuing professional development (CPD) is provided by a range of organisations including rehabilitation service providers, universities and further education centres. </w:t>
      </w:r>
      <w:r w:rsidR="008B5018">
        <w:rPr>
          <w:rFonts w:cs="Univers 45 Light"/>
          <w:sz w:val="26"/>
          <w:szCs w:val="26"/>
        </w:rPr>
        <w:t>T</w:t>
      </w:r>
      <w:r w:rsidR="008B5018" w:rsidRPr="008B5018">
        <w:rPr>
          <w:rFonts w:cs="Univers 45 Light"/>
          <w:sz w:val="26"/>
          <w:szCs w:val="26"/>
        </w:rPr>
        <w:t xml:space="preserve">he National Institute of Disability Management and Research (NIDMAR) developed, with the support of the Government of Canada, </w:t>
      </w:r>
      <w:r w:rsidR="008B5018">
        <w:rPr>
          <w:rFonts w:cs="Univers 45 Light"/>
          <w:sz w:val="26"/>
          <w:szCs w:val="26"/>
        </w:rPr>
        <w:t>the Occupational Standards and Professional C</w:t>
      </w:r>
      <w:r w:rsidR="008B5018" w:rsidRPr="008B5018">
        <w:rPr>
          <w:rFonts w:cs="Univers 45 Light"/>
          <w:sz w:val="26"/>
          <w:szCs w:val="26"/>
        </w:rPr>
        <w:t>ertification examinations for Certified Disability Management Professional CDMPs to meet those standards</w:t>
      </w:r>
      <w:r w:rsidR="008B5018">
        <w:rPr>
          <w:rStyle w:val="FootnoteReference"/>
          <w:rFonts w:cs="Univers 45 Light"/>
          <w:szCs w:val="26"/>
        </w:rPr>
        <w:footnoteReference w:id="53"/>
      </w:r>
      <w:r w:rsidR="008B5018" w:rsidRPr="008B5018">
        <w:rPr>
          <w:rFonts w:cs="Univers 45 Light"/>
          <w:sz w:val="26"/>
          <w:szCs w:val="26"/>
        </w:rPr>
        <w:t>.</w:t>
      </w:r>
      <w:r w:rsidR="008B5018">
        <w:rPr>
          <w:rFonts w:cs="Univers 45 Light"/>
          <w:sz w:val="26"/>
          <w:szCs w:val="26"/>
        </w:rPr>
        <w:t xml:space="preserve"> </w:t>
      </w:r>
    </w:p>
    <w:p w14:paraId="0B93E3C4" w14:textId="7273B887" w:rsidR="00BB6D77" w:rsidRPr="006E0997" w:rsidRDefault="00E96EDF" w:rsidP="006E0997">
      <w:pPr>
        <w:spacing w:before="240" w:after="0"/>
        <w:rPr>
          <w:color w:val="000000"/>
          <w:lang w:eastAsia="en-GB"/>
        </w:rPr>
      </w:pPr>
      <w:r>
        <w:rPr>
          <w:color w:val="000000"/>
          <w:lang w:eastAsia="en-GB"/>
        </w:rPr>
        <w:t xml:space="preserve">Varied educational programmes are required in Ireland to build capacity in the field of vocational rehabilitation.  </w:t>
      </w:r>
      <w:r w:rsidRPr="00D601D0">
        <w:rPr>
          <w:color w:val="000000"/>
          <w:lang w:eastAsia="en-GB"/>
        </w:rPr>
        <w:t>P</w:t>
      </w:r>
      <w:r w:rsidR="001C4575" w:rsidRPr="00D601D0">
        <w:rPr>
          <w:color w:val="000000"/>
          <w:lang w:eastAsia="en-GB"/>
        </w:rPr>
        <w:t xml:space="preserve">rofessional </w:t>
      </w:r>
      <w:r w:rsidR="0038335C">
        <w:rPr>
          <w:color w:val="000000"/>
          <w:lang w:eastAsia="en-GB"/>
        </w:rPr>
        <w:t xml:space="preserve">development and </w:t>
      </w:r>
      <w:r>
        <w:rPr>
          <w:color w:val="000000"/>
          <w:lang w:eastAsia="en-GB"/>
        </w:rPr>
        <w:t xml:space="preserve">education </w:t>
      </w:r>
      <w:r w:rsidR="00437F21">
        <w:rPr>
          <w:color w:val="000000"/>
          <w:lang w:eastAsia="en-GB"/>
        </w:rPr>
        <w:t xml:space="preserve">for those in multidisciplinary rehabilitation work, in delivering specific vocational interventions and those involved in case management. Specific educational programmes </w:t>
      </w:r>
      <w:r w:rsidR="002C0F6B">
        <w:rPr>
          <w:color w:val="000000"/>
          <w:lang w:eastAsia="en-GB"/>
        </w:rPr>
        <w:t xml:space="preserve">that will </w:t>
      </w:r>
      <w:r w:rsidR="001C4575" w:rsidRPr="00D601D0">
        <w:rPr>
          <w:color w:val="000000"/>
          <w:lang w:eastAsia="en-GB"/>
        </w:rPr>
        <w:t>foster an understanding of the implications of a range of impairments and the support services available</w:t>
      </w:r>
      <w:r>
        <w:rPr>
          <w:color w:val="000000"/>
          <w:lang w:eastAsia="en-GB"/>
        </w:rPr>
        <w:t xml:space="preserve"> is required</w:t>
      </w:r>
      <w:r w:rsidR="001C4575" w:rsidRPr="00D601D0">
        <w:rPr>
          <w:color w:val="000000"/>
          <w:lang w:eastAsia="en-GB"/>
        </w:rPr>
        <w:t>.</w:t>
      </w:r>
      <w:r w:rsidR="001C4575">
        <w:t xml:space="preserve"> </w:t>
      </w:r>
      <w:r w:rsidR="001C4575" w:rsidRPr="00D601D0">
        <w:t xml:space="preserve">Advanced training </w:t>
      </w:r>
      <w:r w:rsidR="007E7F0B">
        <w:t xml:space="preserve">should also </w:t>
      </w:r>
      <w:r>
        <w:rPr>
          <w:color w:val="000000"/>
          <w:lang w:eastAsia="en-GB"/>
        </w:rPr>
        <w:t>include</w:t>
      </w:r>
      <w:r w:rsidR="001C4575" w:rsidRPr="00D601D0">
        <w:rPr>
          <w:color w:val="000000"/>
          <w:lang w:eastAsia="en-GB"/>
        </w:rPr>
        <w:t xml:space="preserve"> the core values of rehabilit</w:t>
      </w:r>
      <w:r w:rsidR="00BC7C00">
        <w:rPr>
          <w:color w:val="000000"/>
          <w:lang w:eastAsia="en-GB"/>
        </w:rPr>
        <w:t>ation</w:t>
      </w:r>
      <w:r w:rsidR="001C4575" w:rsidRPr="00D601D0">
        <w:rPr>
          <w:color w:val="000000"/>
          <w:lang w:eastAsia="en-GB"/>
        </w:rPr>
        <w:t>, assessment of needs and strengths, collaborative goal setting and supported decision making. Other key skills addressed include c</w:t>
      </w:r>
      <w:r w:rsidR="001C4575" w:rsidRPr="00D601D0">
        <w:t>ommunication with the customer and other employees, problem solving and group processes, cooperation and negotiation skills and the skills needed for working in multidisciplinary teams using a person-centred approach.</w:t>
      </w:r>
      <w:r w:rsidR="001C4575">
        <w:t xml:space="preserve"> </w:t>
      </w:r>
      <w:r w:rsidR="001C4575" w:rsidRPr="00D601D0">
        <w:rPr>
          <w:color w:val="000000"/>
          <w:lang w:eastAsia="en-GB"/>
        </w:rPr>
        <w:t>Professional education also aims to change the attitudes of staff in voca</w:t>
      </w:r>
      <w:r w:rsidR="0044698D">
        <w:rPr>
          <w:color w:val="000000"/>
          <w:lang w:eastAsia="en-GB"/>
        </w:rPr>
        <w:t>tional rehabilitation services.</w:t>
      </w:r>
      <w:r>
        <w:rPr>
          <w:color w:val="000000"/>
          <w:lang w:eastAsia="en-GB"/>
        </w:rPr>
        <w:t xml:space="preserve"> </w:t>
      </w:r>
      <w:r w:rsidR="00BC7C00">
        <w:rPr>
          <w:color w:val="000000"/>
          <w:lang w:eastAsia="en-GB"/>
        </w:rPr>
        <w:t>Noting this lack of education f</w:t>
      </w:r>
      <w:r w:rsidR="007E7F0B">
        <w:rPr>
          <w:szCs w:val="26"/>
        </w:rPr>
        <w:t>or example ‘</w:t>
      </w:r>
      <w:r w:rsidR="003E0CC7">
        <w:rPr>
          <w:szCs w:val="26"/>
        </w:rPr>
        <w:t>Acquired Brain Injury in their submission</w:t>
      </w:r>
      <w:r w:rsidR="00010540">
        <w:rPr>
          <w:szCs w:val="26"/>
        </w:rPr>
        <w:t xml:space="preserve"> to this paper</w:t>
      </w:r>
      <w:r w:rsidR="003E0CC7">
        <w:rPr>
          <w:szCs w:val="26"/>
        </w:rPr>
        <w:t xml:space="preserve"> </w:t>
      </w:r>
      <w:r w:rsidR="007E7F0B">
        <w:rPr>
          <w:szCs w:val="26"/>
        </w:rPr>
        <w:t xml:space="preserve">stated that </w:t>
      </w:r>
      <w:r w:rsidR="007E7F0B">
        <w:rPr>
          <w:lang w:eastAsia="en-IE"/>
        </w:rPr>
        <w:t>t</w:t>
      </w:r>
      <w:r w:rsidR="007E7F0B" w:rsidRPr="007E7F0B">
        <w:rPr>
          <w:lang w:eastAsia="en-IE"/>
        </w:rPr>
        <w:t>he lack of availability of appropriate assessments by specialist staff (clinical) is a real gap in service provision. Without full and proper assessment it is very difficult to get people back to work and to sustain them over the long term</w:t>
      </w:r>
      <w:r w:rsidR="007E7F0B">
        <w:rPr>
          <w:lang w:eastAsia="en-IE"/>
        </w:rPr>
        <w:t>’</w:t>
      </w:r>
      <w:r w:rsidR="007E7F0B">
        <w:rPr>
          <w:rStyle w:val="FootnoteReference"/>
          <w:lang w:eastAsia="en-IE"/>
        </w:rPr>
        <w:footnoteReference w:id="54"/>
      </w:r>
      <w:r w:rsidR="007E7F0B">
        <w:rPr>
          <w:lang w:eastAsia="en-IE"/>
        </w:rPr>
        <w:t xml:space="preserve">.  </w:t>
      </w:r>
      <w:r w:rsidR="003E0CC7" w:rsidRPr="008B5018">
        <w:rPr>
          <w:szCs w:val="26"/>
        </w:rPr>
        <w:t xml:space="preserve">However, AOTI have delivered continuous professional development modules in vocational rehabilitation. Also a Masters in Disability and Rehabilitation in UCD covers vocational rehabilitation. </w:t>
      </w:r>
      <w:r w:rsidR="00BC7C00">
        <w:rPr>
          <w:szCs w:val="26"/>
        </w:rPr>
        <w:t>The NDA recommend that further varied educational programmes are necessary in Ireland.</w:t>
      </w:r>
    </w:p>
    <w:p w14:paraId="43957D17" w14:textId="77777777" w:rsidR="0069320A" w:rsidRDefault="00D00F60" w:rsidP="006E0997">
      <w:pPr>
        <w:pStyle w:val="Heading2"/>
        <w:spacing w:before="240"/>
        <w:rPr>
          <w:rFonts w:eastAsia="Calibri"/>
          <w:lang w:val="en-GB"/>
        </w:rPr>
      </w:pPr>
      <w:r>
        <w:rPr>
          <w:rFonts w:eastAsia="Calibri"/>
          <w:lang w:val="en-GB"/>
        </w:rPr>
        <w:t>Coordination of supports and</w:t>
      </w:r>
      <w:r w:rsidR="0069320A">
        <w:rPr>
          <w:rFonts w:eastAsia="Calibri"/>
          <w:lang w:val="en-GB"/>
        </w:rPr>
        <w:t xml:space="preserve"> joined-up pathways</w:t>
      </w:r>
    </w:p>
    <w:p w14:paraId="58ECBF9C" w14:textId="77777777" w:rsidR="00872E4B" w:rsidRPr="00872E4B" w:rsidRDefault="00872E4B" w:rsidP="00C81B2D">
      <w:r>
        <w:t xml:space="preserve">In general, </w:t>
      </w:r>
      <w:r w:rsidRPr="004E2424">
        <w:t xml:space="preserve">the </w:t>
      </w:r>
      <w:r>
        <w:t>vocational rehabilitation</w:t>
      </w:r>
      <w:r w:rsidRPr="004E2424">
        <w:t xml:space="preserve"> </w:t>
      </w:r>
      <w:r>
        <w:t>process starts with</w:t>
      </w:r>
      <w:r w:rsidRPr="004E2424">
        <w:t xml:space="preserve"> assessing </w:t>
      </w:r>
      <w:r>
        <w:t xml:space="preserve">an </w:t>
      </w:r>
      <w:r w:rsidRPr="004E2424">
        <w:t>individual</w:t>
      </w:r>
      <w:r>
        <w:t>’s</w:t>
      </w:r>
      <w:r w:rsidRPr="004E2424">
        <w:t xml:space="preserve"> needs and strengths and matching these</w:t>
      </w:r>
      <w:r>
        <w:t xml:space="preserve"> with </w:t>
      </w:r>
      <w:r w:rsidR="006E141F" w:rsidRPr="006E141F">
        <w:t>career</w:t>
      </w:r>
      <w:r w:rsidR="00191576" w:rsidRPr="006E141F">
        <w:t xml:space="preserve"> </w:t>
      </w:r>
      <w:r w:rsidRPr="004E2424">
        <w:t xml:space="preserve">interests and job </w:t>
      </w:r>
      <w:r w:rsidR="006E141F" w:rsidRPr="006E141F">
        <w:t>tasks</w:t>
      </w:r>
      <w:r w:rsidRPr="004E2424">
        <w:t>.</w:t>
      </w:r>
      <w:r>
        <w:t xml:space="preserve"> </w:t>
      </w:r>
      <w:r w:rsidRPr="004E2424">
        <w:t>Through a process of assessment, counselling and guidance</w:t>
      </w:r>
      <w:r>
        <w:t>,</w:t>
      </w:r>
      <w:r w:rsidRPr="004E2424">
        <w:t xml:space="preserve"> the jobseeker is </w:t>
      </w:r>
      <w:r>
        <w:t>helped</w:t>
      </w:r>
      <w:r w:rsidRPr="004E2424">
        <w:t xml:space="preserve"> to select a field of employment and </w:t>
      </w:r>
      <w:r>
        <w:t xml:space="preserve">an </w:t>
      </w:r>
      <w:r w:rsidRPr="004E2424">
        <w:t>occupation which is within the scope of their abilities.</w:t>
      </w:r>
      <w:r>
        <w:t xml:space="preserve"> </w:t>
      </w:r>
      <w:r w:rsidRPr="004E2424">
        <w:t xml:space="preserve">The </w:t>
      </w:r>
      <w:r w:rsidR="00191576" w:rsidRPr="006E141F">
        <w:t>vocational</w:t>
      </w:r>
      <w:r w:rsidR="00191576">
        <w:rPr>
          <w:color w:val="FF0000"/>
        </w:rPr>
        <w:t xml:space="preserve"> </w:t>
      </w:r>
      <w:r w:rsidRPr="004E2424">
        <w:t xml:space="preserve">rehabilitation professional ensures that </w:t>
      </w:r>
      <w:r>
        <w:t>they</w:t>
      </w:r>
      <w:r w:rsidRPr="004E2424">
        <w:t xml:space="preserve"> gain the knowledge, skills and qualifications required, gain access to functional </w:t>
      </w:r>
      <w:r>
        <w:t xml:space="preserve">capacity building interventions, if necessary, </w:t>
      </w:r>
      <w:r w:rsidRPr="004E2424">
        <w:t>and develop social comp</w:t>
      </w:r>
      <w:r>
        <w:t>etences and job search skills. A</w:t>
      </w:r>
      <w:r w:rsidRPr="004E2424">
        <w:t>dult basic education and further education and training are important interventions</w:t>
      </w:r>
      <w:r>
        <w:t xml:space="preserve"> for people with low education and qualifications</w:t>
      </w:r>
      <w:r w:rsidRPr="004E2424">
        <w:t>.</w:t>
      </w:r>
      <w:r>
        <w:t xml:space="preserve"> </w:t>
      </w:r>
      <w:r w:rsidRPr="004E2424">
        <w:t>The rehabilitation professional then acts as a support in identifying suitable job opportunities and acting as an intermediary with a potential employer to arrange work experience or a</w:t>
      </w:r>
      <w:r>
        <w:t xml:space="preserve"> job</w:t>
      </w:r>
      <w:r w:rsidRPr="004E2424">
        <w:t xml:space="preserve"> interview.</w:t>
      </w:r>
      <w:r>
        <w:t xml:space="preserve"> </w:t>
      </w:r>
      <w:r w:rsidRPr="004E2424">
        <w:t>As part of the placement process</w:t>
      </w:r>
      <w:r>
        <w:t>,</w:t>
      </w:r>
      <w:r w:rsidRPr="004E2424">
        <w:t xml:space="preserve"> the rehabilitation professional carries out a job site visit and a job demands analysis to identify the accommodations and assistive technologies that may be needed by the person.</w:t>
      </w:r>
      <w:r>
        <w:t xml:space="preserve"> </w:t>
      </w:r>
      <w:r w:rsidRPr="0087713E">
        <w:t>An important characteristic of vocational rehabilitation is that it operates within the community and integrates where possible into mai</w:t>
      </w:r>
      <w:r w:rsidR="00854E18">
        <w:t>nstream services and activities, proving that local networks of services are required to ensure that the VR pathway is followed.</w:t>
      </w:r>
    </w:p>
    <w:p w14:paraId="0D7F9EDD" w14:textId="77777777" w:rsidR="00C81B2D" w:rsidRPr="00330BB5" w:rsidRDefault="00B334D9" w:rsidP="00C81B2D">
      <w:pPr>
        <w:rPr>
          <w:rFonts w:eastAsia="Calibri"/>
          <w:szCs w:val="26"/>
          <w:lang w:val="en-GB"/>
        </w:rPr>
      </w:pPr>
      <w:r>
        <w:rPr>
          <w:rFonts w:eastAsia="Calibri"/>
          <w:szCs w:val="26"/>
          <w:lang w:val="en-GB"/>
        </w:rPr>
        <w:t>The central point of this policy advice paper is that w</w:t>
      </w:r>
      <w:r w:rsidR="008E5256">
        <w:rPr>
          <w:rFonts w:eastAsia="Calibri"/>
          <w:szCs w:val="26"/>
          <w:lang w:val="en-GB"/>
        </w:rPr>
        <w:t>hile medica</w:t>
      </w:r>
      <w:r>
        <w:rPr>
          <w:rFonts w:eastAsia="Calibri"/>
          <w:szCs w:val="26"/>
          <w:lang w:val="en-GB"/>
        </w:rPr>
        <w:t>l rehabilit</w:t>
      </w:r>
      <w:r w:rsidR="009F252A">
        <w:rPr>
          <w:rFonts w:eastAsia="Calibri"/>
          <w:szCs w:val="26"/>
          <w:lang w:val="en-GB"/>
        </w:rPr>
        <w:t>ation is important,</w:t>
      </w:r>
      <w:r w:rsidR="008E5256">
        <w:rPr>
          <w:rFonts w:eastAsia="Calibri"/>
          <w:szCs w:val="26"/>
          <w:lang w:val="en-GB"/>
        </w:rPr>
        <w:t xml:space="preserve"> evidence shows that employment can play a vital part in recovery and on-going independence. It is therefore important that the vocational element of rehabilitation is linked as closely and early as possible with medical supports and services. This paper suggests a route to same, setting out what would be required to provide </w:t>
      </w:r>
      <w:r w:rsidR="001F30B5">
        <w:rPr>
          <w:rFonts w:eastAsia="Calibri"/>
          <w:szCs w:val="26"/>
          <w:lang w:val="en-GB"/>
        </w:rPr>
        <w:t xml:space="preserve">a joined-up pathway back to work where systems of medical rehabilitation, vocational guidance, retraining, job placement/re-entry, and accommodation of disability in the workplace are </w:t>
      </w:r>
      <w:r w:rsidR="008E5256">
        <w:rPr>
          <w:rFonts w:eastAsia="Calibri"/>
          <w:szCs w:val="26"/>
          <w:lang w:val="en-GB"/>
        </w:rPr>
        <w:t xml:space="preserve">effectively </w:t>
      </w:r>
      <w:r w:rsidR="001F30B5">
        <w:rPr>
          <w:rFonts w:eastAsia="Calibri"/>
          <w:szCs w:val="26"/>
          <w:lang w:val="en-GB"/>
        </w:rPr>
        <w:t>linked.</w:t>
      </w:r>
      <w:r w:rsidR="00B31FD0">
        <w:rPr>
          <w:rFonts w:eastAsia="Calibri"/>
          <w:szCs w:val="26"/>
          <w:lang w:val="en-GB"/>
        </w:rPr>
        <w:t xml:space="preserve"> </w:t>
      </w:r>
    </w:p>
    <w:p w14:paraId="73FE39EE" w14:textId="77777777" w:rsidR="00D17E19" w:rsidRDefault="00085FA1" w:rsidP="006E141F">
      <w:pPr>
        <w:pStyle w:val="Heading1"/>
        <w:pBdr>
          <w:bottom w:val="single" w:sz="4" w:space="1" w:color="auto"/>
        </w:pBdr>
        <w:rPr>
          <w:strike/>
        </w:rPr>
      </w:pPr>
      <w:r>
        <w:t xml:space="preserve">NDA </w:t>
      </w:r>
      <w:r w:rsidR="00C14BDA">
        <w:t xml:space="preserve">advice </w:t>
      </w:r>
      <w:r w:rsidR="00D00F60">
        <w:t>for a</w:t>
      </w:r>
      <w:r w:rsidR="00D00F60" w:rsidRPr="00EB4F8E">
        <w:t xml:space="preserve"> </w:t>
      </w:r>
      <w:r w:rsidR="00DB1C1D">
        <w:t>Vocational R</w:t>
      </w:r>
      <w:r w:rsidR="00DB1C1D" w:rsidRPr="00EB4F8E">
        <w:t>ehabilitati</w:t>
      </w:r>
      <w:r w:rsidR="00DB1C1D">
        <w:t>on</w:t>
      </w:r>
      <w:r w:rsidR="00DB1C1D" w:rsidRPr="006E141F">
        <w:t xml:space="preserve"> </w:t>
      </w:r>
      <w:r w:rsidR="006E141F" w:rsidRPr="006E141F">
        <w:t>Programme</w:t>
      </w:r>
    </w:p>
    <w:p w14:paraId="7B0161C2" w14:textId="3449044E" w:rsidR="00C371E9" w:rsidRDefault="00D00F60" w:rsidP="006F3F06">
      <w:pPr>
        <w:rPr>
          <w:szCs w:val="26"/>
        </w:rPr>
      </w:pPr>
      <w:r>
        <w:rPr>
          <w:szCs w:val="26"/>
        </w:rPr>
        <w:t xml:space="preserve">Informed by the research and evidence set out above, as well as by input from key informants and persons with disabilities, the NDA advises the importance of </w:t>
      </w:r>
      <w:r w:rsidR="00545BD6">
        <w:rPr>
          <w:szCs w:val="26"/>
        </w:rPr>
        <w:t xml:space="preserve">a national </w:t>
      </w:r>
      <w:r w:rsidR="000E544A" w:rsidRPr="003D6106">
        <w:rPr>
          <w:szCs w:val="26"/>
        </w:rPr>
        <w:t xml:space="preserve">policy and </w:t>
      </w:r>
      <w:r w:rsidR="00545BD6">
        <w:rPr>
          <w:szCs w:val="26"/>
        </w:rPr>
        <w:t>coordinated programme of</w:t>
      </w:r>
      <w:r w:rsidR="00B306A1">
        <w:rPr>
          <w:szCs w:val="26"/>
        </w:rPr>
        <w:t xml:space="preserve"> vocational rehabilitation</w:t>
      </w:r>
      <w:r w:rsidR="00837F43">
        <w:rPr>
          <w:rStyle w:val="FootnoteReference"/>
          <w:szCs w:val="26"/>
        </w:rPr>
        <w:footnoteReference w:id="55"/>
      </w:r>
      <w:r w:rsidR="00545BD6">
        <w:rPr>
          <w:szCs w:val="26"/>
        </w:rPr>
        <w:t xml:space="preserve">. </w:t>
      </w:r>
      <w:r w:rsidR="00C14BDA">
        <w:rPr>
          <w:szCs w:val="26"/>
        </w:rPr>
        <w:t>B</w:t>
      </w:r>
      <w:r w:rsidR="008C699D">
        <w:rPr>
          <w:szCs w:val="26"/>
        </w:rPr>
        <w:t>elow</w:t>
      </w:r>
      <w:r w:rsidR="00C14BDA">
        <w:rPr>
          <w:szCs w:val="26"/>
        </w:rPr>
        <w:t xml:space="preserve"> is</w:t>
      </w:r>
      <w:r w:rsidR="008C699D">
        <w:rPr>
          <w:szCs w:val="26"/>
        </w:rPr>
        <w:t xml:space="preserve"> </w:t>
      </w:r>
      <w:r w:rsidR="00545BD6">
        <w:rPr>
          <w:szCs w:val="26"/>
        </w:rPr>
        <w:t>an</w:t>
      </w:r>
      <w:r w:rsidR="00FF594C">
        <w:rPr>
          <w:szCs w:val="26"/>
        </w:rPr>
        <w:t xml:space="preserve"> outline</w:t>
      </w:r>
      <w:r w:rsidR="00545BD6">
        <w:rPr>
          <w:szCs w:val="26"/>
        </w:rPr>
        <w:t xml:space="preserve"> of</w:t>
      </w:r>
      <w:r w:rsidR="00FF594C">
        <w:rPr>
          <w:szCs w:val="26"/>
        </w:rPr>
        <w:t xml:space="preserve"> actions </w:t>
      </w:r>
      <w:r w:rsidR="008C699D">
        <w:rPr>
          <w:szCs w:val="26"/>
        </w:rPr>
        <w:t xml:space="preserve">recommended </w:t>
      </w:r>
      <w:r w:rsidR="00FF594C">
        <w:rPr>
          <w:szCs w:val="26"/>
        </w:rPr>
        <w:t>to develop a vocational rehabilitation</w:t>
      </w:r>
      <w:r w:rsidR="00837F43">
        <w:rPr>
          <w:szCs w:val="26"/>
        </w:rPr>
        <w:t xml:space="preserve"> pathway </w:t>
      </w:r>
      <w:r w:rsidR="00F6799A">
        <w:rPr>
          <w:szCs w:val="26"/>
        </w:rPr>
        <w:t xml:space="preserve">in </w:t>
      </w:r>
      <w:r w:rsidR="006F56CB">
        <w:rPr>
          <w:szCs w:val="26"/>
        </w:rPr>
        <w:t>Ireland?</w:t>
      </w:r>
    </w:p>
    <w:p w14:paraId="0744EC28" w14:textId="5E027695" w:rsidR="00E63209" w:rsidRDefault="00BF70E8" w:rsidP="006F3F06">
      <w:pPr>
        <w:rPr>
          <w:szCs w:val="26"/>
        </w:rPr>
      </w:pPr>
      <w:r>
        <w:rPr>
          <w:szCs w:val="26"/>
        </w:rPr>
        <w:t xml:space="preserve">The </w:t>
      </w:r>
      <w:r w:rsidR="006E1794">
        <w:rPr>
          <w:szCs w:val="26"/>
        </w:rPr>
        <w:t>evidence</w:t>
      </w:r>
      <w:r w:rsidR="00D0423B">
        <w:rPr>
          <w:szCs w:val="26"/>
        </w:rPr>
        <w:t xml:space="preserve"> </w:t>
      </w:r>
      <w:r>
        <w:rPr>
          <w:szCs w:val="26"/>
        </w:rPr>
        <w:t xml:space="preserve">presented thus far has </w:t>
      </w:r>
      <w:r w:rsidR="00D0423B">
        <w:rPr>
          <w:szCs w:val="26"/>
        </w:rPr>
        <w:t>specific</w:t>
      </w:r>
      <w:r w:rsidR="006E1794">
        <w:rPr>
          <w:szCs w:val="26"/>
        </w:rPr>
        <w:t>ally</w:t>
      </w:r>
      <w:r w:rsidR="00D0423B">
        <w:rPr>
          <w:szCs w:val="26"/>
        </w:rPr>
        <w:t xml:space="preserve"> </w:t>
      </w:r>
      <w:r w:rsidR="006E1794">
        <w:rPr>
          <w:szCs w:val="26"/>
        </w:rPr>
        <w:t>highlight</w:t>
      </w:r>
      <w:r>
        <w:rPr>
          <w:szCs w:val="26"/>
        </w:rPr>
        <w:t>ed</w:t>
      </w:r>
      <w:r w:rsidR="00D1573D">
        <w:rPr>
          <w:szCs w:val="26"/>
        </w:rPr>
        <w:t xml:space="preserve"> the need for a clear vocational rehabilitation pathway that links </w:t>
      </w:r>
      <w:r w:rsidR="000E349D">
        <w:rPr>
          <w:szCs w:val="26"/>
        </w:rPr>
        <w:t xml:space="preserve">the </w:t>
      </w:r>
      <w:r w:rsidR="009D40D9">
        <w:rPr>
          <w:szCs w:val="26"/>
        </w:rPr>
        <w:t xml:space="preserve">four main actors i.e. the </w:t>
      </w:r>
      <w:r w:rsidR="000E349D">
        <w:rPr>
          <w:szCs w:val="26"/>
        </w:rPr>
        <w:t xml:space="preserve">individual, the employer, the </w:t>
      </w:r>
      <w:r w:rsidR="00D1573D">
        <w:rPr>
          <w:szCs w:val="26"/>
        </w:rPr>
        <w:t>medical</w:t>
      </w:r>
      <w:r w:rsidR="000E349D">
        <w:rPr>
          <w:szCs w:val="26"/>
        </w:rPr>
        <w:t xml:space="preserve"> system and the</w:t>
      </w:r>
      <w:r w:rsidR="00D1573D">
        <w:rPr>
          <w:szCs w:val="26"/>
        </w:rPr>
        <w:t xml:space="preserve"> welfare and employment supports. </w:t>
      </w:r>
      <w:r w:rsidR="00EB69C1">
        <w:rPr>
          <w:szCs w:val="26"/>
        </w:rPr>
        <w:t xml:space="preserve">However keeping all of these players connected will require </w:t>
      </w:r>
      <w:r w:rsidR="00384E7C">
        <w:t>a new level of coordination and integration between different actors</w:t>
      </w:r>
      <w:r w:rsidR="00EB69C1">
        <w:rPr>
          <w:szCs w:val="26"/>
        </w:rPr>
        <w:t xml:space="preserve">. </w:t>
      </w:r>
    </w:p>
    <w:p w14:paraId="7F104AE1" w14:textId="311C20AF" w:rsidR="006F3F06" w:rsidRPr="000E349D" w:rsidRDefault="000E349D" w:rsidP="006F3F06">
      <w:pPr>
        <w:rPr>
          <w:szCs w:val="26"/>
        </w:rPr>
      </w:pPr>
      <w:r>
        <w:rPr>
          <w:szCs w:val="26"/>
        </w:rPr>
        <w:t>The</w:t>
      </w:r>
      <w:r w:rsidR="00E63209">
        <w:rPr>
          <w:szCs w:val="26"/>
        </w:rPr>
        <w:t>refore the</w:t>
      </w:r>
      <w:r>
        <w:rPr>
          <w:szCs w:val="26"/>
        </w:rPr>
        <w:t xml:space="preserve"> NDA </w:t>
      </w:r>
      <w:r w:rsidR="00BB17E0">
        <w:rPr>
          <w:szCs w:val="26"/>
        </w:rPr>
        <w:t>advises the importance of the following in a well-functioning and coordinated system</w:t>
      </w:r>
      <w:r w:rsidR="00DB1C1D">
        <w:rPr>
          <w:rFonts w:eastAsia="Calibri"/>
          <w:lang w:val="en-GB"/>
        </w:rPr>
        <w:t>:</w:t>
      </w:r>
    </w:p>
    <w:p w14:paraId="2F15A03C" w14:textId="1C1E31CF" w:rsidR="007204DD" w:rsidRDefault="00047C43" w:rsidP="007B23D5">
      <w:pPr>
        <w:pStyle w:val="ListParagraph"/>
        <w:numPr>
          <w:ilvl w:val="0"/>
          <w:numId w:val="21"/>
        </w:numPr>
        <w:spacing w:after="120"/>
        <w:contextualSpacing/>
        <w:rPr>
          <w:rFonts w:eastAsia="Calibri"/>
          <w:lang w:val="en-GB"/>
        </w:rPr>
      </w:pPr>
      <w:r>
        <w:rPr>
          <w:rFonts w:eastAsia="Calibri"/>
        </w:rPr>
        <w:t>P</w:t>
      </w:r>
      <w:r w:rsidR="007204DD">
        <w:rPr>
          <w:rFonts w:eastAsia="Calibri"/>
        </w:rPr>
        <w:t>lacing th</w:t>
      </w:r>
      <w:r>
        <w:rPr>
          <w:rFonts w:eastAsia="Calibri"/>
        </w:rPr>
        <w:t xml:space="preserve">e individual </w:t>
      </w:r>
      <w:r w:rsidR="007D07BB">
        <w:rPr>
          <w:rFonts w:eastAsia="Calibri"/>
        </w:rPr>
        <w:t xml:space="preserve">and their particular requirements </w:t>
      </w:r>
      <w:r>
        <w:rPr>
          <w:rFonts w:eastAsia="Calibri"/>
        </w:rPr>
        <w:t xml:space="preserve">at the centre of the </w:t>
      </w:r>
      <w:r w:rsidR="007204DD">
        <w:rPr>
          <w:rFonts w:eastAsia="Calibri"/>
        </w:rPr>
        <w:t xml:space="preserve">service </w:t>
      </w:r>
      <w:r>
        <w:rPr>
          <w:rFonts w:eastAsia="Calibri"/>
          <w:lang w:val="en-GB"/>
        </w:rPr>
        <w:t>is the</w:t>
      </w:r>
      <w:r w:rsidRPr="00BA480B">
        <w:rPr>
          <w:rFonts w:eastAsia="Calibri"/>
          <w:lang w:val="en-GB"/>
        </w:rPr>
        <w:t xml:space="preserve"> starting point for an effective voc</w:t>
      </w:r>
      <w:r w:rsidR="007B23D5">
        <w:rPr>
          <w:rFonts w:eastAsia="Calibri"/>
          <w:lang w:val="en-GB"/>
        </w:rPr>
        <w:t>ational rehabilitation system;</w:t>
      </w:r>
    </w:p>
    <w:p w14:paraId="6BB0F96F" w14:textId="56D8677C" w:rsidR="006F3F06" w:rsidRPr="007204DD" w:rsidRDefault="007204DD" w:rsidP="007B23D5">
      <w:pPr>
        <w:pStyle w:val="ListParagraph"/>
        <w:numPr>
          <w:ilvl w:val="0"/>
          <w:numId w:val="21"/>
        </w:numPr>
        <w:spacing w:after="120"/>
        <w:contextualSpacing/>
        <w:rPr>
          <w:rFonts w:eastAsia="Calibri"/>
          <w:lang w:val="en-GB"/>
        </w:rPr>
      </w:pPr>
      <w:r>
        <w:rPr>
          <w:rFonts w:eastAsia="Calibri"/>
          <w:lang w:val="en-GB"/>
        </w:rPr>
        <w:t xml:space="preserve">The key </w:t>
      </w:r>
      <w:r w:rsidR="00047C43">
        <w:rPr>
          <w:rFonts w:eastAsia="Calibri"/>
          <w:lang w:val="en-GB"/>
        </w:rPr>
        <w:t xml:space="preserve">to vocational rehabilitation </w:t>
      </w:r>
      <w:r>
        <w:rPr>
          <w:rFonts w:eastAsia="Calibri"/>
          <w:lang w:val="en-GB"/>
        </w:rPr>
        <w:t xml:space="preserve">is </w:t>
      </w:r>
      <w:r w:rsidR="006F3F06" w:rsidRPr="007204DD">
        <w:rPr>
          <w:rFonts w:eastAsia="Calibri"/>
          <w:lang w:val="en-GB"/>
        </w:rPr>
        <w:t>‘early intervention’. All other elements of vocational rehabilitation will stem from this point, building along a voc</w:t>
      </w:r>
      <w:r w:rsidR="007B23D5">
        <w:rPr>
          <w:rFonts w:eastAsia="Calibri"/>
          <w:lang w:val="en-GB"/>
        </w:rPr>
        <w:t>ational rehabilitation pathway;</w:t>
      </w:r>
    </w:p>
    <w:p w14:paraId="5D14A9DB" w14:textId="0EF07201" w:rsidR="00DA50BB" w:rsidRDefault="00DA50BB" w:rsidP="007B23D5">
      <w:pPr>
        <w:pStyle w:val="ListParagraph"/>
        <w:numPr>
          <w:ilvl w:val="0"/>
          <w:numId w:val="21"/>
        </w:numPr>
        <w:spacing w:after="120"/>
        <w:contextualSpacing/>
        <w:rPr>
          <w:rFonts w:eastAsia="Calibri"/>
          <w:szCs w:val="26"/>
          <w:lang w:val="en-GB"/>
        </w:rPr>
      </w:pPr>
      <w:r>
        <w:rPr>
          <w:rFonts w:eastAsia="Calibri"/>
          <w:szCs w:val="26"/>
          <w:lang w:val="en-GB"/>
        </w:rPr>
        <w:t>Accept that p</w:t>
      </w:r>
      <w:r w:rsidRPr="00155E92">
        <w:rPr>
          <w:rFonts w:eastAsia="Calibri"/>
          <w:szCs w:val="26"/>
          <w:lang w:val="en-GB"/>
        </w:rPr>
        <w:t xml:space="preserve">eople with acquired disabilities or long-term </w:t>
      </w:r>
      <w:r w:rsidRPr="006F361B">
        <w:rPr>
          <w:rFonts w:eastAsia="Calibri"/>
          <w:szCs w:val="26"/>
          <w:lang w:val="en-GB"/>
        </w:rPr>
        <w:t>health conditions who undergo a vocatio</w:t>
      </w:r>
      <w:r>
        <w:rPr>
          <w:rFonts w:eastAsia="Calibri"/>
          <w:szCs w:val="26"/>
          <w:lang w:val="en-GB"/>
        </w:rPr>
        <w:t xml:space="preserve">nal rehabilitation pathway </w:t>
      </w:r>
      <w:r w:rsidRPr="006F361B">
        <w:rPr>
          <w:rFonts w:eastAsia="Calibri"/>
          <w:szCs w:val="26"/>
          <w:lang w:val="en-GB"/>
        </w:rPr>
        <w:t xml:space="preserve">expect </w:t>
      </w:r>
      <w:r>
        <w:rPr>
          <w:rFonts w:eastAsia="Calibri"/>
          <w:szCs w:val="26"/>
          <w:lang w:val="en-GB"/>
        </w:rPr>
        <w:t xml:space="preserve">that they will have moved closer to </w:t>
      </w:r>
      <w:r w:rsidRPr="006F361B">
        <w:rPr>
          <w:rFonts w:eastAsia="Calibri"/>
          <w:szCs w:val="26"/>
          <w:lang w:val="en-GB"/>
        </w:rPr>
        <w:t>employment as the outcome</w:t>
      </w:r>
      <w:r>
        <w:rPr>
          <w:rFonts w:eastAsia="Calibri"/>
          <w:szCs w:val="26"/>
          <w:lang w:val="en-GB"/>
        </w:rPr>
        <w:t xml:space="preserve"> of the process</w:t>
      </w:r>
      <w:r w:rsidR="007B23D5">
        <w:rPr>
          <w:rFonts w:eastAsia="Calibri"/>
          <w:szCs w:val="26"/>
          <w:lang w:val="en-GB"/>
        </w:rPr>
        <w:t>;</w:t>
      </w:r>
      <w:r w:rsidRPr="006F361B">
        <w:rPr>
          <w:rFonts w:eastAsia="Calibri"/>
          <w:szCs w:val="26"/>
          <w:lang w:val="en-GB"/>
        </w:rPr>
        <w:t xml:space="preserve"> </w:t>
      </w:r>
    </w:p>
    <w:p w14:paraId="1750A109" w14:textId="7186DF95" w:rsidR="00DA50BB" w:rsidRPr="00FF2E40" w:rsidRDefault="00DA50BB" w:rsidP="007B23D5">
      <w:pPr>
        <w:pStyle w:val="ListParagraph"/>
        <w:numPr>
          <w:ilvl w:val="0"/>
          <w:numId w:val="21"/>
        </w:numPr>
        <w:spacing w:after="120"/>
        <w:contextualSpacing/>
        <w:rPr>
          <w:rFonts w:eastAsia="Calibri"/>
          <w:lang w:val="en-GB"/>
        </w:rPr>
      </w:pPr>
      <w:r>
        <w:rPr>
          <w:rFonts w:eastAsia="Calibri"/>
          <w:szCs w:val="26"/>
          <w:lang w:val="en-GB"/>
        </w:rPr>
        <w:t xml:space="preserve">Many people with acquired disability or long term health condition want options to explore be that return to work or otherwise </w:t>
      </w:r>
      <w:r w:rsidRPr="006F361B">
        <w:rPr>
          <w:rFonts w:eastAsia="Calibri"/>
          <w:szCs w:val="26"/>
          <w:lang w:val="en-GB"/>
        </w:rPr>
        <w:t xml:space="preserve">rather than </w:t>
      </w:r>
      <w:r>
        <w:rPr>
          <w:rFonts w:eastAsia="Calibri"/>
          <w:szCs w:val="26"/>
          <w:lang w:val="en-GB"/>
        </w:rPr>
        <w:t>sol</w:t>
      </w:r>
      <w:r w:rsidR="007B27C4">
        <w:rPr>
          <w:rFonts w:eastAsia="Calibri"/>
          <w:szCs w:val="26"/>
          <w:lang w:val="en-GB"/>
        </w:rPr>
        <w:t>ely</w:t>
      </w:r>
      <w:r>
        <w:rPr>
          <w:rFonts w:eastAsia="Calibri"/>
          <w:szCs w:val="26"/>
          <w:lang w:val="en-GB"/>
        </w:rPr>
        <w:t xml:space="preserve"> access to </w:t>
      </w:r>
      <w:r w:rsidRPr="006F361B">
        <w:rPr>
          <w:rFonts w:eastAsia="Calibri"/>
          <w:szCs w:val="26"/>
          <w:lang w:val="en-GB"/>
        </w:rPr>
        <w:t>long-term receipt of illness or disability benefits.</w:t>
      </w:r>
      <w:r>
        <w:rPr>
          <w:rFonts w:eastAsia="Calibri"/>
          <w:szCs w:val="26"/>
          <w:lang w:val="en-GB"/>
        </w:rPr>
        <w:t xml:space="preserve"> Many articulated the need for flexible options regarding hours at work or education </w:t>
      </w:r>
      <w:r w:rsidR="007B27C4">
        <w:rPr>
          <w:rFonts w:eastAsia="Calibri"/>
          <w:szCs w:val="26"/>
          <w:lang w:val="en-GB"/>
        </w:rPr>
        <w:t xml:space="preserve">as </w:t>
      </w:r>
      <w:r>
        <w:rPr>
          <w:rFonts w:eastAsia="Calibri"/>
          <w:szCs w:val="26"/>
          <w:lang w:val="en-GB"/>
        </w:rPr>
        <w:t>rarely was full time participation a desired outcome</w:t>
      </w:r>
      <w:r w:rsidR="007B23D5">
        <w:rPr>
          <w:rFonts w:eastAsia="Calibri"/>
          <w:szCs w:val="26"/>
          <w:lang w:val="en-GB"/>
        </w:rPr>
        <w:t>;</w:t>
      </w:r>
    </w:p>
    <w:p w14:paraId="40A0F1D7" w14:textId="77777777" w:rsidR="007B23D5" w:rsidRDefault="006F3F06" w:rsidP="007B23D5">
      <w:pPr>
        <w:pStyle w:val="ListParagraph"/>
        <w:numPr>
          <w:ilvl w:val="0"/>
          <w:numId w:val="21"/>
        </w:numPr>
        <w:spacing w:after="120"/>
        <w:contextualSpacing/>
        <w:rPr>
          <w:rFonts w:eastAsia="Calibri"/>
          <w:lang w:val="en-GB"/>
        </w:rPr>
      </w:pPr>
      <w:r w:rsidRPr="006E141F">
        <w:rPr>
          <w:rFonts w:eastAsia="Calibri"/>
          <w:lang w:val="en-GB"/>
        </w:rPr>
        <w:t xml:space="preserve">There are certain elements of a vocational rehabilitation system that </w:t>
      </w:r>
      <w:r w:rsidR="00D17E19" w:rsidRPr="006E141F">
        <w:rPr>
          <w:rFonts w:eastAsia="Calibri"/>
          <w:lang w:val="en-GB"/>
        </w:rPr>
        <w:t xml:space="preserve">already </w:t>
      </w:r>
      <w:r w:rsidRPr="006E141F">
        <w:rPr>
          <w:rFonts w:eastAsia="Calibri"/>
          <w:lang w:val="en-GB"/>
        </w:rPr>
        <w:t>operate in the Irish system, however</w:t>
      </w:r>
      <w:r w:rsidR="00D17E19" w:rsidRPr="006E141F">
        <w:rPr>
          <w:rFonts w:eastAsia="Calibri"/>
          <w:lang w:val="en-GB"/>
        </w:rPr>
        <w:t xml:space="preserve"> not consiste</w:t>
      </w:r>
      <w:r w:rsidR="006E141F" w:rsidRPr="006E141F">
        <w:rPr>
          <w:rFonts w:eastAsia="Calibri"/>
          <w:lang w:val="en-GB"/>
        </w:rPr>
        <w:t xml:space="preserve">ntly or </w:t>
      </w:r>
    </w:p>
    <w:p w14:paraId="52D14061" w14:textId="40095223" w:rsidR="007204DD" w:rsidRPr="006E141F" w:rsidRDefault="006E141F" w:rsidP="007B23D5">
      <w:pPr>
        <w:pStyle w:val="ListParagraph"/>
        <w:spacing w:after="120"/>
        <w:contextualSpacing/>
        <w:rPr>
          <w:rFonts w:eastAsia="Calibri"/>
          <w:lang w:val="en-GB"/>
        </w:rPr>
      </w:pPr>
      <w:r w:rsidRPr="006E141F">
        <w:rPr>
          <w:rFonts w:eastAsia="Calibri"/>
          <w:lang w:val="en-GB"/>
        </w:rPr>
        <w:t xml:space="preserve">nationwide </w:t>
      </w:r>
      <w:r w:rsidR="00D17E19" w:rsidRPr="006E141F">
        <w:rPr>
          <w:rFonts w:eastAsia="Calibri"/>
          <w:lang w:val="en-GB"/>
        </w:rPr>
        <w:t>so that</w:t>
      </w:r>
      <w:r w:rsidR="006F3F06" w:rsidRPr="006E141F">
        <w:rPr>
          <w:rFonts w:eastAsia="Calibri"/>
          <w:lang w:val="en-GB"/>
        </w:rPr>
        <w:t xml:space="preserve"> a better system of coordination bet</w:t>
      </w:r>
      <w:r w:rsidR="00D17E19" w:rsidRPr="006E141F">
        <w:rPr>
          <w:rFonts w:eastAsia="Calibri"/>
          <w:lang w:val="en-GB"/>
        </w:rPr>
        <w:t>ween these elements is required</w:t>
      </w:r>
      <w:r w:rsidR="007B23D5">
        <w:rPr>
          <w:rFonts w:eastAsia="Calibri"/>
          <w:lang w:val="en-GB"/>
        </w:rPr>
        <w:t>;</w:t>
      </w:r>
      <w:r w:rsidR="00D17E19" w:rsidRPr="006E141F">
        <w:rPr>
          <w:rFonts w:eastAsia="Calibri"/>
          <w:lang w:val="en-GB"/>
        </w:rPr>
        <w:t xml:space="preserve"> </w:t>
      </w:r>
    </w:p>
    <w:p w14:paraId="409FAE77" w14:textId="593E8AD8" w:rsidR="006F3F06" w:rsidRDefault="006F3F06" w:rsidP="007B23D5">
      <w:pPr>
        <w:pStyle w:val="ListParagraph"/>
        <w:numPr>
          <w:ilvl w:val="0"/>
          <w:numId w:val="21"/>
        </w:numPr>
        <w:spacing w:after="120"/>
        <w:contextualSpacing/>
        <w:rPr>
          <w:rFonts w:eastAsia="Calibri"/>
          <w:lang w:val="en-GB"/>
        </w:rPr>
      </w:pPr>
      <w:r w:rsidRPr="00BA480B">
        <w:rPr>
          <w:rFonts w:eastAsia="Calibri"/>
          <w:lang w:val="en-GB"/>
        </w:rPr>
        <w:t xml:space="preserve">Of the elements of vocational rehabilitation that do not </w:t>
      </w:r>
      <w:r w:rsidR="0099783E">
        <w:rPr>
          <w:rFonts w:eastAsia="Calibri"/>
          <w:lang w:val="en-GB"/>
        </w:rPr>
        <w:t xml:space="preserve">currently </w:t>
      </w:r>
      <w:r w:rsidRPr="00BA480B">
        <w:rPr>
          <w:rFonts w:eastAsia="Calibri"/>
          <w:lang w:val="en-GB"/>
        </w:rPr>
        <w:t xml:space="preserve">exist, </w:t>
      </w:r>
      <w:r w:rsidR="0099783E">
        <w:rPr>
          <w:rFonts w:eastAsia="Calibri"/>
          <w:lang w:val="en-GB"/>
        </w:rPr>
        <w:t>the implementation process must provide a mechanism to ensure they</w:t>
      </w:r>
      <w:r w:rsidR="00C371E9">
        <w:rPr>
          <w:rFonts w:eastAsia="Calibri"/>
          <w:lang w:val="en-GB"/>
        </w:rPr>
        <w:t xml:space="preserve"> link to the</w:t>
      </w:r>
      <w:r w:rsidR="007D07BB">
        <w:rPr>
          <w:rFonts w:eastAsia="Calibri"/>
          <w:lang w:val="en-GB"/>
        </w:rPr>
        <w:t xml:space="preserve"> aspects of</w:t>
      </w:r>
      <w:r w:rsidR="00C371E9">
        <w:rPr>
          <w:rFonts w:eastAsia="Calibri"/>
          <w:lang w:val="en-GB"/>
        </w:rPr>
        <w:t xml:space="preserve"> vocational rehabilitations already in the system</w:t>
      </w:r>
      <w:r w:rsidR="007B23D5">
        <w:rPr>
          <w:rFonts w:eastAsia="Calibri"/>
          <w:lang w:val="en-GB"/>
        </w:rPr>
        <w:t>;</w:t>
      </w:r>
      <w:r>
        <w:rPr>
          <w:rFonts w:eastAsia="Calibri"/>
          <w:lang w:val="en-GB"/>
        </w:rPr>
        <w:t xml:space="preserve"> </w:t>
      </w:r>
      <w:r w:rsidR="007D07BB">
        <w:rPr>
          <w:rFonts w:eastAsia="Calibri"/>
          <w:lang w:val="en-GB"/>
        </w:rPr>
        <w:t>(</w:t>
      </w:r>
      <w:r>
        <w:rPr>
          <w:rFonts w:eastAsia="Calibri"/>
          <w:lang w:val="en-GB"/>
        </w:rPr>
        <w:t xml:space="preserve">Please see chart </w:t>
      </w:r>
      <w:r w:rsidR="008D7E7D">
        <w:rPr>
          <w:rFonts w:eastAsia="Calibri"/>
          <w:lang w:val="en-GB"/>
        </w:rPr>
        <w:t>below.</w:t>
      </w:r>
      <w:r w:rsidR="007D07BB">
        <w:rPr>
          <w:rFonts w:eastAsia="Calibri"/>
          <w:lang w:val="en-GB"/>
        </w:rPr>
        <w:t>)</w:t>
      </w:r>
    </w:p>
    <w:p w14:paraId="48F4F448" w14:textId="6D5C194A" w:rsidR="00B057AE" w:rsidRPr="00BA480B" w:rsidRDefault="00FC39CB" w:rsidP="007B23D5">
      <w:pPr>
        <w:pStyle w:val="ListParagraph"/>
        <w:numPr>
          <w:ilvl w:val="0"/>
          <w:numId w:val="21"/>
        </w:numPr>
        <w:spacing w:after="120"/>
        <w:contextualSpacing/>
        <w:rPr>
          <w:rFonts w:eastAsia="Calibri"/>
          <w:lang w:val="en-GB"/>
        </w:rPr>
      </w:pPr>
      <w:r>
        <w:t>For the vocational rehabilitation pathway to succeed</w:t>
      </w:r>
      <w:r w:rsidR="00C14BDA">
        <w:t>,</w:t>
      </w:r>
      <w:r>
        <w:t xml:space="preserve"> </w:t>
      </w:r>
      <w:r w:rsidR="00945456">
        <w:t xml:space="preserve">it would be preferable for </w:t>
      </w:r>
      <w:r>
        <w:t xml:space="preserve">a single department or agency </w:t>
      </w:r>
      <w:r w:rsidR="00945456">
        <w:t xml:space="preserve">to </w:t>
      </w:r>
      <w:r>
        <w:t xml:space="preserve">lead the coordination through a </w:t>
      </w:r>
      <w:r>
        <w:rPr>
          <w:rFonts w:eastAsia="Calibri"/>
          <w:lang w:val="en-GB"/>
        </w:rPr>
        <w:t>m</w:t>
      </w:r>
      <w:r w:rsidR="00B057AE">
        <w:rPr>
          <w:rFonts w:eastAsia="Calibri"/>
          <w:lang w:val="en-GB"/>
        </w:rPr>
        <w:t xml:space="preserve">ulti-agency collaboration </w:t>
      </w:r>
      <w:r>
        <w:rPr>
          <w:rFonts w:eastAsia="Calibri"/>
          <w:lang w:val="en-GB"/>
        </w:rPr>
        <w:t xml:space="preserve">process. </w:t>
      </w:r>
      <w:r w:rsidR="00B057AE">
        <w:rPr>
          <w:rFonts w:eastAsia="Calibri"/>
          <w:lang w:val="en-GB"/>
        </w:rPr>
        <w:t xml:space="preserve">This collaboration is best defined as </w:t>
      </w:r>
      <w:r w:rsidR="00B057AE">
        <w:t>“a process in which organisations exchange information, alter activities, share resources, and enhance each other’s capacity for mutual benefit and a common purpose by sharing risks, responsibilities and rewards</w:t>
      </w:r>
      <w:r w:rsidR="007B23D5">
        <w:t>.</w:t>
      </w:r>
      <w:r w:rsidR="00B057AE">
        <w:t>”</w:t>
      </w:r>
      <w:r>
        <w:t xml:space="preserve"> </w:t>
      </w:r>
    </w:p>
    <w:p w14:paraId="784C3AF4" w14:textId="77777777" w:rsidR="006F3F06" w:rsidRPr="00B057AE" w:rsidRDefault="006F3F06" w:rsidP="007B23D5">
      <w:pPr>
        <w:pStyle w:val="ListParagraph"/>
        <w:numPr>
          <w:ilvl w:val="0"/>
          <w:numId w:val="21"/>
        </w:numPr>
        <w:spacing w:after="120"/>
        <w:contextualSpacing/>
        <w:rPr>
          <w:rFonts w:eastAsia="Calibri"/>
          <w:lang w:val="en-GB"/>
        </w:rPr>
      </w:pPr>
      <w:r w:rsidRPr="00B057AE">
        <w:rPr>
          <w:rFonts w:eastAsia="Calibri"/>
          <w:lang w:val="en-GB"/>
        </w:rPr>
        <w:t xml:space="preserve">The </w:t>
      </w:r>
      <w:r w:rsidR="00B057AE">
        <w:rPr>
          <w:rFonts w:eastAsia="Calibri"/>
          <w:lang w:val="en-GB"/>
        </w:rPr>
        <w:t xml:space="preserve">collaborative working </w:t>
      </w:r>
      <w:r w:rsidR="00945456">
        <w:rPr>
          <w:rFonts w:eastAsia="Calibri"/>
          <w:lang w:val="en-GB"/>
        </w:rPr>
        <w:t>would</w:t>
      </w:r>
      <w:r w:rsidR="00945456" w:rsidRPr="00B057AE">
        <w:rPr>
          <w:rFonts w:eastAsia="Calibri"/>
          <w:lang w:val="en-GB"/>
        </w:rPr>
        <w:t xml:space="preserve"> </w:t>
      </w:r>
      <w:r w:rsidRPr="00B057AE">
        <w:rPr>
          <w:rFonts w:eastAsia="Calibri"/>
          <w:lang w:val="en-GB"/>
        </w:rPr>
        <w:t xml:space="preserve">be supported by </w:t>
      </w:r>
      <w:r w:rsidR="00DB1C1D" w:rsidRPr="00B057AE">
        <w:rPr>
          <w:rFonts w:eastAsia="Calibri"/>
          <w:lang w:val="en-GB"/>
        </w:rPr>
        <w:t xml:space="preserve">a </w:t>
      </w:r>
      <w:r w:rsidRPr="00B057AE">
        <w:rPr>
          <w:rFonts w:eastAsia="Calibri"/>
          <w:lang w:val="en-GB"/>
        </w:rPr>
        <w:t>referrals process</w:t>
      </w:r>
      <w:r w:rsidR="00DB1C1D" w:rsidRPr="00B057AE">
        <w:rPr>
          <w:rFonts w:eastAsia="Calibri"/>
          <w:lang w:val="en-GB"/>
        </w:rPr>
        <w:t>,</w:t>
      </w:r>
      <w:r w:rsidR="007204DD" w:rsidRPr="00B057AE">
        <w:rPr>
          <w:rFonts w:eastAsia="Calibri"/>
          <w:lang w:val="en-GB"/>
        </w:rPr>
        <w:t xml:space="preserve"> </w:t>
      </w:r>
      <w:r w:rsidRPr="00B057AE">
        <w:rPr>
          <w:rFonts w:eastAsia="Calibri"/>
          <w:lang w:val="en-GB"/>
        </w:rPr>
        <w:t xml:space="preserve">operational protocols </w:t>
      </w:r>
      <w:r w:rsidR="00837F43" w:rsidRPr="00B057AE">
        <w:rPr>
          <w:rFonts w:eastAsia="Calibri"/>
          <w:lang w:val="en-GB"/>
        </w:rPr>
        <w:t xml:space="preserve">and the development of quality standards </w:t>
      </w:r>
      <w:r w:rsidRPr="00B057AE">
        <w:rPr>
          <w:rFonts w:eastAsia="Calibri"/>
          <w:lang w:val="en-GB"/>
        </w:rPr>
        <w:t>between agencies and providers.</w:t>
      </w:r>
    </w:p>
    <w:p w14:paraId="7BD28471" w14:textId="77777777" w:rsidR="007B23D5" w:rsidRDefault="007B23D5" w:rsidP="006F3F06">
      <w:pPr>
        <w:rPr>
          <w:lang w:val="en-GB"/>
        </w:rPr>
      </w:pPr>
    </w:p>
    <w:p w14:paraId="1F7EA9D0" w14:textId="5F9F42CC" w:rsidR="006F3F06" w:rsidRDefault="008D7E7D" w:rsidP="006F3F06">
      <w:r>
        <w:rPr>
          <w:lang w:val="en-GB"/>
        </w:rPr>
        <w:t>While it is necessary to develop additional components of a vocational rehabilitation pathway, the overall system will be</w:t>
      </w:r>
      <w:r w:rsidR="006F3F06">
        <w:rPr>
          <w:lang w:val="en-GB"/>
        </w:rPr>
        <w:t xml:space="preserve"> </w:t>
      </w:r>
      <w:r w:rsidR="006F3F06" w:rsidRPr="004D6930">
        <w:rPr>
          <w:lang w:val="en-GB"/>
        </w:rPr>
        <w:t>operate</w:t>
      </w:r>
      <w:r w:rsidR="006F3F06">
        <w:rPr>
          <w:lang w:val="en-GB"/>
        </w:rPr>
        <w:t>d</w:t>
      </w:r>
      <w:r w:rsidR="006F3F06" w:rsidRPr="004D6930">
        <w:rPr>
          <w:lang w:val="en-GB"/>
        </w:rPr>
        <w:t xml:space="preserve"> on the basis of a focused case management plan which can include mainstream and </w:t>
      </w:r>
      <w:r w:rsidR="006F3F06">
        <w:rPr>
          <w:lang w:val="en-GB"/>
        </w:rPr>
        <w:t xml:space="preserve">or tailored employment services. The attached implementation plan </w:t>
      </w:r>
      <w:r w:rsidR="00945456">
        <w:rPr>
          <w:lang w:val="en-GB"/>
        </w:rPr>
        <w:t xml:space="preserve">suggests </w:t>
      </w:r>
      <w:r>
        <w:rPr>
          <w:lang w:val="en-GB"/>
        </w:rPr>
        <w:t>further</w:t>
      </w:r>
      <w:r w:rsidR="006F3F06">
        <w:rPr>
          <w:lang w:val="en-GB"/>
        </w:rPr>
        <w:t xml:space="preserve"> details </w:t>
      </w:r>
      <w:r>
        <w:rPr>
          <w:lang w:val="en-GB"/>
        </w:rPr>
        <w:t>of what is required to ensure that</w:t>
      </w:r>
      <w:r w:rsidR="007A5019">
        <w:rPr>
          <w:lang w:val="en-GB"/>
        </w:rPr>
        <w:t xml:space="preserve"> these components are </w:t>
      </w:r>
      <w:r w:rsidR="007A5019">
        <w:t>co-ordinated into a single pathway.</w:t>
      </w:r>
    </w:p>
    <w:p w14:paraId="59455E1D" w14:textId="77777777" w:rsidR="00FA6536" w:rsidRDefault="006E141F" w:rsidP="006F3F06">
      <w:r>
        <w:t>4</w:t>
      </w:r>
      <w:r w:rsidR="00FA6536">
        <w:t xml:space="preserve"> steps necessary </w:t>
      </w:r>
      <w:r w:rsidR="00945456">
        <w:t>during the</w:t>
      </w:r>
      <w:r w:rsidR="00FA6536">
        <w:t xml:space="preserve"> vocational rehabilitation process are:</w:t>
      </w:r>
    </w:p>
    <w:p w14:paraId="5538584C" w14:textId="77777777" w:rsidR="00FA6536" w:rsidRPr="00FA6536" w:rsidRDefault="00FA6536" w:rsidP="00724A24">
      <w:pPr>
        <w:pStyle w:val="ListParagraph"/>
        <w:numPr>
          <w:ilvl w:val="0"/>
          <w:numId w:val="23"/>
        </w:numPr>
        <w:rPr>
          <w:sz w:val="24"/>
        </w:rPr>
      </w:pPr>
      <w:r>
        <w:t xml:space="preserve">Step 1 Access to </w:t>
      </w:r>
      <w:r w:rsidR="00782B00">
        <w:t xml:space="preserve">coordinated </w:t>
      </w:r>
      <w:r>
        <w:t xml:space="preserve">pathway through principle of early </w:t>
      </w:r>
      <w:r w:rsidR="00B306A1">
        <w:t>intervention</w:t>
      </w:r>
    </w:p>
    <w:p w14:paraId="6DA04CAC" w14:textId="77777777" w:rsidR="00FA6536" w:rsidRDefault="00782B00" w:rsidP="00724A24">
      <w:pPr>
        <w:pStyle w:val="ListParagraph"/>
        <w:numPr>
          <w:ilvl w:val="0"/>
          <w:numId w:val="23"/>
        </w:numPr>
        <w:rPr>
          <w:lang w:eastAsia="en-IE"/>
        </w:rPr>
      </w:pPr>
      <w:r>
        <w:t>Step 2 Assessment</w:t>
      </w:r>
      <w:r w:rsidR="00FA6536">
        <w:t xml:space="preserve"> points </w:t>
      </w:r>
      <w:r w:rsidR="00B306A1">
        <w:t xml:space="preserve">developed </w:t>
      </w:r>
      <w:r w:rsidR="00FA6536">
        <w:t xml:space="preserve">across the pathway </w:t>
      </w:r>
      <w:r w:rsidR="00325A22">
        <w:t>as described</w:t>
      </w:r>
      <w:r w:rsidR="00FA6536">
        <w:t xml:space="preserve"> in the </w:t>
      </w:r>
      <w:r w:rsidR="00FA6536" w:rsidRPr="00FA6536">
        <w:rPr>
          <w:lang w:val="en-GB"/>
        </w:rPr>
        <w:t xml:space="preserve">vocational rehabilitation pathway process </w:t>
      </w:r>
    </w:p>
    <w:p w14:paraId="39AA665C" w14:textId="77777777" w:rsidR="00FA6536" w:rsidRDefault="0099783E" w:rsidP="00724A24">
      <w:pPr>
        <w:pStyle w:val="ListParagraph"/>
        <w:numPr>
          <w:ilvl w:val="0"/>
          <w:numId w:val="23"/>
        </w:numPr>
      </w:pPr>
      <w:r>
        <w:t>Step 3 Decision</w:t>
      </w:r>
      <w:r w:rsidR="00FA6536">
        <w:t xml:space="preserve"> </w:t>
      </w:r>
      <w:r w:rsidR="00782B00">
        <w:t xml:space="preserve">made </w:t>
      </w:r>
      <w:r w:rsidR="00FA6536">
        <w:t xml:space="preserve">on </w:t>
      </w:r>
      <w:r w:rsidR="001F062C">
        <w:t>the interventions required</w:t>
      </w:r>
      <w:r w:rsidR="00664585">
        <w:t xml:space="preserve"> to support </w:t>
      </w:r>
      <w:r w:rsidR="00782B00">
        <w:t>‘</w:t>
      </w:r>
      <w:r w:rsidR="00FA6536">
        <w:t>return to work</w:t>
      </w:r>
      <w:r w:rsidR="00782B00">
        <w:t>’</w:t>
      </w:r>
      <w:r w:rsidR="00FA6536">
        <w:t xml:space="preserve"> or </w:t>
      </w:r>
      <w:r w:rsidR="00782B00">
        <w:t>‘</w:t>
      </w:r>
      <w:r w:rsidR="00FA6536">
        <w:t>training</w:t>
      </w:r>
      <w:r w:rsidR="00782B00">
        <w:t xml:space="preserve"> and education’</w:t>
      </w:r>
      <w:r w:rsidR="00FA6536">
        <w:t xml:space="preserve"> or </w:t>
      </w:r>
      <w:r w:rsidR="00782B00">
        <w:t>‘</w:t>
      </w:r>
      <w:r w:rsidR="00FA6536">
        <w:t>access to long-term social welfare payment</w:t>
      </w:r>
      <w:r w:rsidR="00782B00">
        <w:t>’</w:t>
      </w:r>
      <w:r w:rsidR="00EB69C1">
        <w:t xml:space="preserve"> or all three.</w:t>
      </w:r>
    </w:p>
    <w:p w14:paraId="5925A545" w14:textId="216DC152" w:rsidR="00FA6536" w:rsidRDefault="00FA6536" w:rsidP="00724A24">
      <w:pPr>
        <w:pStyle w:val="ListParagraph"/>
        <w:numPr>
          <w:ilvl w:val="0"/>
          <w:numId w:val="23"/>
        </w:numPr>
      </w:pPr>
      <w:r>
        <w:t xml:space="preserve">Step 4 </w:t>
      </w:r>
      <w:r w:rsidR="00664585">
        <w:t>Engaging e</w:t>
      </w:r>
      <w:r w:rsidR="00B306A1">
        <w:t xml:space="preserve">mployers to create awareness of return to work pathway for individuals and of the steps/time involved in </w:t>
      </w:r>
      <w:r w:rsidR="00664585">
        <w:t>the process</w:t>
      </w:r>
      <w:r w:rsidR="000C0F8F">
        <w:t xml:space="preserve"> with specific guidance on provision of reasonable accommodations.</w:t>
      </w:r>
    </w:p>
    <w:p w14:paraId="14423DB5" w14:textId="77777777" w:rsidR="00C74CC0" w:rsidRPr="008D7E7D" w:rsidRDefault="008D7E7D" w:rsidP="00AA0FE7">
      <w:pPr>
        <w:pStyle w:val="Heading2"/>
        <w:rPr>
          <w:rFonts w:eastAsia="Calibri"/>
          <w:lang w:val="en-GB"/>
        </w:rPr>
      </w:pPr>
      <w:r w:rsidRPr="008D7E7D">
        <w:rPr>
          <w:rFonts w:eastAsia="Calibri"/>
          <w:lang w:val="en-GB"/>
        </w:rPr>
        <w:t xml:space="preserve">Step one: </w:t>
      </w:r>
      <w:r w:rsidR="006575BB">
        <w:t>A</w:t>
      </w:r>
      <w:r w:rsidR="00FA6536">
        <w:t>ccess</w:t>
      </w:r>
      <w:r w:rsidR="00782B00">
        <w:t xml:space="preserve"> to </w:t>
      </w:r>
      <w:r w:rsidR="00386D80">
        <w:t xml:space="preserve">coordinated </w:t>
      </w:r>
      <w:r w:rsidR="00C74CC0" w:rsidRPr="008D7E7D">
        <w:t>path</w:t>
      </w:r>
    </w:p>
    <w:p w14:paraId="4C4602F9" w14:textId="77777777" w:rsidR="00720801" w:rsidRPr="00B75836" w:rsidRDefault="000E349D" w:rsidP="008D7E7D">
      <w:pPr>
        <w:spacing w:after="0"/>
        <w:rPr>
          <w:szCs w:val="26"/>
        </w:rPr>
      </w:pPr>
      <w:r>
        <w:rPr>
          <w:szCs w:val="26"/>
        </w:rPr>
        <w:t xml:space="preserve">Early </w:t>
      </w:r>
      <w:r w:rsidR="00F503AB">
        <w:rPr>
          <w:szCs w:val="26"/>
        </w:rPr>
        <w:t>i</w:t>
      </w:r>
      <w:r>
        <w:rPr>
          <w:szCs w:val="26"/>
        </w:rPr>
        <w:t xml:space="preserve">ntervention </w:t>
      </w:r>
      <w:r w:rsidR="00325A22">
        <w:rPr>
          <w:szCs w:val="26"/>
        </w:rPr>
        <w:t xml:space="preserve">for the individual </w:t>
      </w:r>
      <w:r>
        <w:rPr>
          <w:szCs w:val="26"/>
        </w:rPr>
        <w:t>is the key pillar for an efficient vocational rehabilitation system. The NDA advi</w:t>
      </w:r>
      <w:r w:rsidR="00236731">
        <w:rPr>
          <w:szCs w:val="26"/>
        </w:rPr>
        <w:t>s</w:t>
      </w:r>
      <w:r>
        <w:rPr>
          <w:szCs w:val="26"/>
        </w:rPr>
        <w:t>e that the c</w:t>
      </w:r>
      <w:r w:rsidR="00720801" w:rsidRPr="00B75836">
        <w:rPr>
          <w:szCs w:val="26"/>
        </w:rPr>
        <w:t xml:space="preserve">ommon </w:t>
      </w:r>
      <w:r w:rsidR="00720801" w:rsidRPr="00B75836">
        <w:rPr>
          <w:b/>
          <w:szCs w:val="26"/>
        </w:rPr>
        <w:t>points to access vocational rehabilitation</w:t>
      </w:r>
      <w:r w:rsidR="00720801" w:rsidRPr="00B75836">
        <w:rPr>
          <w:szCs w:val="26"/>
        </w:rPr>
        <w:t xml:space="preserve"> </w:t>
      </w:r>
      <w:r w:rsidR="00325A22">
        <w:rPr>
          <w:szCs w:val="26"/>
        </w:rPr>
        <w:t xml:space="preserve">for the individual </w:t>
      </w:r>
      <w:r w:rsidR="00236731">
        <w:rPr>
          <w:szCs w:val="26"/>
        </w:rPr>
        <w:t>could</w:t>
      </w:r>
      <w:r w:rsidR="00236731" w:rsidRPr="00B75836">
        <w:rPr>
          <w:szCs w:val="26"/>
        </w:rPr>
        <w:t xml:space="preserve"> </w:t>
      </w:r>
      <w:r w:rsidR="006513EA">
        <w:rPr>
          <w:szCs w:val="26"/>
        </w:rPr>
        <w:t>include any of the following</w:t>
      </w:r>
      <w:r w:rsidR="00720801" w:rsidRPr="00B75836">
        <w:rPr>
          <w:szCs w:val="26"/>
        </w:rPr>
        <w:t xml:space="preserve">: </w:t>
      </w:r>
    </w:p>
    <w:p w14:paraId="34ECE978" w14:textId="77777777" w:rsidR="004608CB" w:rsidRPr="00B75836" w:rsidRDefault="004608CB" w:rsidP="00724A24">
      <w:pPr>
        <w:pStyle w:val="ListParagraph"/>
        <w:numPr>
          <w:ilvl w:val="0"/>
          <w:numId w:val="8"/>
        </w:numPr>
        <w:spacing w:after="120"/>
        <w:rPr>
          <w:szCs w:val="26"/>
        </w:rPr>
      </w:pPr>
      <w:r w:rsidRPr="00B75836">
        <w:rPr>
          <w:szCs w:val="26"/>
        </w:rPr>
        <w:t>Through a local Intreo office where an individual accesses a long-term illness/invalidity benefit</w:t>
      </w:r>
      <w:r w:rsidR="00236731">
        <w:rPr>
          <w:szCs w:val="26"/>
        </w:rPr>
        <w:t>;</w:t>
      </w:r>
    </w:p>
    <w:p w14:paraId="7FC5605B" w14:textId="77777777" w:rsidR="00720801" w:rsidRPr="00B75836" w:rsidRDefault="00C14BDA" w:rsidP="00724A24">
      <w:pPr>
        <w:pStyle w:val="ListParagraph"/>
        <w:numPr>
          <w:ilvl w:val="0"/>
          <w:numId w:val="8"/>
        </w:numPr>
        <w:spacing w:after="120"/>
        <w:rPr>
          <w:szCs w:val="26"/>
        </w:rPr>
      </w:pPr>
      <w:r>
        <w:rPr>
          <w:szCs w:val="26"/>
        </w:rPr>
        <w:t>W</w:t>
      </w:r>
      <w:r w:rsidRPr="00B75836">
        <w:rPr>
          <w:szCs w:val="26"/>
        </w:rPr>
        <w:t xml:space="preserve">hile </w:t>
      </w:r>
      <w:r w:rsidR="00720801" w:rsidRPr="00B75836">
        <w:rPr>
          <w:szCs w:val="26"/>
        </w:rPr>
        <w:t>in hospital under-going medical treatment;</w:t>
      </w:r>
      <w:r w:rsidR="006513EA">
        <w:rPr>
          <w:szCs w:val="26"/>
        </w:rPr>
        <w:t xml:space="preserve"> but after</w:t>
      </w:r>
      <w:r w:rsidR="00236731">
        <w:rPr>
          <w:szCs w:val="26"/>
        </w:rPr>
        <w:t xml:space="preserve"> clinical</w:t>
      </w:r>
      <w:r w:rsidR="006513EA">
        <w:rPr>
          <w:szCs w:val="26"/>
        </w:rPr>
        <w:t xml:space="preserve"> assessment and </w:t>
      </w:r>
      <w:r w:rsidR="00236731">
        <w:rPr>
          <w:szCs w:val="26"/>
        </w:rPr>
        <w:t xml:space="preserve">with the </w:t>
      </w:r>
      <w:r w:rsidR="006513EA">
        <w:rPr>
          <w:szCs w:val="26"/>
        </w:rPr>
        <w:t>agreement of individual</w:t>
      </w:r>
      <w:r w:rsidR="00720801" w:rsidRPr="00B75836">
        <w:rPr>
          <w:szCs w:val="26"/>
        </w:rPr>
        <w:t xml:space="preserve"> </w:t>
      </w:r>
    </w:p>
    <w:p w14:paraId="520E7300" w14:textId="77777777" w:rsidR="00720801" w:rsidRPr="00B75836" w:rsidRDefault="00C14BDA" w:rsidP="00724A24">
      <w:pPr>
        <w:pStyle w:val="ListParagraph"/>
        <w:numPr>
          <w:ilvl w:val="0"/>
          <w:numId w:val="8"/>
        </w:numPr>
        <w:spacing w:after="120"/>
        <w:rPr>
          <w:szCs w:val="26"/>
        </w:rPr>
      </w:pPr>
      <w:r>
        <w:rPr>
          <w:szCs w:val="26"/>
        </w:rPr>
        <w:t>T</w:t>
      </w:r>
      <w:r w:rsidRPr="00B75836">
        <w:rPr>
          <w:szCs w:val="26"/>
        </w:rPr>
        <w:t xml:space="preserve">hrough </w:t>
      </w:r>
      <w:r w:rsidR="00720801" w:rsidRPr="00B75836">
        <w:rPr>
          <w:szCs w:val="26"/>
        </w:rPr>
        <w:t>a health-care professional such as a</w:t>
      </w:r>
      <w:r w:rsidR="00153741" w:rsidRPr="00B75836">
        <w:rPr>
          <w:szCs w:val="26"/>
        </w:rPr>
        <w:t>n</w:t>
      </w:r>
      <w:r w:rsidR="00720801" w:rsidRPr="00B75836">
        <w:rPr>
          <w:szCs w:val="26"/>
        </w:rPr>
        <w:t xml:space="preserve"> </w:t>
      </w:r>
      <w:r w:rsidR="00153741" w:rsidRPr="00B75836">
        <w:rPr>
          <w:szCs w:val="26"/>
        </w:rPr>
        <w:t xml:space="preserve">Occupational Health Doctor, a </w:t>
      </w:r>
      <w:r w:rsidR="00720801" w:rsidRPr="00B75836">
        <w:rPr>
          <w:szCs w:val="26"/>
        </w:rPr>
        <w:t xml:space="preserve">GP; </w:t>
      </w:r>
      <w:r w:rsidR="00153741" w:rsidRPr="00B75836">
        <w:rPr>
          <w:szCs w:val="26"/>
        </w:rPr>
        <w:t xml:space="preserve">or </w:t>
      </w:r>
      <w:r w:rsidR="00720801" w:rsidRPr="00B75836">
        <w:rPr>
          <w:szCs w:val="26"/>
        </w:rPr>
        <w:t>other HSE</w:t>
      </w:r>
      <w:r>
        <w:rPr>
          <w:szCs w:val="26"/>
        </w:rPr>
        <w:t>-</w:t>
      </w:r>
      <w:r w:rsidR="00720801" w:rsidRPr="00B75836">
        <w:rPr>
          <w:szCs w:val="26"/>
        </w:rPr>
        <w:t xml:space="preserve">funded service e.g. </w:t>
      </w:r>
      <w:r w:rsidR="007C3BD6">
        <w:rPr>
          <w:szCs w:val="26"/>
        </w:rPr>
        <w:t xml:space="preserve">disability </w:t>
      </w:r>
      <w:r w:rsidR="007A5019">
        <w:rPr>
          <w:szCs w:val="26"/>
        </w:rPr>
        <w:t xml:space="preserve">support </w:t>
      </w:r>
      <w:r w:rsidR="007C3BD6">
        <w:rPr>
          <w:szCs w:val="26"/>
        </w:rPr>
        <w:t>organisation</w:t>
      </w:r>
    </w:p>
    <w:p w14:paraId="3E7510F2" w14:textId="1A8380C5" w:rsidR="00400372" w:rsidRPr="006E0997" w:rsidRDefault="00D74748" w:rsidP="00407802">
      <w:pPr>
        <w:pStyle w:val="ListParagraph"/>
        <w:numPr>
          <w:ilvl w:val="0"/>
          <w:numId w:val="8"/>
        </w:numPr>
        <w:spacing w:after="0"/>
        <w:rPr>
          <w:szCs w:val="26"/>
        </w:rPr>
      </w:pPr>
      <w:r w:rsidRPr="00B75836">
        <w:rPr>
          <w:szCs w:val="26"/>
        </w:rPr>
        <w:t xml:space="preserve">Through an education provider such as a </w:t>
      </w:r>
      <w:r w:rsidR="00153741" w:rsidRPr="00B75836">
        <w:rPr>
          <w:szCs w:val="26"/>
        </w:rPr>
        <w:t>local Education Training Boar</w:t>
      </w:r>
      <w:r w:rsidR="00F5701C">
        <w:rPr>
          <w:szCs w:val="26"/>
        </w:rPr>
        <w:t>d, adult guidance counsellor or other</w:t>
      </w:r>
      <w:r w:rsidR="00F503AB">
        <w:rPr>
          <w:szCs w:val="26"/>
        </w:rPr>
        <w:t>.</w:t>
      </w:r>
    </w:p>
    <w:p w14:paraId="2C17FBB1" w14:textId="77777777" w:rsidR="00C72CFF" w:rsidRDefault="00C72CFF">
      <w:pPr>
        <w:spacing w:after="0"/>
        <w:sectPr w:rsidR="00C72CFF" w:rsidSect="00672B94">
          <w:footerReference w:type="default" r:id="rId13"/>
          <w:pgSz w:w="12240" w:h="15840"/>
          <w:pgMar w:top="1440" w:right="1797" w:bottom="1440" w:left="1797" w:header="709" w:footer="709" w:gutter="0"/>
          <w:cols w:space="708"/>
          <w:docGrid w:linePitch="360"/>
        </w:sectPr>
      </w:pPr>
      <w:r>
        <w:br w:type="page"/>
      </w:r>
    </w:p>
    <w:p w14:paraId="2F1F7EBB" w14:textId="77777777" w:rsidR="00437F21" w:rsidRPr="008D7E7D" w:rsidRDefault="00437F21" w:rsidP="00AA0FE7">
      <w:pPr>
        <w:pStyle w:val="Heading2"/>
      </w:pPr>
      <w:r w:rsidRPr="008D7E7D">
        <w:t>Step two:</w:t>
      </w:r>
      <w:bookmarkStart w:id="5" w:name="_Toc428441044"/>
      <w:bookmarkStart w:id="6" w:name="_Toc428870763"/>
      <w:r w:rsidRPr="008D7E7D">
        <w:t xml:space="preserve"> </w:t>
      </w:r>
      <w:r>
        <w:t>Assessment and intervention points developed</w:t>
      </w:r>
      <w:bookmarkEnd w:id="5"/>
      <w:bookmarkEnd w:id="6"/>
      <w:r>
        <w:t xml:space="preserve"> across the pathway</w:t>
      </w:r>
    </w:p>
    <w:p w14:paraId="4BE8EE15" w14:textId="4D5A991D" w:rsidR="00C72CFF" w:rsidRPr="00512F82" w:rsidRDefault="00437F21" w:rsidP="00437F21">
      <w:pPr>
        <w:spacing w:after="0"/>
      </w:pPr>
      <w:r w:rsidRPr="00512F82">
        <w:rPr>
          <w:rFonts w:eastAsia="Calibri"/>
          <w:lang w:val="en-GB"/>
        </w:rPr>
        <w:t xml:space="preserve">Set out below are components of vocational rehabilitation required for an effective </w:t>
      </w:r>
      <w:r w:rsidR="00EE4029">
        <w:rPr>
          <w:rFonts w:eastAsia="Calibri"/>
          <w:lang w:val="en-GB"/>
        </w:rPr>
        <w:t xml:space="preserve">vocational rehabilitation pathway </w:t>
      </w:r>
    </w:p>
    <w:tbl>
      <w:tblPr>
        <w:tblW w:w="13173" w:type="dxa"/>
        <w:tblLook w:val="04A0" w:firstRow="1" w:lastRow="0" w:firstColumn="1" w:lastColumn="0" w:noHBand="0" w:noVBand="1"/>
      </w:tblPr>
      <w:tblGrid>
        <w:gridCol w:w="1649"/>
        <w:gridCol w:w="2699"/>
        <w:gridCol w:w="4678"/>
        <w:gridCol w:w="4147"/>
      </w:tblGrid>
      <w:tr w:rsidR="00437F21" w:rsidRPr="00512F82" w14:paraId="67FBFE3B" w14:textId="77777777" w:rsidTr="006B7CAE">
        <w:trPr>
          <w:cantSplit/>
          <w:trHeight w:val="454"/>
          <w:tblHeader/>
        </w:trPr>
        <w:tc>
          <w:tcPr>
            <w:tcW w:w="1649" w:type="dxa"/>
            <w:tcBorders>
              <w:top w:val="single" w:sz="8" w:space="0" w:color="auto"/>
              <w:left w:val="single" w:sz="8" w:space="0" w:color="auto"/>
              <w:bottom w:val="single" w:sz="4" w:space="0" w:color="auto"/>
              <w:right w:val="single" w:sz="8" w:space="0" w:color="auto"/>
            </w:tcBorders>
          </w:tcPr>
          <w:p w14:paraId="76976946" w14:textId="77777777" w:rsidR="00437F21" w:rsidRPr="00512F82" w:rsidRDefault="00437F21" w:rsidP="008B692F">
            <w:pPr>
              <w:keepNext/>
              <w:spacing w:after="0"/>
              <w:rPr>
                <w:bCs/>
                <w:color w:val="000000"/>
                <w:sz w:val="22"/>
                <w:szCs w:val="22"/>
                <w:lang w:eastAsia="en-GB"/>
              </w:rPr>
            </w:pPr>
          </w:p>
        </w:tc>
        <w:tc>
          <w:tcPr>
            <w:tcW w:w="2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EACD3" w14:textId="77777777" w:rsidR="00437F21" w:rsidRPr="00512F82" w:rsidRDefault="00437F21" w:rsidP="008B692F">
            <w:pPr>
              <w:keepNext/>
              <w:spacing w:after="0"/>
              <w:jc w:val="center"/>
              <w:rPr>
                <w:b/>
                <w:bCs/>
                <w:color w:val="000000"/>
                <w:sz w:val="22"/>
                <w:szCs w:val="22"/>
                <w:lang w:val="en-GB" w:eastAsia="en-GB"/>
              </w:rPr>
            </w:pPr>
            <w:r w:rsidRPr="00512F82">
              <w:rPr>
                <w:b/>
                <w:bCs/>
                <w:color w:val="000000"/>
                <w:sz w:val="22"/>
                <w:szCs w:val="22"/>
                <w:lang w:eastAsia="en-GB"/>
              </w:rPr>
              <w:t>Components</w:t>
            </w:r>
          </w:p>
        </w:tc>
        <w:tc>
          <w:tcPr>
            <w:tcW w:w="4678" w:type="dxa"/>
            <w:tcBorders>
              <w:top w:val="single" w:sz="8" w:space="0" w:color="auto"/>
              <w:left w:val="single" w:sz="8" w:space="0" w:color="auto"/>
              <w:bottom w:val="single" w:sz="8" w:space="0" w:color="auto"/>
              <w:right w:val="single" w:sz="8" w:space="0" w:color="auto"/>
            </w:tcBorders>
          </w:tcPr>
          <w:p w14:paraId="2D28E103" w14:textId="77777777" w:rsidR="00437F21" w:rsidRPr="00512F82" w:rsidRDefault="00437F21" w:rsidP="008B692F">
            <w:pPr>
              <w:keepNext/>
              <w:spacing w:after="0"/>
              <w:jc w:val="center"/>
              <w:rPr>
                <w:b/>
                <w:bCs/>
                <w:color w:val="000000"/>
                <w:sz w:val="22"/>
                <w:szCs w:val="22"/>
                <w:lang w:eastAsia="en-GB"/>
              </w:rPr>
            </w:pPr>
            <w:r w:rsidRPr="00512F82">
              <w:rPr>
                <w:b/>
                <w:bCs/>
                <w:color w:val="000000"/>
                <w:sz w:val="22"/>
                <w:szCs w:val="22"/>
                <w:lang w:eastAsia="en-GB"/>
              </w:rPr>
              <w:t xml:space="preserve">Delivery approaches </w:t>
            </w:r>
          </w:p>
        </w:tc>
        <w:tc>
          <w:tcPr>
            <w:tcW w:w="4147" w:type="dxa"/>
            <w:tcBorders>
              <w:top w:val="single" w:sz="8" w:space="0" w:color="auto"/>
              <w:left w:val="single" w:sz="8" w:space="0" w:color="auto"/>
              <w:bottom w:val="single" w:sz="8" w:space="0" w:color="auto"/>
              <w:right w:val="single" w:sz="8" w:space="0" w:color="auto"/>
            </w:tcBorders>
          </w:tcPr>
          <w:p w14:paraId="144CF913" w14:textId="77777777" w:rsidR="00437F21" w:rsidRPr="00512F82" w:rsidRDefault="00BC7C00" w:rsidP="008B692F">
            <w:pPr>
              <w:keepNext/>
              <w:spacing w:after="0"/>
              <w:jc w:val="center"/>
              <w:rPr>
                <w:b/>
                <w:bCs/>
                <w:color w:val="000000"/>
                <w:sz w:val="22"/>
                <w:szCs w:val="22"/>
                <w:lang w:eastAsia="en-GB"/>
              </w:rPr>
            </w:pPr>
            <w:r>
              <w:rPr>
                <w:b/>
                <w:bCs/>
                <w:color w:val="000000"/>
                <w:sz w:val="22"/>
                <w:szCs w:val="22"/>
                <w:lang w:eastAsia="en-GB"/>
              </w:rPr>
              <w:t>Further developments</w:t>
            </w:r>
          </w:p>
        </w:tc>
      </w:tr>
      <w:tr w:rsidR="00437F21" w:rsidRPr="00512F82" w14:paraId="0EF6DA99" w14:textId="77777777" w:rsidTr="006B7CAE">
        <w:trPr>
          <w:trHeight w:val="454"/>
        </w:trPr>
        <w:tc>
          <w:tcPr>
            <w:tcW w:w="1649" w:type="dxa"/>
            <w:vMerge w:val="restart"/>
            <w:tcBorders>
              <w:top w:val="single" w:sz="4" w:space="0" w:color="auto"/>
              <w:left w:val="single" w:sz="4" w:space="0" w:color="auto"/>
              <w:right w:val="single" w:sz="4" w:space="0" w:color="auto"/>
            </w:tcBorders>
            <w:vAlign w:val="center"/>
          </w:tcPr>
          <w:p w14:paraId="4954FD57" w14:textId="77777777" w:rsidR="00437F21" w:rsidRPr="00512F82" w:rsidRDefault="00437F21" w:rsidP="008B692F">
            <w:pPr>
              <w:keepNext/>
              <w:spacing w:after="0"/>
              <w:rPr>
                <w:b/>
                <w:color w:val="000000"/>
                <w:sz w:val="22"/>
                <w:szCs w:val="22"/>
                <w:lang w:eastAsia="en-GB"/>
              </w:rPr>
            </w:pPr>
            <w:r w:rsidRPr="00512F82">
              <w:rPr>
                <w:b/>
                <w:bCs/>
                <w:color w:val="000000"/>
                <w:sz w:val="22"/>
                <w:szCs w:val="22"/>
                <w:lang w:val="en-GB" w:eastAsia="en-GB"/>
              </w:rPr>
              <w:t>Assessment &amp; Evaluation</w:t>
            </w: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5C87DFA0" w14:textId="77777777" w:rsidR="00437F21" w:rsidRPr="00512F82" w:rsidRDefault="00437F21" w:rsidP="008B692F">
            <w:pPr>
              <w:keepNext/>
              <w:spacing w:after="0"/>
              <w:rPr>
                <w:b/>
                <w:color w:val="000000"/>
                <w:sz w:val="22"/>
                <w:szCs w:val="22"/>
                <w:lang w:val="en-GB" w:eastAsia="en-GB"/>
              </w:rPr>
            </w:pPr>
            <w:r w:rsidRPr="00512F82">
              <w:rPr>
                <w:b/>
                <w:color w:val="000000"/>
                <w:sz w:val="22"/>
                <w:szCs w:val="22"/>
                <w:lang w:eastAsia="en-GB"/>
              </w:rPr>
              <w:t>Vocational Assessment</w:t>
            </w:r>
          </w:p>
        </w:tc>
        <w:tc>
          <w:tcPr>
            <w:tcW w:w="4678" w:type="dxa"/>
            <w:tcBorders>
              <w:top w:val="nil"/>
              <w:left w:val="single" w:sz="4" w:space="0" w:color="auto"/>
              <w:bottom w:val="single" w:sz="8" w:space="0" w:color="auto"/>
              <w:right w:val="single" w:sz="8" w:space="0" w:color="auto"/>
            </w:tcBorders>
          </w:tcPr>
          <w:p w14:paraId="639AE1FA" w14:textId="77777777" w:rsidR="00437F21" w:rsidRPr="00512F82" w:rsidRDefault="00437F21" w:rsidP="008B692F">
            <w:pPr>
              <w:keepNext/>
              <w:spacing w:after="0"/>
              <w:rPr>
                <w:color w:val="000000"/>
                <w:sz w:val="22"/>
                <w:szCs w:val="22"/>
                <w:lang w:eastAsia="en-GB"/>
              </w:rPr>
            </w:pPr>
            <w:r w:rsidRPr="00512F82">
              <w:rPr>
                <w:color w:val="000000"/>
                <w:sz w:val="22"/>
                <w:szCs w:val="22"/>
                <w:lang w:eastAsia="en-GB"/>
              </w:rPr>
              <w:t xml:space="preserve">New models of vocational assessment required to address specific acquired disability/ mental health conditions. multidisciplinary teams to be available to conduct assessments </w:t>
            </w:r>
          </w:p>
        </w:tc>
        <w:tc>
          <w:tcPr>
            <w:tcW w:w="4147" w:type="dxa"/>
            <w:vMerge w:val="restart"/>
            <w:tcBorders>
              <w:top w:val="nil"/>
              <w:left w:val="single" w:sz="4" w:space="0" w:color="auto"/>
              <w:right w:val="single" w:sz="8" w:space="0" w:color="auto"/>
            </w:tcBorders>
          </w:tcPr>
          <w:p w14:paraId="47DC2064" w14:textId="6ED38990" w:rsidR="00437F21" w:rsidRPr="00512F82" w:rsidRDefault="00437F21" w:rsidP="00030E7D">
            <w:pPr>
              <w:keepNext/>
              <w:spacing w:after="0"/>
              <w:rPr>
                <w:sz w:val="22"/>
                <w:szCs w:val="22"/>
                <w:lang w:val="en-CA"/>
              </w:rPr>
            </w:pPr>
            <w:r w:rsidRPr="00512F82">
              <w:rPr>
                <w:sz w:val="22"/>
                <w:szCs w:val="22"/>
                <w:lang w:val="en-CA"/>
              </w:rPr>
              <w:t xml:space="preserve">NDA recommend utilisation of </w:t>
            </w:r>
            <w:r w:rsidR="006B7CAE" w:rsidRPr="00512F82">
              <w:rPr>
                <w:sz w:val="22"/>
                <w:szCs w:val="22"/>
                <w:lang w:val="en-CA"/>
              </w:rPr>
              <w:t>disability specific assessments and of the</w:t>
            </w:r>
          </w:p>
          <w:p w14:paraId="62D37DBC" w14:textId="77777777" w:rsidR="00437F21" w:rsidRPr="00512F82" w:rsidRDefault="00437F21" w:rsidP="00030E7D">
            <w:pPr>
              <w:keepNext/>
              <w:spacing w:after="0"/>
              <w:rPr>
                <w:rFonts w:ascii="Calibri" w:hAnsi="Calibri"/>
                <w:sz w:val="22"/>
                <w:szCs w:val="22"/>
                <w:lang w:val="en-CA"/>
              </w:rPr>
            </w:pPr>
            <w:r w:rsidRPr="00512F82">
              <w:rPr>
                <w:sz w:val="22"/>
                <w:szCs w:val="22"/>
                <w:lang w:val="en-CA"/>
              </w:rPr>
              <w:t>Disability Management quality standards, which are promoted and governed by a number of the International Disability Management Bodies</w:t>
            </w:r>
            <w:r w:rsidRPr="00512F82">
              <w:rPr>
                <w:rFonts w:ascii="Calibri" w:hAnsi="Calibri"/>
                <w:sz w:val="22"/>
                <w:szCs w:val="22"/>
                <w:lang w:val="en-CA"/>
              </w:rPr>
              <w:t>.</w:t>
            </w:r>
            <w:r w:rsidRPr="00512F82">
              <w:rPr>
                <w:rStyle w:val="FootnoteReference"/>
                <w:rFonts w:ascii="Calibri" w:hAnsi="Calibri"/>
                <w:szCs w:val="22"/>
                <w:lang w:val="en-CA"/>
              </w:rPr>
              <w:footnoteReference w:id="56"/>
            </w:r>
            <w:r w:rsidRPr="00512F82">
              <w:rPr>
                <w:rStyle w:val="FootnoteReference"/>
                <w:szCs w:val="22"/>
                <w:lang w:val="en-CA"/>
              </w:rPr>
              <w:footnoteReference w:id="57"/>
            </w:r>
            <w:r w:rsidRPr="00512F82">
              <w:rPr>
                <w:rStyle w:val="FootnoteReference"/>
                <w:szCs w:val="22"/>
                <w:lang w:val="en-CA"/>
              </w:rPr>
              <w:footnoteReference w:id="58"/>
            </w:r>
          </w:p>
          <w:p w14:paraId="668B743B" w14:textId="46800FFB" w:rsidR="00437F21" w:rsidRPr="00512F82" w:rsidRDefault="00437F21" w:rsidP="008B692F">
            <w:pPr>
              <w:keepNext/>
              <w:spacing w:after="0"/>
              <w:rPr>
                <w:color w:val="000000"/>
                <w:sz w:val="22"/>
                <w:szCs w:val="22"/>
                <w:lang w:eastAsia="en-GB"/>
              </w:rPr>
            </w:pPr>
          </w:p>
        </w:tc>
      </w:tr>
      <w:tr w:rsidR="00437F21" w:rsidRPr="00512F82" w14:paraId="4C6F5D51" w14:textId="77777777" w:rsidTr="002B7CA5">
        <w:trPr>
          <w:trHeight w:val="613"/>
        </w:trPr>
        <w:tc>
          <w:tcPr>
            <w:tcW w:w="1649" w:type="dxa"/>
            <w:vMerge/>
            <w:tcBorders>
              <w:left w:val="single" w:sz="4" w:space="0" w:color="auto"/>
              <w:right w:val="single" w:sz="4" w:space="0" w:color="auto"/>
            </w:tcBorders>
            <w:vAlign w:val="center"/>
          </w:tcPr>
          <w:p w14:paraId="2F2CC6EC"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63D80D12" w14:textId="77777777" w:rsidR="00437F21" w:rsidRPr="00512F82" w:rsidRDefault="00437F21" w:rsidP="008B692F">
            <w:pPr>
              <w:spacing w:after="0"/>
              <w:rPr>
                <w:b/>
                <w:color w:val="000000"/>
                <w:sz w:val="22"/>
                <w:szCs w:val="22"/>
                <w:lang w:val="en-GB" w:eastAsia="en-GB"/>
              </w:rPr>
            </w:pPr>
            <w:r w:rsidRPr="00512F82">
              <w:rPr>
                <w:b/>
                <w:color w:val="000000"/>
                <w:sz w:val="22"/>
                <w:szCs w:val="22"/>
                <w:lang w:eastAsia="en-GB"/>
              </w:rPr>
              <w:t>Functional Capacity Evaluation</w:t>
            </w:r>
          </w:p>
        </w:tc>
        <w:tc>
          <w:tcPr>
            <w:tcW w:w="4678" w:type="dxa"/>
            <w:tcBorders>
              <w:top w:val="nil"/>
              <w:left w:val="single" w:sz="4" w:space="0" w:color="auto"/>
              <w:bottom w:val="single" w:sz="8" w:space="0" w:color="auto"/>
              <w:right w:val="single" w:sz="8" w:space="0" w:color="auto"/>
            </w:tcBorders>
          </w:tcPr>
          <w:p w14:paraId="727A545C"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 xml:space="preserve">New models of evaluating functional capacity required in order to assess next steps </w:t>
            </w:r>
          </w:p>
        </w:tc>
        <w:tc>
          <w:tcPr>
            <w:tcW w:w="4147" w:type="dxa"/>
            <w:vMerge/>
            <w:tcBorders>
              <w:left w:val="single" w:sz="4" w:space="0" w:color="auto"/>
              <w:right w:val="single" w:sz="8" w:space="0" w:color="auto"/>
            </w:tcBorders>
          </w:tcPr>
          <w:p w14:paraId="5A03520B" w14:textId="77777777" w:rsidR="00437F21" w:rsidRPr="00512F82" w:rsidRDefault="00437F21" w:rsidP="008B692F">
            <w:pPr>
              <w:spacing w:after="0"/>
              <w:rPr>
                <w:color w:val="000000"/>
                <w:sz w:val="22"/>
                <w:szCs w:val="22"/>
                <w:lang w:eastAsia="en-GB"/>
              </w:rPr>
            </w:pPr>
          </w:p>
        </w:tc>
      </w:tr>
      <w:tr w:rsidR="00437F21" w:rsidRPr="00512F82" w14:paraId="67EC6BCC" w14:textId="77777777" w:rsidTr="006B7CAE">
        <w:trPr>
          <w:trHeight w:val="454"/>
        </w:trPr>
        <w:tc>
          <w:tcPr>
            <w:tcW w:w="1649" w:type="dxa"/>
            <w:vMerge w:val="restart"/>
            <w:tcBorders>
              <w:left w:val="single" w:sz="4" w:space="0" w:color="auto"/>
              <w:right w:val="single" w:sz="4" w:space="0" w:color="auto"/>
            </w:tcBorders>
            <w:vAlign w:val="center"/>
          </w:tcPr>
          <w:p w14:paraId="675BC6CA"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46E60F78"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Job/Person matching</w:t>
            </w:r>
          </w:p>
        </w:tc>
        <w:tc>
          <w:tcPr>
            <w:tcW w:w="4678" w:type="dxa"/>
            <w:tcBorders>
              <w:top w:val="nil"/>
              <w:left w:val="single" w:sz="4" w:space="0" w:color="auto"/>
              <w:bottom w:val="single" w:sz="8" w:space="0" w:color="auto"/>
              <w:right w:val="single" w:sz="8" w:space="0" w:color="auto"/>
            </w:tcBorders>
          </w:tcPr>
          <w:p w14:paraId="02EC5181"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 xml:space="preserve">Current models could be tested for suitability in standardised VR pathway: including Employability/ LES and Job Path staff engagement </w:t>
            </w:r>
          </w:p>
        </w:tc>
        <w:tc>
          <w:tcPr>
            <w:tcW w:w="4147" w:type="dxa"/>
            <w:vMerge w:val="restart"/>
            <w:tcBorders>
              <w:left w:val="single" w:sz="4" w:space="0" w:color="auto"/>
              <w:right w:val="single" w:sz="8" w:space="0" w:color="auto"/>
            </w:tcBorders>
          </w:tcPr>
          <w:p w14:paraId="3EFF6C59" w14:textId="77777777" w:rsidR="00437F21" w:rsidRPr="00512F82" w:rsidRDefault="00437F21" w:rsidP="008B692F">
            <w:pPr>
              <w:spacing w:after="0"/>
              <w:rPr>
                <w:color w:val="000000"/>
                <w:sz w:val="22"/>
                <w:szCs w:val="22"/>
                <w:lang w:eastAsia="en-GB"/>
              </w:rPr>
            </w:pPr>
          </w:p>
        </w:tc>
      </w:tr>
      <w:tr w:rsidR="00437F21" w:rsidRPr="00512F82" w14:paraId="5BBDCB87" w14:textId="77777777" w:rsidTr="006B7CAE">
        <w:trPr>
          <w:trHeight w:val="454"/>
        </w:trPr>
        <w:tc>
          <w:tcPr>
            <w:tcW w:w="1649" w:type="dxa"/>
            <w:vMerge/>
            <w:tcBorders>
              <w:left w:val="single" w:sz="4" w:space="0" w:color="auto"/>
              <w:bottom w:val="single" w:sz="4" w:space="0" w:color="auto"/>
              <w:right w:val="single" w:sz="4" w:space="0" w:color="auto"/>
            </w:tcBorders>
            <w:vAlign w:val="center"/>
          </w:tcPr>
          <w:p w14:paraId="73F05D4E"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67385E43"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Work sampling or on the job assessment</w:t>
            </w:r>
          </w:p>
        </w:tc>
        <w:tc>
          <w:tcPr>
            <w:tcW w:w="4678" w:type="dxa"/>
            <w:tcBorders>
              <w:top w:val="nil"/>
              <w:left w:val="single" w:sz="4" w:space="0" w:color="auto"/>
              <w:bottom w:val="single" w:sz="8" w:space="0" w:color="auto"/>
              <w:right w:val="single" w:sz="8" w:space="0" w:color="auto"/>
            </w:tcBorders>
          </w:tcPr>
          <w:p w14:paraId="788523F3"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Existing approaches tested for VR pathway suitability as above</w:t>
            </w:r>
          </w:p>
        </w:tc>
        <w:tc>
          <w:tcPr>
            <w:tcW w:w="4147" w:type="dxa"/>
            <w:vMerge/>
            <w:tcBorders>
              <w:left w:val="single" w:sz="4" w:space="0" w:color="auto"/>
              <w:bottom w:val="single" w:sz="8" w:space="0" w:color="auto"/>
              <w:right w:val="single" w:sz="8" w:space="0" w:color="auto"/>
            </w:tcBorders>
          </w:tcPr>
          <w:p w14:paraId="26C12BE6" w14:textId="77777777" w:rsidR="00437F21" w:rsidRPr="00512F82" w:rsidRDefault="00437F21" w:rsidP="008B692F">
            <w:pPr>
              <w:spacing w:after="0"/>
              <w:rPr>
                <w:color w:val="000000"/>
                <w:sz w:val="22"/>
                <w:szCs w:val="22"/>
                <w:lang w:eastAsia="en-GB"/>
              </w:rPr>
            </w:pPr>
          </w:p>
        </w:tc>
      </w:tr>
      <w:tr w:rsidR="00437F21" w:rsidRPr="00512F82" w14:paraId="2DDB188B" w14:textId="77777777" w:rsidTr="006B7CAE">
        <w:trPr>
          <w:cantSplit/>
          <w:trHeight w:val="454"/>
        </w:trPr>
        <w:tc>
          <w:tcPr>
            <w:tcW w:w="1649" w:type="dxa"/>
            <w:vMerge w:val="restart"/>
            <w:tcBorders>
              <w:top w:val="single" w:sz="4" w:space="0" w:color="auto"/>
              <w:left w:val="single" w:sz="4" w:space="0" w:color="auto"/>
              <w:right w:val="single" w:sz="4" w:space="0" w:color="auto"/>
            </w:tcBorders>
            <w:vAlign w:val="center"/>
          </w:tcPr>
          <w:p w14:paraId="1B35E3FF" w14:textId="77777777" w:rsidR="00437F21" w:rsidRPr="00512F82" w:rsidRDefault="00437F21" w:rsidP="008B692F">
            <w:pPr>
              <w:spacing w:after="0"/>
              <w:rPr>
                <w:b/>
                <w:color w:val="000000"/>
                <w:sz w:val="22"/>
                <w:szCs w:val="22"/>
                <w:lang w:eastAsia="en-GB"/>
              </w:rPr>
            </w:pPr>
            <w:r w:rsidRPr="00512F82">
              <w:rPr>
                <w:b/>
                <w:bCs/>
                <w:color w:val="000000"/>
                <w:sz w:val="22"/>
                <w:szCs w:val="22"/>
                <w:lang w:val="en-GB" w:eastAsia="en-GB"/>
              </w:rPr>
              <w:t>Advice &amp; Guidance</w:t>
            </w: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7D785AF7"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Information &amp; Advice about Vocational Rehabilitation</w:t>
            </w:r>
          </w:p>
        </w:tc>
        <w:tc>
          <w:tcPr>
            <w:tcW w:w="4678" w:type="dxa"/>
            <w:tcBorders>
              <w:top w:val="nil"/>
              <w:left w:val="single" w:sz="4" w:space="0" w:color="auto"/>
              <w:bottom w:val="single" w:sz="8" w:space="0" w:color="auto"/>
              <w:right w:val="single" w:sz="8" w:space="0" w:color="auto"/>
            </w:tcBorders>
          </w:tcPr>
          <w:p w14:paraId="0D46B1D1"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 xml:space="preserve">Develop </w:t>
            </w:r>
            <w:r w:rsidR="006B7CAE" w:rsidRPr="00512F82">
              <w:rPr>
                <w:color w:val="000000"/>
                <w:sz w:val="22"/>
                <w:szCs w:val="22"/>
                <w:lang w:eastAsia="en-GB"/>
              </w:rPr>
              <w:t xml:space="preserve">specific guidance and information </w:t>
            </w:r>
            <w:r w:rsidR="008B692F" w:rsidRPr="00512F82">
              <w:rPr>
                <w:color w:val="000000"/>
                <w:sz w:val="22"/>
                <w:szCs w:val="22"/>
                <w:lang w:eastAsia="en-GB"/>
              </w:rPr>
              <w:t>for</w:t>
            </w:r>
            <w:r w:rsidR="006B7CAE" w:rsidRPr="00512F82">
              <w:rPr>
                <w:color w:val="000000"/>
                <w:sz w:val="22"/>
                <w:szCs w:val="22"/>
                <w:lang w:eastAsia="en-GB"/>
              </w:rPr>
              <w:t xml:space="preserve"> delivery through for example </w:t>
            </w:r>
            <w:r w:rsidRPr="00512F82">
              <w:rPr>
                <w:color w:val="000000"/>
                <w:sz w:val="22"/>
                <w:szCs w:val="22"/>
                <w:lang w:eastAsia="en-GB"/>
              </w:rPr>
              <w:t>CIB, Intreo, disability specific organisations, HSE providers, ETBs and others capacity to ensure advice &amp; guidance is appropriate and standardised</w:t>
            </w:r>
          </w:p>
        </w:tc>
        <w:tc>
          <w:tcPr>
            <w:tcW w:w="4147" w:type="dxa"/>
            <w:tcBorders>
              <w:top w:val="nil"/>
              <w:left w:val="single" w:sz="4" w:space="0" w:color="auto"/>
              <w:bottom w:val="single" w:sz="8" w:space="0" w:color="auto"/>
              <w:right w:val="single" w:sz="8" w:space="0" w:color="auto"/>
            </w:tcBorders>
          </w:tcPr>
          <w:p w14:paraId="6C204A9B" w14:textId="24E5BDE5" w:rsidR="00437F21" w:rsidRPr="00512F82" w:rsidRDefault="00665195" w:rsidP="008B692F">
            <w:pPr>
              <w:spacing w:after="0"/>
              <w:rPr>
                <w:color w:val="000000"/>
                <w:sz w:val="22"/>
                <w:szCs w:val="22"/>
                <w:lang w:eastAsia="en-GB"/>
              </w:rPr>
            </w:pPr>
            <w:r>
              <w:rPr>
                <w:color w:val="000000"/>
                <w:sz w:val="22"/>
                <w:szCs w:val="22"/>
                <w:lang w:eastAsia="en-GB"/>
              </w:rPr>
              <w:t>N</w:t>
            </w:r>
            <w:r w:rsidR="00437F21" w:rsidRPr="00512F82">
              <w:rPr>
                <w:color w:val="000000"/>
                <w:sz w:val="22"/>
                <w:szCs w:val="22"/>
                <w:lang w:eastAsia="en-GB"/>
              </w:rPr>
              <w:t xml:space="preserve">ew </w:t>
            </w:r>
            <w:r>
              <w:rPr>
                <w:color w:val="000000"/>
                <w:sz w:val="22"/>
                <w:szCs w:val="22"/>
                <w:lang w:eastAsia="en-GB"/>
              </w:rPr>
              <w:t>g</w:t>
            </w:r>
            <w:r w:rsidR="00437F21" w:rsidRPr="00512F82">
              <w:rPr>
                <w:color w:val="000000"/>
                <w:sz w:val="22"/>
                <w:szCs w:val="22"/>
                <w:lang w:eastAsia="en-GB"/>
              </w:rPr>
              <w:t>uidelines on delivery of VR</w:t>
            </w:r>
            <w:r w:rsidR="00BC7C00">
              <w:rPr>
                <w:color w:val="000000"/>
                <w:sz w:val="22"/>
                <w:szCs w:val="22"/>
                <w:lang w:eastAsia="en-GB"/>
              </w:rPr>
              <w:t xml:space="preserve"> developed by these range of information providers</w:t>
            </w:r>
          </w:p>
        </w:tc>
      </w:tr>
      <w:tr w:rsidR="00437F21" w:rsidRPr="00512F82" w14:paraId="6E4562FA" w14:textId="77777777" w:rsidTr="006B7CAE">
        <w:trPr>
          <w:cantSplit/>
          <w:trHeight w:val="454"/>
        </w:trPr>
        <w:tc>
          <w:tcPr>
            <w:tcW w:w="1649" w:type="dxa"/>
            <w:vMerge/>
            <w:tcBorders>
              <w:left w:val="single" w:sz="4" w:space="0" w:color="auto"/>
              <w:bottom w:val="single" w:sz="4" w:space="0" w:color="auto"/>
              <w:right w:val="single" w:sz="4" w:space="0" w:color="auto"/>
            </w:tcBorders>
            <w:vAlign w:val="center"/>
          </w:tcPr>
          <w:p w14:paraId="49494644"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1B197A45" w14:textId="77777777" w:rsidR="00437F21" w:rsidRPr="00512F82" w:rsidRDefault="00437F21" w:rsidP="008B692F">
            <w:pPr>
              <w:spacing w:after="0"/>
              <w:rPr>
                <w:b/>
                <w:color w:val="000000"/>
                <w:sz w:val="22"/>
                <w:szCs w:val="22"/>
                <w:lang w:val="en-GB" w:eastAsia="en-GB"/>
              </w:rPr>
            </w:pPr>
            <w:r w:rsidRPr="00512F82">
              <w:rPr>
                <w:b/>
                <w:color w:val="000000"/>
                <w:sz w:val="22"/>
                <w:szCs w:val="22"/>
                <w:lang w:eastAsia="en-GB"/>
              </w:rPr>
              <w:t>Guidance &amp; Counselling</w:t>
            </w:r>
          </w:p>
        </w:tc>
        <w:tc>
          <w:tcPr>
            <w:tcW w:w="4678" w:type="dxa"/>
            <w:tcBorders>
              <w:top w:val="nil"/>
              <w:left w:val="single" w:sz="4" w:space="0" w:color="auto"/>
              <w:bottom w:val="single" w:sz="8" w:space="0" w:color="auto"/>
              <w:right w:val="single" w:sz="8" w:space="0" w:color="auto"/>
            </w:tcBorders>
          </w:tcPr>
          <w:p w14:paraId="3B745B32" w14:textId="77777777" w:rsidR="00437F21" w:rsidRPr="00512F82" w:rsidRDefault="00437F21" w:rsidP="008B692F">
            <w:pPr>
              <w:spacing w:after="0"/>
              <w:rPr>
                <w:sz w:val="22"/>
                <w:szCs w:val="22"/>
                <w:lang w:eastAsia="en-GB"/>
              </w:rPr>
            </w:pPr>
            <w:r w:rsidRPr="00512F82">
              <w:rPr>
                <w:sz w:val="22"/>
                <w:szCs w:val="22"/>
                <w:lang w:eastAsia="en-GB"/>
              </w:rPr>
              <w:t xml:space="preserve">Build guidance and employment counselling module specifically on acquired disability </w:t>
            </w:r>
            <w:r w:rsidR="00BC7C00">
              <w:rPr>
                <w:sz w:val="22"/>
                <w:szCs w:val="22"/>
                <w:lang w:eastAsia="en-GB"/>
              </w:rPr>
              <w:t>for all guidance and counsellor and  p</w:t>
            </w:r>
            <w:r w:rsidRPr="00512F82">
              <w:rPr>
                <w:sz w:val="22"/>
                <w:szCs w:val="22"/>
                <w:lang w:eastAsia="en-GB"/>
              </w:rPr>
              <w:t xml:space="preserve">ractitioners. </w:t>
            </w:r>
          </w:p>
        </w:tc>
        <w:tc>
          <w:tcPr>
            <w:tcW w:w="4147" w:type="dxa"/>
            <w:tcBorders>
              <w:top w:val="nil"/>
              <w:left w:val="single" w:sz="4" w:space="0" w:color="auto"/>
              <w:bottom w:val="single" w:sz="8" w:space="0" w:color="auto"/>
              <w:right w:val="single" w:sz="8" w:space="0" w:color="auto"/>
            </w:tcBorders>
          </w:tcPr>
          <w:p w14:paraId="79DB547E" w14:textId="77777777" w:rsidR="00437F21" w:rsidRPr="00512F82" w:rsidRDefault="00BC7C00" w:rsidP="008B692F">
            <w:pPr>
              <w:spacing w:after="0"/>
              <w:rPr>
                <w:color w:val="000000"/>
                <w:sz w:val="22"/>
                <w:szCs w:val="22"/>
                <w:lang w:eastAsia="en-GB"/>
              </w:rPr>
            </w:pPr>
            <w:r>
              <w:rPr>
                <w:color w:val="000000"/>
                <w:sz w:val="22"/>
                <w:szCs w:val="22"/>
                <w:lang w:eastAsia="en-GB"/>
              </w:rPr>
              <w:t>Develop employment guidance counselling for delivery across the spectrum of provision</w:t>
            </w:r>
          </w:p>
        </w:tc>
      </w:tr>
      <w:tr w:rsidR="00437F21" w:rsidRPr="00512F82" w14:paraId="5CA412A7" w14:textId="77777777" w:rsidTr="006B7CAE">
        <w:trPr>
          <w:cantSplit/>
          <w:trHeight w:val="454"/>
        </w:trPr>
        <w:tc>
          <w:tcPr>
            <w:tcW w:w="1649" w:type="dxa"/>
            <w:vMerge w:val="restart"/>
            <w:tcBorders>
              <w:top w:val="single" w:sz="4" w:space="0" w:color="auto"/>
              <w:left w:val="single" w:sz="4" w:space="0" w:color="auto"/>
              <w:right w:val="single" w:sz="4" w:space="0" w:color="auto"/>
            </w:tcBorders>
            <w:vAlign w:val="center"/>
          </w:tcPr>
          <w:p w14:paraId="76F2FEBD" w14:textId="77777777" w:rsidR="00437F21" w:rsidRPr="00512F82" w:rsidRDefault="00437F21" w:rsidP="008B692F">
            <w:pPr>
              <w:spacing w:after="0"/>
              <w:rPr>
                <w:color w:val="000000"/>
                <w:sz w:val="22"/>
                <w:szCs w:val="22"/>
                <w:lang w:eastAsia="en-GB"/>
              </w:rPr>
            </w:pPr>
            <w:r w:rsidRPr="00512F82">
              <w:rPr>
                <w:bCs/>
                <w:color w:val="000000"/>
                <w:sz w:val="22"/>
                <w:szCs w:val="22"/>
                <w:lang w:val="en-GB" w:eastAsia="en-GB"/>
              </w:rPr>
              <w:t>Vocational Education &amp; Training</w:t>
            </w: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6323847B"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Specialised Vocational Education/Training</w:t>
            </w:r>
          </w:p>
        </w:tc>
        <w:tc>
          <w:tcPr>
            <w:tcW w:w="4678" w:type="dxa"/>
            <w:tcBorders>
              <w:top w:val="nil"/>
              <w:left w:val="single" w:sz="4" w:space="0" w:color="auto"/>
              <w:bottom w:val="single" w:sz="8" w:space="0" w:color="auto"/>
              <w:right w:val="single" w:sz="8" w:space="0" w:color="auto"/>
            </w:tcBorders>
          </w:tcPr>
          <w:p w14:paraId="649E4B35"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 xml:space="preserve">Ensure that ETBs funded Specialist Training Provision and FET skills areas are inclusive of people with acquired disabilities </w:t>
            </w:r>
          </w:p>
        </w:tc>
        <w:tc>
          <w:tcPr>
            <w:tcW w:w="4147" w:type="dxa"/>
            <w:tcBorders>
              <w:top w:val="nil"/>
              <w:left w:val="single" w:sz="4" w:space="0" w:color="auto"/>
              <w:bottom w:val="single" w:sz="8" w:space="0" w:color="auto"/>
              <w:right w:val="single" w:sz="8" w:space="0" w:color="auto"/>
            </w:tcBorders>
          </w:tcPr>
          <w:p w14:paraId="27B81901" w14:textId="77777777" w:rsidR="00437F21" w:rsidRPr="00512F82" w:rsidRDefault="006B7CAE" w:rsidP="003200EF">
            <w:pPr>
              <w:spacing w:after="0"/>
              <w:rPr>
                <w:color w:val="000000"/>
                <w:sz w:val="22"/>
                <w:szCs w:val="22"/>
                <w:lang w:eastAsia="en-GB"/>
              </w:rPr>
            </w:pPr>
            <w:r w:rsidRPr="00512F82">
              <w:rPr>
                <w:color w:val="000000"/>
                <w:sz w:val="22"/>
                <w:szCs w:val="22"/>
                <w:lang w:eastAsia="en-GB"/>
              </w:rPr>
              <w:t xml:space="preserve">Ensure that </w:t>
            </w:r>
            <w:r w:rsidR="008B692F">
              <w:rPr>
                <w:color w:val="000000"/>
                <w:sz w:val="22"/>
                <w:szCs w:val="22"/>
                <w:lang w:eastAsia="en-GB"/>
              </w:rPr>
              <w:t>VR</w:t>
            </w:r>
            <w:r w:rsidR="008B692F" w:rsidRPr="00512F82">
              <w:rPr>
                <w:color w:val="000000"/>
                <w:sz w:val="22"/>
                <w:szCs w:val="22"/>
                <w:lang w:eastAsia="en-GB"/>
              </w:rPr>
              <w:t xml:space="preserve"> </w:t>
            </w:r>
            <w:r w:rsidRPr="00512F82">
              <w:rPr>
                <w:color w:val="000000"/>
                <w:sz w:val="22"/>
                <w:szCs w:val="22"/>
                <w:lang w:eastAsia="en-GB"/>
              </w:rPr>
              <w:t>pathway includes all STP</w:t>
            </w:r>
          </w:p>
        </w:tc>
      </w:tr>
      <w:tr w:rsidR="00437F21" w:rsidRPr="00512F82" w14:paraId="2098E354" w14:textId="77777777" w:rsidTr="006B7CAE">
        <w:trPr>
          <w:trHeight w:val="454"/>
        </w:trPr>
        <w:tc>
          <w:tcPr>
            <w:tcW w:w="1649" w:type="dxa"/>
            <w:vMerge/>
            <w:tcBorders>
              <w:left w:val="single" w:sz="4" w:space="0" w:color="auto"/>
              <w:bottom w:val="single" w:sz="4" w:space="0" w:color="auto"/>
              <w:right w:val="single" w:sz="4" w:space="0" w:color="auto"/>
            </w:tcBorders>
          </w:tcPr>
          <w:p w14:paraId="1D6C81F6"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66C2866B"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Pre Vocational Training</w:t>
            </w:r>
          </w:p>
        </w:tc>
        <w:tc>
          <w:tcPr>
            <w:tcW w:w="4678" w:type="dxa"/>
            <w:tcBorders>
              <w:top w:val="nil"/>
              <w:left w:val="single" w:sz="4" w:space="0" w:color="auto"/>
              <w:bottom w:val="single" w:sz="8" w:space="0" w:color="auto"/>
              <w:right w:val="single" w:sz="8" w:space="0" w:color="auto"/>
            </w:tcBorders>
          </w:tcPr>
          <w:p w14:paraId="4FAB9EB9"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Ensure elements of support available through Ability Projects, STP, Rehabilitative Training are linked by referral mechanisms to the VR pathway</w:t>
            </w:r>
          </w:p>
        </w:tc>
        <w:tc>
          <w:tcPr>
            <w:tcW w:w="4147" w:type="dxa"/>
            <w:tcBorders>
              <w:top w:val="nil"/>
              <w:left w:val="single" w:sz="4" w:space="0" w:color="auto"/>
              <w:bottom w:val="single" w:sz="8" w:space="0" w:color="auto"/>
              <w:right w:val="single" w:sz="8" w:space="0" w:color="auto"/>
            </w:tcBorders>
          </w:tcPr>
          <w:p w14:paraId="05F4EF9C" w14:textId="77777777" w:rsidR="00437F21" w:rsidRPr="00512F82" w:rsidRDefault="00437F21" w:rsidP="008B692F">
            <w:pPr>
              <w:spacing w:after="0"/>
              <w:rPr>
                <w:color w:val="000000"/>
                <w:sz w:val="22"/>
                <w:szCs w:val="22"/>
                <w:lang w:eastAsia="en-GB"/>
              </w:rPr>
            </w:pPr>
          </w:p>
        </w:tc>
      </w:tr>
      <w:tr w:rsidR="00437F21" w:rsidRPr="00512F82" w14:paraId="2A1E86F5" w14:textId="77777777" w:rsidTr="006B7CAE">
        <w:trPr>
          <w:trHeight w:val="454"/>
        </w:trPr>
        <w:tc>
          <w:tcPr>
            <w:tcW w:w="1649" w:type="dxa"/>
            <w:vMerge w:val="restart"/>
            <w:tcBorders>
              <w:top w:val="single" w:sz="4" w:space="0" w:color="auto"/>
              <w:left w:val="single" w:sz="4" w:space="0" w:color="auto"/>
              <w:right w:val="single" w:sz="4" w:space="0" w:color="auto"/>
            </w:tcBorders>
            <w:vAlign w:val="center"/>
          </w:tcPr>
          <w:p w14:paraId="2455D513" w14:textId="77777777" w:rsidR="00437F21" w:rsidRPr="002B7CA5" w:rsidRDefault="00437F21" w:rsidP="008B692F">
            <w:pPr>
              <w:spacing w:after="0"/>
              <w:rPr>
                <w:color w:val="000000"/>
                <w:sz w:val="22"/>
                <w:szCs w:val="22"/>
                <w:lang w:eastAsia="en-GB"/>
              </w:rPr>
            </w:pPr>
            <w:r w:rsidRPr="002B7CA5">
              <w:rPr>
                <w:bCs/>
                <w:color w:val="000000"/>
                <w:sz w:val="22"/>
                <w:szCs w:val="22"/>
                <w:lang w:val="en-GB" w:eastAsia="en-GB"/>
              </w:rPr>
              <w:t>Health &amp; Wellbeing Support</w:t>
            </w: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0BDBFF4A" w14:textId="77777777" w:rsidR="00437F21" w:rsidRPr="002B7CA5" w:rsidRDefault="00437F21" w:rsidP="008B692F">
            <w:pPr>
              <w:spacing w:after="0"/>
              <w:rPr>
                <w:color w:val="000000"/>
                <w:sz w:val="22"/>
                <w:szCs w:val="22"/>
                <w:lang w:val="en-GB" w:eastAsia="en-GB"/>
              </w:rPr>
            </w:pPr>
            <w:r w:rsidRPr="002B7CA5">
              <w:rPr>
                <w:color w:val="000000"/>
                <w:sz w:val="22"/>
                <w:szCs w:val="22"/>
                <w:lang w:eastAsia="en-GB"/>
              </w:rPr>
              <w:t>Psychological Supports</w:t>
            </w:r>
          </w:p>
        </w:tc>
        <w:tc>
          <w:tcPr>
            <w:tcW w:w="4678" w:type="dxa"/>
            <w:tcBorders>
              <w:top w:val="nil"/>
              <w:left w:val="single" w:sz="4" w:space="0" w:color="auto"/>
              <w:bottom w:val="single" w:sz="8" w:space="0" w:color="auto"/>
              <w:right w:val="single" w:sz="8" w:space="0" w:color="auto"/>
            </w:tcBorders>
          </w:tcPr>
          <w:p w14:paraId="11DD7501" w14:textId="77777777" w:rsidR="00437F21" w:rsidRPr="002B7CA5" w:rsidRDefault="00437F21" w:rsidP="008B692F">
            <w:pPr>
              <w:spacing w:after="0"/>
              <w:rPr>
                <w:color w:val="000000"/>
                <w:sz w:val="22"/>
                <w:szCs w:val="22"/>
                <w:lang w:eastAsia="en-GB"/>
              </w:rPr>
            </w:pPr>
            <w:r w:rsidRPr="002B7CA5">
              <w:rPr>
                <w:color w:val="000000"/>
                <w:sz w:val="22"/>
                <w:szCs w:val="22"/>
                <w:lang w:eastAsia="en-GB"/>
              </w:rPr>
              <w:t>Ensure that CMH Teams, Disability Organisations, have new modules of awareness on their role in supporting a return to work</w:t>
            </w:r>
          </w:p>
        </w:tc>
        <w:tc>
          <w:tcPr>
            <w:tcW w:w="4147" w:type="dxa"/>
            <w:vMerge w:val="restart"/>
            <w:tcBorders>
              <w:top w:val="nil"/>
              <w:left w:val="single" w:sz="4" w:space="0" w:color="auto"/>
              <w:right w:val="single" w:sz="8" w:space="0" w:color="auto"/>
            </w:tcBorders>
          </w:tcPr>
          <w:p w14:paraId="77DE66E6"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Establish guidance on functional</w:t>
            </w:r>
            <w:r w:rsidR="006B7CAE" w:rsidRPr="00512F82">
              <w:rPr>
                <w:color w:val="000000"/>
                <w:sz w:val="22"/>
                <w:szCs w:val="22"/>
                <w:lang w:eastAsia="en-GB"/>
              </w:rPr>
              <w:t xml:space="preserve"> capacity testing. Examine models referenced in NDA commissioned research such as </w:t>
            </w:r>
          </w:p>
        </w:tc>
      </w:tr>
      <w:tr w:rsidR="00437F21" w:rsidRPr="00512F82" w14:paraId="5B461B68" w14:textId="77777777" w:rsidTr="006B7CAE">
        <w:trPr>
          <w:trHeight w:val="454"/>
        </w:trPr>
        <w:tc>
          <w:tcPr>
            <w:tcW w:w="1649" w:type="dxa"/>
            <w:vMerge/>
            <w:tcBorders>
              <w:left w:val="single" w:sz="4" w:space="0" w:color="auto"/>
              <w:bottom w:val="single" w:sz="4" w:space="0" w:color="auto"/>
              <w:right w:val="single" w:sz="4" w:space="0" w:color="auto"/>
            </w:tcBorders>
          </w:tcPr>
          <w:p w14:paraId="702C3327" w14:textId="77777777" w:rsidR="00437F21" w:rsidRPr="002B7CA5"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6AB34A50" w14:textId="77777777" w:rsidR="00437F21" w:rsidRPr="002B7CA5" w:rsidRDefault="00437F21" w:rsidP="008B692F">
            <w:pPr>
              <w:spacing w:after="0"/>
              <w:rPr>
                <w:color w:val="000000"/>
                <w:sz w:val="22"/>
                <w:szCs w:val="22"/>
                <w:lang w:val="en-GB" w:eastAsia="en-GB"/>
              </w:rPr>
            </w:pPr>
            <w:r w:rsidRPr="002B7CA5">
              <w:rPr>
                <w:color w:val="000000"/>
                <w:sz w:val="22"/>
                <w:szCs w:val="22"/>
                <w:lang w:eastAsia="en-GB"/>
              </w:rPr>
              <w:t>Physical/Functional capacity building</w:t>
            </w:r>
          </w:p>
        </w:tc>
        <w:tc>
          <w:tcPr>
            <w:tcW w:w="4678" w:type="dxa"/>
            <w:tcBorders>
              <w:top w:val="nil"/>
              <w:left w:val="single" w:sz="4" w:space="0" w:color="auto"/>
              <w:bottom w:val="single" w:sz="8" w:space="0" w:color="auto"/>
              <w:right w:val="single" w:sz="8" w:space="0" w:color="auto"/>
            </w:tcBorders>
          </w:tcPr>
          <w:p w14:paraId="7B36D5AC" w14:textId="77777777" w:rsidR="00437F21" w:rsidRPr="002B7CA5" w:rsidRDefault="00437F21" w:rsidP="008B692F">
            <w:pPr>
              <w:spacing w:after="0"/>
              <w:rPr>
                <w:color w:val="000000"/>
                <w:sz w:val="22"/>
                <w:szCs w:val="22"/>
                <w:lang w:eastAsia="en-GB"/>
              </w:rPr>
            </w:pPr>
            <w:r w:rsidRPr="002B7CA5">
              <w:rPr>
                <w:color w:val="000000"/>
                <w:sz w:val="22"/>
                <w:szCs w:val="22"/>
                <w:lang w:eastAsia="en-GB"/>
              </w:rPr>
              <w:t>New Models required</w:t>
            </w:r>
          </w:p>
        </w:tc>
        <w:tc>
          <w:tcPr>
            <w:tcW w:w="4147" w:type="dxa"/>
            <w:vMerge/>
            <w:tcBorders>
              <w:left w:val="single" w:sz="4" w:space="0" w:color="auto"/>
              <w:bottom w:val="single" w:sz="8" w:space="0" w:color="auto"/>
              <w:right w:val="single" w:sz="8" w:space="0" w:color="auto"/>
            </w:tcBorders>
          </w:tcPr>
          <w:p w14:paraId="01B015EF" w14:textId="77777777" w:rsidR="00437F21" w:rsidRPr="00512F82" w:rsidRDefault="00437F21" w:rsidP="008B692F">
            <w:pPr>
              <w:spacing w:after="0"/>
              <w:rPr>
                <w:b/>
                <w:color w:val="000000"/>
                <w:sz w:val="22"/>
                <w:szCs w:val="22"/>
                <w:lang w:eastAsia="en-GB"/>
              </w:rPr>
            </w:pPr>
          </w:p>
        </w:tc>
      </w:tr>
      <w:tr w:rsidR="00437F21" w:rsidRPr="00512F82" w14:paraId="67D0B7E3" w14:textId="77777777" w:rsidTr="006B7CAE">
        <w:trPr>
          <w:trHeight w:val="454"/>
        </w:trPr>
        <w:tc>
          <w:tcPr>
            <w:tcW w:w="1649" w:type="dxa"/>
            <w:vMerge w:val="restart"/>
            <w:tcBorders>
              <w:top w:val="single" w:sz="4" w:space="0" w:color="auto"/>
              <w:left w:val="single" w:sz="4" w:space="0" w:color="auto"/>
              <w:right w:val="single" w:sz="4" w:space="0" w:color="auto"/>
            </w:tcBorders>
            <w:vAlign w:val="center"/>
          </w:tcPr>
          <w:p w14:paraId="2B965DB8" w14:textId="77777777" w:rsidR="00437F21" w:rsidRPr="00512F82" w:rsidRDefault="00437F21" w:rsidP="008B692F">
            <w:pPr>
              <w:spacing w:after="0"/>
              <w:rPr>
                <w:color w:val="000000"/>
                <w:sz w:val="22"/>
                <w:szCs w:val="22"/>
                <w:lang w:eastAsia="en-GB"/>
              </w:rPr>
            </w:pPr>
            <w:r w:rsidRPr="00512F82">
              <w:rPr>
                <w:bCs/>
                <w:color w:val="000000"/>
                <w:sz w:val="22"/>
                <w:szCs w:val="22"/>
                <w:lang w:val="en-GB" w:eastAsia="en-GB"/>
              </w:rPr>
              <w:t>On the Job Support</w:t>
            </w: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42962CC4"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Job Coaching</w:t>
            </w:r>
          </w:p>
        </w:tc>
        <w:tc>
          <w:tcPr>
            <w:tcW w:w="4678" w:type="dxa"/>
            <w:tcBorders>
              <w:top w:val="nil"/>
              <w:left w:val="single" w:sz="4" w:space="0" w:color="auto"/>
              <w:bottom w:val="single" w:sz="8" w:space="0" w:color="auto"/>
              <w:right w:val="single" w:sz="8" w:space="0" w:color="auto"/>
            </w:tcBorders>
          </w:tcPr>
          <w:p w14:paraId="16403BA4"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EmployAbility extended to support all wishing to return to work</w:t>
            </w:r>
          </w:p>
        </w:tc>
        <w:tc>
          <w:tcPr>
            <w:tcW w:w="4147" w:type="dxa"/>
            <w:tcBorders>
              <w:top w:val="nil"/>
              <w:left w:val="single" w:sz="4" w:space="0" w:color="auto"/>
              <w:bottom w:val="single" w:sz="8" w:space="0" w:color="auto"/>
              <w:right w:val="single" w:sz="8" w:space="0" w:color="auto"/>
            </w:tcBorders>
          </w:tcPr>
          <w:p w14:paraId="393CAD4A" w14:textId="77777777" w:rsidR="00437F21" w:rsidRPr="00512F82" w:rsidRDefault="006B7CAE" w:rsidP="008B692F">
            <w:pPr>
              <w:spacing w:after="0"/>
              <w:rPr>
                <w:color w:val="000000"/>
                <w:sz w:val="22"/>
                <w:szCs w:val="22"/>
                <w:lang w:eastAsia="en-GB"/>
              </w:rPr>
            </w:pPr>
            <w:r w:rsidRPr="00512F82">
              <w:rPr>
                <w:color w:val="000000"/>
                <w:sz w:val="22"/>
                <w:szCs w:val="22"/>
                <w:lang w:eastAsia="en-GB"/>
              </w:rPr>
              <w:t>Job Coaches are trained as return to work case managers</w:t>
            </w:r>
          </w:p>
        </w:tc>
      </w:tr>
      <w:tr w:rsidR="00437F21" w:rsidRPr="00512F82" w14:paraId="13765D8B" w14:textId="77777777" w:rsidTr="006B7CAE">
        <w:trPr>
          <w:trHeight w:val="454"/>
        </w:trPr>
        <w:tc>
          <w:tcPr>
            <w:tcW w:w="1649" w:type="dxa"/>
            <w:vMerge/>
            <w:tcBorders>
              <w:left w:val="single" w:sz="4" w:space="0" w:color="auto"/>
              <w:right w:val="single" w:sz="4" w:space="0" w:color="auto"/>
            </w:tcBorders>
          </w:tcPr>
          <w:p w14:paraId="4D2B6EA8"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16411227"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Supported Employment</w:t>
            </w:r>
          </w:p>
        </w:tc>
        <w:tc>
          <w:tcPr>
            <w:tcW w:w="4678" w:type="dxa"/>
            <w:tcBorders>
              <w:top w:val="nil"/>
              <w:left w:val="single" w:sz="4" w:space="0" w:color="auto"/>
              <w:bottom w:val="single" w:sz="8" w:space="0" w:color="auto"/>
              <w:right w:val="single" w:sz="8" w:space="0" w:color="auto"/>
            </w:tcBorders>
          </w:tcPr>
          <w:p w14:paraId="596223F4"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EmployAbility is extended and the job coach role developed to further support employers</w:t>
            </w:r>
          </w:p>
        </w:tc>
        <w:tc>
          <w:tcPr>
            <w:tcW w:w="4147" w:type="dxa"/>
            <w:tcBorders>
              <w:top w:val="nil"/>
              <w:left w:val="single" w:sz="4" w:space="0" w:color="auto"/>
              <w:bottom w:val="single" w:sz="8" w:space="0" w:color="auto"/>
              <w:right w:val="single" w:sz="8" w:space="0" w:color="auto"/>
            </w:tcBorders>
          </w:tcPr>
          <w:p w14:paraId="250A33EA" w14:textId="77777777" w:rsidR="00437F21" w:rsidRPr="00512F82" w:rsidRDefault="006B7CAE" w:rsidP="008B692F">
            <w:pPr>
              <w:spacing w:after="0"/>
              <w:rPr>
                <w:color w:val="000000"/>
                <w:sz w:val="22"/>
                <w:szCs w:val="22"/>
                <w:lang w:eastAsia="en-GB"/>
              </w:rPr>
            </w:pPr>
            <w:r w:rsidRPr="00512F82">
              <w:rPr>
                <w:color w:val="000000"/>
                <w:sz w:val="22"/>
                <w:szCs w:val="22"/>
                <w:lang w:eastAsia="en-GB"/>
              </w:rPr>
              <w:t>Job Coaches are trained as return to work case managers</w:t>
            </w:r>
          </w:p>
        </w:tc>
      </w:tr>
      <w:tr w:rsidR="00437F21" w:rsidRPr="00512F82" w14:paraId="33DBEEB8" w14:textId="77777777" w:rsidTr="006B7CAE">
        <w:trPr>
          <w:trHeight w:val="454"/>
        </w:trPr>
        <w:tc>
          <w:tcPr>
            <w:tcW w:w="1649" w:type="dxa"/>
            <w:vMerge/>
            <w:tcBorders>
              <w:left w:val="single" w:sz="4" w:space="0" w:color="auto"/>
              <w:bottom w:val="single" w:sz="4" w:space="0" w:color="auto"/>
              <w:right w:val="single" w:sz="4" w:space="0" w:color="auto"/>
            </w:tcBorders>
          </w:tcPr>
          <w:p w14:paraId="3EEF668D"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013E0CE3"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Job search and placement services</w:t>
            </w:r>
          </w:p>
        </w:tc>
        <w:tc>
          <w:tcPr>
            <w:tcW w:w="4678" w:type="dxa"/>
            <w:tcBorders>
              <w:top w:val="nil"/>
              <w:left w:val="single" w:sz="4" w:space="0" w:color="auto"/>
              <w:bottom w:val="single" w:sz="8" w:space="0" w:color="auto"/>
              <w:right w:val="single" w:sz="8" w:space="0" w:color="auto"/>
            </w:tcBorders>
          </w:tcPr>
          <w:p w14:paraId="448115E4"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Intreo, LES, EmployAbility, ETBs</w:t>
            </w:r>
            <w:r w:rsidR="006B7CAE" w:rsidRPr="00512F82">
              <w:rPr>
                <w:color w:val="000000"/>
                <w:sz w:val="22"/>
                <w:szCs w:val="22"/>
                <w:lang w:eastAsia="en-GB"/>
              </w:rPr>
              <w:t xml:space="preserve"> and disability organisations working in this field are supported</w:t>
            </w:r>
          </w:p>
        </w:tc>
        <w:tc>
          <w:tcPr>
            <w:tcW w:w="4147" w:type="dxa"/>
            <w:tcBorders>
              <w:top w:val="nil"/>
              <w:left w:val="single" w:sz="4" w:space="0" w:color="auto"/>
              <w:bottom w:val="single" w:sz="8" w:space="0" w:color="auto"/>
              <w:right w:val="single" w:sz="8" w:space="0" w:color="auto"/>
            </w:tcBorders>
          </w:tcPr>
          <w:p w14:paraId="273192DD" w14:textId="77777777" w:rsidR="00437F21" w:rsidRPr="00512F82" w:rsidRDefault="00437F21" w:rsidP="008B692F">
            <w:pPr>
              <w:spacing w:after="0"/>
              <w:rPr>
                <w:color w:val="000000"/>
                <w:sz w:val="22"/>
                <w:szCs w:val="22"/>
                <w:lang w:eastAsia="en-GB"/>
              </w:rPr>
            </w:pPr>
          </w:p>
        </w:tc>
      </w:tr>
      <w:tr w:rsidR="00437F21" w:rsidRPr="00512F82" w14:paraId="12AAD55F" w14:textId="77777777" w:rsidTr="006B7CAE">
        <w:trPr>
          <w:trHeight w:val="454"/>
        </w:trPr>
        <w:tc>
          <w:tcPr>
            <w:tcW w:w="1649" w:type="dxa"/>
            <w:vMerge w:val="restart"/>
            <w:tcBorders>
              <w:top w:val="single" w:sz="4" w:space="0" w:color="auto"/>
              <w:left w:val="single" w:sz="4" w:space="0" w:color="auto"/>
              <w:right w:val="single" w:sz="4" w:space="0" w:color="auto"/>
            </w:tcBorders>
            <w:vAlign w:val="center"/>
          </w:tcPr>
          <w:p w14:paraId="1761D8CC" w14:textId="77777777" w:rsidR="00437F21" w:rsidRPr="00512F82" w:rsidRDefault="00437F21" w:rsidP="008B692F">
            <w:pPr>
              <w:spacing w:after="0"/>
              <w:rPr>
                <w:color w:val="000000"/>
                <w:sz w:val="22"/>
                <w:szCs w:val="22"/>
                <w:lang w:eastAsia="en-GB"/>
              </w:rPr>
            </w:pPr>
            <w:r w:rsidRPr="00512F82">
              <w:rPr>
                <w:bCs/>
                <w:color w:val="000000"/>
                <w:sz w:val="22"/>
                <w:szCs w:val="22"/>
                <w:lang w:val="en-GB" w:eastAsia="en-GB"/>
              </w:rPr>
              <w:t>Adaptations &amp; Technologies</w:t>
            </w: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1FC6B652"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Workplace Adaptations</w:t>
            </w:r>
          </w:p>
        </w:tc>
        <w:tc>
          <w:tcPr>
            <w:tcW w:w="4678" w:type="dxa"/>
            <w:tcBorders>
              <w:top w:val="nil"/>
              <w:left w:val="single" w:sz="4" w:space="0" w:color="auto"/>
              <w:bottom w:val="single" w:sz="8" w:space="0" w:color="auto"/>
              <w:right w:val="single" w:sz="8" w:space="0" w:color="auto"/>
            </w:tcBorders>
          </w:tcPr>
          <w:p w14:paraId="254D21B6"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 xml:space="preserve">Promotion of available grants and all types of supports available to support return to work.  </w:t>
            </w:r>
          </w:p>
          <w:p w14:paraId="1B130641"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 xml:space="preserve">Disability Organisations refer to or provide supports for individual and  Employers </w:t>
            </w:r>
          </w:p>
        </w:tc>
        <w:tc>
          <w:tcPr>
            <w:tcW w:w="4147" w:type="dxa"/>
            <w:tcBorders>
              <w:top w:val="nil"/>
              <w:left w:val="single" w:sz="4" w:space="0" w:color="auto"/>
              <w:bottom w:val="single" w:sz="8" w:space="0" w:color="auto"/>
              <w:right w:val="single" w:sz="8" w:space="0" w:color="auto"/>
            </w:tcBorders>
          </w:tcPr>
          <w:p w14:paraId="43E3BBDD" w14:textId="77777777" w:rsidR="00437F21" w:rsidRPr="00512F82" w:rsidRDefault="00BC7C00" w:rsidP="008B692F">
            <w:pPr>
              <w:spacing w:after="0"/>
              <w:rPr>
                <w:color w:val="000000"/>
                <w:sz w:val="22"/>
                <w:szCs w:val="22"/>
                <w:lang w:eastAsia="en-GB"/>
              </w:rPr>
            </w:pPr>
            <w:r>
              <w:rPr>
                <w:color w:val="000000"/>
                <w:sz w:val="22"/>
                <w:szCs w:val="22"/>
                <w:lang w:eastAsia="en-GB"/>
              </w:rPr>
              <w:t>Reasonable Accommodation Grant system is reviewed as per CES and addresses concerns of employers</w:t>
            </w:r>
          </w:p>
        </w:tc>
      </w:tr>
      <w:tr w:rsidR="00437F21" w:rsidRPr="00512F82" w14:paraId="58637CCD" w14:textId="77777777" w:rsidTr="006B7CAE">
        <w:trPr>
          <w:trHeight w:val="454"/>
        </w:trPr>
        <w:tc>
          <w:tcPr>
            <w:tcW w:w="1649" w:type="dxa"/>
            <w:vMerge/>
            <w:tcBorders>
              <w:left w:val="single" w:sz="4" w:space="0" w:color="auto"/>
              <w:right w:val="single" w:sz="4" w:space="0" w:color="auto"/>
            </w:tcBorders>
          </w:tcPr>
          <w:p w14:paraId="3EC846F3"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24569CEA"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Assistive technology</w:t>
            </w:r>
          </w:p>
        </w:tc>
        <w:tc>
          <w:tcPr>
            <w:tcW w:w="4678" w:type="dxa"/>
            <w:tcBorders>
              <w:top w:val="nil"/>
              <w:left w:val="single" w:sz="4" w:space="0" w:color="auto"/>
              <w:bottom w:val="single" w:sz="8" w:space="0" w:color="auto"/>
              <w:right w:val="single" w:sz="8" w:space="0" w:color="auto"/>
            </w:tcBorders>
          </w:tcPr>
          <w:p w14:paraId="29CE7F2C" w14:textId="77777777" w:rsidR="00437F21" w:rsidRPr="00512F82" w:rsidRDefault="00437F21" w:rsidP="008B692F">
            <w:pPr>
              <w:spacing w:after="0"/>
              <w:rPr>
                <w:color w:val="000000"/>
                <w:sz w:val="22"/>
                <w:szCs w:val="22"/>
                <w:lang w:eastAsia="en-GB"/>
              </w:rPr>
            </w:pPr>
            <w:r w:rsidRPr="00512F82">
              <w:rPr>
                <w:color w:val="000000"/>
                <w:sz w:val="22"/>
                <w:szCs w:val="22"/>
                <w:lang w:eastAsia="en-GB"/>
              </w:rPr>
              <w:t xml:space="preserve">Intreo, Disability Organisations, Employers </w:t>
            </w:r>
          </w:p>
        </w:tc>
        <w:tc>
          <w:tcPr>
            <w:tcW w:w="4147" w:type="dxa"/>
            <w:tcBorders>
              <w:top w:val="nil"/>
              <w:left w:val="single" w:sz="4" w:space="0" w:color="auto"/>
              <w:bottom w:val="single" w:sz="8" w:space="0" w:color="auto"/>
              <w:right w:val="single" w:sz="8" w:space="0" w:color="auto"/>
            </w:tcBorders>
          </w:tcPr>
          <w:p w14:paraId="71F17D5E" w14:textId="5F88FA54" w:rsidR="00437F21" w:rsidRPr="00512F82" w:rsidRDefault="00BC7C00" w:rsidP="008B692F">
            <w:pPr>
              <w:spacing w:after="0"/>
              <w:rPr>
                <w:color w:val="000000"/>
                <w:sz w:val="22"/>
                <w:szCs w:val="22"/>
                <w:lang w:eastAsia="en-GB"/>
              </w:rPr>
            </w:pPr>
            <w:r>
              <w:rPr>
                <w:color w:val="000000"/>
                <w:sz w:val="22"/>
                <w:szCs w:val="22"/>
                <w:lang w:eastAsia="en-GB"/>
              </w:rPr>
              <w:t>New Assessments procedures are developed that can link Assistive Technology to grant scheme</w:t>
            </w:r>
            <w:r w:rsidR="00B62EC1">
              <w:rPr>
                <w:rStyle w:val="FootnoteReference"/>
                <w:color w:val="000000"/>
                <w:szCs w:val="22"/>
                <w:lang w:eastAsia="en-GB"/>
              </w:rPr>
              <w:footnoteReference w:id="59"/>
            </w:r>
          </w:p>
        </w:tc>
      </w:tr>
      <w:tr w:rsidR="00437F21" w:rsidRPr="00512F82" w14:paraId="1536E807" w14:textId="77777777" w:rsidTr="001A0A4C">
        <w:trPr>
          <w:trHeight w:val="454"/>
        </w:trPr>
        <w:tc>
          <w:tcPr>
            <w:tcW w:w="1649" w:type="dxa"/>
            <w:vMerge/>
            <w:tcBorders>
              <w:left w:val="single" w:sz="4" w:space="0" w:color="auto"/>
              <w:bottom w:val="single" w:sz="4" w:space="0" w:color="auto"/>
              <w:right w:val="single" w:sz="4" w:space="0" w:color="auto"/>
            </w:tcBorders>
          </w:tcPr>
          <w:p w14:paraId="7BB7B5D6" w14:textId="77777777" w:rsidR="00437F21" w:rsidRPr="00512F82" w:rsidRDefault="00437F21" w:rsidP="008B692F">
            <w:pPr>
              <w:spacing w:after="0"/>
              <w:rPr>
                <w:color w:val="000000"/>
                <w:sz w:val="22"/>
                <w:szCs w:val="22"/>
                <w:lang w:eastAsia="en-GB"/>
              </w:rPr>
            </w:pPr>
          </w:p>
        </w:tc>
        <w:tc>
          <w:tcPr>
            <w:tcW w:w="2699" w:type="dxa"/>
            <w:tcBorders>
              <w:top w:val="nil"/>
              <w:left w:val="single" w:sz="4" w:space="0" w:color="auto"/>
              <w:bottom w:val="single" w:sz="8" w:space="0" w:color="auto"/>
              <w:right w:val="single" w:sz="8" w:space="0" w:color="auto"/>
            </w:tcBorders>
            <w:shd w:val="clear" w:color="auto" w:fill="auto"/>
            <w:noWrap/>
            <w:vAlign w:val="center"/>
            <w:hideMark/>
          </w:tcPr>
          <w:p w14:paraId="51C7CC20"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Reasonable Accommodation</w:t>
            </w:r>
          </w:p>
        </w:tc>
        <w:tc>
          <w:tcPr>
            <w:tcW w:w="4678" w:type="dxa"/>
            <w:tcBorders>
              <w:top w:val="nil"/>
              <w:left w:val="single" w:sz="4" w:space="0" w:color="auto"/>
              <w:bottom w:val="single" w:sz="8" w:space="0" w:color="auto"/>
              <w:right w:val="single" w:sz="8" w:space="0" w:color="auto"/>
            </w:tcBorders>
          </w:tcPr>
          <w:p w14:paraId="78EECB5A" w14:textId="77777777" w:rsidR="00437F21" w:rsidRPr="00512F82" w:rsidRDefault="00437F21" w:rsidP="008B692F">
            <w:pPr>
              <w:spacing w:after="0"/>
              <w:rPr>
                <w:color w:val="FF0000"/>
                <w:sz w:val="22"/>
                <w:szCs w:val="22"/>
                <w:lang w:eastAsia="en-GB"/>
              </w:rPr>
            </w:pPr>
            <w:r w:rsidRPr="00512F82">
              <w:rPr>
                <w:sz w:val="22"/>
                <w:szCs w:val="22"/>
                <w:lang w:eastAsia="en-GB"/>
              </w:rPr>
              <w:t>Intreo, Disability Organisations, Employers ensure built into practice so persons with disabilities can engage</w:t>
            </w:r>
          </w:p>
        </w:tc>
        <w:tc>
          <w:tcPr>
            <w:tcW w:w="4147" w:type="dxa"/>
            <w:tcBorders>
              <w:top w:val="nil"/>
              <w:left w:val="single" w:sz="4" w:space="0" w:color="auto"/>
              <w:bottom w:val="single" w:sz="8" w:space="0" w:color="auto"/>
              <w:right w:val="single" w:sz="8" w:space="0" w:color="auto"/>
            </w:tcBorders>
          </w:tcPr>
          <w:p w14:paraId="7BFC32D4" w14:textId="77777777" w:rsidR="00437F21" w:rsidRPr="00512F82" w:rsidRDefault="00BC7C00" w:rsidP="008B692F">
            <w:pPr>
              <w:spacing w:after="0"/>
              <w:rPr>
                <w:color w:val="000000"/>
                <w:sz w:val="22"/>
                <w:szCs w:val="22"/>
                <w:lang w:eastAsia="en-GB"/>
              </w:rPr>
            </w:pPr>
            <w:r>
              <w:rPr>
                <w:color w:val="000000"/>
                <w:sz w:val="22"/>
                <w:szCs w:val="22"/>
                <w:lang w:eastAsia="en-GB"/>
              </w:rPr>
              <w:t>As above</w:t>
            </w:r>
          </w:p>
        </w:tc>
      </w:tr>
      <w:tr w:rsidR="00437F21" w:rsidRPr="00512F82" w14:paraId="65C91FFA" w14:textId="77777777" w:rsidTr="001A0A4C">
        <w:trPr>
          <w:trHeight w:val="454"/>
        </w:trPr>
        <w:tc>
          <w:tcPr>
            <w:tcW w:w="1649" w:type="dxa"/>
            <w:tcBorders>
              <w:top w:val="single" w:sz="4" w:space="0" w:color="auto"/>
              <w:left w:val="single" w:sz="8" w:space="0" w:color="auto"/>
              <w:bottom w:val="single" w:sz="4" w:space="0" w:color="auto"/>
              <w:right w:val="single" w:sz="8" w:space="0" w:color="auto"/>
            </w:tcBorders>
          </w:tcPr>
          <w:p w14:paraId="76701581" w14:textId="77777777" w:rsidR="00437F21" w:rsidRPr="00512F82" w:rsidRDefault="00437F21" w:rsidP="008B692F">
            <w:pPr>
              <w:spacing w:after="0"/>
              <w:rPr>
                <w:color w:val="000000"/>
                <w:sz w:val="22"/>
                <w:szCs w:val="22"/>
                <w:lang w:eastAsia="en-GB"/>
              </w:rPr>
            </w:pPr>
            <w:r w:rsidRPr="00512F82">
              <w:rPr>
                <w:bCs/>
                <w:color w:val="000000"/>
                <w:sz w:val="22"/>
                <w:szCs w:val="22"/>
                <w:lang w:val="en-GB" w:eastAsia="en-GB"/>
              </w:rPr>
              <w:t>Service Coordination</w:t>
            </w:r>
          </w:p>
        </w:tc>
        <w:tc>
          <w:tcPr>
            <w:tcW w:w="26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F5E236" w14:textId="77777777" w:rsidR="00437F21" w:rsidRPr="00512F82" w:rsidRDefault="00437F21" w:rsidP="008B692F">
            <w:pPr>
              <w:spacing w:after="0"/>
              <w:rPr>
                <w:color w:val="000000"/>
                <w:sz w:val="22"/>
                <w:szCs w:val="22"/>
                <w:lang w:val="en-GB" w:eastAsia="en-GB"/>
              </w:rPr>
            </w:pPr>
            <w:r w:rsidRPr="00512F82">
              <w:rPr>
                <w:color w:val="000000"/>
                <w:sz w:val="22"/>
                <w:szCs w:val="22"/>
                <w:lang w:eastAsia="en-GB"/>
              </w:rPr>
              <w:t>Case management</w:t>
            </w:r>
          </w:p>
        </w:tc>
        <w:tc>
          <w:tcPr>
            <w:tcW w:w="4678" w:type="dxa"/>
            <w:tcBorders>
              <w:top w:val="single" w:sz="8" w:space="0" w:color="auto"/>
              <w:left w:val="single" w:sz="8" w:space="0" w:color="auto"/>
              <w:bottom w:val="single" w:sz="4" w:space="0" w:color="auto"/>
              <w:right w:val="single" w:sz="8" w:space="0" w:color="auto"/>
            </w:tcBorders>
          </w:tcPr>
          <w:p w14:paraId="27F3FE45" w14:textId="77777777" w:rsidR="00437F21" w:rsidRPr="00512F82" w:rsidRDefault="00437F21" w:rsidP="003200EF">
            <w:pPr>
              <w:spacing w:after="0"/>
              <w:rPr>
                <w:color w:val="000000"/>
                <w:sz w:val="22"/>
                <w:szCs w:val="22"/>
                <w:lang w:eastAsia="en-GB"/>
              </w:rPr>
            </w:pPr>
            <w:r w:rsidRPr="00512F82">
              <w:rPr>
                <w:color w:val="000000"/>
                <w:sz w:val="22"/>
                <w:szCs w:val="22"/>
                <w:lang w:eastAsia="en-GB"/>
              </w:rPr>
              <w:t xml:space="preserve">Case management processes are the key driver of a coordinated </w:t>
            </w:r>
            <w:r w:rsidR="008B692F">
              <w:rPr>
                <w:color w:val="000000"/>
                <w:sz w:val="22"/>
                <w:szCs w:val="22"/>
                <w:lang w:eastAsia="en-GB"/>
              </w:rPr>
              <w:t>VR</w:t>
            </w:r>
            <w:r w:rsidR="008B692F" w:rsidRPr="00512F82">
              <w:rPr>
                <w:color w:val="000000"/>
                <w:sz w:val="22"/>
                <w:szCs w:val="22"/>
                <w:lang w:eastAsia="en-GB"/>
              </w:rPr>
              <w:t xml:space="preserve"> </w:t>
            </w:r>
            <w:r w:rsidRPr="00512F82">
              <w:rPr>
                <w:color w:val="000000"/>
                <w:sz w:val="22"/>
                <w:szCs w:val="22"/>
                <w:lang w:eastAsia="en-GB"/>
              </w:rPr>
              <w:t>pathway.  .</w:t>
            </w:r>
          </w:p>
        </w:tc>
        <w:tc>
          <w:tcPr>
            <w:tcW w:w="4147" w:type="dxa"/>
            <w:tcBorders>
              <w:top w:val="single" w:sz="8" w:space="0" w:color="auto"/>
              <w:left w:val="single" w:sz="8" w:space="0" w:color="auto"/>
              <w:bottom w:val="single" w:sz="4" w:space="0" w:color="auto"/>
              <w:right w:val="single" w:sz="8" w:space="0" w:color="auto"/>
            </w:tcBorders>
          </w:tcPr>
          <w:p w14:paraId="566E6FF0" w14:textId="77777777" w:rsidR="00437F21" w:rsidRPr="00512F82" w:rsidRDefault="00437F21" w:rsidP="008B692F">
            <w:pPr>
              <w:spacing w:after="0"/>
              <w:rPr>
                <w:color w:val="000000"/>
                <w:sz w:val="22"/>
                <w:szCs w:val="22"/>
                <w:lang w:eastAsia="en-GB"/>
              </w:rPr>
            </w:pPr>
            <w:r w:rsidRPr="00512F82">
              <w:rPr>
                <w:rStyle w:val="A1"/>
                <w:b w:val="0"/>
                <w:i w:val="0"/>
                <w:sz w:val="22"/>
                <w:szCs w:val="22"/>
              </w:rPr>
              <w:t>https://www.idmsc.org/professional-standards/ becoming-certified/</w:t>
            </w:r>
          </w:p>
        </w:tc>
      </w:tr>
    </w:tbl>
    <w:p w14:paraId="6FDCB932" w14:textId="77777777" w:rsidR="00C72CFF" w:rsidRDefault="00C72CFF" w:rsidP="00512F82">
      <w:pPr>
        <w:spacing w:after="0"/>
        <w:sectPr w:rsidR="00C72CFF" w:rsidSect="00C72CFF">
          <w:pgSz w:w="15840" w:h="12240" w:orient="landscape"/>
          <w:pgMar w:top="1797" w:right="1440" w:bottom="1797" w:left="1440" w:header="709" w:footer="709" w:gutter="0"/>
          <w:cols w:space="708"/>
          <w:docGrid w:linePitch="360"/>
        </w:sectPr>
      </w:pPr>
    </w:p>
    <w:p w14:paraId="4AEC7CDD" w14:textId="77777777" w:rsidR="00B306A1" w:rsidRPr="00B306A1" w:rsidRDefault="00B306A1" w:rsidP="00365970">
      <w:pPr>
        <w:pStyle w:val="Heading2"/>
      </w:pPr>
      <w:r w:rsidRPr="00B306A1">
        <w:t xml:space="preserve">Step </w:t>
      </w:r>
      <w:r w:rsidR="003A05E9">
        <w:t>three:</w:t>
      </w:r>
      <w:r w:rsidRPr="00B306A1">
        <w:t xml:space="preserve"> Decision made on </w:t>
      </w:r>
      <w:r w:rsidR="006575BB">
        <w:t>Individuals next stage</w:t>
      </w:r>
    </w:p>
    <w:p w14:paraId="6D7EFB5C" w14:textId="77777777" w:rsidR="00B306A1" w:rsidRPr="004C01A8" w:rsidRDefault="00664585" w:rsidP="006F3F06">
      <w:r>
        <w:t xml:space="preserve">This step is non-linear and can result in a number of decisions regarding the </w:t>
      </w:r>
      <w:r w:rsidR="00872BA2">
        <w:t xml:space="preserve">interventions necessary to support the </w:t>
      </w:r>
      <w:r>
        <w:t>individuals ‘return to work’</w:t>
      </w:r>
      <w:r w:rsidR="00872BA2">
        <w:t>. The series of intervention can include a mix</w:t>
      </w:r>
      <w:r w:rsidR="00B306A1" w:rsidRPr="004C01A8">
        <w:t xml:space="preserve"> </w:t>
      </w:r>
      <w:r w:rsidR="00872BA2">
        <w:t xml:space="preserve">of </w:t>
      </w:r>
      <w:r w:rsidR="00B306A1" w:rsidRPr="004C01A8">
        <w:t xml:space="preserve">further education or training </w:t>
      </w:r>
      <w:r w:rsidR="00A42EE5" w:rsidRPr="004C01A8">
        <w:t>plan</w:t>
      </w:r>
      <w:r w:rsidR="00872BA2">
        <w:t>, each step</w:t>
      </w:r>
      <w:r w:rsidR="00A42EE5" w:rsidRPr="004C01A8">
        <w:t xml:space="preserve"> is developed and </w:t>
      </w:r>
      <w:r w:rsidR="00B306A1" w:rsidRPr="004C01A8">
        <w:t xml:space="preserve">agreed with the individual. </w:t>
      </w:r>
      <w:r w:rsidR="00A42EE5" w:rsidRPr="004C01A8">
        <w:t xml:space="preserve">It is also clear to individual on their entitlements to retaining any income or other supports.  </w:t>
      </w:r>
      <w:r w:rsidR="00B306A1" w:rsidRPr="004C01A8">
        <w:t>Alternative</w:t>
      </w:r>
      <w:r w:rsidR="00A42EE5" w:rsidRPr="004C01A8">
        <w:t>ly where appropriate a</w:t>
      </w:r>
      <w:r w:rsidR="00B306A1" w:rsidRPr="004C01A8">
        <w:t xml:space="preserve"> decision is made to support </w:t>
      </w:r>
      <w:r w:rsidR="006575BB" w:rsidRPr="004C01A8">
        <w:t>individual’s</w:t>
      </w:r>
      <w:r w:rsidR="00B306A1" w:rsidRPr="004C01A8">
        <w:t xml:space="preserve"> access to long-term social welfare payment</w:t>
      </w:r>
      <w:r w:rsidR="00872BA2">
        <w:t>.</w:t>
      </w:r>
    </w:p>
    <w:p w14:paraId="3B7DD76E" w14:textId="77777777" w:rsidR="00F5701C" w:rsidRPr="006C2864" w:rsidRDefault="008357FE" w:rsidP="006C2864">
      <w:pPr>
        <w:pStyle w:val="Heading2"/>
      </w:pPr>
      <w:r>
        <w:t xml:space="preserve">Step </w:t>
      </w:r>
      <w:r w:rsidR="003A05E9">
        <w:t>four</w:t>
      </w:r>
      <w:r>
        <w:t xml:space="preserve">: </w:t>
      </w:r>
      <w:r w:rsidR="003F1894" w:rsidRPr="006C2864">
        <w:t>Role of employers</w:t>
      </w:r>
    </w:p>
    <w:p w14:paraId="65BE7D16" w14:textId="1CB2D2C2" w:rsidR="00A42EE5" w:rsidRPr="004C01A8" w:rsidRDefault="000E349D" w:rsidP="008357FE">
      <w:r w:rsidRPr="00D601D0">
        <w:t xml:space="preserve">The role of employers in creating a more effective vocational rehabilitation approach </w:t>
      </w:r>
      <w:r>
        <w:t>is significant</w:t>
      </w:r>
      <w:r w:rsidRPr="00D601D0">
        <w:t>.</w:t>
      </w:r>
      <w:r>
        <w:t xml:space="preserve"> </w:t>
      </w:r>
      <w:r w:rsidRPr="00D601D0">
        <w:t>Services cannot be effective in the absence of employer engagement.</w:t>
      </w:r>
      <w:r>
        <w:t xml:space="preserve"> </w:t>
      </w:r>
      <w:r w:rsidRPr="00D601D0">
        <w:t>At a system level</w:t>
      </w:r>
      <w:r>
        <w:t>,</w:t>
      </w:r>
      <w:r w:rsidRPr="00D601D0">
        <w:t xml:space="preserve"> it is essential that employers are </w:t>
      </w:r>
      <w:r>
        <w:t xml:space="preserve">informed of </w:t>
      </w:r>
      <w:r w:rsidR="00674D0F">
        <w:t xml:space="preserve">and involved in </w:t>
      </w:r>
      <w:r>
        <w:t xml:space="preserve">the return to work </w:t>
      </w:r>
      <w:r w:rsidR="00674D0F">
        <w:t>process</w:t>
      </w:r>
      <w:r>
        <w:t xml:space="preserve">. </w:t>
      </w:r>
      <w:r w:rsidR="00386D80">
        <w:t>Practically</w:t>
      </w:r>
      <w:r w:rsidR="007C75B6">
        <w:t>,</w:t>
      </w:r>
      <w:r w:rsidR="00386D80">
        <w:t xml:space="preserve"> the employer </w:t>
      </w:r>
      <w:r w:rsidR="00674D0F">
        <w:t>must be</w:t>
      </w:r>
      <w:r w:rsidR="00386D80">
        <w:t xml:space="preserve"> an integral part of the </w:t>
      </w:r>
      <w:r w:rsidR="00674D0F">
        <w:t>return to work protocol, a process to develop</w:t>
      </w:r>
      <w:r w:rsidR="00386D80">
        <w:t xml:space="preserve"> </w:t>
      </w:r>
      <w:r w:rsidR="00782B00">
        <w:t xml:space="preserve">such protocols can be </w:t>
      </w:r>
      <w:r w:rsidR="00665195">
        <w:t>e</w:t>
      </w:r>
      <w:r w:rsidR="00782B00">
        <w:t>mbedded as the Irish activation and employer engagement systems respon</w:t>
      </w:r>
      <w:r w:rsidR="007C75B6">
        <w:t>se</w:t>
      </w:r>
      <w:r w:rsidR="00782B00">
        <w:t xml:space="preserve"> to </w:t>
      </w:r>
      <w:r w:rsidR="0074659F">
        <w:t>COVID-19</w:t>
      </w:r>
      <w:r w:rsidR="00782B00">
        <w:t xml:space="preserve">. </w:t>
      </w:r>
      <w:r w:rsidR="00872BA2">
        <w:t xml:space="preserve">The NDA advice is that similar to Disability Management experience in other jurisdictions, where there is no employer funded occupational guidance it is the Return to Work Case Manager that supports the </w:t>
      </w:r>
      <w:r w:rsidR="004D34C7">
        <w:t>employer through this process. T</w:t>
      </w:r>
      <w:r w:rsidR="00872BA2">
        <w:t xml:space="preserve">he Case Manager will clearly describe and communicate the steps necessary for the employer in supporting an employee to return to work or to another job within the same business. </w:t>
      </w:r>
    </w:p>
    <w:p w14:paraId="57D1A4EF" w14:textId="1716457B" w:rsidR="008E413E" w:rsidRPr="00FF1BC6" w:rsidRDefault="008357FE" w:rsidP="00B64C1B">
      <w:pPr>
        <w:pStyle w:val="Heading2"/>
        <w:rPr>
          <w:lang w:val="en-GB"/>
        </w:rPr>
      </w:pPr>
      <w:r>
        <w:rPr>
          <w:lang w:val="en-GB"/>
        </w:rPr>
        <w:t xml:space="preserve">Implementation </w:t>
      </w:r>
      <w:r w:rsidR="00B64C1B">
        <w:rPr>
          <w:lang w:val="en-GB"/>
        </w:rPr>
        <w:t>of vocational rehabilitation</w:t>
      </w:r>
    </w:p>
    <w:p w14:paraId="4CDFF8DB" w14:textId="195E3816" w:rsidR="00724A24" w:rsidRDefault="00724A24" w:rsidP="00724A24">
      <w:pPr>
        <w:spacing w:after="0"/>
        <w:rPr>
          <w:szCs w:val="26"/>
          <w:lang w:val="en-GB"/>
        </w:rPr>
      </w:pPr>
      <w:r>
        <w:rPr>
          <w:szCs w:val="26"/>
          <w:lang w:val="en-GB"/>
        </w:rPr>
        <w:t>Since 2015 Ireland has introduced measures to improve the employment landscape for people with disabilities. The Comprehensive Employment Strategy for People with Disabilities 2015 to 2024 and other relevant strategies continue to frame new ways of working for departments and agencies to collectively deliver on joint outcomes. However there is a gap in the provision of tailored supports that would assist people with disabilities into work and these supports require further resourcing and implementation</w:t>
      </w:r>
      <w:r w:rsidR="007C75B6">
        <w:rPr>
          <w:szCs w:val="26"/>
          <w:lang w:val="en-GB"/>
        </w:rPr>
        <w:t>, as outlined above</w:t>
      </w:r>
      <w:r>
        <w:rPr>
          <w:szCs w:val="26"/>
          <w:lang w:val="en-GB"/>
        </w:rPr>
        <w:t xml:space="preserve">. The NDA advises that new ways of enhancing activities of relevant departments and agencies to work together </w:t>
      </w:r>
      <w:r w:rsidR="006575BB">
        <w:rPr>
          <w:szCs w:val="26"/>
          <w:lang w:val="en-GB"/>
        </w:rPr>
        <w:t xml:space="preserve">are needed </w:t>
      </w:r>
      <w:r>
        <w:rPr>
          <w:szCs w:val="26"/>
          <w:lang w:val="en-GB"/>
        </w:rPr>
        <w:t>to provide a single coordinated vocational rehabilitation pathway.</w:t>
      </w:r>
      <w:r w:rsidR="00EB69C1">
        <w:rPr>
          <w:szCs w:val="26"/>
          <w:lang w:val="en-GB"/>
        </w:rPr>
        <w:t xml:space="preserve"> Of importance to this new pathway is the requirement </w:t>
      </w:r>
      <w:r w:rsidR="007C75B6">
        <w:rPr>
          <w:szCs w:val="26"/>
          <w:lang w:val="en-GB"/>
        </w:rPr>
        <w:t xml:space="preserve">for </w:t>
      </w:r>
      <w:r w:rsidR="00EB69C1">
        <w:rPr>
          <w:szCs w:val="26"/>
          <w:lang w:val="en-GB"/>
        </w:rPr>
        <w:t>profiling and assessing</w:t>
      </w:r>
      <w:r w:rsidR="007C75B6">
        <w:rPr>
          <w:szCs w:val="26"/>
          <w:lang w:val="en-GB"/>
        </w:rPr>
        <w:t>,</w:t>
      </w:r>
      <w:r w:rsidR="00EB69C1">
        <w:rPr>
          <w:szCs w:val="26"/>
          <w:lang w:val="en-GB"/>
        </w:rPr>
        <w:t xml:space="preserve"> with the triaging of support </w:t>
      </w:r>
      <w:r w:rsidR="006F0AA0">
        <w:rPr>
          <w:szCs w:val="26"/>
          <w:lang w:val="en-GB"/>
        </w:rPr>
        <w:t>for</w:t>
      </w:r>
      <w:r w:rsidR="00EB69C1">
        <w:rPr>
          <w:szCs w:val="26"/>
          <w:lang w:val="en-GB"/>
        </w:rPr>
        <w:t xml:space="preserve"> people who want to </w:t>
      </w:r>
      <w:r w:rsidR="006F0AA0">
        <w:rPr>
          <w:szCs w:val="26"/>
          <w:lang w:val="en-GB"/>
        </w:rPr>
        <w:t xml:space="preserve">and can </w:t>
      </w:r>
      <w:r w:rsidR="00EB69C1">
        <w:rPr>
          <w:szCs w:val="26"/>
          <w:lang w:val="en-GB"/>
        </w:rPr>
        <w:t>return</w:t>
      </w:r>
      <w:r w:rsidR="007C75B6">
        <w:rPr>
          <w:szCs w:val="26"/>
          <w:lang w:val="en-GB"/>
        </w:rPr>
        <w:t xml:space="preserve"> to</w:t>
      </w:r>
      <w:r w:rsidR="00EB69C1">
        <w:rPr>
          <w:szCs w:val="26"/>
          <w:lang w:val="en-GB"/>
        </w:rPr>
        <w:t xml:space="preserve"> work. </w:t>
      </w:r>
      <w:r w:rsidR="006F0AA0">
        <w:rPr>
          <w:szCs w:val="26"/>
          <w:lang w:val="en-GB"/>
        </w:rPr>
        <w:t>Some of</w:t>
      </w:r>
      <w:r w:rsidR="00EB69C1">
        <w:rPr>
          <w:szCs w:val="26"/>
          <w:lang w:val="en-GB"/>
        </w:rPr>
        <w:t xml:space="preserve"> these supports are delivered in the community by </w:t>
      </w:r>
      <w:r w:rsidR="004D34C7">
        <w:rPr>
          <w:szCs w:val="26"/>
          <w:lang w:val="en-GB"/>
        </w:rPr>
        <w:t xml:space="preserve">a </w:t>
      </w:r>
      <w:r w:rsidR="006F0AA0">
        <w:rPr>
          <w:szCs w:val="26"/>
          <w:lang w:val="en-GB"/>
        </w:rPr>
        <w:t xml:space="preserve">mix of </w:t>
      </w:r>
      <w:r w:rsidR="006F0AA0" w:rsidRPr="00512F82">
        <w:rPr>
          <w:szCs w:val="26"/>
          <w:lang w:val="en-GB"/>
        </w:rPr>
        <w:t xml:space="preserve">statutory </w:t>
      </w:r>
      <w:r w:rsidR="004D34C7" w:rsidRPr="00512F82">
        <w:rPr>
          <w:szCs w:val="26"/>
          <w:lang w:val="en-GB"/>
        </w:rPr>
        <w:t>and</w:t>
      </w:r>
      <w:r w:rsidR="006F0AA0" w:rsidRPr="00512F82">
        <w:rPr>
          <w:szCs w:val="26"/>
          <w:lang w:val="en-GB"/>
        </w:rPr>
        <w:t xml:space="preserve"> </w:t>
      </w:r>
      <w:r w:rsidR="00EB69C1">
        <w:rPr>
          <w:szCs w:val="26"/>
          <w:lang w:val="en-GB"/>
        </w:rPr>
        <w:t>not for profit</w:t>
      </w:r>
      <w:r w:rsidR="007C75B6">
        <w:rPr>
          <w:szCs w:val="26"/>
          <w:lang w:val="en-GB"/>
        </w:rPr>
        <w:t xml:space="preserve"> organisations</w:t>
      </w:r>
      <w:r w:rsidR="00EB69C1">
        <w:rPr>
          <w:szCs w:val="26"/>
          <w:lang w:val="en-GB"/>
        </w:rPr>
        <w:t>.</w:t>
      </w:r>
      <w:r w:rsidR="007C75B6">
        <w:rPr>
          <w:szCs w:val="26"/>
          <w:lang w:val="en-GB"/>
        </w:rPr>
        <w:t xml:space="preserve"> The NDA recognises that t</w:t>
      </w:r>
      <w:r w:rsidR="00EB69C1">
        <w:rPr>
          <w:szCs w:val="26"/>
          <w:lang w:val="en-GB"/>
        </w:rPr>
        <w:t xml:space="preserve">he existing capacity </w:t>
      </w:r>
      <w:r w:rsidR="006F0AA0">
        <w:rPr>
          <w:szCs w:val="26"/>
          <w:lang w:val="en-GB"/>
        </w:rPr>
        <w:t xml:space="preserve">of available employment supports </w:t>
      </w:r>
      <w:r w:rsidR="00EB69C1">
        <w:rPr>
          <w:szCs w:val="26"/>
          <w:lang w:val="en-GB"/>
        </w:rPr>
        <w:t xml:space="preserve">will be stretched as a post </w:t>
      </w:r>
      <w:r w:rsidR="0074659F">
        <w:rPr>
          <w:szCs w:val="26"/>
          <w:lang w:val="en-GB"/>
        </w:rPr>
        <w:t>COVID-19</w:t>
      </w:r>
      <w:r w:rsidR="00EB69C1">
        <w:rPr>
          <w:szCs w:val="26"/>
          <w:lang w:val="en-GB"/>
        </w:rPr>
        <w:t xml:space="preserve"> world emerges</w:t>
      </w:r>
      <w:r w:rsidR="007C75B6">
        <w:rPr>
          <w:szCs w:val="26"/>
          <w:lang w:val="en-GB"/>
        </w:rPr>
        <w:t>, but equally that there is</w:t>
      </w:r>
      <w:r w:rsidR="00EB69C1">
        <w:rPr>
          <w:szCs w:val="26"/>
          <w:lang w:val="en-GB"/>
        </w:rPr>
        <w:t xml:space="preserve"> </w:t>
      </w:r>
      <w:r w:rsidR="004D34C7">
        <w:rPr>
          <w:szCs w:val="26"/>
          <w:lang w:val="en-GB"/>
        </w:rPr>
        <w:t>an opportunity to develop</w:t>
      </w:r>
      <w:r w:rsidR="006F0AA0">
        <w:rPr>
          <w:szCs w:val="26"/>
          <w:lang w:val="en-GB"/>
        </w:rPr>
        <w:t xml:space="preserve"> </w:t>
      </w:r>
      <w:r w:rsidR="00EB69C1">
        <w:rPr>
          <w:szCs w:val="26"/>
          <w:lang w:val="en-GB"/>
        </w:rPr>
        <w:t xml:space="preserve">a new way of provision that </w:t>
      </w:r>
      <w:r w:rsidR="006F0AA0">
        <w:rPr>
          <w:szCs w:val="26"/>
          <w:lang w:val="en-GB"/>
        </w:rPr>
        <w:t xml:space="preserve">builds on current practice. </w:t>
      </w:r>
    </w:p>
    <w:p w14:paraId="0359CB73" w14:textId="35E6E2E8" w:rsidR="00724A24" w:rsidRDefault="00724A24" w:rsidP="006E0997">
      <w:pPr>
        <w:spacing w:before="240"/>
        <w:rPr>
          <w:szCs w:val="26"/>
          <w:lang w:val="en-GB"/>
        </w:rPr>
      </w:pPr>
      <w:r>
        <w:rPr>
          <w:szCs w:val="26"/>
          <w:lang w:val="en-GB"/>
        </w:rPr>
        <w:t xml:space="preserve">To implement a single vocational rehabilitation pathway the </w:t>
      </w:r>
      <w:r w:rsidR="004D34C7">
        <w:rPr>
          <w:szCs w:val="26"/>
          <w:lang w:val="en-GB"/>
        </w:rPr>
        <w:t xml:space="preserve">NDA advises that the </w:t>
      </w:r>
      <w:r>
        <w:rPr>
          <w:szCs w:val="26"/>
          <w:lang w:val="en-GB"/>
        </w:rPr>
        <w:t>f</w:t>
      </w:r>
      <w:r w:rsidR="006E0997">
        <w:rPr>
          <w:szCs w:val="26"/>
          <w:lang w:val="en-GB"/>
        </w:rPr>
        <w:t>ollowing actions are necessary:</w:t>
      </w:r>
    </w:p>
    <w:p w14:paraId="26DEB599" w14:textId="77777777" w:rsidR="00724A24" w:rsidRPr="00913CDF" w:rsidRDefault="00724A24" w:rsidP="006E0997">
      <w:pPr>
        <w:pStyle w:val="Heading3"/>
        <w:rPr>
          <w:rFonts w:cs="Verdana"/>
          <w:color w:val="000000"/>
        </w:rPr>
      </w:pPr>
      <w:r>
        <w:rPr>
          <w:lang w:val="en-GB"/>
        </w:rPr>
        <w:t>Intreo</w:t>
      </w:r>
      <w:r w:rsidRPr="00913CDF">
        <w:rPr>
          <w:lang w:val="en-GB"/>
        </w:rPr>
        <w:t xml:space="preserve"> </w:t>
      </w:r>
    </w:p>
    <w:p w14:paraId="48E9789C" w14:textId="77777777" w:rsidR="006F2BA9" w:rsidRDefault="0069242E" w:rsidP="0069242E">
      <w:pPr>
        <w:spacing w:after="0"/>
        <w:rPr>
          <w:szCs w:val="26"/>
        </w:rPr>
      </w:pPr>
      <w:r w:rsidRPr="0069242E">
        <w:rPr>
          <w:szCs w:val="26"/>
          <w:lang w:val="en-GB"/>
        </w:rPr>
        <w:t xml:space="preserve">As one part of the public employment service, Intreo </w:t>
      </w:r>
      <w:r w:rsidR="006F2BA9">
        <w:rPr>
          <w:color w:val="000000"/>
          <w:szCs w:val="26"/>
        </w:rPr>
        <w:t>can be</w:t>
      </w:r>
      <w:r w:rsidRPr="0069242E">
        <w:rPr>
          <w:color w:val="000000"/>
          <w:szCs w:val="26"/>
        </w:rPr>
        <w:t xml:space="preserve"> the first access point for either the individual with acquired disability (or their advocate) and possibly for an employer. </w:t>
      </w:r>
      <w:r w:rsidRPr="0069242E">
        <w:rPr>
          <w:szCs w:val="26"/>
        </w:rPr>
        <w:t>The NDA advises that in light of the remit of the reconfigured Department of Trade, Enterprise and Employment to engage with employers, that it would be best placed to take the following steps</w:t>
      </w:r>
      <w:r w:rsidR="006F2BA9">
        <w:rPr>
          <w:szCs w:val="26"/>
        </w:rPr>
        <w:t xml:space="preserve">, coordinating as appropriate with </w:t>
      </w:r>
      <w:r w:rsidR="006F2BA9" w:rsidRPr="0069242E">
        <w:rPr>
          <w:szCs w:val="26"/>
        </w:rPr>
        <w:t>and the network</w:t>
      </w:r>
      <w:r w:rsidR="006F2BA9">
        <w:rPr>
          <w:szCs w:val="26"/>
        </w:rPr>
        <w:t xml:space="preserve"> of</w:t>
      </w:r>
      <w:r w:rsidR="006F2BA9" w:rsidRPr="0069242E">
        <w:rPr>
          <w:szCs w:val="26"/>
        </w:rPr>
        <w:t xml:space="preserve"> Intreo offices</w:t>
      </w:r>
      <w:r w:rsidR="006F2BA9">
        <w:rPr>
          <w:szCs w:val="26"/>
        </w:rPr>
        <w:t xml:space="preserve"> managed by the Department of Social Protection</w:t>
      </w:r>
      <w:r w:rsidRPr="0069242E">
        <w:rPr>
          <w:szCs w:val="26"/>
        </w:rPr>
        <w:t>:</w:t>
      </w:r>
    </w:p>
    <w:p w14:paraId="3FC4E432" w14:textId="77777777" w:rsidR="0069242E" w:rsidRPr="0069242E" w:rsidRDefault="0069242E" w:rsidP="0069242E">
      <w:pPr>
        <w:spacing w:after="0"/>
        <w:rPr>
          <w:rFonts w:eastAsiaTheme="minorHAnsi"/>
          <w:szCs w:val="26"/>
          <w:lang w:val="en-GB"/>
        </w:rPr>
      </w:pPr>
      <w:r w:rsidRPr="0069242E">
        <w:rPr>
          <w:szCs w:val="26"/>
        </w:rPr>
        <w:t xml:space="preserve"> </w:t>
      </w:r>
    </w:p>
    <w:p w14:paraId="7F731EBD" w14:textId="77777777" w:rsidR="00724A24" w:rsidRPr="006E1794" w:rsidRDefault="00724A24" w:rsidP="0069242E">
      <w:pPr>
        <w:pStyle w:val="ListParagraph"/>
        <w:numPr>
          <w:ilvl w:val="0"/>
          <w:numId w:val="12"/>
        </w:numPr>
        <w:spacing w:after="0"/>
        <w:ind w:left="0"/>
        <w:contextualSpacing/>
        <w:rPr>
          <w:szCs w:val="26"/>
        </w:rPr>
      </w:pPr>
      <w:r>
        <w:rPr>
          <w:szCs w:val="26"/>
        </w:rPr>
        <w:t>P</w:t>
      </w:r>
      <w:r w:rsidRPr="006E1794">
        <w:rPr>
          <w:szCs w:val="26"/>
        </w:rPr>
        <w:t>romote and provide supports on ‘return to work’ with information and g</w:t>
      </w:r>
      <w:r>
        <w:rPr>
          <w:szCs w:val="26"/>
        </w:rPr>
        <w:t>uidance protocols for employers</w:t>
      </w:r>
      <w:r>
        <w:rPr>
          <w:rStyle w:val="FootnoteReference"/>
          <w:szCs w:val="26"/>
        </w:rPr>
        <w:footnoteReference w:id="60"/>
      </w:r>
    </w:p>
    <w:p w14:paraId="7E6F2AEC" w14:textId="77777777" w:rsidR="00724A24" w:rsidRDefault="00724A24" w:rsidP="00724A24">
      <w:pPr>
        <w:pStyle w:val="ListParagraph"/>
        <w:numPr>
          <w:ilvl w:val="0"/>
          <w:numId w:val="12"/>
        </w:numPr>
        <w:spacing w:after="0"/>
        <w:rPr>
          <w:szCs w:val="26"/>
        </w:rPr>
      </w:pPr>
      <w:r>
        <w:rPr>
          <w:szCs w:val="26"/>
        </w:rPr>
        <w:t>Work with the Chief Medical Officer and</w:t>
      </w:r>
      <w:r w:rsidRPr="006E1794">
        <w:rPr>
          <w:szCs w:val="26"/>
        </w:rPr>
        <w:t xml:space="preserve"> other</w:t>
      </w:r>
      <w:r>
        <w:rPr>
          <w:szCs w:val="26"/>
        </w:rPr>
        <w:t>s to develop</w:t>
      </w:r>
      <w:r w:rsidRPr="006E1794">
        <w:rPr>
          <w:szCs w:val="26"/>
        </w:rPr>
        <w:t xml:space="preserve"> a functional capacity assessment system</w:t>
      </w:r>
      <w:r>
        <w:rPr>
          <w:szCs w:val="26"/>
        </w:rPr>
        <w:t xml:space="preserve"> and supporting tools administered by Intreo Case Officers, Local Employment Service Staff and EmployAbility Job Coaches.</w:t>
      </w:r>
    </w:p>
    <w:p w14:paraId="09CEA017" w14:textId="77777777" w:rsidR="00724A24" w:rsidRDefault="00724A24" w:rsidP="00724A24">
      <w:pPr>
        <w:pStyle w:val="ListParagraph"/>
        <w:numPr>
          <w:ilvl w:val="0"/>
          <w:numId w:val="12"/>
        </w:numPr>
        <w:spacing w:after="0"/>
        <w:rPr>
          <w:szCs w:val="26"/>
        </w:rPr>
      </w:pPr>
      <w:r>
        <w:rPr>
          <w:szCs w:val="26"/>
        </w:rPr>
        <w:t xml:space="preserve">Increase capacity of Intreo Case Officers to support people with acquired disability to begin the return to work process. This capacity building exercise will be a mix of referral to other services and supports listed. </w:t>
      </w:r>
    </w:p>
    <w:p w14:paraId="56E04BAD" w14:textId="77777777" w:rsidR="00724A24" w:rsidRPr="00512F82" w:rsidRDefault="00872BA2" w:rsidP="00423EE4">
      <w:pPr>
        <w:pStyle w:val="ListParagraph"/>
        <w:numPr>
          <w:ilvl w:val="0"/>
          <w:numId w:val="12"/>
        </w:numPr>
        <w:autoSpaceDE w:val="0"/>
        <w:autoSpaceDN w:val="0"/>
        <w:adjustRightInd w:val="0"/>
        <w:spacing w:after="0"/>
        <w:rPr>
          <w:rFonts w:cs="Verdana"/>
          <w:bCs/>
          <w:iCs/>
          <w:color w:val="000000"/>
          <w:szCs w:val="26"/>
        </w:rPr>
      </w:pPr>
      <w:r w:rsidRPr="00A220F1">
        <w:rPr>
          <w:szCs w:val="26"/>
        </w:rPr>
        <w:t xml:space="preserve">Increase the capacity of commissioned employment supports </w:t>
      </w:r>
      <w:r w:rsidR="00A220F1" w:rsidRPr="00A220F1">
        <w:rPr>
          <w:szCs w:val="26"/>
        </w:rPr>
        <w:t xml:space="preserve">such as EmployAbility by funding the training of job coaches to become return to work case managers. This can be achieved through professional development training such as </w:t>
      </w:r>
      <w:r w:rsidR="00A220F1">
        <w:rPr>
          <w:szCs w:val="26"/>
        </w:rPr>
        <w:t>the</w:t>
      </w:r>
      <w:r w:rsidR="00A220F1" w:rsidRPr="00A220F1">
        <w:rPr>
          <w:szCs w:val="26"/>
        </w:rPr>
        <w:t xml:space="preserve"> </w:t>
      </w:r>
      <w:r w:rsidR="00A220F1" w:rsidRPr="00A220F1">
        <w:rPr>
          <w:rFonts w:cs="Univers 45 Light"/>
          <w:color w:val="000000"/>
          <w:szCs w:val="26"/>
        </w:rPr>
        <w:t>National Institute of Disability Management and Research (NIDMAR) developed</w:t>
      </w:r>
      <w:r w:rsidR="00A220F1">
        <w:rPr>
          <w:rFonts w:cs="Univers 45 Light"/>
          <w:color w:val="000000"/>
          <w:szCs w:val="26"/>
        </w:rPr>
        <w:t xml:space="preserve"> programme</w:t>
      </w:r>
      <w:r w:rsidR="00A220F1" w:rsidRPr="00A220F1">
        <w:rPr>
          <w:rFonts w:cs="Univers 45 Light"/>
          <w:color w:val="000000"/>
          <w:szCs w:val="26"/>
        </w:rPr>
        <w:t>,</w:t>
      </w:r>
    </w:p>
    <w:p w14:paraId="75C403F6" w14:textId="3921F2E7" w:rsidR="00512F82" w:rsidRPr="00043612" w:rsidRDefault="00512F82" w:rsidP="00423EE4">
      <w:pPr>
        <w:pStyle w:val="ListParagraph"/>
        <w:numPr>
          <w:ilvl w:val="0"/>
          <w:numId w:val="12"/>
        </w:numPr>
        <w:autoSpaceDE w:val="0"/>
        <w:autoSpaceDN w:val="0"/>
        <w:adjustRightInd w:val="0"/>
        <w:spacing w:after="0"/>
        <w:rPr>
          <w:rFonts w:cs="Verdana"/>
          <w:bCs/>
          <w:iCs/>
          <w:color w:val="000000"/>
          <w:szCs w:val="26"/>
        </w:rPr>
      </w:pPr>
      <w:r>
        <w:rPr>
          <w:szCs w:val="26"/>
        </w:rPr>
        <w:t>Ensure that the coordinated policy approach that would assist individuals with high support needs to obtain and retain employment</w:t>
      </w:r>
      <w:r>
        <w:rPr>
          <w:rStyle w:val="FootnoteReference"/>
          <w:szCs w:val="26"/>
        </w:rPr>
        <w:footnoteReference w:id="61"/>
      </w:r>
      <w:r>
        <w:rPr>
          <w:szCs w:val="26"/>
        </w:rPr>
        <w:t xml:space="preserve"> is fully implemented.</w:t>
      </w:r>
    </w:p>
    <w:p w14:paraId="66706162" w14:textId="012FC4DB" w:rsidR="00043612" w:rsidRPr="006E52B9" w:rsidRDefault="00043612" w:rsidP="006E52B9">
      <w:pPr>
        <w:pStyle w:val="ListParagraph"/>
        <w:numPr>
          <w:ilvl w:val="0"/>
          <w:numId w:val="12"/>
        </w:numPr>
        <w:autoSpaceDE w:val="0"/>
        <w:autoSpaceDN w:val="0"/>
        <w:adjustRightInd w:val="0"/>
        <w:spacing w:after="0"/>
        <w:rPr>
          <w:rFonts w:cs="Verdana"/>
          <w:bCs/>
          <w:iCs/>
          <w:color w:val="000000"/>
          <w:szCs w:val="26"/>
        </w:rPr>
      </w:pPr>
      <w:r w:rsidRPr="006E52B9">
        <w:rPr>
          <w:spacing w:val="-3"/>
          <w:szCs w:val="26"/>
        </w:rPr>
        <w:t xml:space="preserve">Use the commitment to draw from </w:t>
      </w:r>
      <w:r w:rsidRPr="006E52B9">
        <w:rPr>
          <w:szCs w:val="26"/>
        </w:rPr>
        <w:t>‘</w:t>
      </w:r>
      <w:r w:rsidRPr="006E52B9">
        <w:rPr>
          <w:spacing w:val="-3"/>
          <w:szCs w:val="26"/>
        </w:rPr>
        <w:t xml:space="preserve">existing international </w:t>
      </w:r>
      <w:r w:rsidRPr="006E52B9">
        <w:rPr>
          <w:szCs w:val="26"/>
        </w:rPr>
        <w:t xml:space="preserve">models, to </w:t>
      </w:r>
      <w:r w:rsidRPr="006E52B9">
        <w:rPr>
          <w:spacing w:val="-3"/>
          <w:szCs w:val="26"/>
        </w:rPr>
        <w:t xml:space="preserve">explore </w:t>
      </w:r>
      <w:r w:rsidRPr="006E52B9">
        <w:rPr>
          <w:szCs w:val="26"/>
        </w:rPr>
        <w:t xml:space="preserve">the </w:t>
      </w:r>
      <w:r w:rsidRPr="006E52B9">
        <w:rPr>
          <w:spacing w:val="-3"/>
          <w:szCs w:val="26"/>
        </w:rPr>
        <w:t xml:space="preserve">possibility </w:t>
      </w:r>
      <w:r w:rsidRPr="006E52B9">
        <w:rPr>
          <w:szCs w:val="26"/>
        </w:rPr>
        <w:t xml:space="preserve">of </w:t>
      </w:r>
      <w:r w:rsidRPr="006E52B9">
        <w:rPr>
          <w:spacing w:val="-3"/>
          <w:szCs w:val="26"/>
        </w:rPr>
        <w:t xml:space="preserve">introducing </w:t>
      </w:r>
      <w:r w:rsidRPr="006E52B9">
        <w:rPr>
          <w:szCs w:val="26"/>
        </w:rPr>
        <w:t xml:space="preserve">a new </w:t>
      </w:r>
      <w:r w:rsidRPr="006E52B9">
        <w:rPr>
          <w:spacing w:val="-4"/>
          <w:szCs w:val="26"/>
        </w:rPr>
        <w:t xml:space="preserve">Short-Time </w:t>
      </w:r>
      <w:r w:rsidRPr="006E52B9">
        <w:rPr>
          <w:spacing w:val="-5"/>
          <w:szCs w:val="26"/>
        </w:rPr>
        <w:t xml:space="preserve">Work </w:t>
      </w:r>
      <w:r w:rsidRPr="006E52B9">
        <w:rPr>
          <w:spacing w:val="-3"/>
          <w:szCs w:val="26"/>
        </w:rPr>
        <w:t xml:space="preserve">Support </w:t>
      </w:r>
      <w:r w:rsidRPr="006E52B9">
        <w:rPr>
          <w:spacing w:val="-2"/>
          <w:szCs w:val="26"/>
        </w:rPr>
        <w:t xml:space="preserve">scheme </w:t>
      </w:r>
      <w:r w:rsidRPr="006E52B9">
        <w:rPr>
          <w:szCs w:val="26"/>
        </w:rPr>
        <w:t xml:space="preserve">to </w:t>
      </w:r>
      <w:r w:rsidRPr="006E52B9">
        <w:rPr>
          <w:spacing w:val="-3"/>
          <w:szCs w:val="26"/>
        </w:rPr>
        <w:t xml:space="preserve">enable </w:t>
      </w:r>
      <w:r w:rsidRPr="006E52B9">
        <w:rPr>
          <w:spacing w:val="-4"/>
          <w:szCs w:val="26"/>
        </w:rPr>
        <w:t xml:space="preserve">employers </w:t>
      </w:r>
      <w:r w:rsidR="006E52B9" w:rsidRPr="006E52B9">
        <w:rPr>
          <w:spacing w:val="-4"/>
          <w:szCs w:val="26"/>
        </w:rPr>
        <w:t xml:space="preserve">to </w:t>
      </w:r>
      <w:r w:rsidRPr="006E52B9">
        <w:rPr>
          <w:spacing w:val="-4"/>
          <w:szCs w:val="26"/>
        </w:rPr>
        <w:t xml:space="preserve">retain </w:t>
      </w:r>
      <w:r w:rsidRPr="006E52B9">
        <w:rPr>
          <w:spacing w:val="-3"/>
          <w:szCs w:val="26"/>
        </w:rPr>
        <w:t xml:space="preserve">people </w:t>
      </w:r>
      <w:r w:rsidRPr="006E52B9">
        <w:rPr>
          <w:szCs w:val="26"/>
        </w:rPr>
        <w:t xml:space="preserve">on </w:t>
      </w:r>
      <w:r w:rsidRPr="006E52B9">
        <w:rPr>
          <w:spacing w:val="-3"/>
          <w:szCs w:val="26"/>
        </w:rPr>
        <w:t xml:space="preserve">their </w:t>
      </w:r>
      <w:r w:rsidRPr="006E52B9">
        <w:rPr>
          <w:spacing w:val="-4"/>
          <w:szCs w:val="26"/>
        </w:rPr>
        <w:t xml:space="preserve">payroll </w:t>
      </w:r>
      <w:r w:rsidRPr="006E52B9">
        <w:rPr>
          <w:spacing w:val="-3"/>
          <w:szCs w:val="26"/>
        </w:rPr>
        <w:t xml:space="preserve">in </w:t>
      </w:r>
      <w:r w:rsidRPr="006E52B9">
        <w:rPr>
          <w:spacing w:val="-4"/>
          <w:szCs w:val="26"/>
        </w:rPr>
        <w:t xml:space="preserve">response </w:t>
      </w:r>
      <w:r w:rsidRPr="006E52B9">
        <w:rPr>
          <w:szCs w:val="26"/>
        </w:rPr>
        <w:t xml:space="preserve">to short-duration shocks to </w:t>
      </w:r>
      <w:r w:rsidRPr="006E52B9">
        <w:rPr>
          <w:spacing w:val="-3"/>
          <w:szCs w:val="26"/>
        </w:rPr>
        <w:t>employment</w:t>
      </w:r>
      <w:r w:rsidR="006E52B9">
        <w:rPr>
          <w:rStyle w:val="FootnoteReference"/>
          <w:spacing w:val="-3"/>
          <w:szCs w:val="26"/>
        </w:rPr>
        <w:footnoteReference w:id="62"/>
      </w:r>
    </w:p>
    <w:p w14:paraId="0D17D546" w14:textId="77777777" w:rsidR="00043612" w:rsidRPr="00043612" w:rsidRDefault="00043612" w:rsidP="00043612">
      <w:pPr>
        <w:autoSpaceDE w:val="0"/>
        <w:autoSpaceDN w:val="0"/>
        <w:adjustRightInd w:val="0"/>
        <w:spacing w:after="0"/>
        <w:rPr>
          <w:rFonts w:cs="Verdana"/>
          <w:bCs/>
          <w:iCs/>
          <w:color w:val="000000"/>
          <w:szCs w:val="26"/>
        </w:rPr>
      </w:pPr>
    </w:p>
    <w:p w14:paraId="4AEC70A7" w14:textId="21A8E72F" w:rsidR="00620D0F" w:rsidRDefault="00724A24" w:rsidP="00365970">
      <w:pPr>
        <w:contextualSpacing/>
      </w:pPr>
      <w:r>
        <w:rPr>
          <w:rFonts w:cs="Verdana"/>
          <w:szCs w:val="26"/>
        </w:rPr>
        <w:t>An</w:t>
      </w:r>
      <w:r w:rsidRPr="008F5949">
        <w:rPr>
          <w:rFonts w:cs="Verdana"/>
          <w:szCs w:val="26"/>
        </w:rPr>
        <w:t xml:space="preserve"> EU </w:t>
      </w:r>
      <w:r>
        <w:rPr>
          <w:rFonts w:cs="Verdana"/>
          <w:szCs w:val="26"/>
        </w:rPr>
        <w:t>report on public employment services</w:t>
      </w:r>
      <w:r w:rsidRPr="008F5949">
        <w:rPr>
          <w:rFonts w:cs="Verdana"/>
          <w:szCs w:val="26"/>
        </w:rPr>
        <w:t xml:space="preserve"> suggests that personalised services such as supported employment rather than large scale uniform programmes (training or work-</w:t>
      </w:r>
      <w:r w:rsidRPr="008F5949">
        <w:rPr>
          <w:szCs w:val="26"/>
        </w:rPr>
        <w:t xml:space="preserve">shops) are more effective in </w:t>
      </w:r>
      <w:r w:rsidRPr="008F5949">
        <w:rPr>
          <w:b/>
          <w:szCs w:val="26"/>
        </w:rPr>
        <w:t>promoting a transition into the open labour market</w:t>
      </w:r>
      <w:r w:rsidRPr="008F5949">
        <w:rPr>
          <w:szCs w:val="26"/>
        </w:rPr>
        <w:t xml:space="preserve">. </w:t>
      </w:r>
      <w:r>
        <w:rPr>
          <w:szCs w:val="26"/>
        </w:rPr>
        <w:t xml:space="preserve">This report also states that in common </w:t>
      </w:r>
      <w:r w:rsidRPr="008F5949">
        <w:rPr>
          <w:szCs w:val="26"/>
        </w:rPr>
        <w:t>with other research</w:t>
      </w:r>
      <w:r>
        <w:rPr>
          <w:szCs w:val="26"/>
        </w:rPr>
        <w:t>,</w:t>
      </w:r>
      <w:r w:rsidRPr="008F5949">
        <w:rPr>
          <w:szCs w:val="26"/>
        </w:rPr>
        <w:t xml:space="preserve"> out-sourcing these tailored services was identified as an efficient way to support hard to place clients. The NDA therefore advises that </w:t>
      </w:r>
      <w:r>
        <w:rPr>
          <w:szCs w:val="26"/>
        </w:rPr>
        <w:t xml:space="preserve">similar to the Job Path providers </w:t>
      </w:r>
      <w:r w:rsidRPr="008F5949">
        <w:rPr>
          <w:szCs w:val="26"/>
        </w:rPr>
        <w:t>out-sourcing or commissioned services are potential options for the interventions that are required for vocational rehabilitation to be available locally for people with acquired disabilities and lifelong health conditions</w:t>
      </w:r>
      <w:r>
        <w:rPr>
          <w:szCs w:val="26"/>
        </w:rPr>
        <w:t>.</w:t>
      </w:r>
      <w:r w:rsidR="00620D0F" w:rsidDel="00620D0F">
        <w:t xml:space="preserve"> </w:t>
      </w:r>
    </w:p>
    <w:p w14:paraId="6BAA8351" w14:textId="77777777" w:rsidR="00724A24" w:rsidRPr="00DE45AB" w:rsidRDefault="00724A24" w:rsidP="006E0997">
      <w:pPr>
        <w:pStyle w:val="Heading3"/>
      </w:pPr>
      <w:r w:rsidRPr="00DE45AB">
        <w:t>Department of Health and the HSE</w:t>
      </w:r>
    </w:p>
    <w:p w14:paraId="077CB3AA" w14:textId="77777777" w:rsidR="00724A24" w:rsidRPr="00CC3E4E" w:rsidRDefault="00724A24" w:rsidP="00724A24">
      <w:pPr>
        <w:spacing w:after="0"/>
        <w:contextualSpacing/>
        <w:rPr>
          <w:szCs w:val="26"/>
          <w:highlight w:val="yellow"/>
        </w:rPr>
      </w:pPr>
      <w:r>
        <w:rPr>
          <w:szCs w:val="26"/>
        </w:rPr>
        <w:t>NDA advises that t</w:t>
      </w:r>
      <w:r w:rsidRPr="00B75836">
        <w:rPr>
          <w:szCs w:val="26"/>
        </w:rPr>
        <w:t xml:space="preserve">he Department of Health and the HSE </w:t>
      </w:r>
      <w:r w:rsidR="007C75B6">
        <w:rPr>
          <w:szCs w:val="26"/>
        </w:rPr>
        <w:t xml:space="preserve">will </w:t>
      </w:r>
      <w:r>
        <w:rPr>
          <w:szCs w:val="26"/>
        </w:rPr>
        <w:t>have a role in developing and</w:t>
      </w:r>
      <w:r w:rsidRPr="00B75836">
        <w:rPr>
          <w:szCs w:val="26"/>
        </w:rPr>
        <w:t xml:space="preserve"> </w:t>
      </w:r>
      <w:r>
        <w:rPr>
          <w:szCs w:val="26"/>
        </w:rPr>
        <w:t xml:space="preserve">resourcing occupational </w:t>
      </w:r>
      <w:r w:rsidRPr="00B75836">
        <w:rPr>
          <w:szCs w:val="26"/>
        </w:rPr>
        <w:t>guidance and services for healthcare professionals such as GPs</w:t>
      </w:r>
      <w:r>
        <w:rPr>
          <w:szCs w:val="26"/>
        </w:rPr>
        <w:t>, OTs</w:t>
      </w:r>
      <w:r w:rsidRPr="00B75836">
        <w:rPr>
          <w:szCs w:val="26"/>
        </w:rPr>
        <w:t xml:space="preserve"> and other allied professional</w:t>
      </w:r>
      <w:r>
        <w:rPr>
          <w:szCs w:val="26"/>
        </w:rPr>
        <w:t>s</w:t>
      </w:r>
      <w:r w:rsidRPr="00B75836">
        <w:rPr>
          <w:szCs w:val="26"/>
        </w:rPr>
        <w:t xml:space="preserve">. </w:t>
      </w:r>
      <w:r>
        <w:rPr>
          <w:szCs w:val="26"/>
        </w:rPr>
        <w:t>As evidenced in research, the GP was a</w:t>
      </w:r>
      <w:r w:rsidRPr="00B75836">
        <w:rPr>
          <w:rFonts w:ascii="Gill Sans" w:eastAsia="Calibri" w:hAnsi="Gill Sans"/>
          <w:szCs w:val="26"/>
          <w:lang w:val="en-GB"/>
        </w:rPr>
        <w:t xml:space="preserve"> primary contact during absence for</w:t>
      </w:r>
      <w:r>
        <w:rPr>
          <w:rFonts w:ascii="Gill Sans" w:eastAsia="Calibri" w:hAnsi="Gill Sans"/>
          <w:szCs w:val="26"/>
          <w:lang w:val="en-GB"/>
        </w:rPr>
        <w:t xml:space="preserve"> 94% of</w:t>
      </w:r>
      <w:r w:rsidRPr="00B75836">
        <w:rPr>
          <w:rFonts w:ascii="Gill Sans" w:eastAsia="Calibri" w:hAnsi="Gill Sans"/>
          <w:szCs w:val="26"/>
          <w:lang w:val="en-GB"/>
        </w:rPr>
        <w:t xml:space="preserve"> people long term absent </w:t>
      </w:r>
      <w:r>
        <w:rPr>
          <w:rFonts w:ascii="Gill Sans" w:eastAsia="Calibri" w:hAnsi="Gill Sans"/>
          <w:szCs w:val="26"/>
          <w:lang w:val="en-GB"/>
        </w:rPr>
        <w:t xml:space="preserve">from work </w:t>
      </w:r>
      <w:r w:rsidRPr="00B75836">
        <w:rPr>
          <w:rFonts w:ascii="Gill Sans" w:eastAsia="Calibri" w:hAnsi="Gill Sans"/>
          <w:szCs w:val="26"/>
          <w:lang w:val="en-GB"/>
        </w:rPr>
        <w:t>and only 15 per cent had contact with another professional. In 2006 GPs who participated in a survey of health professionals did not consider that they had any role in the return to work process.</w:t>
      </w:r>
      <w:r w:rsidRPr="00B75836">
        <w:rPr>
          <w:rFonts w:eastAsia="Calibri"/>
          <w:szCs w:val="26"/>
          <w:vertAlign w:val="superscript"/>
          <w:lang w:val="en-GB"/>
        </w:rPr>
        <w:footnoteReference w:id="63"/>
      </w:r>
      <w:r w:rsidRPr="00B75836">
        <w:rPr>
          <w:rFonts w:ascii="Gill Sans" w:eastAsia="Calibri" w:hAnsi="Gill Sans"/>
          <w:szCs w:val="26"/>
          <w:lang w:val="en-GB"/>
        </w:rPr>
        <w:t xml:space="preserve"> While some progress has occurred with initiatives such as ‘Healthy Ireland’, </w:t>
      </w:r>
      <w:r w:rsidR="007C75B6">
        <w:rPr>
          <w:rFonts w:ascii="Gill Sans" w:eastAsia="Calibri" w:hAnsi="Gill Sans"/>
          <w:szCs w:val="26"/>
          <w:lang w:val="en-GB"/>
        </w:rPr>
        <w:t xml:space="preserve">NDA advises that </w:t>
      </w:r>
      <w:r w:rsidRPr="00B75836">
        <w:rPr>
          <w:rFonts w:ascii="Gill Sans" w:eastAsia="Calibri" w:hAnsi="Gill Sans"/>
          <w:szCs w:val="26"/>
          <w:lang w:val="en-GB"/>
        </w:rPr>
        <w:t xml:space="preserve">specific </w:t>
      </w:r>
      <w:r w:rsidRPr="00B75836">
        <w:rPr>
          <w:szCs w:val="26"/>
        </w:rPr>
        <w:t xml:space="preserve">guidance outlining that vocational rehabilitation is not a single intervention and </w:t>
      </w:r>
      <w:r w:rsidR="007C75B6">
        <w:rPr>
          <w:szCs w:val="26"/>
        </w:rPr>
        <w:t>that a range of appropriate</w:t>
      </w:r>
      <w:r w:rsidR="007C75B6" w:rsidRPr="00B75836">
        <w:rPr>
          <w:szCs w:val="26"/>
        </w:rPr>
        <w:t xml:space="preserve"> </w:t>
      </w:r>
      <w:r w:rsidRPr="00B75836">
        <w:rPr>
          <w:szCs w:val="26"/>
        </w:rPr>
        <w:t>interventions should be based on individual identified needs is required</w:t>
      </w:r>
      <w:r>
        <w:rPr>
          <w:szCs w:val="26"/>
        </w:rPr>
        <w:t xml:space="preserve">. </w:t>
      </w:r>
      <w:r w:rsidRPr="00CC3E4E">
        <w:rPr>
          <w:szCs w:val="26"/>
        </w:rPr>
        <w:t>As a primary point of contact</w:t>
      </w:r>
      <w:r w:rsidR="007C75B6">
        <w:rPr>
          <w:szCs w:val="26"/>
        </w:rPr>
        <w:t>,</w:t>
      </w:r>
      <w:r w:rsidRPr="00CC3E4E">
        <w:rPr>
          <w:szCs w:val="26"/>
        </w:rPr>
        <w:t xml:space="preserve"> GPs have a role in referring people to information sources </w:t>
      </w:r>
      <w:r>
        <w:rPr>
          <w:szCs w:val="26"/>
        </w:rPr>
        <w:t xml:space="preserve">and to practitioners </w:t>
      </w:r>
      <w:r w:rsidRPr="00CC3E4E">
        <w:rPr>
          <w:szCs w:val="26"/>
        </w:rPr>
        <w:t xml:space="preserve">that will allow the individual to consider a return to work. </w:t>
      </w:r>
    </w:p>
    <w:p w14:paraId="56053056" w14:textId="77777777" w:rsidR="00724A24" w:rsidRPr="00B75836" w:rsidRDefault="00724A24" w:rsidP="00724A24">
      <w:pPr>
        <w:spacing w:after="0"/>
        <w:contextualSpacing/>
        <w:rPr>
          <w:szCs w:val="26"/>
        </w:rPr>
      </w:pPr>
    </w:p>
    <w:p w14:paraId="201C3A32" w14:textId="77777777" w:rsidR="00724A24" w:rsidRPr="00A220F1" w:rsidRDefault="00724A24" w:rsidP="00A220F1">
      <w:pPr>
        <w:contextualSpacing/>
        <w:rPr>
          <w:rFonts w:eastAsia="Calibri"/>
          <w:szCs w:val="26"/>
          <w:lang w:val="en-GB"/>
        </w:rPr>
      </w:pPr>
      <w:r w:rsidRPr="00A220F1">
        <w:rPr>
          <w:szCs w:val="26"/>
        </w:rPr>
        <w:t xml:space="preserve">The NDA advises that </w:t>
      </w:r>
      <w:r w:rsidR="00A220F1">
        <w:rPr>
          <w:rFonts w:eastAsia="Calibri"/>
          <w:szCs w:val="26"/>
          <w:lang w:val="en-GB"/>
        </w:rPr>
        <w:t>d</w:t>
      </w:r>
      <w:r w:rsidR="00A220F1" w:rsidRPr="00A220F1">
        <w:rPr>
          <w:rFonts w:eastAsia="Calibri"/>
          <w:szCs w:val="26"/>
          <w:lang w:val="en-GB"/>
        </w:rPr>
        <w:t xml:space="preserve">elivering the </w:t>
      </w:r>
      <w:r w:rsidR="008B692F" w:rsidRPr="00A220F1">
        <w:rPr>
          <w:rFonts w:eastAsia="Calibri"/>
          <w:szCs w:val="26"/>
          <w:lang w:val="en-GB"/>
        </w:rPr>
        <w:t>Sláintecare</w:t>
      </w:r>
      <w:r w:rsidR="00A220F1" w:rsidRPr="00A220F1">
        <w:rPr>
          <w:rFonts w:eastAsia="Calibri"/>
          <w:szCs w:val="26"/>
          <w:lang w:val="en-GB"/>
        </w:rPr>
        <w:t xml:space="preserve"> objective of a universal healthcare system </w:t>
      </w:r>
      <w:r w:rsidR="00A220F1">
        <w:rPr>
          <w:rFonts w:eastAsia="Calibri"/>
          <w:szCs w:val="26"/>
          <w:lang w:val="en-GB"/>
        </w:rPr>
        <w:t xml:space="preserve">will </w:t>
      </w:r>
      <w:r w:rsidR="00A220F1" w:rsidRPr="00A220F1">
        <w:rPr>
          <w:rFonts w:eastAsia="Calibri"/>
          <w:szCs w:val="26"/>
          <w:lang w:val="en-GB"/>
        </w:rPr>
        <w:t xml:space="preserve">require a specific social care strategy, one that links medical and rehabilitation provision. Social care provision within </w:t>
      </w:r>
      <w:r w:rsidR="008B692F" w:rsidRPr="00A220F1">
        <w:rPr>
          <w:rFonts w:eastAsia="Calibri"/>
          <w:szCs w:val="26"/>
          <w:lang w:val="en-GB"/>
        </w:rPr>
        <w:t>Sláintecare</w:t>
      </w:r>
      <w:r w:rsidR="00A220F1" w:rsidRPr="00A220F1">
        <w:rPr>
          <w:rFonts w:eastAsia="Calibri"/>
          <w:szCs w:val="26"/>
          <w:lang w:val="en-GB"/>
        </w:rPr>
        <w:t xml:space="preserve"> must be delivered locally, where people can access their services. </w:t>
      </w:r>
      <w:r w:rsidR="00A220F1">
        <w:rPr>
          <w:rFonts w:eastAsia="Calibri"/>
          <w:szCs w:val="26"/>
          <w:lang w:val="en-GB"/>
        </w:rPr>
        <w:t xml:space="preserve"> To that end, </w:t>
      </w:r>
      <w:r w:rsidRPr="00784A94">
        <w:rPr>
          <w:szCs w:val="26"/>
        </w:rPr>
        <w:t xml:space="preserve">the Department of Health and the HSE </w:t>
      </w:r>
      <w:r>
        <w:rPr>
          <w:szCs w:val="26"/>
        </w:rPr>
        <w:t>could, together with others, develop</w:t>
      </w:r>
      <w:r>
        <w:rPr>
          <w:rFonts w:eastAsia="Times New Roman"/>
          <w:szCs w:val="26"/>
        </w:rPr>
        <w:t xml:space="preserve"> </w:t>
      </w:r>
      <w:r w:rsidRPr="00B75836">
        <w:rPr>
          <w:szCs w:val="26"/>
        </w:rPr>
        <w:t>clear protocols for those involved in the vo</w:t>
      </w:r>
      <w:r>
        <w:rPr>
          <w:szCs w:val="26"/>
        </w:rPr>
        <w:t>cational rehabilitation pathway. All</w:t>
      </w:r>
      <w:r w:rsidRPr="00B75836">
        <w:rPr>
          <w:szCs w:val="26"/>
        </w:rPr>
        <w:t xml:space="preserve"> </w:t>
      </w:r>
      <w:r w:rsidRPr="00B75836">
        <w:rPr>
          <w:rFonts w:eastAsia="Times New Roman"/>
          <w:szCs w:val="26"/>
        </w:rPr>
        <w:t xml:space="preserve">health/social care professionals will require </w:t>
      </w:r>
      <w:r>
        <w:rPr>
          <w:rFonts w:eastAsia="Times New Roman"/>
          <w:szCs w:val="26"/>
        </w:rPr>
        <w:t xml:space="preserve">quality </w:t>
      </w:r>
      <w:r w:rsidRPr="00B75836">
        <w:rPr>
          <w:rFonts w:eastAsia="Times New Roman"/>
          <w:szCs w:val="26"/>
        </w:rPr>
        <w:t>standards to supports their roles</w:t>
      </w:r>
      <w:r w:rsidR="009C0950">
        <w:rPr>
          <w:rFonts w:eastAsia="Times New Roman"/>
          <w:szCs w:val="26"/>
        </w:rPr>
        <w:t>:</w:t>
      </w:r>
    </w:p>
    <w:p w14:paraId="75F159AA" w14:textId="77777777" w:rsidR="00724A24" w:rsidRPr="008C7D31" w:rsidRDefault="00724A24" w:rsidP="00724A24">
      <w:pPr>
        <w:pStyle w:val="ListParagraph"/>
        <w:numPr>
          <w:ilvl w:val="0"/>
          <w:numId w:val="22"/>
        </w:numPr>
        <w:spacing w:after="0"/>
        <w:contextualSpacing/>
        <w:rPr>
          <w:rFonts w:eastAsia="Times New Roman"/>
          <w:szCs w:val="26"/>
        </w:rPr>
      </w:pPr>
      <w:r w:rsidRPr="008C7D31">
        <w:rPr>
          <w:rFonts w:eastAsia="Times New Roman"/>
          <w:szCs w:val="26"/>
        </w:rPr>
        <w:t xml:space="preserve">in referral, treatment, and ongoing assessment, </w:t>
      </w:r>
    </w:p>
    <w:p w14:paraId="4709D63A" w14:textId="77777777" w:rsidR="00724A24" w:rsidRPr="008C7D31" w:rsidRDefault="00724A24" w:rsidP="00724A24">
      <w:pPr>
        <w:pStyle w:val="ListParagraph"/>
        <w:numPr>
          <w:ilvl w:val="0"/>
          <w:numId w:val="22"/>
        </w:numPr>
        <w:spacing w:after="0"/>
        <w:contextualSpacing/>
        <w:rPr>
          <w:rFonts w:eastAsia="Times New Roman"/>
          <w:szCs w:val="26"/>
        </w:rPr>
      </w:pPr>
      <w:r w:rsidRPr="008C7D31">
        <w:rPr>
          <w:rFonts w:eastAsia="Times New Roman"/>
          <w:szCs w:val="26"/>
        </w:rPr>
        <w:t xml:space="preserve">assessment for entitlement to benefits, </w:t>
      </w:r>
    </w:p>
    <w:p w14:paraId="5F6C587E" w14:textId="77777777" w:rsidR="00724A24" w:rsidRPr="008C7D31" w:rsidRDefault="00724A24" w:rsidP="00724A24">
      <w:pPr>
        <w:pStyle w:val="ListParagraph"/>
        <w:numPr>
          <w:ilvl w:val="0"/>
          <w:numId w:val="22"/>
        </w:numPr>
        <w:spacing w:after="0"/>
        <w:contextualSpacing/>
        <w:rPr>
          <w:rFonts w:eastAsia="Times New Roman"/>
          <w:szCs w:val="26"/>
        </w:rPr>
      </w:pPr>
      <w:r w:rsidRPr="008C7D31">
        <w:rPr>
          <w:rFonts w:eastAsia="Times New Roman"/>
          <w:szCs w:val="26"/>
        </w:rPr>
        <w:t xml:space="preserve">case management, </w:t>
      </w:r>
    </w:p>
    <w:p w14:paraId="5A8BC96A" w14:textId="77777777" w:rsidR="00724A24" w:rsidRPr="008C7D31" w:rsidRDefault="006575BB" w:rsidP="00365970">
      <w:pPr>
        <w:pStyle w:val="ListParagraph"/>
        <w:numPr>
          <w:ilvl w:val="0"/>
          <w:numId w:val="22"/>
        </w:numPr>
        <w:contextualSpacing/>
        <w:rPr>
          <w:rFonts w:eastAsia="Times New Roman"/>
          <w:szCs w:val="26"/>
        </w:rPr>
      </w:pPr>
      <w:r>
        <w:rPr>
          <w:rFonts w:eastAsia="Times New Roman"/>
          <w:szCs w:val="26"/>
        </w:rPr>
        <w:t>In</w:t>
      </w:r>
      <w:r w:rsidR="009C0950">
        <w:rPr>
          <w:rFonts w:eastAsia="Times New Roman"/>
          <w:szCs w:val="26"/>
        </w:rPr>
        <w:t xml:space="preserve"> p</w:t>
      </w:r>
      <w:r w:rsidR="00724A24" w:rsidRPr="008C7D31">
        <w:rPr>
          <w:rFonts w:eastAsia="Times New Roman"/>
          <w:szCs w:val="26"/>
        </w:rPr>
        <w:t xml:space="preserve">roviding information and advice, and other supports. </w:t>
      </w:r>
    </w:p>
    <w:p w14:paraId="3FBADA13" w14:textId="77777777" w:rsidR="00724A24" w:rsidRDefault="00724A24" w:rsidP="00724A24">
      <w:pPr>
        <w:spacing w:after="0"/>
        <w:contextualSpacing/>
        <w:rPr>
          <w:rFonts w:eastAsia="Times New Roman"/>
          <w:szCs w:val="26"/>
        </w:rPr>
      </w:pPr>
      <w:r>
        <w:rPr>
          <w:rFonts w:eastAsia="Times New Roman"/>
          <w:szCs w:val="26"/>
        </w:rPr>
        <w:t>K</w:t>
      </w:r>
      <w:r w:rsidRPr="00B75836">
        <w:rPr>
          <w:rFonts w:eastAsia="Times New Roman"/>
          <w:szCs w:val="26"/>
        </w:rPr>
        <w:t>ey to the success of vocational rehabilitation in Ireland i</w:t>
      </w:r>
      <w:r>
        <w:rPr>
          <w:rFonts w:eastAsia="Times New Roman"/>
          <w:szCs w:val="26"/>
        </w:rPr>
        <w:t>s</w:t>
      </w:r>
      <w:r w:rsidRPr="00B75836">
        <w:rPr>
          <w:rFonts w:eastAsia="Times New Roman"/>
          <w:szCs w:val="26"/>
        </w:rPr>
        <w:t xml:space="preserve"> the continued capacity building of community</w:t>
      </w:r>
      <w:r>
        <w:rPr>
          <w:rFonts w:eastAsia="Times New Roman"/>
          <w:szCs w:val="26"/>
        </w:rPr>
        <w:t>-</w:t>
      </w:r>
      <w:r w:rsidRPr="00B75836">
        <w:rPr>
          <w:rFonts w:eastAsia="Times New Roman"/>
          <w:szCs w:val="26"/>
        </w:rPr>
        <w:t>based teams, primary care teams and those in the voluntary and community sector who have led work in this area</w:t>
      </w:r>
      <w:r>
        <w:rPr>
          <w:rFonts w:eastAsia="Times New Roman"/>
          <w:szCs w:val="26"/>
        </w:rPr>
        <w:t xml:space="preserve"> and to develop local referral mechanisms to welfare and education services.</w:t>
      </w:r>
      <w:r w:rsidRPr="00B75836">
        <w:rPr>
          <w:rFonts w:eastAsia="Times New Roman"/>
          <w:szCs w:val="26"/>
        </w:rPr>
        <w:t xml:space="preserve"> </w:t>
      </w:r>
    </w:p>
    <w:p w14:paraId="7E4CDA53" w14:textId="77777777" w:rsidR="00724A24" w:rsidRDefault="00724A24" w:rsidP="00724A24">
      <w:pPr>
        <w:spacing w:after="0"/>
        <w:contextualSpacing/>
        <w:rPr>
          <w:rFonts w:eastAsia="Times New Roman"/>
          <w:szCs w:val="26"/>
        </w:rPr>
      </w:pPr>
    </w:p>
    <w:p w14:paraId="656090AB" w14:textId="38B2CFE9" w:rsidR="00724A24" w:rsidRPr="008A6CEF" w:rsidRDefault="00724A24" w:rsidP="006E0997">
      <w:pPr>
        <w:pStyle w:val="Heading3"/>
        <w:rPr>
          <w:rFonts w:eastAsia="Times New Roman"/>
        </w:rPr>
      </w:pPr>
      <w:r w:rsidRPr="008A6CEF">
        <w:rPr>
          <w:rFonts w:eastAsia="Times New Roman"/>
        </w:rPr>
        <w:t xml:space="preserve">Department of </w:t>
      </w:r>
      <w:r w:rsidR="00B62EC1">
        <w:rPr>
          <w:rFonts w:eastAsia="Times New Roman"/>
        </w:rPr>
        <w:t xml:space="preserve">Further and Higher </w:t>
      </w:r>
      <w:r w:rsidRPr="008A6CEF">
        <w:rPr>
          <w:rFonts w:eastAsia="Times New Roman"/>
        </w:rPr>
        <w:t>Education</w:t>
      </w:r>
      <w:r w:rsidR="00B62EC1">
        <w:rPr>
          <w:rFonts w:eastAsia="Times New Roman"/>
        </w:rPr>
        <w:t>, Research Innovation</w:t>
      </w:r>
      <w:r w:rsidRPr="008A6CEF">
        <w:rPr>
          <w:rFonts w:eastAsia="Times New Roman"/>
        </w:rPr>
        <w:t xml:space="preserve"> and Skills</w:t>
      </w:r>
      <w:r w:rsidR="00B62EC1">
        <w:rPr>
          <w:rFonts w:eastAsia="Times New Roman"/>
        </w:rPr>
        <w:t>.</w:t>
      </w:r>
    </w:p>
    <w:p w14:paraId="449AED54" w14:textId="77777777" w:rsidR="00724A24" w:rsidRDefault="00724A24" w:rsidP="00724A24">
      <w:pPr>
        <w:spacing w:after="0"/>
        <w:contextualSpacing/>
        <w:rPr>
          <w:szCs w:val="26"/>
          <w:lang w:val="en" w:eastAsia="en-IE"/>
        </w:rPr>
      </w:pPr>
      <w:r>
        <w:rPr>
          <w:szCs w:val="26"/>
          <w:lang w:val="en" w:eastAsia="en-IE"/>
        </w:rPr>
        <w:t xml:space="preserve">Return to work can require an individual to be informed about options regarding retraining. </w:t>
      </w:r>
      <w:r w:rsidRPr="008A6CEF">
        <w:rPr>
          <w:szCs w:val="26"/>
          <w:lang w:val="en" w:eastAsia="en-IE"/>
        </w:rPr>
        <w:t xml:space="preserve">The provision of career guidance and </w:t>
      </w:r>
      <w:r>
        <w:rPr>
          <w:szCs w:val="26"/>
          <w:lang w:val="en" w:eastAsia="en-IE"/>
        </w:rPr>
        <w:t xml:space="preserve">the delivery of </w:t>
      </w:r>
      <w:r w:rsidRPr="008A6CEF">
        <w:rPr>
          <w:szCs w:val="26"/>
          <w:lang w:val="en" w:eastAsia="en-IE"/>
        </w:rPr>
        <w:t>further education and training are important points on the vocational rehabilitation pathway. The ILO in recommendation R099</w:t>
      </w:r>
      <w:r w:rsidRPr="008A6CEF">
        <w:rPr>
          <w:rStyle w:val="FootnoteReference"/>
          <w:szCs w:val="26"/>
          <w:lang w:val="en" w:eastAsia="en-IE"/>
        </w:rPr>
        <w:footnoteReference w:id="64"/>
      </w:r>
      <w:r w:rsidRPr="008A6CEF">
        <w:rPr>
          <w:szCs w:val="26"/>
          <w:lang w:val="en" w:eastAsia="en-IE"/>
        </w:rPr>
        <w:t xml:space="preserve"> states that ‘</w:t>
      </w:r>
      <w:r w:rsidRPr="00480F31">
        <w:rPr>
          <w:szCs w:val="26"/>
          <w:lang w:val="en" w:eastAsia="en-IE"/>
        </w:rPr>
        <w:t>All necessary and practicable measures should be taken to establish or develop</w:t>
      </w:r>
      <w:r w:rsidRPr="00365970">
        <w:rPr>
          <w:szCs w:val="26"/>
          <w:lang w:eastAsia="en-IE"/>
        </w:rPr>
        <w:t xml:space="preserve"> specialised</w:t>
      </w:r>
      <w:r w:rsidRPr="00480F31">
        <w:rPr>
          <w:szCs w:val="26"/>
          <w:lang w:val="en" w:eastAsia="en-IE"/>
        </w:rPr>
        <w:t xml:space="preserve"> vocational guidance services for disabled persons requiring aid in choosing or changing their occupations</w:t>
      </w:r>
      <w:r w:rsidRPr="008A6CEF">
        <w:rPr>
          <w:szCs w:val="26"/>
          <w:lang w:val="en" w:eastAsia="en-IE"/>
        </w:rPr>
        <w:t>’</w:t>
      </w:r>
      <w:r w:rsidRPr="00480F31">
        <w:rPr>
          <w:szCs w:val="26"/>
          <w:lang w:val="en" w:eastAsia="en-IE"/>
        </w:rPr>
        <w:t>.</w:t>
      </w:r>
      <w:r>
        <w:rPr>
          <w:szCs w:val="26"/>
          <w:lang w:val="en" w:eastAsia="en-IE"/>
        </w:rPr>
        <w:t xml:space="preserve"> In the return to work pathway people may not return to their previous job and therefore r</w:t>
      </w:r>
      <w:r w:rsidRPr="00EF2352">
        <w:rPr>
          <w:szCs w:val="26"/>
          <w:lang w:val="en" w:eastAsia="en-IE"/>
        </w:rPr>
        <w:t xml:space="preserve">etraining is an </w:t>
      </w:r>
      <w:r>
        <w:rPr>
          <w:szCs w:val="26"/>
          <w:lang w:val="en" w:eastAsia="en-IE"/>
        </w:rPr>
        <w:t xml:space="preserve">important step in the process </w:t>
      </w:r>
      <w:r w:rsidRPr="00EF2352">
        <w:rPr>
          <w:szCs w:val="26"/>
          <w:lang w:val="en" w:eastAsia="en-IE"/>
        </w:rPr>
        <w:t xml:space="preserve">for people with acquired disabilities that requires support guidance. This retraining </w:t>
      </w:r>
      <w:r>
        <w:rPr>
          <w:szCs w:val="26"/>
          <w:lang w:val="en" w:eastAsia="en-IE"/>
        </w:rPr>
        <w:t>can</w:t>
      </w:r>
      <w:r w:rsidRPr="00EF2352">
        <w:rPr>
          <w:szCs w:val="26"/>
          <w:lang w:val="en" w:eastAsia="en-IE"/>
        </w:rPr>
        <w:t xml:space="preserve"> include </w:t>
      </w:r>
      <w:r w:rsidRPr="00EF2352">
        <w:rPr>
          <w:rFonts w:eastAsia="Calibri"/>
          <w:lang w:val="en-GB"/>
        </w:rPr>
        <w:t>counselling and guidance</w:t>
      </w:r>
      <w:r>
        <w:rPr>
          <w:rFonts w:eastAsia="Calibri"/>
          <w:lang w:val="en-GB"/>
        </w:rPr>
        <w:t xml:space="preserve"> to identify appropriate opportunities</w:t>
      </w:r>
      <w:r w:rsidRPr="00EF2352">
        <w:rPr>
          <w:rFonts w:eastAsia="Calibri"/>
          <w:lang w:val="en-GB"/>
        </w:rPr>
        <w:t xml:space="preserve">; job demands analysis and matching; </w:t>
      </w:r>
      <w:r>
        <w:rPr>
          <w:rFonts w:eastAsia="Calibri"/>
          <w:lang w:val="en-GB"/>
        </w:rPr>
        <w:t xml:space="preserve">vocational education and training. </w:t>
      </w:r>
      <w:r>
        <w:rPr>
          <w:szCs w:val="26"/>
          <w:lang w:val="en" w:eastAsia="en-IE"/>
        </w:rPr>
        <w:t>Referrals to and from education, therefore, will often form part of the pathway.</w:t>
      </w:r>
    </w:p>
    <w:p w14:paraId="068F7700" w14:textId="77777777" w:rsidR="00724A24" w:rsidRDefault="00724A24" w:rsidP="00724A24">
      <w:pPr>
        <w:spacing w:after="0"/>
        <w:contextualSpacing/>
        <w:rPr>
          <w:rFonts w:eastAsia="Times New Roman"/>
          <w:szCs w:val="26"/>
        </w:rPr>
      </w:pPr>
    </w:p>
    <w:p w14:paraId="48D4F96A" w14:textId="77777777" w:rsidR="00724A24" w:rsidRDefault="00C01E3D" w:rsidP="006E0997">
      <w:pPr>
        <w:pStyle w:val="Heading3"/>
        <w:rPr>
          <w:rFonts w:eastAsia="Calibri"/>
          <w:lang w:val="en-GB"/>
        </w:rPr>
      </w:pPr>
      <w:r>
        <w:rPr>
          <w:rFonts w:eastAsia="Calibri"/>
          <w:lang w:val="en-GB"/>
        </w:rPr>
        <w:t>Return on investment</w:t>
      </w:r>
    </w:p>
    <w:p w14:paraId="2D713D1D" w14:textId="77777777" w:rsidR="00724A24" w:rsidRDefault="00724A24" w:rsidP="00724A24">
      <w:pPr>
        <w:rPr>
          <w:lang w:val="en-GB"/>
        </w:rPr>
      </w:pPr>
      <w:r>
        <w:rPr>
          <w:lang w:val="en-GB"/>
        </w:rPr>
        <w:t>The</w:t>
      </w:r>
      <w:r w:rsidRPr="00E514EC">
        <w:rPr>
          <w:lang w:val="en-GB"/>
        </w:rPr>
        <w:t xml:space="preserve"> international research evidence </w:t>
      </w:r>
      <w:r>
        <w:rPr>
          <w:lang w:val="en-GB"/>
        </w:rPr>
        <w:t xml:space="preserve">suggests </w:t>
      </w:r>
      <w:r w:rsidRPr="00E514EC">
        <w:rPr>
          <w:lang w:val="en-GB"/>
        </w:rPr>
        <w:t>that the investment in voc</w:t>
      </w:r>
      <w:r>
        <w:rPr>
          <w:lang w:val="en-GB"/>
        </w:rPr>
        <w:t>ational rehabilitation by</w:t>
      </w:r>
      <w:r w:rsidRPr="00E514EC">
        <w:rPr>
          <w:lang w:val="en-GB"/>
        </w:rPr>
        <w:t xml:space="preserve"> social security systems is likely to be recouped with</w:t>
      </w:r>
      <w:r>
        <w:rPr>
          <w:lang w:val="en-GB"/>
        </w:rPr>
        <w:t>in</w:t>
      </w:r>
      <w:r w:rsidRPr="00E514EC">
        <w:rPr>
          <w:lang w:val="en-GB"/>
        </w:rPr>
        <w:t xml:space="preserve"> two to four years simply on the basis of increased income tax revenues of participants successfully placed in employment.</w:t>
      </w:r>
      <w:r w:rsidRPr="004D6930">
        <w:rPr>
          <w:rStyle w:val="FootnoteReference"/>
          <w:rFonts w:eastAsia="Calibri"/>
          <w:lang w:val="en-GB"/>
        </w:rPr>
        <w:footnoteReference w:id="65"/>
      </w:r>
      <w:r>
        <w:rPr>
          <w:lang w:val="en-GB"/>
        </w:rPr>
        <w:t xml:space="preserve"> The NDA recommend </w:t>
      </w:r>
      <w:r w:rsidR="00C01E3D">
        <w:rPr>
          <w:lang w:val="en-GB"/>
        </w:rPr>
        <w:t xml:space="preserve">that </w:t>
      </w:r>
      <w:r>
        <w:rPr>
          <w:lang w:val="en-GB"/>
        </w:rPr>
        <w:t xml:space="preserve">implementation of the vocational rehabilitation pathway </w:t>
      </w:r>
      <w:r w:rsidR="00C01E3D">
        <w:rPr>
          <w:lang w:val="en-GB"/>
        </w:rPr>
        <w:t xml:space="preserve">is designed </w:t>
      </w:r>
      <w:r>
        <w:rPr>
          <w:lang w:val="en-GB"/>
        </w:rPr>
        <w:t xml:space="preserve">to capture equivalent data in the Irish system </w:t>
      </w:r>
      <w:r w:rsidR="00C01E3D">
        <w:rPr>
          <w:lang w:val="en-GB"/>
        </w:rPr>
        <w:t xml:space="preserve">regarding return on investment. </w:t>
      </w:r>
      <w:r>
        <w:rPr>
          <w:lang w:val="en-GB"/>
        </w:rPr>
        <w:t>NDA advises that this is most accurately done by testing and monitoring provision of the core elements of a vocational rehabilitation system on a small scale and then modelling wider provision:</w:t>
      </w:r>
    </w:p>
    <w:p w14:paraId="6C4240B3" w14:textId="77777777" w:rsidR="00724A24" w:rsidRPr="0073303B" w:rsidRDefault="00724A24" w:rsidP="00724A24">
      <w:pPr>
        <w:pStyle w:val="ListParagraph"/>
        <w:numPr>
          <w:ilvl w:val="0"/>
          <w:numId w:val="14"/>
        </w:numPr>
        <w:contextualSpacing/>
        <w:rPr>
          <w:rFonts w:eastAsia="Calibri"/>
          <w:lang w:val="en-GB"/>
        </w:rPr>
      </w:pPr>
      <w:r>
        <w:rPr>
          <w:rFonts w:eastAsia="Calibri"/>
          <w:lang w:val="en-GB"/>
        </w:rPr>
        <w:t xml:space="preserve">What is the </w:t>
      </w:r>
      <w:r w:rsidRPr="0073303B">
        <w:rPr>
          <w:rFonts w:eastAsia="Calibri"/>
          <w:lang w:val="en-GB"/>
        </w:rPr>
        <w:t xml:space="preserve">Return on </w:t>
      </w:r>
      <w:r w:rsidR="009C0950">
        <w:rPr>
          <w:rFonts w:eastAsia="Calibri"/>
          <w:lang w:val="en-GB"/>
        </w:rPr>
        <w:t>I</w:t>
      </w:r>
      <w:r w:rsidR="009C0950" w:rsidRPr="0073303B">
        <w:rPr>
          <w:rFonts w:eastAsia="Calibri"/>
          <w:lang w:val="en-GB"/>
        </w:rPr>
        <w:t xml:space="preserve">nvestment </w:t>
      </w:r>
      <w:r w:rsidRPr="0073303B">
        <w:rPr>
          <w:rFonts w:eastAsia="Calibri"/>
          <w:lang w:val="en-GB"/>
        </w:rPr>
        <w:t xml:space="preserve">for vocational rehabilitation </w:t>
      </w:r>
      <w:r>
        <w:rPr>
          <w:rFonts w:eastAsia="Calibri"/>
          <w:lang w:val="en-GB"/>
        </w:rPr>
        <w:t>in Ireland?</w:t>
      </w:r>
    </w:p>
    <w:p w14:paraId="44B8F196" w14:textId="77777777" w:rsidR="00724A24" w:rsidRDefault="00724A24" w:rsidP="00724A24">
      <w:pPr>
        <w:pStyle w:val="ListParagraph"/>
        <w:numPr>
          <w:ilvl w:val="0"/>
          <w:numId w:val="13"/>
        </w:numPr>
        <w:contextualSpacing/>
        <w:rPr>
          <w:rFonts w:eastAsia="Calibri"/>
          <w:lang w:val="en-GB"/>
        </w:rPr>
      </w:pPr>
      <w:r>
        <w:rPr>
          <w:rFonts w:eastAsia="Calibri"/>
          <w:lang w:val="en-GB"/>
        </w:rPr>
        <w:t>What are the a</w:t>
      </w:r>
      <w:r w:rsidRPr="0073303B">
        <w:rPr>
          <w:rFonts w:eastAsia="Calibri"/>
          <w:lang w:val="en-GB"/>
        </w:rPr>
        <w:t>verage earnings of people who engag</w:t>
      </w:r>
      <w:r>
        <w:rPr>
          <w:rFonts w:eastAsia="Calibri"/>
          <w:lang w:val="en-GB"/>
        </w:rPr>
        <w:t>ed in vocational rehabilitation? How do those earnings compare to</w:t>
      </w:r>
      <w:r w:rsidRPr="0073303B">
        <w:rPr>
          <w:rFonts w:eastAsia="Calibri"/>
          <w:lang w:val="en-GB"/>
        </w:rPr>
        <w:t xml:space="preserve"> income </w:t>
      </w:r>
      <w:r>
        <w:rPr>
          <w:rFonts w:eastAsia="Calibri"/>
          <w:lang w:val="en-GB"/>
        </w:rPr>
        <w:t xml:space="preserve">of those </w:t>
      </w:r>
      <w:r w:rsidRPr="0073303B">
        <w:rPr>
          <w:rFonts w:eastAsia="Calibri"/>
          <w:lang w:val="en-GB"/>
        </w:rPr>
        <w:t>without vocational rehabilitation</w:t>
      </w:r>
      <w:r>
        <w:rPr>
          <w:rFonts w:eastAsia="Calibri"/>
          <w:lang w:val="en-GB"/>
        </w:rPr>
        <w:t>?</w:t>
      </w:r>
      <w:r w:rsidRPr="004D6930">
        <w:rPr>
          <w:rStyle w:val="FootnoteReference"/>
          <w:rFonts w:eastAsia="Calibri"/>
          <w:lang w:val="en-GB"/>
        </w:rPr>
        <w:footnoteReference w:id="66"/>
      </w:r>
      <w:r w:rsidRPr="0073303B">
        <w:rPr>
          <w:rFonts w:eastAsia="Calibri"/>
          <w:lang w:val="en-GB"/>
        </w:rPr>
        <w:t xml:space="preserve"> </w:t>
      </w:r>
    </w:p>
    <w:p w14:paraId="0618EA54" w14:textId="77777777" w:rsidR="00724A24" w:rsidRPr="00596638" w:rsidRDefault="00724A24" w:rsidP="00724A24">
      <w:pPr>
        <w:pStyle w:val="ListParagraph"/>
        <w:numPr>
          <w:ilvl w:val="0"/>
          <w:numId w:val="13"/>
        </w:numPr>
        <w:contextualSpacing/>
        <w:rPr>
          <w:rFonts w:eastAsia="Calibri"/>
          <w:lang w:val="en-GB"/>
        </w:rPr>
      </w:pPr>
      <w:r>
        <w:rPr>
          <w:rFonts w:eastAsia="Calibri"/>
          <w:lang w:val="en-GB"/>
        </w:rPr>
        <w:t>What are the w</w:t>
      </w:r>
      <w:r w:rsidRPr="0073303B">
        <w:rPr>
          <w:rFonts w:eastAsia="Calibri"/>
          <w:lang w:val="en-GB"/>
        </w:rPr>
        <w:t>ork</w:t>
      </w:r>
      <w:r w:rsidR="009C0950">
        <w:rPr>
          <w:rFonts w:eastAsia="Calibri"/>
          <w:lang w:val="en-GB"/>
        </w:rPr>
        <w:t>-</w:t>
      </w:r>
      <w:r w:rsidRPr="0073303B">
        <w:rPr>
          <w:rFonts w:eastAsia="Calibri"/>
          <w:lang w:val="en-GB"/>
        </w:rPr>
        <w:t>related absence rates for employers offering access to rehabilitation</w:t>
      </w:r>
      <w:r>
        <w:rPr>
          <w:rFonts w:eastAsia="Calibri"/>
          <w:lang w:val="en-GB"/>
        </w:rPr>
        <w:t>?</w:t>
      </w:r>
    </w:p>
    <w:p w14:paraId="04E23C09" w14:textId="77777777" w:rsidR="00724A24" w:rsidRPr="00913CDF" w:rsidRDefault="00724A24" w:rsidP="006E0997">
      <w:pPr>
        <w:pStyle w:val="Heading3"/>
      </w:pPr>
      <w:r w:rsidRPr="00913CDF">
        <w:t>Cross</w:t>
      </w:r>
      <w:r w:rsidR="009C0950">
        <w:t>-</w:t>
      </w:r>
      <w:r w:rsidRPr="00913CDF">
        <w:t>departmental delivery of vocational rehabilitation</w:t>
      </w:r>
    </w:p>
    <w:p w14:paraId="0E3472D5" w14:textId="293AF88D" w:rsidR="00E63209" w:rsidRDefault="00724A24" w:rsidP="00B75836">
      <w:pPr>
        <w:spacing w:before="100" w:beforeAutospacing="1" w:after="0"/>
        <w:rPr>
          <w:szCs w:val="26"/>
        </w:rPr>
      </w:pPr>
      <w:r w:rsidRPr="00B75836">
        <w:rPr>
          <w:szCs w:val="26"/>
        </w:rPr>
        <w:t xml:space="preserve">The NDA </w:t>
      </w:r>
      <w:r w:rsidR="00E734B5">
        <w:rPr>
          <w:szCs w:val="26"/>
        </w:rPr>
        <w:t>advises</w:t>
      </w:r>
      <w:r>
        <w:rPr>
          <w:szCs w:val="26"/>
        </w:rPr>
        <w:t xml:space="preserve"> </w:t>
      </w:r>
      <w:r w:rsidRPr="00B75836">
        <w:rPr>
          <w:szCs w:val="26"/>
        </w:rPr>
        <w:t>that action required to develop an effective vocational rehabilitation pathway</w:t>
      </w:r>
      <w:r w:rsidR="00E734B5">
        <w:rPr>
          <w:szCs w:val="26"/>
        </w:rPr>
        <w:t xml:space="preserve"> can effectively</w:t>
      </w:r>
      <w:r w:rsidRPr="00B75836">
        <w:rPr>
          <w:szCs w:val="26"/>
        </w:rPr>
        <w:t xml:space="preserve"> build on infrastructure</w:t>
      </w:r>
      <w:r w:rsidR="00E734B5">
        <w:rPr>
          <w:szCs w:val="26"/>
        </w:rPr>
        <w:t xml:space="preserve"> currently in place</w:t>
      </w:r>
      <w:r w:rsidRPr="00B75836">
        <w:rPr>
          <w:szCs w:val="26"/>
        </w:rPr>
        <w:t xml:space="preserve">. </w:t>
      </w:r>
      <w:r w:rsidR="006575BB">
        <w:rPr>
          <w:szCs w:val="26"/>
        </w:rPr>
        <w:t>P</w:t>
      </w:r>
      <w:r>
        <w:rPr>
          <w:szCs w:val="26"/>
        </w:rPr>
        <w:t xml:space="preserve">eople with disabilities </w:t>
      </w:r>
      <w:r w:rsidR="00E734B5">
        <w:rPr>
          <w:szCs w:val="26"/>
        </w:rPr>
        <w:t xml:space="preserve">will also need </w:t>
      </w:r>
      <w:r w:rsidR="006575BB">
        <w:rPr>
          <w:szCs w:val="26"/>
        </w:rPr>
        <w:t xml:space="preserve">to be included in </w:t>
      </w:r>
      <w:r>
        <w:rPr>
          <w:szCs w:val="26"/>
        </w:rPr>
        <w:t>the new</w:t>
      </w:r>
      <w:r w:rsidR="00E734B5">
        <w:rPr>
          <w:szCs w:val="26"/>
        </w:rPr>
        <w:t>ly</w:t>
      </w:r>
      <w:r>
        <w:rPr>
          <w:szCs w:val="26"/>
        </w:rPr>
        <w:t xml:space="preserve"> reimagined services </w:t>
      </w:r>
      <w:r w:rsidR="006575BB">
        <w:rPr>
          <w:szCs w:val="26"/>
        </w:rPr>
        <w:t xml:space="preserve">that will emerge post </w:t>
      </w:r>
      <w:r w:rsidR="0074659F">
        <w:rPr>
          <w:szCs w:val="26"/>
        </w:rPr>
        <w:t>COVID-19</w:t>
      </w:r>
      <w:r w:rsidR="00B64C1B">
        <w:rPr>
          <w:szCs w:val="26"/>
        </w:rPr>
        <w:t xml:space="preserve"> </w:t>
      </w:r>
      <w:r w:rsidR="00B64C1B" w:rsidRPr="007A1414">
        <w:rPr>
          <w:szCs w:val="26"/>
        </w:rPr>
        <w:t>as described in the next phase of Pathways to Work. Research presented shows that w</w:t>
      </w:r>
      <w:r w:rsidR="006575BB" w:rsidRPr="007A1414">
        <w:rPr>
          <w:szCs w:val="26"/>
        </w:rPr>
        <w:t xml:space="preserve">ithout </w:t>
      </w:r>
      <w:r w:rsidR="00E734B5" w:rsidRPr="007A1414">
        <w:rPr>
          <w:szCs w:val="26"/>
        </w:rPr>
        <w:t>tailored provision for</w:t>
      </w:r>
      <w:r w:rsidR="006575BB" w:rsidRPr="007A1414">
        <w:rPr>
          <w:szCs w:val="26"/>
        </w:rPr>
        <w:t xml:space="preserve"> people with disabilities</w:t>
      </w:r>
      <w:r w:rsidR="00E734B5" w:rsidRPr="007A1414">
        <w:rPr>
          <w:szCs w:val="26"/>
        </w:rPr>
        <w:t>,</w:t>
      </w:r>
      <w:r w:rsidR="006575BB" w:rsidRPr="007A1414">
        <w:rPr>
          <w:szCs w:val="26"/>
        </w:rPr>
        <w:t xml:space="preserve"> their return to work will be</w:t>
      </w:r>
      <w:r w:rsidRPr="007A1414">
        <w:rPr>
          <w:szCs w:val="26"/>
        </w:rPr>
        <w:t xml:space="preserve"> impede</w:t>
      </w:r>
      <w:r w:rsidR="006575BB" w:rsidRPr="007A1414">
        <w:rPr>
          <w:szCs w:val="26"/>
        </w:rPr>
        <w:t>d.</w:t>
      </w:r>
      <w:r w:rsidRPr="007A1414">
        <w:rPr>
          <w:szCs w:val="26"/>
        </w:rPr>
        <w:t xml:space="preserve"> The NDA </w:t>
      </w:r>
      <w:r w:rsidR="00E734B5" w:rsidRPr="007A1414">
        <w:rPr>
          <w:szCs w:val="26"/>
        </w:rPr>
        <w:t xml:space="preserve">advises </w:t>
      </w:r>
      <w:r w:rsidRPr="007A1414">
        <w:rPr>
          <w:szCs w:val="26"/>
        </w:rPr>
        <w:t xml:space="preserve">that the full implementation of a vocational rehabilitation pathway will require collaborative and coordinated working across a number of relevant Government departments and agencies. </w:t>
      </w:r>
      <w:r w:rsidR="00E63209" w:rsidRPr="007A1414">
        <w:t>The reform required to support more people with disabilities return to employment requires a whole-of-government approach, as the potential savings resulting from any change under the responsibility of one department may accrue in another department and vice versa.</w:t>
      </w:r>
    </w:p>
    <w:p w14:paraId="7625DC7D" w14:textId="455F34AF" w:rsidR="0099130E" w:rsidRPr="00B75836" w:rsidRDefault="000E544A" w:rsidP="00B75836">
      <w:pPr>
        <w:spacing w:before="100" w:beforeAutospacing="1" w:after="0"/>
        <w:rPr>
          <w:szCs w:val="26"/>
        </w:rPr>
      </w:pPr>
      <w:r w:rsidRPr="003D6106">
        <w:rPr>
          <w:szCs w:val="26"/>
        </w:rPr>
        <w:t xml:space="preserve">It will also be important that that there is a clear national policy and programme on vocational rehabilitation that provides a pathway to accessing vocational rehabilitation to deliver effective work outcomes for individuals who acquire a disability.  </w:t>
      </w:r>
      <w:r w:rsidR="00724A24">
        <w:rPr>
          <w:szCs w:val="26"/>
        </w:rPr>
        <w:t xml:space="preserve">NDA advises the importance of establishing oversight and leadership at an appropriately senior level across these actors, </w:t>
      </w:r>
      <w:r w:rsidR="00724A24" w:rsidRPr="00B75836">
        <w:rPr>
          <w:szCs w:val="26"/>
        </w:rPr>
        <w:t xml:space="preserve">to ensure that this key intervention for people </w:t>
      </w:r>
      <w:r w:rsidR="00724A24">
        <w:rPr>
          <w:szCs w:val="26"/>
        </w:rPr>
        <w:t>with</w:t>
      </w:r>
      <w:r w:rsidR="00724A24" w:rsidRPr="00B75836">
        <w:rPr>
          <w:szCs w:val="26"/>
        </w:rPr>
        <w:t xml:space="preserve"> acquire</w:t>
      </w:r>
      <w:r w:rsidR="00724A24">
        <w:rPr>
          <w:szCs w:val="26"/>
        </w:rPr>
        <w:t>d</w:t>
      </w:r>
      <w:r w:rsidR="00724A24" w:rsidRPr="00B75836">
        <w:rPr>
          <w:szCs w:val="26"/>
        </w:rPr>
        <w:t xml:space="preserve"> disability can be effectively </w:t>
      </w:r>
      <w:r w:rsidR="00724A24">
        <w:rPr>
          <w:szCs w:val="26"/>
        </w:rPr>
        <w:t>delivered</w:t>
      </w:r>
      <w:r w:rsidR="00724A24" w:rsidRPr="00B75836">
        <w:rPr>
          <w:szCs w:val="26"/>
        </w:rPr>
        <w:t>.</w:t>
      </w:r>
      <w:r w:rsidR="00724A24">
        <w:rPr>
          <w:szCs w:val="26"/>
        </w:rPr>
        <w:t xml:space="preserve"> The NDA would be available to support and facilitate this collaborative effort as appropriate particularly regarding the component elements of the pathway, and builds in referral and protocol mechanisms, including development of practical protocols such as those used to support a return to work.</w:t>
      </w:r>
    </w:p>
    <w:p w14:paraId="2588A298" w14:textId="77777777" w:rsidR="00931CD0" w:rsidRPr="00B75836" w:rsidRDefault="00931CD0" w:rsidP="002B7CA5">
      <w:pPr>
        <w:pStyle w:val="Heading1"/>
      </w:pPr>
      <w:r w:rsidRPr="00B75836">
        <w:t>Conclusion</w:t>
      </w:r>
      <w:r w:rsidR="00BE1347" w:rsidRPr="00B75836">
        <w:t xml:space="preserve"> </w:t>
      </w:r>
    </w:p>
    <w:p w14:paraId="05D26C60" w14:textId="7C4AAD3E" w:rsidR="00B8225F" w:rsidRPr="00A561FF" w:rsidRDefault="00973F26" w:rsidP="00B8225F">
      <w:pPr>
        <w:spacing w:after="0"/>
        <w:rPr>
          <w:szCs w:val="26"/>
        </w:rPr>
      </w:pPr>
      <w:r>
        <w:rPr>
          <w:szCs w:val="26"/>
        </w:rPr>
        <w:t>The vocational rehabilitation</w:t>
      </w:r>
      <w:r w:rsidRPr="00B75836">
        <w:rPr>
          <w:szCs w:val="26"/>
        </w:rPr>
        <w:t xml:space="preserve"> </w:t>
      </w:r>
      <w:r w:rsidR="00A561FF">
        <w:rPr>
          <w:szCs w:val="26"/>
        </w:rPr>
        <w:t>programme</w:t>
      </w:r>
      <w:r w:rsidR="007F66F2" w:rsidRPr="00B75836">
        <w:rPr>
          <w:szCs w:val="26"/>
        </w:rPr>
        <w:t xml:space="preserve"> </w:t>
      </w:r>
      <w:r>
        <w:rPr>
          <w:szCs w:val="26"/>
        </w:rPr>
        <w:t xml:space="preserve">set out in this policy advice </w:t>
      </w:r>
      <w:r w:rsidR="007F66F2" w:rsidRPr="00B75836">
        <w:rPr>
          <w:szCs w:val="26"/>
        </w:rPr>
        <w:t>is based on relevant research and experience from other jurisdictions</w:t>
      </w:r>
      <w:r>
        <w:rPr>
          <w:szCs w:val="26"/>
        </w:rPr>
        <w:t xml:space="preserve">, </w:t>
      </w:r>
      <w:r w:rsidR="000A4438" w:rsidRPr="004C01A8">
        <w:rPr>
          <w:szCs w:val="26"/>
        </w:rPr>
        <w:t>effe</w:t>
      </w:r>
      <w:r w:rsidR="004C01A8">
        <w:rPr>
          <w:szCs w:val="26"/>
        </w:rPr>
        <w:t>ctive local models of vocational rehabilitation that are currently delivered</w:t>
      </w:r>
      <w:r w:rsidR="000A4438" w:rsidRPr="004C01A8">
        <w:rPr>
          <w:szCs w:val="26"/>
        </w:rPr>
        <w:t xml:space="preserve"> in Ireland</w:t>
      </w:r>
      <w:r w:rsidR="004C01A8" w:rsidRPr="007A1414">
        <w:rPr>
          <w:szCs w:val="26"/>
        </w:rPr>
        <w:t xml:space="preserve">, </w:t>
      </w:r>
      <w:r w:rsidR="006B0466" w:rsidRPr="007A1414">
        <w:rPr>
          <w:szCs w:val="26"/>
        </w:rPr>
        <w:t xml:space="preserve">consultation with people who have acquired disabilities and </w:t>
      </w:r>
      <w:r w:rsidR="00B64C1B" w:rsidRPr="007A1414">
        <w:rPr>
          <w:szCs w:val="26"/>
        </w:rPr>
        <w:t>conditions</w:t>
      </w:r>
      <w:r w:rsidR="006B0466" w:rsidRPr="007A1414">
        <w:rPr>
          <w:szCs w:val="26"/>
        </w:rPr>
        <w:t xml:space="preserve">, </w:t>
      </w:r>
      <w:r w:rsidR="004C01A8" w:rsidRPr="007A1414">
        <w:rPr>
          <w:szCs w:val="26"/>
        </w:rPr>
        <w:t xml:space="preserve">engagement with stakeholders </w:t>
      </w:r>
      <w:r w:rsidR="000A4438" w:rsidRPr="007A1414">
        <w:rPr>
          <w:szCs w:val="26"/>
        </w:rPr>
        <w:t xml:space="preserve">and </w:t>
      </w:r>
      <w:r w:rsidRPr="007A1414">
        <w:rPr>
          <w:szCs w:val="26"/>
        </w:rPr>
        <w:t>including NDA’s own work in this space over the last number of years</w:t>
      </w:r>
      <w:r w:rsidR="007F66F2" w:rsidRPr="007A1414">
        <w:rPr>
          <w:szCs w:val="26"/>
        </w:rPr>
        <w:t xml:space="preserve">. </w:t>
      </w:r>
      <w:r w:rsidR="00265CB8" w:rsidRPr="007A1414">
        <w:rPr>
          <w:szCs w:val="26"/>
        </w:rPr>
        <w:t xml:space="preserve">The </w:t>
      </w:r>
      <w:r w:rsidR="009C0950" w:rsidRPr="007A1414">
        <w:rPr>
          <w:szCs w:val="26"/>
        </w:rPr>
        <w:t>NDA</w:t>
      </w:r>
      <w:r w:rsidR="00265CB8" w:rsidRPr="007A1414">
        <w:rPr>
          <w:szCs w:val="26"/>
        </w:rPr>
        <w:t xml:space="preserve"> recommend</w:t>
      </w:r>
      <w:r w:rsidRPr="007A1414">
        <w:rPr>
          <w:szCs w:val="26"/>
        </w:rPr>
        <w:t>s</w:t>
      </w:r>
      <w:r w:rsidR="00265CB8" w:rsidRPr="007A1414">
        <w:rPr>
          <w:szCs w:val="26"/>
        </w:rPr>
        <w:t xml:space="preserve"> that as</w:t>
      </w:r>
      <w:r w:rsidR="00F45384" w:rsidRPr="007A1414">
        <w:rPr>
          <w:szCs w:val="26"/>
        </w:rPr>
        <w:t xml:space="preserve"> the Comprehensive Employment S</w:t>
      </w:r>
      <w:r w:rsidR="00041C50" w:rsidRPr="007A1414">
        <w:rPr>
          <w:szCs w:val="26"/>
        </w:rPr>
        <w:t>trategy for People with D</w:t>
      </w:r>
      <w:r w:rsidR="007F66F2" w:rsidRPr="007A1414">
        <w:rPr>
          <w:szCs w:val="26"/>
        </w:rPr>
        <w:t>isabilities</w:t>
      </w:r>
      <w:r w:rsidR="00222393" w:rsidRPr="007A1414">
        <w:rPr>
          <w:rStyle w:val="FootnoteReference"/>
          <w:szCs w:val="26"/>
        </w:rPr>
        <w:footnoteReference w:id="67"/>
      </w:r>
      <w:r w:rsidR="007F66F2" w:rsidRPr="007A1414">
        <w:rPr>
          <w:szCs w:val="26"/>
        </w:rPr>
        <w:t xml:space="preserve"> </w:t>
      </w:r>
      <w:r w:rsidR="005D6A3C" w:rsidRPr="007A1414">
        <w:rPr>
          <w:szCs w:val="26"/>
        </w:rPr>
        <w:t xml:space="preserve">is intended to </w:t>
      </w:r>
      <w:r w:rsidR="007F66F2" w:rsidRPr="007A1414">
        <w:rPr>
          <w:szCs w:val="26"/>
        </w:rPr>
        <w:t>progress</w:t>
      </w:r>
      <w:r w:rsidR="005D6A3C" w:rsidRPr="007A1414">
        <w:rPr>
          <w:szCs w:val="26"/>
        </w:rPr>
        <w:t xml:space="preserve"> employment opportunities for all persons with disabilities</w:t>
      </w:r>
      <w:r w:rsidR="007F66F2" w:rsidRPr="007A1414">
        <w:rPr>
          <w:szCs w:val="26"/>
        </w:rPr>
        <w:t xml:space="preserve">, the lack of supports </w:t>
      </w:r>
      <w:r w:rsidR="005D6A3C" w:rsidRPr="007A1414">
        <w:rPr>
          <w:szCs w:val="26"/>
        </w:rPr>
        <w:t>to</w:t>
      </w:r>
      <w:r w:rsidR="005D6A3C" w:rsidRPr="007A1414">
        <w:rPr>
          <w:color w:val="FF0000"/>
          <w:szCs w:val="26"/>
        </w:rPr>
        <w:t xml:space="preserve"> </w:t>
      </w:r>
      <w:r w:rsidR="007F66F2" w:rsidRPr="007A1414">
        <w:rPr>
          <w:szCs w:val="26"/>
        </w:rPr>
        <w:t xml:space="preserve">return to work for those with acquired disabilities and long term health conditions will </w:t>
      </w:r>
      <w:r w:rsidR="00265CB8" w:rsidRPr="007A1414">
        <w:rPr>
          <w:szCs w:val="26"/>
        </w:rPr>
        <w:t>continue to impede its progress</w:t>
      </w:r>
      <w:r w:rsidR="005D6A3C" w:rsidRPr="007A1414">
        <w:rPr>
          <w:szCs w:val="26"/>
        </w:rPr>
        <w:t xml:space="preserve">.  Unfortunately it would therefore </w:t>
      </w:r>
      <w:r w:rsidR="00265CB8" w:rsidRPr="007A1414">
        <w:rPr>
          <w:szCs w:val="26"/>
        </w:rPr>
        <w:t xml:space="preserve">continue the </w:t>
      </w:r>
      <w:r w:rsidRPr="007A1414">
        <w:rPr>
          <w:szCs w:val="26"/>
        </w:rPr>
        <w:t xml:space="preserve">path </w:t>
      </w:r>
      <w:r w:rsidR="00265CB8" w:rsidRPr="007A1414">
        <w:rPr>
          <w:szCs w:val="26"/>
        </w:rPr>
        <w:t>to early retirement that acquiring a disability has</w:t>
      </w:r>
      <w:r w:rsidR="00E734B5" w:rsidRPr="007A1414">
        <w:rPr>
          <w:szCs w:val="26"/>
        </w:rPr>
        <w:t>,</w:t>
      </w:r>
      <w:r w:rsidR="00265CB8" w:rsidRPr="007A1414">
        <w:rPr>
          <w:szCs w:val="26"/>
        </w:rPr>
        <w:t xml:space="preserve"> </w:t>
      </w:r>
      <w:r w:rsidR="00E734B5" w:rsidRPr="007A1414">
        <w:rPr>
          <w:szCs w:val="26"/>
        </w:rPr>
        <w:t xml:space="preserve">in many cases, </w:t>
      </w:r>
      <w:r w:rsidR="00265CB8" w:rsidRPr="007A1414">
        <w:rPr>
          <w:szCs w:val="26"/>
        </w:rPr>
        <w:t>become.</w:t>
      </w:r>
      <w:r w:rsidR="00066695" w:rsidRPr="007A1414">
        <w:rPr>
          <w:szCs w:val="26"/>
        </w:rPr>
        <w:t xml:space="preserve"> </w:t>
      </w:r>
      <w:r w:rsidR="00213495" w:rsidRPr="007A1414">
        <w:rPr>
          <w:szCs w:val="26"/>
        </w:rPr>
        <w:t xml:space="preserve">In reality, there is a large cohort of people with acquired disabilities or illnesses who want to return to work. </w:t>
      </w:r>
      <w:r w:rsidR="00B113A6" w:rsidRPr="007A1414">
        <w:rPr>
          <w:szCs w:val="26"/>
        </w:rPr>
        <w:t>B</w:t>
      </w:r>
      <w:r w:rsidR="00066695" w:rsidRPr="007A1414">
        <w:rPr>
          <w:szCs w:val="26"/>
        </w:rPr>
        <w:t xml:space="preserve">etter outcomes for people with acquired disabilities and long term health conditions </w:t>
      </w:r>
      <w:r w:rsidR="00B113A6" w:rsidRPr="007A1414">
        <w:rPr>
          <w:szCs w:val="26"/>
        </w:rPr>
        <w:t xml:space="preserve">will depend on the adaptation and expansion of current </w:t>
      </w:r>
      <w:r w:rsidR="008C4654" w:rsidRPr="007A1414">
        <w:rPr>
          <w:szCs w:val="26"/>
        </w:rPr>
        <w:t xml:space="preserve">ad hoc </w:t>
      </w:r>
      <w:r w:rsidR="00B113A6" w:rsidRPr="007A1414">
        <w:rPr>
          <w:szCs w:val="26"/>
        </w:rPr>
        <w:t xml:space="preserve">provision </w:t>
      </w:r>
      <w:r w:rsidR="00125843" w:rsidRPr="007A1414">
        <w:rPr>
          <w:szCs w:val="26"/>
        </w:rPr>
        <w:t>being offered in a more collaborative way</w:t>
      </w:r>
      <w:r w:rsidR="000E544A" w:rsidRPr="007A1414">
        <w:rPr>
          <w:szCs w:val="26"/>
        </w:rPr>
        <w:t xml:space="preserve"> but within an overall national policy and programme on vocational rehabilitation to be agreed and adopted by the government</w:t>
      </w:r>
      <w:r w:rsidR="00125843" w:rsidRPr="007A1414">
        <w:rPr>
          <w:szCs w:val="26"/>
        </w:rPr>
        <w:t xml:space="preserve">. </w:t>
      </w:r>
      <w:r w:rsidR="008C4654" w:rsidRPr="007A1414">
        <w:rPr>
          <w:szCs w:val="26"/>
        </w:rPr>
        <w:t xml:space="preserve">In proposing this policy, </w:t>
      </w:r>
      <w:r w:rsidR="00125843" w:rsidRPr="007A1414">
        <w:rPr>
          <w:szCs w:val="26"/>
        </w:rPr>
        <w:t xml:space="preserve">NDA </w:t>
      </w:r>
      <w:r w:rsidR="008C4654" w:rsidRPr="007A1414">
        <w:rPr>
          <w:rFonts w:eastAsia="Gill Sans Ultra Bold"/>
          <w:lang w:val="en-US"/>
        </w:rPr>
        <w:t>also commits</w:t>
      </w:r>
      <w:r w:rsidR="00125843" w:rsidRPr="007A1414">
        <w:rPr>
          <w:rFonts w:eastAsia="Gill Sans Ultra Bold"/>
          <w:lang w:val="en-US"/>
        </w:rPr>
        <w:t xml:space="preserve"> ‘to s</w:t>
      </w:r>
      <w:r w:rsidR="00B8225F" w:rsidRPr="007A1414">
        <w:rPr>
          <w:rFonts w:eastAsia="Gill Sans Ultra Bold"/>
          <w:lang w:val="en-US"/>
        </w:rPr>
        <w:t>upport relevant government departments to ensure a national ap</w:t>
      </w:r>
      <w:r w:rsidR="00125843" w:rsidRPr="007A1414">
        <w:rPr>
          <w:rFonts w:eastAsia="Gill Sans Ultra Bold"/>
          <w:lang w:val="en-US"/>
        </w:rPr>
        <w:t>proach to vocational rehabilitation</w:t>
      </w:r>
      <w:r w:rsidR="00B8225F" w:rsidRPr="007A1414">
        <w:rPr>
          <w:rFonts w:eastAsia="Gill Sans Ultra Bold"/>
          <w:lang w:val="en-US"/>
        </w:rPr>
        <w:t xml:space="preserve"> is introduced</w:t>
      </w:r>
      <w:r w:rsidR="00125843" w:rsidRPr="007A1414">
        <w:rPr>
          <w:rFonts w:eastAsia="Gill Sans Ultra Bold"/>
          <w:lang w:val="en-US"/>
        </w:rPr>
        <w:t xml:space="preserve">’. The NDA will embark on this phase of development </w:t>
      </w:r>
      <w:r w:rsidR="005D6A3C" w:rsidRPr="007A1414">
        <w:rPr>
          <w:rFonts w:eastAsia="Gill Sans Ultra Bold"/>
          <w:lang w:val="en-US"/>
        </w:rPr>
        <w:t>by engaging</w:t>
      </w:r>
      <w:r w:rsidR="00447CFA" w:rsidRPr="007A1414">
        <w:rPr>
          <w:rFonts w:eastAsia="Gill Sans Ultra Bold"/>
          <w:lang w:val="en-US"/>
        </w:rPr>
        <w:t xml:space="preserve"> </w:t>
      </w:r>
      <w:r w:rsidR="005D6A3C" w:rsidRPr="007A1414">
        <w:rPr>
          <w:rFonts w:eastAsia="Gill Sans Ultra Bold"/>
          <w:lang w:val="en-US"/>
        </w:rPr>
        <w:t>with the relevant departments and agencies to explore how the recommended approach to implementation could be ad</w:t>
      </w:r>
      <w:r w:rsidR="0038335C" w:rsidRPr="007A1414">
        <w:rPr>
          <w:rFonts w:eastAsia="Gill Sans Ultra Bold"/>
          <w:lang w:val="en-US"/>
        </w:rPr>
        <w:t>vanced</w:t>
      </w:r>
      <w:r w:rsidR="00447CFA" w:rsidRPr="007A1414">
        <w:rPr>
          <w:rFonts w:eastAsia="Gill Sans Ultra Bold"/>
          <w:lang w:val="en-US"/>
        </w:rPr>
        <w:t xml:space="preserve"> through the CES next action plan and the implementation of the Pathways to Work strategy.</w:t>
      </w:r>
      <w:r w:rsidR="00D67E53" w:rsidRPr="007A1414">
        <w:rPr>
          <w:rFonts w:eastAsia="Gill Sans Ultra Bold"/>
          <w:lang w:val="en-US"/>
        </w:rPr>
        <w:t xml:space="preserve"> The</w:t>
      </w:r>
      <w:r w:rsidR="00D67E53">
        <w:rPr>
          <w:rFonts w:eastAsia="Gill Sans Ultra Bold"/>
          <w:lang w:val="en-US"/>
        </w:rPr>
        <w:t xml:space="preserve"> NDA will continue to use the findings of the consultation with people with acquired disabilities and illnesses </w:t>
      </w:r>
      <w:r w:rsidR="00A926D0">
        <w:rPr>
          <w:rFonts w:eastAsia="Gill Sans Ultra Bold"/>
          <w:lang w:val="en-US"/>
        </w:rPr>
        <w:t>to inform how a</w:t>
      </w:r>
      <w:r w:rsidR="00D67E53">
        <w:rPr>
          <w:rFonts w:eastAsia="Gill Sans Ultra Bold"/>
          <w:lang w:val="en-US"/>
        </w:rPr>
        <w:t xml:space="preserve"> vocational rehabilitation system</w:t>
      </w:r>
      <w:r w:rsidR="00A926D0">
        <w:rPr>
          <w:rFonts w:eastAsia="Gill Sans Ultra Bold"/>
          <w:lang w:val="en-US"/>
        </w:rPr>
        <w:t xml:space="preserve"> is developed</w:t>
      </w:r>
      <w:r w:rsidR="00D67E53">
        <w:rPr>
          <w:rFonts w:eastAsia="Gill Sans Ultra Bold"/>
          <w:lang w:val="en-US"/>
        </w:rPr>
        <w:t>.</w:t>
      </w:r>
    </w:p>
    <w:p w14:paraId="74945977" w14:textId="77777777" w:rsidR="00A77ED4" w:rsidRPr="00B75836" w:rsidRDefault="00A77ED4" w:rsidP="00B75836">
      <w:pPr>
        <w:spacing w:after="0"/>
        <w:rPr>
          <w:szCs w:val="26"/>
        </w:rPr>
      </w:pPr>
    </w:p>
    <w:p w14:paraId="7A392C14" w14:textId="77777777" w:rsidR="00761D68" w:rsidRDefault="00236FE8" w:rsidP="00761D68">
      <w:pPr>
        <w:pStyle w:val="Heading1"/>
        <w:rPr>
          <w:szCs w:val="26"/>
        </w:rPr>
        <w:sectPr w:rsidR="00761D68" w:rsidSect="00672B94">
          <w:pgSz w:w="12240" w:h="15840"/>
          <w:pgMar w:top="1440" w:right="1797" w:bottom="1440" w:left="1797" w:header="709" w:footer="709" w:gutter="0"/>
          <w:cols w:space="708"/>
          <w:docGrid w:linePitch="360"/>
        </w:sectPr>
      </w:pPr>
      <w:r w:rsidRPr="00B75836">
        <w:rPr>
          <w:szCs w:val="26"/>
        </w:rPr>
        <w:br w:type="page"/>
      </w:r>
    </w:p>
    <w:p w14:paraId="0D9AC749" w14:textId="76F738A1" w:rsidR="00203839" w:rsidRDefault="00C56B9E" w:rsidP="00203839">
      <w:pPr>
        <w:pStyle w:val="Heading1"/>
      </w:pPr>
      <w:r>
        <w:t>Appendix 1</w:t>
      </w:r>
      <w:r w:rsidR="00CD0760">
        <w:t>:  UNCRPD Articles 26 and 27</w:t>
      </w:r>
    </w:p>
    <w:p w14:paraId="05DBF55E" w14:textId="77777777" w:rsidR="002B0CBC" w:rsidRDefault="002B0CBC" w:rsidP="00203839">
      <w:pPr>
        <w:spacing w:after="120"/>
        <w:rPr>
          <w:b/>
        </w:rPr>
      </w:pPr>
      <w:r>
        <w:rPr>
          <w:szCs w:val="26"/>
        </w:rPr>
        <w:t xml:space="preserve">The </w:t>
      </w:r>
      <w:r w:rsidRPr="003F012E">
        <w:rPr>
          <w:szCs w:val="26"/>
        </w:rPr>
        <w:t xml:space="preserve">UN Convention on the Rights of Persons with Disabilities (UNCRPD, 2006) </w:t>
      </w:r>
      <w:r w:rsidRPr="00A56313">
        <w:rPr>
          <w:rStyle w:val="Heading5Char"/>
        </w:rPr>
        <w:t>article</w:t>
      </w:r>
      <w:r w:rsidRPr="003F012E">
        <w:rPr>
          <w:szCs w:val="26"/>
        </w:rPr>
        <w:t>s 26 and 27 reference elements of vocational rehabilitation</w:t>
      </w:r>
      <w:r>
        <w:rPr>
          <w:szCs w:val="26"/>
        </w:rPr>
        <w:t xml:space="preserve"> and employment in general.</w:t>
      </w:r>
      <w:r w:rsidRPr="00B75836">
        <w:rPr>
          <w:rStyle w:val="FootnoteReference"/>
          <w:sz w:val="26"/>
          <w:szCs w:val="26"/>
        </w:rPr>
        <w:footnoteReference w:id="68"/>
      </w:r>
      <w:r>
        <w:rPr>
          <w:szCs w:val="26"/>
        </w:rPr>
        <w:t xml:space="preserve">  Together these articles </w:t>
      </w:r>
      <w:r>
        <w:rPr>
          <w:rFonts w:eastAsia="Calibri"/>
        </w:rPr>
        <w:t>require</w:t>
      </w:r>
      <w:r w:rsidRPr="005B1166">
        <w:rPr>
          <w:rFonts w:eastAsia="Calibri"/>
        </w:rPr>
        <w:t xml:space="preserve"> states to </w:t>
      </w:r>
      <w:r w:rsidRPr="0097224E">
        <w:rPr>
          <w:rFonts w:eastAsia="Calibri"/>
          <w:b/>
        </w:rPr>
        <w:t>promote vocational and professional rehabilitation, job retention, and return to work programmes</w:t>
      </w:r>
      <w:r w:rsidRPr="005B1166">
        <w:rPr>
          <w:rFonts w:eastAsia="Calibri"/>
        </w:rPr>
        <w:t xml:space="preserve"> for people with disabilities. </w:t>
      </w:r>
      <w:r>
        <w:t>T</w:t>
      </w:r>
      <w:r w:rsidRPr="00231CF5">
        <w:t xml:space="preserve">he </w:t>
      </w:r>
      <w:r>
        <w:t xml:space="preserve">UNCPRD also supports the right of people with disabilities to </w:t>
      </w:r>
      <w:r w:rsidRPr="0097224E">
        <w:rPr>
          <w:b/>
        </w:rPr>
        <w:t>early intervention; a multi-disciplinary assessment and services, close to where they live, to support job retention and return to work.</w:t>
      </w:r>
    </w:p>
    <w:p w14:paraId="6260D350" w14:textId="0C3AC2D2" w:rsidR="00200229" w:rsidRPr="00200229" w:rsidRDefault="00200229" w:rsidP="00203839">
      <w:pPr>
        <w:spacing w:after="120"/>
        <w:rPr>
          <w:rFonts w:cs="Arial"/>
          <w:szCs w:val="26"/>
        </w:rPr>
      </w:pPr>
      <w:r w:rsidRPr="0097224E">
        <w:rPr>
          <w:rFonts w:cs="Arial"/>
          <w:szCs w:val="26"/>
        </w:rPr>
        <w:t xml:space="preserve">In March 2019 the </w:t>
      </w:r>
      <w:r w:rsidRPr="0097224E">
        <w:rPr>
          <w:rFonts w:cs="Arial"/>
          <w:bCs/>
          <w:szCs w:val="26"/>
        </w:rPr>
        <w:t>annual report of the United Nations High Commissioner for Human Rights</w:t>
      </w:r>
      <w:r w:rsidRPr="0097224E">
        <w:rPr>
          <w:rStyle w:val="FootnoteReference"/>
          <w:rFonts w:cs="Arial"/>
          <w:bCs/>
          <w:szCs w:val="26"/>
        </w:rPr>
        <w:footnoteReference w:id="69"/>
      </w:r>
      <w:r w:rsidRPr="0097224E">
        <w:rPr>
          <w:rFonts w:cs="Arial"/>
          <w:bCs/>
          <w:szCs w:val="26"/>
        </w:rPr>
        <w:t xml:space="preserve"> commented on Article 26 stating that </w:t>
      </w:r>
      <w:r w:rsidRPr="0097224E">
        <w:rPr>
          <w:rFonts w:cs="Arial"/>
          <w:b/>
          <w:szCs w:val="26"/>
        </w:rPr>
        <w:t>access to rehabilitation has long been understood to be an intrinsic element of the right to health</w:t>
      </w:r>
      <w:r w:rsidRPr="0097224E">
        <w:rPr>
          <w:rFonts w:cs="Arial"/>
          <w:szCs w:val="26"/>
        </w:rPr>
        <w:t>. In</w:t>
      </w:r>
      <w:r>
        <w:rPr>
          <w:rFonts w:cs="Arial"/>
          <w:szCs w:val="26"/>
        </w:rPr>
        <w:t xml:space="preserve"> addition</w:t>
      </w:r>
      <w:r w:rsidRPr="0097224E">
        <w:rPr>
          <w:rFonts w:cs="Arial"/>
          <w:szCs w:val="26"/>
        </w:rPr>
        <w:t xml:space="preserve"> the right to physical and mental health also implies the right to have access to, and to benefit from, medical and social services, and that persons with disabilities should be provided with rehabilitation services that would enable them to reach and sustain their optimum level of independence and functioning.</w:t>
      </w:r>
      <w:r w:rsidR="007947E7">
        <w:rPr>
          <w:rFonts w:cs="Arial"/>
          <w:szCs w:val="26"/>
        </w:rPr>
        <w:t xml:space="preserve"> The text of Articles 26 and 27 (work and employment</w:t>
      </w:r>
      <w:r w:rsidR="00CD0760">
        <w:rPr>
          <w:rFonts w:cs="Arial"/>
          <w:szCs w:val="26"/>
        </w:rPr>
        <w:t>) are presented below.</w:t>
      </w:r>
    </w:p>
    <w:p w14:paraId="37979ECC" w14:textId="77777777" w:rsidR="00203839" w:rsidRPr="00AA0FE7" w:rsidRDefault="00203839" w:rsidP="00AA0FE7">
      <w:pPr>
        <w:rPr>
          <w:b/>
          <w:lang w:eastAsia="en-IE"/>
        </w:rPr>
      </w:pPr>
      <w:r w:rsidRPr="00AA0FE7">
        <w:rPr>
          <w:b/>
          <w:lang w:eastAsia="en-IE"/>
        </w:rPr>
        <w:t>Article 26 – Habilitation and rehabilitation</w:t>
      </w:r>
    </w:p>
    <w:p w14:paraId="4EB3BFD1" w14:textId="77777777" w:rsidR="00203839" w:rsidRPr="007460F8" w:rsidRDefault="00203839" w:rsidP="00203839">
      <w:pPr>
        <w:spacing w:after="0" w:line="255" w:lineRule="atLeast"/>
        <w:textAlignment w:val="baseline"/>
        <w:rPr>
          <w:rFonts w:eastAsia="Times New Roman"/>
          <w:szCs w:val="26"/>
          <w:lang w:eastAsia="en-IE"/>
        </w:rPr>
      </w:pPr>
      <w:bookmarkStart w:id="7" w:name="text"/>
      <w:bookmarkEnd w:id="7"/>
      <w:r w:rsidRPr="007460F8">
        <w:rPr>
          <w:rFonts w:eastAsia="Times New Roman"/>
          <w:szCs w:val="26"/>
          <w:lang w:eastAsia="en-IE"/>
        </w:rPr>
        <w:t>  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in such a way that these services and programmes:</w:t>
      </w:r>
    </w:p>
    <w:p w14:paraId="60D2883F" w14:textId="77777777" w:rsidR="00203839" w:rsidRPr="007460F8" w:rsidRDefault="00203839" w:rsidP="00203839">
      <w:pPr>
        <w:spacing w:line="255" w:lineRule="atLeast"/>
        <w:textAlignment w:val="baseline"/>
        <w:rPr>
          <w:rFonts w:eastAsia="Times New Roman"/>
          <w:szCs w:val="26"/>
          <w:lang w:eastAsia="en-IE"/>
        </w:rPr>
      </w:pPr>
      <w:r w:rsidRPr="007460F8">
        <w:rPr>
          <w:rFonts w:eastAsia="Times New Roman"/>
          <w:szCs w:val="26"/>
          <w:lang w:eastAsia="en-IE"/>
        </w:rPr>
        <w:t>a) Begin at the earliest possible stage, and are based on the multidisciplinary assessment of individual needs and strengths;</w:t>
      </w:r>
    </w:p>
    <w:p w14:paraId="07C1B221" w14:textId="77777777" w:rsidR="00203839" w:rsidRPr="007460F8" w:rsidRDefault="00203839" w:rsidP="00203839">
      <w:pPr>
        <w:spacing w:line="255" w:lineRule="atLeast"/>
        <w:textAlignment w:val="baseline"/>
        <w:rPr>
          <w:rFonts w:eastAsia="Times New Roman"/>
          <w:szCs w:val="26"/>
          <w:lang w:eastAsia="en-IE"/>
        </w:rPr>
      </w:pPr>
      <w:r w:rsidRPr="007460F8">
        <w:rPr>
          <w:rFonts w:eastAsia="Times New Roman"/>
          <w:szCs w:val="26"/>
          <w:lang w:eastAsia="en-IE"/>
        </w:rPr>
        <w:t>b) Support participation and inclusion in the community and all aspects of society, are voluntary, and are available to persons with disabilities as close as possible to their own communities, including in rural areas.</w:t>
      </w:r>
    </w:p>
    <w:p w14:paraId="2CDB5C47" w14:textId="77777777" w:rsidR="00203839" w:rsidRPr="007460F8" w:rsidRDefault="00203839" w:rsidP="00203839">
      <w:pPr>
        <w:spacing w:line="255" w:lineRule="atLeast"/>
        <w:textAlignment w:val="baseline"/>
        <w:rPr>
          <w:rFonts w:eastAsia="Times New Roman"/>
          <w:szCs w:val="26"/>
          <w:lang w:eastAsia="en-IE"/>
        </w:rPr>
      </w:pPr>
      <w:r w:rsidRPr="007460F8">
        <w:rPr>
          <w:rFonts w:eastAsia="Times New Roman"/>
          <w:szCs w:val="26"/>
          <w:lang w:eastAsia="en-IE"/>
        </w:rPr>
        <w:t>2. States Parties shall promote the development of initial and continuing training for professionals and staff working in habilitation and rehabilitation services.</w:t>
      </w:r>
    </w:p>
    <w:p w14:paraId="766FE3C9" w14:textId="77777777" w:rsidR="00203839" w:rsidRPr="007460F8" w:rsidRDefault="00203839" w:rsidP="00203839">
      <w:pPr>
        <w:spacing w:line="255" w:lineRule="atLeast"/>
        <w:textAlignment w:val="baseline"/>
        <w:rPr>
          <w:rFonts w:eastAsia="Times New Roman"/>
          <w:szCs w:val="26"/>
          <w:lang w:eastAsia="en-IE"/>
        </w:rPr>
      </w:pPr>
      <w:r w:rsidRPr="007460F8">
        <w:rPr>
          <w:rFonts w:eastAsia="Times New Roman"/>
          <w:szCs w:val="26"/>
          <w:lang w:eastAsia="en-IE"/>
        </w:rPr>
        <w:t>3. States Parties shall promote the availability, knowledge and use of assistive devices and technologies, designed for persons with disabilities, as they relate to habilitation and rehabilitation.</w:t>
      </w:r>
    </w:p>
    <w:p w14:paraId="3D82879C" w14:textId="77777777" w:rsidR="00203839" w:rsidRPr="007460F8" w:rsidRDefault="00203839" w:rsidP="00203839">
      <w:pPr>
        <w:rPr>
          <w:b/>
          <w:szCs w:val="26"/>
          <w:lang w:val="en-GB"/>
        </w:rPr>
      </w:pPr>
      <w:r w:rsidRPr="007460F8">
        <w:rPr>
          <w:b/>
          <w:szCs w:val="26"/>
          <w:lang w:val="en-GB"/>
        </w:rPr>
        <w:t xml:space="preserve">Article 27 </w:t>
      </w:r>
      <w:r>
        <w:rPr>
          <w:b/>
          <w:szCs w:val="26"/>
          <w:lang w:val="en-GB"/>
        </w:rPr>
        <w:t xml:space="preserve">- </w:t>
      </w:r>
      <w:r w:rsidRPr="007460F8">
        <w:rPr>
          <w:b/>
          <w:szCs w:val="26"/>
          <w:lang w:val="en-GB"/>
        </w:rPr>
        <w:t>Work and Employment</w:t>
      </w:r>
    </w:p>
    <w:p w14:paraId="53995399" w14:textId="77777777" w:rsidR="00203839" w:rsidRPr="00AE2CA6" w:rsidRDefault="00203839" w:rsidP="00203839">
      <w:pPr>
        <w:rPr>
          <w:szCs w:val="26"/>
          <w:lang w:val="en-GB"/>
        </w:rPr>
      </w:pPr>
      <w:r w:rsidRPr="00AE2CA6">
        <w:rPr>
          <w:szCs w:val="26"/>
          <w:lang w:val="en-GB"/>
        </w:rPr>
        <w:t xml:space="preserve"> “recognizes the right of persons with disabilities to work, on an equal basis with others; this includes the right to the opportunity to gain a living by work freely chosen or accepted in a labour market and work environment that is open, inclusive and accessible to persons with disabilities” (United Nations, 2006). </w:t>
      </w:r>
    </w:p>
    <w:p w14:paraId="3C28EBF3" w14:textId="77777777" w:rsidR="00203839" w:rsidRPr="00AE2CA6" w:rsidRDefault="00203839" w:rsidP="00203839">
      <w:pPr>
        <w:rPr>
          <w:rFonts w:cs="Arial"/>
          <w:szCs w:val="26"/>
          <w:lang w:val="en-US"/>
        </w:rPr>
      </w:pPr>
      <w:r w:rsidRPr="00AE2CA6">
        <w:rPr>
          <w:rFonts w:cs="Arial"/>
          <w:szCs w:val="26"/>
          <w:lang w:val="en-US"/>
        </w:rPr>
        <w:t>States Parties shall safeguard and promote the realization of the right to work, including for those who acquire a disability during the course of employment, by taking appropriate steps, including through legislation, to, inter alia:</w:t>
      </w:r>
    </w:p>
    <w:p w14:paraId="08F09B2D" w14:textId="77777777" w:rsidR="00203839" w:rsidRPr="00AE2CA6" w:rsidRDefault="00203839" w:rsidP="00203839">
      <w:pPr>
        <w:rPr>
          <w:rFonts w:cs="Arial"/>
          <w:szCs w:val="26"/>
          <w:lang w:val="en-US"/>
        </w:rPr>
      </w:pPr>
      <w:r w:rsidRPr="00AE2CA6">
        <w:rPr>
          <w:rFonts w:cs="Arial"/>
          <w:szCs w:val="26"/>
          <w:lang w:val="en-US"/>
        </w:rPr>
        <w:t>a) Prohibit discrimination on the basis of disability with regard to all matters concerning all forms of employment, including conditions of recruitment, hiring and employment, continuance of employment, career advancement and safe and healthy working conditions;</w:t>
      </w:r>
    </w:p>
    <w:p w14:paraId="117DD548" w14:textId="77777777" w:rsidR="00203839" w:rsidRPr="00AE2CA6" w:rsidRDefault="00203839" w:rsidP="00203839">
      <w:pPr>
        <w:rPr>
          <w:rFonts w:cs="Arial"/>
          <w:szCs w:val="26"/>
          <w:lang w:val="en-US"/>
        </w:rPr>
      </w:pPr>
      <w:r w:rsidRPr="00AE2CA6">
        <w:rPr>
          <w:rFonts w:cs="Arial"/>
          <w:szCs w:val="26"/>
          <w:lang w:val="en-US"/>
        </w:rPr>
        <w:t>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236BED05" w14:textId="77777777" w:rsidR="00203839" w:rsidRPr="00AE2CA6" w:rsidRDefault="00203839" w:rsidP="00203839">
      <w:pPr>
        <w:rPr>
          <w:rFonts w:cs="Arial"/>
          <w:szCs w:val="26"/>
          <w:lang w:val="en-US"/>
        </w:rPr>
      </w:pPr>
      <w:r w:rsidRPr="00AE2CA6">
        <w:rPr>
          <w:rFonts w:cs="Arial"/>
          <w:szCs w:val="26"/>
          <w:lang w:val="en-US"/>
        </w:rPr>
        <w:t>c) Ensure that persons with disabilities are able to exercise their labour and trade union rights on an equal basis with others;</w:t>
      </w:r>
    </w:p>
    <w:p w14:paraId="7E70A5B0" w14:textId="77777777" w:rsidR="00203839" w:rsidRPr="00AE2CA6" w:rsidRDefault="00203839" w:rsidP="00203839">
      <w:pPr>
        <w:rPr>
          <w:rFonts w:cs="Arial"/>
          <w:szCs w:val="26"/>
          <w:lang w:val="en-US"/>
        </w:rPr>
      </w:pPr>
      <w:r w:rsidRPr="00AE2CA6">
        <w:rPr>
          <w:rFonts w:cs="Arial"/>
          <w:szCs w:val="26"/>
          <w:lang w:val="en-US"/>
        </w:rPr>
        <w:t>d) Enable persons with disabilities to have effective access to general technical and vocational guidance programmes, placement services and vocational and continuing training;</w:t>
      </w:r>
    </w:p>
    <w:p w14:paraId="42915F14" w14:textId="77777777" w:rsidR="00203839" w:rsidRPr="00AE2CA6" w:rsidRDefault="00203839" w:rsidP="00203839">
      <w:pPr>
        <w:rPr>
          <w:rFonts w:cs="Arial"/>
          <w:szCs w:val="26"/>
          <w:lang w:val="en-US"/>
        </w:rPr>
      </w:pPr>
      <w:r w:rsidRPr="00AE2CA6">
        <w:rPr>
          <w:rFonts w:cs="Arial"/>
          <w:szCs w:val="26"/>
          <w:lang w:val="en-US"/>
        </w:rPr>
        <w:t>e) Promote employment opportunities and career advancement for persons with disabilities in the labour market, as well as assistance in finding, obtaining, maintaining and returning to employment;</w:t>
      </w:r>
    </w:p>
    <w:p w14:paraId="5DF94BC5" w14:textId="77777777" w:rsidR="00203839" w:rsidRPr="00AE2CA6" w:rsidRDefault="00203839" w:rsidP="00203839">
      <w:pPr>
        <w:rPr>
          <w:rFonts w:cs="Arial"/>
          <w:szCs w:val="26"/>
          <w:lang w:val="en-US"/>
        </w:rPr>
      </w:pPr>
      <w:r w:rsidRPr="00AE2CA6">
        <w:rPr>
          <w:rFonts w:cs="Arial"/>
          <w:szCs w:val="26"/>
          <w:lang w:val="en-US"/>
        </w:rPr>
        <w:t>f) Promote opportunities for self-employment, entrepreneurship, the development of cooperatives and starting one’s own business;</w:t>
      </w:r>
    </w:p>
    <w:p w14:paraId="3FDCA5AC" w14:textId="77777777" w:rsidR="00203839" w:rsidRPr="00AE2CA6" w:rsidRDefault="00203839" w:rsidP="00203839">
      <w:pPr>
        <w:rPr>
          <w:rFonts w:cs="Arial"/>
          <w:szCs w:val="26"/>
          <w:lang w:val="en-US"/>
        </w:rPr>
      </w:pPr>
      <w:r w:rsidRPr="00AE2CA6">
        <w:rPr>
          <w:rFonts w:cs="Arial"/>
          <w:szCs w:val="26"/>
          <w:lang w:val="en-US"/>
        </w:rPr>
        <w:t>g) Employ persons with disabilities in the public sector;</w:t>
      </w:r>
    </w:p>
    <w:p w14:paraId="0ECCA0E9" w14:textId="77777777" w:rsidR="00203839" w:rsidRPr="00AE2CA6" w:rsidRDefault="00203839" w:rsidP="00203839">
      <w:pPr>
        <w:rPr>
          <w:rFonts w:cs="Arial"/>
          <w:szCs w:val="26"/>
          <w:lang w:val="en-US"/>
        </w:rPr>
      </w:pPr>
      <w:r w:rsidRPr="00AE2CA6">
        <w:rPr>
          <w:rFonts w:cs="Arial"/>
          <w:szCs w:val="26"/>
          <w:lang w:val="en-US"/>
        </w:rPr>
        <w:t>h) Promote the employment of persons with disabilities in the private sector through appropriate policies and measures, which may include affirmative action programmes, incentives and other measures;</w:t>
      </w:r>
    </w:p>
    <w:p w14:paraId="5B45D3EC" w14:textId="77777777" w:rsidR="00203839" w:rsidRPr="00AE2CA6" w:rsidRDefault="00203839" w:rsidP="00203839">
      <w:pPr>
        <w:rPr>
          <w:rFonts w:cs="Arial"/>
          <w:szCs w:val="26"/>
          <w:lang w:val="en-US"/>
        </w:rPr>
      </w:pPr>
      <w:r w:rsidRPr="00AE2CA6">
        <w:rPr>
          <w:rFonts w:cs="Arial"/>
          <w:szCs w:val="26"/>
          <w:lang w:val="en-US"/>
        </w:rPr>
        <w:t>i) Ensure that reasonable accommodation is provided to persons with disabilities in the workplace;</w:t>
      </w:r>
    </w:p>
    <w:p w14:paraId="20DFF74D" w14:textId="77777777" w:rsidR="00203839" w:rsidRPr="00AE2CA6" w:rsidRDefault="00203839" w:rsidP="00203839">
      <w:pPr>
        <w:rPr>
          <w:rFonts w:cs="Arial"/>
          <w:szCs w:val="26"/>
          <w:lang w:val="en-US"/>
        </w:rPr>
      </w:pPr>
      <w:r w:rsidRPr="00AE2CA6">
        <w:rPr>
          <w:rFonts w:cs="Arial"/>
          <w:szCs w:val="26"/>
          <w:lang w:val="en-US"/>
        </w:rPr>
        <w:t>j) Promote the acquisition by persons with disabilities of work experience in the open labour market;</w:t>
      </w:r>
    </w:p>
    <w:p w14:paraId="4B1F1465" w14:textId="35191989" w:rsidR="00203839" w:rsidRDefault="00203839" w:rsidP="00203839">
      <w:pPr>
        <w:rPr>
          <w:rFonts w:cs="Arial"/>
          <w:szCs w:val="26"/>
          <w:lang w:val="en-US"/>
        </w:rPr>
      </w:pPr>
      <w:r w:rsidRPr="00AE2CA6">
        <w:rPr>
          <w:rFonts w:cs="Arial"/>
          <w:szCs w:val="26"/>
          <w:lang w:val="en-US"/>
        </w:rPr>
        <w:t>k) Promote vocational and professional rehabilitation, job retention and return-to-work programmes for persons with disabilities.</w:t>
      </w:r>
    </w:p>
    <w:p w14:paraId="047DEA6C" w14:textId="61453216" w:rsidR="006E0997" w:rsidRDefault="006E0997">
      <w:pPr>
        <w:spacing w:after="0"/>
        <w:rPr>
          <w:rFonts w:cs="Arial"/>
          <w:szCs w:val="26"/>
          <w:lang w:val="en-US"/>
        </w:rPr>
      </w:pPr>
      <w:r>
        <w:rPr>
          <w:rFonts w:cs="Arial"/>
          <w:szCs w:val="26"/>
          <w:lang w:val="en-US"/>
        </w:rPr>
        <w:br w:type="page"/>
      </w:r>
    </w:p>
    <w:p w14:paraId="6AAF50F3" w14:textId="7F011140" w:rsidR="002B5B78" w:rsidRDefault="00C56B9E" w:rsidP="0099404D">
      <w:pPr>
        <w:pStyle w:val="Heading1"/>
        <w:rPr>
          <w:lang w:val="en-US"/>
        </w:rPr>
      </w:pPr>
      <w:r>
        <w:rPr>
          <w:lang w:val="en-US"/>
        </w:rPr>
        <w:t>Appendix 2</w:t>
      </w:r>
      <w:r w:rsidR="0099404D">
        <w:rPr>
          <w:lang w:val="en-US"/>
        </w:rPr>
        <w:t>:</w:t>
      </w:r>
      <w:r>
        <w:rPr>
          <w:lang w:val="en-US"/>
        </w:rPr>
        <w:t xml:space="preserve"> </w:t>
      </w:r>
      <w:r w:rsidR="002B5B78">
        <w:rPr>
          <w:lang w:val="en-US"/>
        </w:rPr>
        <w:t xml:space="preserve">Pathways to Work </w:t>
      </w:r>
      <w:r w:rsidR="0099404D">
        <w:rPr>
          <w:lang w:val="en-US"/>
        </w:rPr>
        <w:t>2015 -</w:t>
      </w:r>
      <w:r w:rsidR="002B5B78">
        <w:rPr>
          <w:lang w:val="en-US"/>
        </w:rPr>
        <w:t xml:space="preserve"> 2020 and </w:t>
      </w:r>
      <w:r w:rsidR="0099404D">
        <w:rPr>
          <w:lang w:val="en-US"/>
        </w:rPr>
        <w:t>2021 -</w:t>
      </w:r>
      <w:r w:rsidR="002B5B78">
        <w:rPr>
          <w:lang w:val="en-US"/>
        </w:rPr>
        <w:t>2025</w:t>
      </w:r>
    </w:p>
    <w:p w14:paraId="258F2239" w14:textId="01E29490" w:rsidR="002B5B78" w:rsidRDefault="002B5B78" w:rsidP="00203839">
      <w:pPr>
        <w:rPr>
          <w:rFonts w:cs="Arial"/>
          <w:szCs w:val="26"/>
          <w:lang w:val="en-US"/>
        </w:rPr>
      </w:pPr>
      <w:r>
        <w:rPr>
          <w:rFonts w:cs="Arial"/>
          <w:szCs w:val="26"/>
          <w:lang w:val="en-US"/>
        </w:rPr>
        <w:t>DSP has committed to the development of a quality public employment service</w:t>
      </w:r>
      <w:r w:rsidR="0099404D">
        <w:rPr>
          <w:rFonts w:cs="Arial"/>
          <w:szCs w:val="26"/>
          <w:lang w:val="en-US"/>
        </w:rPr>
        <w:t xml:space="preserve"> over two iterations of the Pathways to Work strategy.</w:t>
      </w:r>
    </w:p>
    <w:p w14:paraId="0A1EDF77" w14:textId="7E78C766" w:rsidR="002B5B78" w:rsidRDefault="002B5B78" w:rsidP="00203839">
      <w:pPr>
        <w:rPr>
          <w:rFonts w:cs="Arial"/>
          <w:szCs w:val="26"/>
          <w:lang w:val="en-US"/>
        </w:rPr>
      </w:pPr>
      <w:r>
        <w:rPr>
          <w:rFonts w:cs="Arial"/>
          <w:szCs w:val="26"/>
          <w:lang w:val="en-US"/>
        </w:rPr>
        <w:t>2015 actions included</w:t>
      </w:r>
    </w:p>
    <w:p w14:paraId="02C3E7EC" w14:textId="77777777" w:rsidR="002B5B78" w:rsidRDefault="002B5B78" w:rsidP="002B5B78">
      <w:pPr>
        <w:pStyle w:val="ListParagraph"/>
        <w:numPr>
          <w:ilvl w:val="0"/>
          <w:numId w:val="31"/>
        </w:numPr>
        <w:spacing w:after="0"/>
      </w:pPr>
      <w:r w:rsidRPr="00B00DB8">
        <w:rPr>
          <w:szCs w:val="26"/>
          <w:lang w:val="en-US"/>
        </w:rPr>
        <w:t>The Partial Capacity Benefit</w:t>
      </w:r>
      <w:r w:rsidRPr="00B00DB8">
        <w:rPr>
          <w:szCs w:val="26"/>
        </w:rPr>
        <w:t xml:space="preserve"> (PCB) scheme whereby some people with disabilities who have a capacity to engage in open market employment while continuing to need some income support from the Dept. The objective of the scheme is to support such people</w:t>
      </w:r>
      <w:r w:rsidRPr="008E4CAF">
        <w:rPr>
          <w:b/>
          <w:szCs w:val="26"/>
        </w:rPr>
        <w:t xml:space="preserve"> to return to the workplace </w:t>
      </w:r>
      <w:r w:rsidRPr="00B00DB8">
        <w:rPr>
          <w:szCs w:val="26"/>
        </w:rPr>
        <w:t xml:space="preserve">without fear of loss of their disability related social welfare benefits. </w:t>
      </w:r>
      <w:r w:rsidRPr="00D86929">
        <w:rPr>
          <w:b/>
          <w:szCs w:val="26"/>
        </w:rPr>
        <w:t>A person in receipt of Invalidity Pension or Illness Benefit for a minimum of six months who wishes to return to work may qualify for PCB if their capacity for work is reduced by their medical condition</w:t>
      </w:r>
      <w:r w:rsidRPr="00B00DB8">
        <w:rPr>
          <w:szCs w:val="26"/>
        </w:rPr>
        <w:t xml:space="preserve">. PCB allows people to continue to receive a percentage of their Illness Benefit or Invalidity Pension payment while working. </w:t>
      </w:r>
    </w:p>
    <w:p w14:paraId="30A50BA6" w14:textId="77777777" w:rsidR="002B5B78" w:rsidRPr="006A2730" w:rsidRDefault="002B5B78" w:rsidP="002B5B78">
      <w:pPr>
        <w:pStyle w:val="ListBullet"/>
        <w:numPr>
          <w:ilvl w:val="0"/>
          <w:numId w:val="20"/>
        </w:numPr>
        <w:spacing w:after="0"/>
        <w:rPr>
          <w:rFonts w:eastAsiaTheme="minorHAnsi"/>
        </w:rPr>
      </w:pPr>
      <w:r>
        <w:t>The</w:t>
      </w:r>
      <w:r w:rsidRPr="006A2730">
        <w:t xml:space="preserve"> EmployAbility Programme of supported employment for individuals who are available to work 8 hours a week</w:t>
      </w:r>
      <w:r>
        <w:t>.</w:t>
      </w:r>
      <w:r w:rsidRPr="006A2730">
        <w:t xml:space="preserve"> </w:t>
      </w:r>
      <w:r>
        <w:t>DSP currently funds 24 contracts with</w:t>
      </w:r>
      <w:r w:rsidRPr="006A2730">
        <w:t xml:space="preserve"> the EmployAbility service with an average</w:t>
      </w:r>
      <w:r>
        <w:t xml:space="preserve"> of 3,000 clients at any stage with a p</w:t>
      </w:r>
      <w:r w:rsidRPr="006A2730">
        <w:t>lacement rate in the order of 40%</w:t>
      </w:r>
      <w:r>
        <w:t>;</w:t>
      </w:r>
    </w:p>
    <w:p w14:paraId="46BC9AA6" w14:textId="77777777" w:rsidR="002B5B78" w:rsidRPr="006A2730" w:rsidRDefault="002B5B78" w:rsidP="002B5B78">
      <w:pPr>
        <w:pStyle w:val="ListBullet"/>
        <w:numPr>
          <w:ilvl w:val="0"/>
          <w:numId w:val="20"/>
        </w:numPr>
      </w:pPr>
      <w:r>
        <w:t xml:space="preserve">The </w:t>
      </w:r>
      <w:r w:rsidRPr="006A2730">
        <w:t xml:space="preserve">Wage Subsidy Scheme </w:t>
      </w:r>
      <w:r>
        <w:t>supports private sector</w:t>
      </w:r>
      <w:r w:rsidRPr="006A2730">
        <w:t xml:space="preserve"> employers </w:t>
      </w:r>
      <w:r>
        <w:t xml:space="preserve">to employ </w:t>
      </w:r>
      <w:r w:rsidRPr="006A2730">
        <w:t>employees with disabilities</w:t>
      </w:r>
      <w:r>
        <w:t xml:space="preserve">; employers are provided with a grant to cover productivity for staff </w:t>
      </w:r>
    </w:p>
    <w:p w14:paraId="4C85BDC0" w14:textId="77777777" w:rsidR="002B5B78" w:rsidRPr="00E05ECB" w:rsidRDefault="002B5B78" w:rsidP="002B5B78">
      <w:pPr>
        <w:pStyle w:val="ListBullet"/>
        <w:numPr>
          <w:ilvl w:val="0"/>
          <w:numId w:val="20"/>
        </w:numPr>
        <w:rPr>
          <w:sz w:val="24"/>
        </w:rPr>
      </w:pPr>
      <w:r>
        <w:t>S</w:t>
      </w:r>
      <w:r w:rsidRPr="006A2730">
        <w:t xml:space="preserve">upports to private sector employers with the cost of adaptations or </w:t>
      </w:r>
      <w:r w:rsidRPr="00623F66">
        <w:t>assistive technology</w:t>
      </w:r>
      <w:r>
        <w:t>, including:</w:t>
      </w:r>
    </w:p>
    <w:p w14:paraId="41CD5AB9" w14:textId="77777777" w:rsidR="002B5B78" w:rsidRPr="00E05ECB" w:rsidRDefault="002B5B78" w:rsidP="002B5B78">
      <w:pPr>
        <w:pStyle w:val="ListBullet"/>
        <w:numPr>
          <w:ilvl w:val="1"/>
          <w:numId w:val="20"/>
        </w:numPr>
        <w:spacing w:before="0" w:after="0"/>
        <w:ind w:left="1324"/>
      </w:pPr>
      <w:r w:rsidRPr="00E05ECB">
        <w:t>Workplace equipment adaptation grant (new &amp; existing staff)</w:t>
      </w:r>
    </w:p>
    <w:p w14:paraId="7E1E3B3A" w14:textId="77777777" w:rsidR="002B5B78" w:rsidRPr="00E05ECB" w:rsidRDefault="002B5B78" w:rsidP="002B5B78">
      <w:pPr>
        <w:pStyle w:val="ListBullet"/>
        <w:numPr>
          <w:ilvl w:val="1"/>
          <w:numId w:val="20"/>
        </w:numPr>
        <w:spacing w:before="0" w:after="0"/>
        <w:ind w:left="1324"/>
        <w:rPr>
          <w:lang w:eastAsia="en-IE"/>
        </w:rPr>
      </w:pPr>
      <w:r w:rsidRPr="00E05ECB">
        <w:rPr>
          <w:lang w:eastAsia="en-IE"/>
        </w:rPr>
        <w:t>Employee Retention Grant (existing staff)</w:t>
      </w:r>
    </w:p>
    <w:p w14:paraId="68D31FF9" w14:textId="77777777" w:rsidR="002B5B78" w:rsidRPr="00E05ECB" w:rsidRDefault="002B5B78" w:rsidP="002B5B78">
      <w:pPr>
        <w:pStyle w:val="ListBullet"/>
        <w:numPr>
          <w:ilvl w:val="1"/>
          <w:numId w:val="20"/>
        </w:numPr>
        <w:spacing w:before="0" w:after="0"/>
        <w:ind w:left="1324"/>
        <w:rPr>
          <w:lang w:eastAsia="en-IE"/>
        </w:rPr>
      </w:pPr>
      <w:r w:rsidRPr="00E05ECB">
        <w:rPr>
          <w:lang w:eastAsia="en-IE"/>
        </w:rPr>
        <w:t>Job interview</w:t>
      </w:r>
    </w:p>
    <w:p w14:paraId="067E6FB3" w14:textId="77777777" w:rsidR="002B5B78" w:rsidRPr="00E05ECB" w:rsidRDefault="002B5B78" w:rsidP="002B5B78">
      <w:pPr>
        <w:pStyle w:val="ListBullet"/>
        <w:numPr>
          <w:ilvl w:val="1"/>
          <w:numId w:val="20"/>
        </w:numPr>
        <w:spacing w:before="0" w:after="0"/>
        <w:ind w:left="1324"/>
        <w:rPr>
          <w:lang w:eastAsia="en-IE"/>
        </w:rPr>
      </w:pPr>
      <w:r w:rsidRPr="00E05ECB">
        <w:rPr>
          <w:lang w:eastAsia="en-IE"/>
        </w:rPr>
        <w:t>Interpreter Grant</w:t>
      </w:r>
    </w:p>
    <w:p w14:paraId="3B8FCA25" w14:textId="77777777" w:rsidR="002B5B78" w:rsidRPr="00E05ECB" w:rsidRDefault="002B5B78" w:rsidP="002B5B78">
      <w:pPr>
        <w:pStyle w:val="ListBullet"/>
        <w:numPr>
          <w:ilvl w:val="1"/>
          <w:numId w:val="20"/>
        </w:numPr>
        <w:spacing w:before="0"/>
        <w:ind w:left="1324"/>
        <w:rPr>
          <w:lang w:eastAsia="en-IE"/>
        </w:rPr>
      </w:pPr>
      <w:r w:rsidRPr="00E05ECB">
        <w:rPr>
          <w:lang w:eastAsia="en-IE"/>
        </w:rPr>
        <w:t>Personal reader grant</w:t>
      </w:r>
    </w:p>
    <w:p w14:paraId="164AB60D" w14:textId="77777777" w:rsidR="002B5B78" w:rsidRDefault="002B5B78" w:rsidP="002B5B78">
      <w:r>
        <w:t>Other measures funded by DSP to support people who particularly marginalised and long term unemployed include:</w:t>
      </w:r>
    </w:p>
    <w:p w14:paraId="4B36C493" w14:textId="77777777" w:rsidR="002B5B78" w:rsidRPr="008B5018" w:rsidRDefault="002B5B78" w:rsidP="002B5B78">
      <w:pPr>
        <w:pStyle w:val="ListParagraph"/>
        <w:numPr>
          <w:ilvl w:val="0"/>
          <w:numId w:val="24"/>
        </w:numPr>
        <w:rPr>
          <w:szCs w:val="26"/>
        </w:rPr>
      </w:pPr>
      <w:r w:rsidRPr="008B5018">
        <w:rPr>
          <w:szCs w:val="26"/>
        </w:rPr>
        <w:t xml:space="preserve">The Local Employment Services Office (LES) which provide a range of professional supports to assist work searches. </w:t>
      </w:r>
      <w:r w:rsidRPr="008B5018">
        <w:rPr>
          <w:szCs w:val="26"/>
          <w:shd w:val="clear" w:color="auto" w:fill="FFFFFF"/>
        </w:rPr>
        <w:t>The LES support also includes one to one career guidance, information and training, education options and employment opportunities that suit the individual. </w:t>
      </w:r>
    </w:p>
    <w:p w14:paraId="285091AA" w14:textId="4530B167" w:rsidR="002B5B78" w:rsidRDefault="002B5B78" w:rsidP="00203839">
      <w:pPr>
        <w:rPr>
          <w:rFonts w:cs="Arial"/>
          <w:szCs w:val="26"/>
          <w:lang w:val="en-US"/>
        </w:rPr>
      </w:pPr>
    </w:p>
    <w:p w14:paraId="2E2526E1" w14:textId="02BF3EEF" w:rsidR="0099404D" w:rsidRPr="0099404D" w:rsidRDefault="002B5B78" w:rsidP="0099404D">
      <w:pPr>
        <w:rPr>
          <w:rFonts w:cs="Arial"/>
          <w:szCs w:val="26"/>
          <w:lang w:val="en-US"/>
        </w:rPr>
      </w:pPr>
      <w:r>
        <w:rPr>
          <w:rFonts w:cs="Arial"/>
          <w:szCs w:val="26"/>
          <w:lang w:val="en-US"/>
        </w:rPr>
        <w:t>2</w:t>
      </w:r>
      <w:r w:rsidR="0099404D">
        <w:rPr>
          <w:rFonts w:cs="Arial"/>
          <w:szCs w:val="26"/>
          <w:lang w:val="en-US"/>
        </w:rPr>
        <w:t>021 to 2025 actions include</w:t>
      </w:r>
    </w:p>
    <w:p w14:paraId="159B3484" w14:textId="02C7F210" w:rsidR="0099404D" w:rsidRPr="0099404D" w:rsidRDefault="0099404D" w:rsidP="0099404D">
      <w:pPr>
        <w:pStyle w:val="ListParagraph"/>
        <w:numPr>
          <w:ilvl w:val="0"/>
          <w:numId w:val="24"/>
        </w:numPr>
        <w:rPr>
          <w:spacing w:val="-4"/>
          <w:szCs w:val="26"/>
        </w:rPr>
      </w:pPr>
      <w:r w:rsidRPr="0099404D">
        <w:rPr>
          <w:spacing w:val="-3"/>
          <w:szCs w:val="26"/>
        </w:rPr>
        <w:t xml:space="preserve">Deliver </w:t>
      </w:r>
      <w:r w:rsidRPr="0099404D">
        <w:rPr>
          <w:szCs w:val="26"/>
        </w:rPr>
        <w:t xml:space="preserve">a bursary </w:t>
      </w:r>
      <w:r w:rsidRPr="0099404D">
        <w:rPr>
          <w:spacing w:val="-3"/>
          <w:szCs w:val="26"/>
        </w:rPr>
        <w:t xml:space="preserve">programme, </w:t>
      </w:r>
      <w:r w:rsidRPr="0099404D">
        <w:rPr>
          <w:szCs w:val="26"/>
        </w:rPr>
        <w:t xml:space="preserve">as set out in the </w:t>
      </w:r>
      <w:r w:rsidRPr="0099404D">
        <w:rPr>
          <w:spacing w:val="-3"/>
          <w:szCs w:val="26"/>
        </w:rPr>
        <w:t xml:space="preserve">Action </w:t>
      </w:r>
      <w:r w:rsidRPr="0099404D">
        <w:rPr>
          <w:szCs w:val="26"/>
        </w:rPr>
        <w:t xml:space="preserve">Plan </w:t>
      </w:r>
      <w:r w:rsidRPr="0099404D">
        <w:rPr>
          <w:spacing w:val="-3"/>
          <w:szCs w:val="26"/>
        </w:rPr>
        <w:t xml:space="preserve">for Apprenticeship </w:t>
      </w:r>
      <w:r w:rsidRPr="0099404D">
        <w:rPr>
          <w:szCs w:val="26"/>
        </w:rPr>
        <w:t xml:space="preserve">2021-2025, to </w:t>
      </w:r>
      <w:r w:rsidRPr="0099404D">
        <w:rPr>
          <w:spacing w:val="-3"/>
          <w:szCs w:val="26"/>
        </w:rPr>
        <w:t xml:space="preserve">fund </w:t>
      </w:r>
      <w:r w:rsidRPr="0099404D">
        <w:rPr>
          <w:szCs w:val="26"/>
        </w:rPr>
        <w:t xml:space="preserve">up to 100 </w:t>
      </w:r>
      <w:r w:rsidRPr="0099404D">
        <w:rPr>
          <w:spacing w:val="-3"/>
          <w:szCs w:val="26"/>
        </w:rPr>
        <w:t xml:space="preserve">apprentices </w:t>
      </w:r>
      <w:r w:rsidRPr="0099404D">
        <w:rPr>
          <w:szCs w:val="26"/>
        </w:rPr>
        <w:t xml:space="preserve">per annum who </w:t>
      </w:r>
      <w:r w:rsidRPr="0099404D">
        <w:rPr>
          <w:spacing w:val="-4"/>
          <w:szCs w:val="26"/>
        </w:rPr>
        <w:t xml:space="preserve">are </w:t>
      </w:r>
      <w:r w:rsidRPr="0099404D">
        <w:rPr>
          <w:spacing w:val="-3"/>
          <w:szCs w:val="26"/>
        </w:rPr>
        <w:t xml:space="preserve">experiencing </w:t>
      </w:r>
      <w:r w:rsidRPr="0099404D">
        <w:rPr>
          <w:szCs w:val="26"/>
        </w:rPr>
        <w:t xml:space="preserve">socio-economic </w:t>
      </w:r>
      <w:r w:rsidRPr="0099404D">
        <w:rPr>
          <w:spacing w:val="-3"/>
          <w:szCs w:val="26"/>
        </w:rPr>
        <w:t xml:space="preserve">disadvantage </w:t>
      </w:r>
      <w:r w:rsidRPr="0099404D">
        <w:rPr>
          <w:szCs w:val="26"/>
        </w:rPr>
        <w:t xml:space="preserve">and who </w:t>
      </w:r>
      <w:r w:rsidRPr="0099404D">
        <w:rPr>
          <w:spacing w:val="-4"/>
          <w:szCs w:val="26"/>
        </w:rPr>
        <w:t xml:space="preserve">are from target </w:t>
      </w:r>
      <w:r w:rsidRPr="0099404D">
        <w:rPr>
          <w:spacing w:val="-3"/>
          <w:szCs w:val="26"/>
        </w:rPr>
        <w:t xml:space="preserve">groups, including </w:t>
      </w:r>
      <w:r w:rsidRPr="0099404D">
        <w:rPr>
          <w:szCs w:val="26"/>
        </w:rPr>
        <w:t xml:space="preserve">lone </w:t>
      </w:r>
      <w:r w:rsidRPr="0099404D">
        <w:rPr>
          <w:spacing w:val="-4"/>
          <w:szCs w:val="26"/>
        </w:rPr>
        <w:t xml:space="preserve">parents, </w:t>
      </w:r>
      <w:r w:rsidRPr="0099404D">
        <w:rPr>
          <w:spacing w:val="-3"/>
          <w:szCs w:val="26"/>
        </w:rPr>
        <w:t xml:space="preserve">people with </w:t>
      </w:r>
      <w:r w:rsidRPr="0099404D">
        <w:rPr>
          <w:szCs w:val="26"/>
        </w:rPr>
        <w:t xml:space="preserve">disabilities, </w:t>
      </w:r>
      <w:r w:rsidRPr="0099404D">
        <w:rPr>
          <w:spacing w:val="-6"/>
          <w:szCs w:val="26"/>
        </w:rPr>
        <w:t xml:space="preserve">Travellers </w:t>
      </w:r>
      <w:r w:rsidRPr="0099404D">
        <w:rPr>
          <w:szCs w:val="26"/>
        </w:rPr>
        <w:t>and</w:t>
      </w:r>
      <w:r w:rsidRPr="0099404D">
        <w:rPr>
          <w:spacing w:val="-4"/>
          <w:szCs w:val="26"/>
        </w:rPr>
        <w:t xml:space="preserve"> Roma.</w:t>
      </w:r>
    </w:p>
    <w:p w14:paraId="7E3A78AD" w14:textId="77777777" w:rsidR="0099404D" w:rsidRPr="0099404D" w:rsidRDefault="0099404D" w:rsidP="0099404D">
      <w:pPr>
        <w:pStyle w:val="ListParagraph"/>
        <w:numPr>
          <w:ilvl w:val="0"/>
          <w:numId w:val="24"/>
        </w:numPr>
        <w:rPr>
          <w:spacing w:val="-3"/>
          <w:szCs w:val="26"/>
        </w:rPr>
      </w:pPr>
      <w:r w:rsidRPr="0099404D">
        <w:rPr>
          <w:spacing w:val="-4"/>
          <w:szCs w:val="26"/>
        </w:rPr>
        <w:t xml:space="preserve">Developing </w:t>
      </w:r>
      <w:r w:rsidRPr="0099404D">
        <w:rPr>
          <w:spacing w:val="-3"/>
          <w:szCs w:val="26"/>
        </w:rPr>
        <w:t xml:space="preserve">‘Get </w:t>
      </w:r>
      <w:r w:rsidRPr="0099404D">
        <w:rPr>
          <w:spacing w:val="-5"/>
          <w:szCs w:val="26"/>
        </w:rPr>
        <w:t xml:space="preserve">Work </w:t>
      </w:r>
      <w:r w:rsidRPr="0099404D">
        <w:rPr>
          <w:spacing w:val="-4"/>
          <w:szCs w:val="26"/>
        </w:rPr>
        <w:t xml:space="preserve">Ready’ </w:t>
      </w:r>
      <w:r w:rsidRPr="0099404D">
        <w:rPr>
          <w:szCs w:val="26"/>
        </w:rPr>
        <w:t xml:space="preserve">work and </w:t>
      </w:r>
      <w:r w:rsidRPr="0099404D">
        <w:rPr>
          <w:spacing w:val="-3"/>
          <w:szCs w:val="26"/>
        </w:rPr>
        <w:t xml:space="preserve">transversal </w:t>
      </w:r>
      <w:r w:rsidRPr="0099404D">
        <w:rPr>
          <w:spacing w:val="-2"/>
          <w:szCs w:val="26"/>
        </w:rPr>
        <w:t xml:space="preserve">skills </w:t>
      </w:r>
      <w:r w:rsidRPr="0099404D">
        <w:rPr>
          <w:spacing w:val="-3"/>
          <w:szCs w:val="26"/>
        </w:rPr>
        <w:t xml:space="preserve">programmes </w:t>
      </w:r>
      <w:r w:rsidRPr="0099404D">
        <w:rPr>
          <w:szCs w:val="26"/>
        </w:rPr>
        <w:t xml:space="preserve">to be </w:t>
      </w:r>
      <w:r w:rsidRPr="0099404D">
        <w:rPr>
          <w:spacing w:val="-3"/>
          <w:szCs w:val="26"/>
        </w:rPr>
        <w:t xml:space="preserve">delivered </w:t>
      </w:r>
      <w:r w:rsidRPr="0099404D">
        <w:rPr>
          <w:szCs w:val="26"/>
        </w:rPr>
        <w:t xml:space="preserve">via the </w:t>
      </w:r>
      <w:r w:rsidRPr="0099404D">
        <w:rPr>
          <w:spacing w:val="-3"/>
          <w:szCs w:val="26"/>
        </w:rPr>
        <w:t xml:space="preserve">further education </w:t>
      </w:r>
      <w:r w:rsidRPr="0099404D">
        <w:rPr>
          <w:szCs w:val="26"/>
        </w:rPr>
        <w:t xml:space="preserve">and </w:t>
      </w:r>
      <w:r w:rsidRPr="0099404D">
        <w:rPr>
          <w:spacing w:val="-3"/>
          <w:szCs w:val="26"/>
        </w:rPr>
        <w:t>training sector</w:t>
      </w:r>
    </w:p>
    <w:p w14:paraId="0F017CF4" w14:textId="45DECF9F" w:rsidR="0099404D" w:rsidRPr="0099404D" w:rsidRDefault="0099404D" w:rsidP="0099404D">
      <w:pPr>
        <w:pStyle w:val="ListParagraph"/>
        <w:numPr>
          <w:ilvl w:val="0"/>
          <w:numId w:val="24"/>
        </w:numPr>
        <w:rPr>
          <w:szCs w:val="26"/>
        </w:rPr>
      </w:pPr>
      <w:r w:rsidRPr="0099404D">
        <w:rPr>
          <w:szCs w:val="26"/>
        </w:rPr>
        <w:t>Review the current long-term disability payment schemes with a view to removing inconsistencies/ anomalies and ensure that they recognise the continuum of disabilities and support employment.</w:t>
      </w:r>
    </w:p>
    <w:p w14:paraId="468D3067" w14:textId="1897B1FB" w:rsidR="0099404D" w:rsidRPr="0099404D" w:rsidRDefault="0099404D" w:rsidP="0099404D">
      <w:pPr>
        <w:pStyle w:val="ListParagraph"/>
        <w:numPr>
          <w:ilvl w:val="0"/>
          <w:numId w:val="24"/>
        </w:numPr>
        <w:autoSpaceDE w:val="0"/>
        <w:autoSpaceDN w:val="0"/>
        <w:adjustRightInd w:val="0"/>
        <w:rPr>
          <w:rFonts w:cs="Lato-Light"/>
          <w:color w:val="000000"/>
          <w:szCs w:val="26"/>
        </w:rPr>
      </w:pPr>
      <w:r w:rsidRPr="0099404D">
        <w:rPr>
          <w:rFonts w:cs="Lato-Light"/>
          <w:color w:val="000000"/>
          <w:szCs w:val="26"/>
        </w:rPr>
        <w:t>Offering high value financial incentives and supports to employers who hire people with disabilities, including through the Wage Subsidy and the Reasonable Accommodation Fund schemes.</w:t>
      </w:r>
    </w:p>
    <w:p w14:paraId="27373165" w14:textId="546ACBC2" w:rsidR="002B5B78" w:rsidRPr="001C2B59" w:rsidRDefault="0099404D" w:rsidP="00203839">
      <w:pPr>
        <w:pStyle w:val="ListParagraph"/>
        <w:numPr>
          <w:ilvl w:val="0"/>
          <w:numId w:val="24"/>
        </w:numPr>
        <w:rPr>
          <w:szCs w:val="26"/>
        </w:rPr>
      </w:pPr>
      <w:r w:rsidRPr="0099404D">
        <w:rPr>
          <w:rFonts w:cs="Lato-Light"/>
          <w:szCs w:val="26"/>
        </w:rPr>
        <w:t>The delivery of employment services to people with disabilities needs to be tailored to work for people who may have physical, communicative or cognitive challenges.</w:t>
      </w:r>
    </w:p>
    <w:p w14:paraId="37488ACD" w14:textId="6C2E1A8E" w:rsidR="00C56B9E" w:rsidRDefault="00203839">
      <w:pPr>
        <w:spacing w:after="0"/>
        <w:rPr>
          <w:szCs w:val="26"/>
        </w:rPr>
      </w:pPr>
      <w:r>
        <w:rPr>
          <w:szCs w:val="26"/>
        </w:rPr>
        <w:br w:type="page"/>
      </w:r>
    </w:p>
    <w:p w14:paraId="1743E6A9" w14:textId="6181EDE8" w:rsidR="00C56B9E" w:rsidRDefault="00C56B9E" w:rsidP="00C56B9E">
      <w:pPr>
        <w:pStyle w:val="Heading1"/>
      </w:pPr>
      <w:r>
        <w:t xml:space="preserve">Appendix 3; CES 5.1 </w:t>
      </w:r>
      <w:r>
        <w:rPr>
          <w:szCs w:val="26"/>
        </w:rPr>
        <w:t>seamless pathway to work</w:t>
      </w:r>
    </w:p>
    <w:p w14:paraId="306A07AD" w14:textId="2A96DB43" w:rsidR="00C56B9E" w:rsidRDefault="00C56B9E">
      <w:pPr>
        <w:spacing w:after="0"/>
        <w:rPr>
          <w:szCs w:val="26"/>
        </w:rPr>
      </w:pPr>
    </w:p>
    <w:p w14:paraId="7866550E" w14:textId="00523791" w:rsidR="00C56B9E" w:rsidRDefault="00C56B9E">
      <w:pPr>
        <w:spacing w:after="0"/>
        <w:rPr>
          <w:szCs w:val="26"/>
        </w:rPr>
      </w:pPr>
      <w:r>
        <w:rPr>
          <w:szCs w:val="26"/>
        </w:rPr>
        <w:t>Developing a seamless pathway to work for persons with a disabilities.</w:t>
      </w:r>
    </w:p>
    <w:p w14:paraId="09037126" w14:textId="2314EDFC" w:rsidR="00C56B9E" w:rsidRDefault="00C56B9E">
      <w:pPr>
        <w:spacing w:after="0"/>
        <w:rPr>
          <w:szCs w:val="26"/>
        </w:rPr>
      </w:pPr>
    </w:p>
    <w:p w14:paraId="1F98AF56" w14:textId="77777777" w:rsidR="00C56B9E" w:rsidRPr="00C56B9E" w:rsidRDefault="00C56B9E" w:rsidP="00C56B9E">
      <w:pPr>
        <w:spacing w:after="120"/>
        <w:rPr>
          <w:szCs w:val="26"/>
        </w:rPr>
      </w:pPr>
      <w:r w:rsidRPr="00C56B9E">
        <w:rPr>
          <w:szCs w:val="26"/>
        </w:rPr>
        <w:t>In the CES</w:t>
      </w:r>
      <w:r w:rsidRPr="00C56B9E">
        <w:rPr>
          <w:color w:val="FF0000"/>
          <w:szCs w:val="26"/>
        </w:rPr>
        <w:t xml:space="preserve"> </w:t>
      </w:r>
      <w:r w:rsidRPr="00C56B9E">
        <w:rPr>
          <w:szCs w:val="26"/>
        </w:rPr>
        <w:t>priority area 5 focused on the provision of public services in a co-ordinated and seamless manner. Action 5.1 required an interdepartmental working group</w:t>
      </w:r>
      <w:r w:rsidRPr="00C56B9E">
        <w:rPr>
          <w:rStyle w:val="FootnoteReference"/>
          <w:szCs w:val="26"/>
        </w:rPr>
        <w:footnoteReference w:id="70"/>
      </w:r>
      <w:r w:rsidRPr="00C56B9E">
        <w:rPr>
          <w:szCs w:val="26"/>
        </w:rPr>
        <w:t xml:space="preserve"> to work together to develop a coordinated policy approach that would assist individuals with high support needs to obtain and retain employment</w:t>
      </w:r>
      <w:r w:rsidRPr="00C56B9E">
        <w:rPr>
          <w:rStyle w:val="FootnoteReference"/>
          <w:szCs w:val="26"/>
        </w:rPr>
        <w:footnoteReference w:id="71"/>
      </w:r>
      <w:r w:rsidRPr="00C56B9E">
        <w:rPr>
          <w:szCs w:val="26"/>
        </w:rPr>
        <w:t>. In brief the outcome of this working group agreed the following</w:t>
      </w:r>
      <w:r w:rsidRPr="00C56B9E">
        <w:rPr>
          <w:rFonts w:ascii="Gill Sans" w:eastAsia="Times New Roman" w:hAnsi="Gill Sans" w:cs="Gill Sans"/>
          <w:szCs w:val="26"/>
        </w:rPr>
        <w:t>:</w:t>
      </w:r>
    </w:p>
    <w:p w14:paraId="3F8B3508" w14:textId="77777777" w:rsidR="00C56B9E" w:rsidRPr="00C56B9E" w:rsidRDefault="00C56B9E" w:rsidP="00C56B9E">
      <w:pPr>
        <w:pStyle w:val="ListParagraph"/>
        <w:numPr>
          <w:ilvl w:val="0"/>
          <w:numId w:val="25"/>
        </w:numPr>
        <w:autoSpaceDE w:val="0"/>
        <w:autoSpaceDN w:val="0"/>
        <w:adjustRightInd w:val="0"/>
        <w:contextualSpacing/>
        <w:rPr>
          <w:rFonts w:eastAsia="Times New Roman" w:cs="Gill Sans"/>
          <w:szCs w:val="26"/>
        </w:rPr>
      </w:pPr>
      <w:r w:rsidRPr="00C56B9E">
        <w:rPr>
          <w:rFonts w:eastAsia="Times New Roman" w:cs="Gill Sans"/>
          <w:szCs w:val="26"/>
        </w:rPr>
        <w:t xml:space="preserve">The Intreo service – </w:t>
      </w:r>
      <w:r w:rsidRPr="00C56B9E">
        <w:rPr>
          <w:color w:val="000000"/>
          <w:szCs w:val="26"/>
          <w:lang w:eastAsia="en-IE"/>
        </w:rPr>
        <w:t>is a single point of contact for all employment and income supports and is part of the Department of Social Protection</w:t>
      </w:r>
      <w:r w:rsidRPr="00C56B9E">
        <w:rPr>
          <w:rStyle w:val="FootnoteReference"/>
          <w:color w:val="000000"/>
          <w:szCs w:val="26"/>
          <w:lang w:eastAsia="en-IE"/>
        </w:rPr>
        <w:footnoteReference w:id="72"/>
      </w:r>
      <w:r w:rsidRPr="00C56B9E">
        <w:rPr>
          <w:rFonts w:eastAsia="Times New Roman" w:cs="Gill Sans"/>
          <w:szCs w:val="26"/>
        </w:rPr>
        <w:t xml:space="preserve"> - will be the primary gateway or access point to employment supports, but it may need to refer those with higher support needs to the relevant support area for training or employment supports. </w:t>
      </w:r>
    </w:p>
    <w:p w14:paraId="5A7E55FC" w14:textId="77777777" w:rsidR="00C56B9E" w:rsidRPr="00C56B9E" w:rsidRDefault="00C56B9E" w:rsidP="00C56B9E">
      <w:pPr>
        <w:pStyle w:val="ListParagraph"/>
        <w:numPr>
          <w:ilvl w:val="0"/>
          <w:numId w:val="25"/>
        </w:numPr>
        <w:autoSpaceDE w:val="0"/>
        <w:autoSpaceDN w:val="0"/>
        <w:adjustRightInd w:val="0"/>
        <w:contextualSpacing/>
        <w:rPr>
          <w:rFonts w:ascii="Gill Sans" w:eastAsia="Times New Roman" w:hAnsi="Gill Sans" w:cs="Gill Sans"/>
          <w:szCs w:val="26"/>
        </w:rPr>
      </w:pPr>
      <w:r w:rsidRPr="00C56B9E">
        <w:rPr>
          <w:rFonts w:eastAsia="Times New Roman" w:cs="Gill Sans"/>
          <w:szCs w:val="26"/>
        </w:rPr>
        <w:t>For those people with higher support needs complementary</w:t>
      </w:r>
      <w:r w:rsidRPr="00C56B9E">
        <w:rPr>
          <w:rFonts w:ascii="Gill Sans" w:eastAsia="Times New Roman" w:hAnsi="Gill Sans" w:cs="Gill Sans"/>
          <w:szCs w:val="26"/>
        </w:rPr>
        <w:t xml:space="preserve"> employment support services such as a fully accessible supported employment service may need to be developed, and this will be informed by research and the outcome of a project trialling an approach with specific target groups. </w:t>
      </w:r>
    </w:p>
    <w:p w14:paraId="3BB59BD5" w14:textId="77777777" w:rsidR="00C56B9E" w:rsidRPr="00C56B9E" w:rsidRDefault="00C56B9E" w:rsidP="00C56B9E">
      <w:pPr>
        <w:pStyle w:val="ListParagraph"/>
        <w:numPr>
          <w:ilvl w:val="0"/>
          <w:numId w:val="25"/>
        </w:numPr>
        <w:autoSpaceDE w:val="0"/>
        <w:autoSpaceDN w:val="0"/>
        <w:adjustRightInd w:val="0"/>
        <w:contextualSpacing/>
        <w:rPr>
          <w:rFonts w:ascii="Gill Sans" w:eastAsia="Times New Roman" w:hAnsi="Gill Sans" w:cs="Gill Sans"/>
          <w:szCs w:val="26"/>
        </w:rPr>
      </w:pPr>
      <w:r w:rsidRPr="00C56B9E">
        <w:rPr>
          <w:rFonts w:ascii="Gill Sans" w:eastAsia="Times New Roman" w:hAnsi="Gill Sans" w:cs="Gill Sans"/>
          <w:szCs w:val="26"/>
        </w:rPr>
        <w:t xml:space="preserve">In order to develop a coordinated approach to pre-activation, or preparation for work, learning from the Ability projects, aimed at fostering innovative practices in pre-activation, will be evaluated for future implementation at scale. </w:t>
      </w:r>
    </w:p>
    <w:p w14:paraId="41281AD0" w14:textId="77777777" w:rsidR="00C56B9E" w:rsidRPr="00C56B9E" w:rsidRDefault="00C56B9E" w:rsidP="00C56B9E">
      <w:pPr>
        <w:pStyle w:val="ListParagraph"/>
        <w:numPr>
          <w:ilvl w:val="0"/>
          <w:numId w:val="25"/>
        </w:numPr>
        <w:contextualSpacing/>
        <w:rPr>
          <w:rFonts w:ascii="Gill Sans" w:eastAsia="Times New Roman" w:hAnsi="Gill Sans"/>
        </w:rPr>
      </w:pPr>
      <w:r w:rsidRPr="00C56B9E">
        <w:rPr>
          <w:rFonts w:ascii="Gill Sans" w:eastAsia="Times New Roman" w:hAnsi="Gill Sans" w:cs="Gill Sans"/>
          <w:szCs w:val="26"/>
        </w:rPr>
        <w:t xml:space="preserve">Standardised and over-arching protocols between bodies at both national and local level will be developed to ensure the relevant systems can interface efficiently to maintain the seamless nature of the supports required – particularly at transition points.  </w:t>
      </w:r>
      <w:r w:rsidRPr="00C56B9E">
        <w:rPr>
          <w:rFonts w:ascii="Gill Sans" w:eastAsia="Times New Roman" w:hAnsi="Gill Sans"/>
        </w:rPr>
        <w:t>Effective protocols between the relevant agencies will need to be in place so there is clarity on roles and responsibilities, to support referrals and ensure supports can be delivered in a coordinated and effective manner both now and in the future.</w:t>
      </w:r>
    </w:p>
    <w:p w14:paraId="3A996EA3" w14:textId="77777777" w:rsidR="00C56B9E" w:rsidRPr="00C56B9E" w:rsidRDefault="00C56B9E" w:rsidP="00C56B9E">
      <w:pPr>
        <w:pStyle w:val="ListParagraph"/>
        <w:numPr>
          <w:ilvl w:val="0"/>
          <w:numId w:val="25"/>
        </w:numPr>
        <w:autoSpaceDE w:val="0"/>
        <w:autoSpaceDN w:val="0"/>
        <w:adjustRightInd w:val="0"/>
        <w:contextualSpacing/>
        <w:rPr>
          <w:rFonts w:ascii="Gill Sans" w:eastAsia="Times New Roman" w:hAnsi="Gill Sans" w:cs="Gill Sans"/>
          <w:szCs w:val="26"/>
        </w:rPr>
      </w:pPr>
      <w:r w:rsidRPr="00C56B9E">
        <w:rPr>
          <w:rFonts w:ascii="Gill Sans" w:eastAsia="Times New Roman" w:hAnsi="Gill Sans" w:cs="Gill Sans"/>
          <w:szCs w:val="26"/>
        </w:rPr>
        <w:t>This includes, for example, referrals from the national employment service, Intreo, to education and training bodies, from HSE to the national employment service, and from any complementary support service developed in the future to education or HSE support providers.</w:t>
      </w:r>
    </w:p>
    <w:p w14:paraId="2B362B39" w14:textId="77777777" w:rsidR="00C56B9E" w:rsidRPr="00C56B9E" w:rsidRDefault="00C56B9E" w:rsidP="00C56B9E">
      <w:pPr>
        <w:pStyle w:val="ListParagraph"/>
        <w:numPr>
          <w:ilvl w:val="0"/>
          <w:numId w:val="25"/>
        </w:numPr>
        <w:autoSpaceDE w:val="0"/>
        <w:autoSpaceDN w:val="0"/>
        <w:adjustRightInd w:val="0"/>
        <w:contextualSpacing/>
        <w:rPr>
          <w:rFonts w:ascii="Gill Sans" w:eastAsia="Times New Roman" w:hAnsi="Gill Sans" w:cs="Gill Sans"/>
          <w:szCs w:val="26"/>
        </w:rPr>
      </w:pPr>
      <w:r w:rsidRPr="00C56B9E">
        <w:rPr>
          <w:rFonts w:ascii="Gill Sans" w:eastAsia="Times New Roman" w:hAnsi="Gill Sans" w:cs="Gill Sans"/>
          <w:szCs w:val="26"/>
        </w:rPr>
        <w:t>These protocols will be supported by shared communications approaches across relevant departments and agencies.</w:t>
      </w:r>
    </w:p>
    <w:p w14:paraId="7DDCAC66" w14:textId="5AF77CDC" w:rsidR="00C56B9E" w:rsidRDefault="00C56B9E">
      <w:pPr>
        <w:spacing w:after="0"/>
        <w:rPr>
          <w:szCs w:val="26"/>
        </w:rPr>
      </w:pPr>
    </w:p>
    <w:p w14:paraId="68E4609F" w14:textId="548FC1A8" w:rsidR="001C2B59" w:rsidRDefault="001C2B59">
      <w:pPr>
        <w:spacing w:after="0"/>
        <w:rPr>
          <w:szCs w:val="26"/>
        </w:rPr>
      </w:pPr>
      <w:r>
        <w:rPr>
          <w:szCs w:val="26"/>
        </w:rPr>
        <w:br w:type="page"/>
      </w:r>
    </w:p>
    <w:p w14:paraId="22CD4D3A" w14:textId="77777777" w:rsidR="00E71396" w:rsidRDefault="00C4171E" w:rsidP="00C4171E">
      <w:pPr>
        <w:pStyle w:val="Heading1"/>
      </w:pPr>
      <w:r>
        <w:t>Additional reference material</w:t>
      </w:r>
    </w:p>
    <w:p w14:paraId="7747984B" w14:textId="5340DAE1" w:rsidR="00C4171E" w:rsidRDefault="00C4171E" w:rsidP="00072B4C">
      <w:r w:rsidRPr="00072B4C">
        <w:t xml:space="preserve">A Research Evaluation of an Acquired Brain Injury-Specific Vocational Rehabilitation Programme (Work4You) Serving the Border, Midlands, and Western Regions of Ireland Professor Donal G, </w:t>
      </w:r>
      <w:r w:rsidR="0058538F" w:rsidRPr="00072B4C">
        <w:t>Fortune BSc (Hons), Clin, PsyD</w:t>
      </w:r>
      <w:r w:rsidRPr="00072B4C">
        <w:t>, Ph.D.</w:t>
      </w:r>
    </w:p>
    <w:p w14:paraId="7A19BE08" w14:textId="27008160" w:rsidR="005F7676" w:rsidRDefault="005F7676" w:rsidP="00072B4C">
      <w:r w:rsidRPr="00072B4C">
        <w:t>BSRM Standards for Rehabilitation Services Mapped to the National Service Framework for Long-Term Conditions, British Society for Rehabilitation Medicine 2009</w:t>
      </w:r>
      <w:r>
        <w:t xml:space="preserve"> </w:t>
      </w:r>
    </w:p>
    <w:p w14:paraId="5970094E" w14:textId="65332411" w:rsidR="005F7676" w:rsidRPr="00072B4C" w:rsidRDefault="005F7676" w:rsidP="00072B4C">
      <w:pPr>
        <w:rPr>
          <w:lang w:eastAsia="en-GB"/>
        </w:rPr>
      </w:pPr>
      <w:r w:rsidRPr="00072B4C">
        <w:rPr>
          <w:lang w:eastAsia="en-GB"/>
        </w:rPr>
        <w:t>Developing individualised occupational therapy programmes to overcome barriers faced by people with arthritis in accessing, rem</w:t>
      </w:r>
      <w:r>
        <w:rPr>
          <w:lang w:eastAsia="en-GB"/>
        </w:rPr>
        <w:t>aining in or returning to work.</w:t>
      </w:r>
    </w:p>
    <w:p w14:paraId="1913DB51" w14:textId="77777777" w:rsidR="005F7676" w:rsidRPr="00072B4C" w:rsidRDefault="005F7676" w:rsidP="005F7676">
      <w:r w:rsidRPr="00072B4C">
        <w:t>Feedback to National Disability Authority, Policy advice on a national programme for vocational rehabilitation.</w:t>
      </w:r>
      <w:r>
        <w:t xml:space="preserve"> </w:t>
      </w:r>
      <w:r w:rsidRPr="00072B4C">
        <w:t>Additional Notes, Acquired Brain Injury, 2017.</w:t>
      </w:r>
    </w:p>
    <w:p w14:paraId="6D17E1C0" w14:textId="195C4FB0" w:rsidR="005F7676" w:rsidRDefault="005F7676" w:rsidP="005F7676">
      <w:r w:rsidRPr="00072B4C">
        <w:t>Fit for Work Seminar, The New Landscape, Dame Carol Black, UK National Director for Health and Work 2011</w:t>
      </w:r>
    </w:p>
    <w:p w14:paraId="0569BFF9" w14:textId="5982804E" w:rsidR="005F7676" w:rsidRDefault="00A76C35" w:rsidP="005F7676">
      <w:pPr>
        <w:rPr>
          <w:u w:val="single"/>
        </w:rPr>
      </w:pPr>
      <w:hyperlink r:id="rId14" w:history="1">
        <w:r w:rsidR="005F7676" w:rsidRPr="00072B4C">
          <w:rPr>
            <w:u w:val="single"/>
          </w:rPr>
          <w:t>http://www.fitforworkeurope.eu/Website-Documents/ffw_Ireland311009.pdf</w:t>
        </w:r>
      </w:hyperlink>
    </w:p>
    <w:p w14:paraId="7E8123B9" w14:textId="08A41FB3" w:rsidR="005F7676" w:rsidRPr="005F7676" w:rsidRDefault="005F7676" w:rsidP="005F7676">
      <w:pPr>
        <w:rPr>
          <w:rFonts w:cstheme="minorHAnsi"/>
        </w:rPr>
      </w:pPr>
      <w:r w:rsidRPr="00072B4C">
        <w:rPr>
          <w:rFonts w:cstheme="minorHAnsi"/>
        </w:rPr>
        <w:t>Gannon and Nolan (2006) Dynamics of disability and social inclusion. Dublin</w:t>
      </w:r>
      <w:r>
        <w:rPr>
          <w:rFonts w:cstheme="minorHAnsi"/>
        </w:rPr>
        <w:t>: National Disability Authority</w:t>
      </w:r>
    </w:p>
    <w:p w14:paraId="27FCE3CE" w14:textId="13AB195B" w:rsidR="005F7676" w:rsidRDefault="005F7676" w:rsidP="00072B4C">
      <w:r w:rsidRPr="00072B4C">
        <w:t xml:space="preserve">Global </w:t>
      </w:r>
      <w:r>
        <w:t>trends in disability IHME, 2017</w:t>
      </w:r>
    </w:p>
    <w:p w14:paraId="25F866D1" w14:textId="1F9B43D2" w:rsidR="00447CFA" w:rsidRDefault="00447CFA" w:rsidP="00072B4C">
      <w:r>
        <w:t xml:space="preserve">Pathways to Work 2021 to 2025 Government of Ireland   </w:t>
      </w:r>
      <w:r w:rsidRPr="00447CFA">
        <w:t>https://www.gov.ie/en/publication/1feaf-pathways-to-work-2021/</w:t>
      </w:r>
    </w:p>
    <w:p w14:paraId="7679CDBF" w14:textId="25086E30" w:rsidR="00C4171E" w:rsidRDefault="00C4171E" w:rsidP="00072B4C">
      <w:r w:rsidRPr="00072B4C">
        <w:t>Vocational Rehabilitation, Programme Policy Manual, Department of Workforce Development, USA 2017</w:t>
      </w:r>
    </w:p>
    <w:p w14:paraId="60ADB4AF" w14:textId="77777777" w:rsidR="005F7676" w:rsidRPr="00072B4C" w:rsidRDefault="005F7676" w:rsidP="005F7676">
      <w:r w:rsidRPr="00072B4C">
        <w:t>Vocational rehabilitation and work resumption.</w:t>
      </w:r>
      <w:r>
        <w:t xml:space="preserve"> </w:t>
      </w:r>
      <w:r w:rsidRPr="00072B4C">
        <w:t>A review of the literature, Stress Impact Nadia Clarkin, Richard Wynne, Work Research Centre, Dublin, 2003</w:t>
      </w:r>
    </w:p>
    <w:p w14:paraId="091CA9F5" w14:textId="34EC528D" w:rsidR="0096497C" w:rsidRPr="00072B4C" w:rsidRDefault="00A76C35" w:rsidP="00072B4C">
      <w:hyperlink r:id="rId15" w:history="1">
        <w:r w:rsidR="0096497C" w:rsidRPr="00072B4C">
          <w:rPr>
            <w:u w:val="single"/>
          </w:rPr>
          <w:t>http://www.fitforworkeurope.eu/Website-Documents/ffw_Ireland311009.pdf</w:t>
        </w:r>
      </w:hyperlink>
    </w:p>
    <w:p w14:paraId="2C5E379C" w14:textId="79F51E17" w:rsidR="005F7676" w:rsidRDefault="0078198B" w:rsidP="005F7676">
      <w:pPr>
        <w:rPr>
          <w:lang w:eastAsia="en-GB"/>
        </w:rPr>
      </w:pPr>
      <w:r w:rsidRPr="00072B4C">
        <w:rPr>
          <w:rFonts w:cstheme="minorHAnsi"/>
        </w:rPr>
        <w:t>Watson et al (2017) Employment transitions among people with a disability in Ireland: an analysis of the Quarterly National Household Survey, 2010-2015</w:t>
      </w:r>
      <w:r w:rsidR="00B31FD0">
        <w:rPr>
          <w:rFonts w:cstheme="minorHAnsi"/>
        </w:rPr>
        <w:t xml:space="preserve"> </w:t>
      </w:r>
      <w:r w:rsidRPr="00072B4C">
        <w:rPr>
          <w:rFonts w:cstheme="minorHAnsi"/>
        </w:rPr>
        <w:t>https://www.esri.ie/publications/employment-transitions-among-people-with-a-disabilit</w:t>
      </w:r>
      <w:r w:rsidR="00C56B9E">
        <w:rPr>
          <w:rFonts w:cstheme="minorHAnsi"/>
        </w:rPr>
        <w:t>y-in-ireland-an-analysis-of-the</w:t>
      </w:r>
    </w:p>
    <w:p w14:paraId="5B8FB975" w14:textId="14C0A489" w:rsidR="0078198B" w:rsidRPr="00C56B9E" w:rsidRDefault="005F7676" w:rsidP="00072B4C">
      <w:pPr>
        <w:rPr>
          <w:lang w:eastAsia="en-GB"/>
        </w:rPr>
      </w:pPr>
      <w:r w:rsidRPr="00072B4C">
        <w:rPr>
          <w:lang w:eastAsia="en-GB"/>
        </w:rPr>
        <w:t>Working with Arthritis: Strategies and Solutions</w:t>
      </w:r>
      <w:r>
        <w:rPr>
          <w:lang w:eastAsia="en-GB"/>
        </w:rPr>
        <w:t xml:space="preserve">: </w:t>
      </w:r>
      <w:r w:rsidRPr="00072B4C">
        <w:rPr>
          <w:lang w:eastAsia="en-GB"/>
        </w:rPr>
        <w:t xml:space="preserve">University </w:t>
      </w:r>
      <w:r w:rsidR="00C56B9E">
        <w:rPr>
          <w:lang w:eastAsia="en-GB"/>
        </w:rPr>
        <w:t>of Limerick / Arthritis Ireland</w:t>
      </w:r>
    </w:p>
    <w:p w14:paraId="33CAA67B" w14:textId="77777777" w:rsidR="00487A6B" w:rsidRPr="00072B4C" w:rsidRDefault="00487A6B" w:rsidP="00072B4C">
      <w:r w:rsidRPr="00072B4C">
        <w:rPr>
          <w:rFonts w:cs="Arial"/>
          <w:bCs/>
        </w:rPr>
        <w:t>WRC Social and Economic Consultants (2008) Research Report on Acquired Disability and Employment. Dublin: Department of Enterprise Trade and Employment</w:t>
      </w:r>
    </w:p>
    <w:p w14:paraId="37D8E6E2" w14:textId="77777777" w:rsidR="00016518" w:rsidRPr="00AD7C8D" w:rsidRDefault="00016518" w:rsidP="00AD7C8D">
      <w:pPr>
        <w:spacing w:after="0"/>
        <w:rPr>
          <w:rFonts w:asciiTheme="minorHAnsi" w:hAnsiTheme="minorHAnsi" w:cstheme="minorHAnsi"/>
          <w:sz w:val="22"/>
          <w:szCs w:val="22"/>
        </w:rPr>
      </w:pPr>
    </w:p>
    <w:sectPr w:rsidR="00016518" w:rsidRPr="00AD7C8D" w:rsidSect="00672B9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1A04" w14:textId="77777777" w:rsidR="001E0A43" w:rsidRDefault="001E0A43">
      <w:r>
        <w:separator/>
      </w:r>
    </w:p>
  </w:endnote>
  <w:endnote w:type="continuationSeparator" w:id="0">
    <w:p w14:paraId="67D3F037" w14:textId="77777777" w:rsidR="001E0A43" w:rsidRDefault="001E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Light">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36261"/>
      <w:docPartObj>
        <w:docPartGallery w:val="Page Numbers (Bottom of Page)"/>
        <w:docPartUnique/>
      </w:docPartObj>
    </w:sdtPr>
    <w:sdtEndPr>
      <w:rPr>
        <w:noProof/>
      </w:rPr>
    </w:sdtEndPr>
    <w:sdtContent>
      <w:p w14:paraId="48B60965" w14:textId="7FDBA214" w:rsidR="001E0A43" w:rsidRDefault="001E0A43">
        <w:pPr>
          <w:pStyle w:val="Footer"/>
          <w:jc w:val="center"/>
        </w:pPr>
        <w:r>
          <w:fldChar w:fldCharType="begin"/>
        </w:r>
        <w:r>
          <w:instrText xml:space="preserve"> PAGE   \* MERGEFORMAT </w:instrText>
        </w:r>
        <w:r>
          <w:fldChar w:fldCharType="separate"/>
        </w:r>
        <w:r w:rsidR="00A76C35">
          <w:rPr>
            <w:noProof/>
          </w:rPr>
          <w:t>1</w:t>
        </w:r>
        <w:r>
          <w:rPr>
            <w:noProof/>
          </w:rPr>
          <w:fldChar w:fldCharType="end"/>
        </w:r>
      </w:p>
    </w:sdtContent>
  </w:sdt>
  <w:p w14:paraId="0A933253" w14:textId="77777777" w:rsidR="001E0A43" w:rsidRDefault="001E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FEDC3" w14:textId="77777777" w:rsidR="001E0A43" w:rsidRDefault="001E0A43">
      <w:r>
        <w:separator/>
      </w:r>
    </w:p>
  </w:footnote>
  <w:footnote w:type="continuationSeparator" w:id="0">
    <w:p w14:paraId="6194F6F3" w14:textId="77777777" w:rsidR="001E0A43" w:rsidRDefault="001E0A43">
      <w:r>
        <w:continuationSeparator/>
      </w:r>
    </w:p>
  </w:footnote>
  <w:footnote w:id="1">
    <w:p w14:paraId="5BD42A18" w14:textId="4EDBA1C9" w:rsidR="001E0A43" w:rsidRPr="006F361B" w:rsidRDefault="001E0A43" w:rsidP="00C70556">
      <w:pPr>
        <w:spacing w:after="0"/>
        <w:rPr>
          <w:sz w:val="22"/>
          <w:szCs w:val="22"/>
        </w:rPr>
      </w:pPr>
      <w:r>
        <w:rPr>
          <w:rStyle w:val="FootnoteReference"/>
          <w:rFonts w:hint="eastAsia"/>
        </w:rPr>
        <w:footnoteRef/>
      </w:r>
      <w:r>
        <w:t xml:space="preserve"> </w:t>
      </w:r>
      <w:r w:rsidRPr="006F361B">
        <w:rPr>
          <w:sz w:val="22"/>
          <w:szCs w:val="22"/>
        </w:rPr>
        <w:t>This advice paper submitted to the Minister of State for Disability fulfils NDA commitments under the Comprehensive Employment Strategy for People with Disabilities 2015 to 2024 and the National Disability Inclusion Strategy 2017 to 2021</w:t>
      </w:r>
      <w:r>
        <w:rPr>
          <w:sz w:val="22"/>
          <w:szCs w:val="22"/>
        </w:rPr>
        <w:t xml:space="preserve"> (Action X)</w:t>
      </w:r>
      <w:r w:rsidRPr="006F361B">
        <w:rPr>
          <w:sz w:val="22"/>
          <w:szCs w:val="22"/>
        </w:rPr>
        <w:t xml:space="preserve">. </w:t>
      </w:r>
    </w:p>
  </w:footnote>
  <w:footnote w:id="2">
    <w:p w14:paraId="755FBEE5" w14:textId="77777777" w:rsidR="001E0A43" w:rsidRPr="006F361B" w:rsidRDefault="001E0A43" w:rsidP="00C70556">
      <w:pPr>
        <w:pStyle w:val="FootnoteText"/>
        <w:spacing w:after="0"/>
        <w:rPr>
          <w:rFonts w:cstheme="minorHAnsi"/>
          <w:sz w:val="22"/>
          <w:szCs w:val="22"/>
        </w:rPr>
      </w:pPr>
      <w:r w:rsidRPr="006F361B">
        <w:rPr>
          <w:rStyle w:val="FootnoteReference"/>
          <w:rFonts w:ascii="Gill Sans MT" w:hAnsi="Gill Sans MT" w:cstheme="minorHAnsi"/>
          <w:szCs w:val="22"/>
        </w:rPr>
        <w:footnoteRef/>
      </w:r>
      <w:r w:rsidRPr="006F361B">
        <w:rPr>
          <w:rFonts w:cstheme="minorHAnsi"/>
          <w:sz w:val="22"/>
          <w:szCs w:val="22"/>
        </w:rPr>
        <w:t xml:space="preserve"> OECD (2010) Sickness, Disability and Work: Breaking the Barriers - A synthesis of findings across OECD countries. </w:t>
      </w:r>
      <w:hyperlink r:id="rId1" w:history="1">
        <w:r w:rsidRPr="006F361B">
          <w:rPr>
            <w:rStyle w:val="Hyperlink"/>
            <w:rFonts w:cstheme="minorHAnsi"/>
            <w:sz w:val="22"/>
            <w:szCs w:val="22"/>
          </w:rPr>
          <w:t>https://www.oecd.org/els/soc/46488022.pdf</w:t>
        </w:r>
      </w:hyperlink>
    </w:p>
  </w:footnote>
  <w:footnote w:id="3">
    <w:p w14:paraId="26204B64" w14:textId="777DA929" w:rsidR="001E0A43" w:rsidRDefault="001E0A43">
      <w:pPr>
        <w:pStyle w:val="FootnoteText"/>
      </w:pPr>
      <w:r>
        <w:rPr>
          <w:rStyle w:val="FootnoteReference"/>
        </w:rPr>
        <w:footnoteRef/>
      </w:r>
      <w:r>
        <w:t xml:space="preserve"> NDA consultation 2021</w:t>
      </w:r>
    </w:p>
  </w:footnote>
  <w:footnote w:id="4">
    <w:p w14:paraId="752B51C5" w14:textId="77777777" w:rsidR="001E0A43" w:rsidRPr="00094933" w:rsidRDefault="001E0A43" w:rsidP="00317F4A">
      <w:pPr>
        <w:spacing w:after="80"/>
        <w:rPr>
          <w:sz w:val="22"/>
          <w:szCs w:val="22"/>
        </w:rPr>
      </w:pPr>
      <w:r w:rsidRPr="00094933">
        <w:rPr>
          <w:rStyle w:val="FootnoteReference"/>
          <w:szCs w:val="22"/>
        </w:rPr>
        <w:footnoteRef/>
      </w:r>
      <w:r w:rsidRPr="00094933">
        <w:rPr>
          <w:sz w:val="22"/>
          <w:szCs w:val="22"/>
        </w:rPr>
        <w:t xml:space="preserve"> OCWP (2007) </w:t>
      </w:r>
      <w:r w:rsidRPr="00094933">
        <w:rPr>
          <w:b/>
          <w:sz w:val="22"/>
          <w:szCs w:val="22"/>
        </w:rPr>
        <w:t>OWCP Procedure Manual Part 3 – Rehabilitation</w:t>
      </w:r>
      <w:r w:rsidRPr="00094933">
        <w:rPr>
          <w:sz w:val="22"/>
          <w:szCs w:val="22"/>
        </w:rPr>
        <w:t xml:space="preserve">. Washington – DC, US: Office of Workers’ Compensation, US Department of Labour. Retrieved (24/08/2015) from: </w:t>
      </w:r>
      <w:hyperlink r:id="rId2" w:history="1">
        <w:r w:rsidRPr="00094933">
          <w:rPr>
            <w:sz w:val="22"/>
            <w:szCs w:val="22"/>
          </w:rPr>
          <w:t>http://www.dol.gov/owcp/procedure-manual/rehab.pdf</w:t>
        </w:r>
      </w:hyperlink>
      <w:r w:rsidRPr="00094933">
        <w:rPr>
          <w:sz w:val="22"/>
          <w:szCs w:val="22"/>
        </w:rPr>
        <w:t xml:space="preserve"> </w:t>
      </w:r>
    </w:p>
    <w:p w14:paraId="19ECF911" w14:textId="77777777" w:rsidR="001E0A43" w:rsidRPr="00094933" w:rsidRDefault="001E0A43" w:rsidP="00317F4A">
      <w:pPr>
        <w:spacing w:after="80"/>
        <w:rPr>
          <w:sz w:val="22"/>
          <w:szCs w:val="22"/>
        </w:rPr>
      </w:pPr>
      <w:r w:rsidRPr="00094933">
        <w:rPr>
          <w:sz w:val="22"/>
          <w:szCs w:val="22"/>
        </w:rPr>
        <w:t xml:space="preserve">Chamberlain, M. A, Fialka-Moser, V., Schüldt-Ekholm, K., O’Connor, R. J., Herceg, M. &amp; Ekholm, J. (2009) ‘Vocational Rehabilitation: An Educational Review’, </w:t>
      </w:r>
      <w:r w:rsidRPr="00094933">
        <w:rPr>
          <w:b/>
          <w:sz w:val="22"/>
          <w:szCs w:val="22"/>
        </w:rPr>
        <w:t>Journal of Rehabilitation Medicine</w:t>
      </w:r>
      <w:r w:rsidRPr="00094933">
        <w:rPr>
          <w:sz w:val="22"/>
          <w:szCs w:val="22"/>
        </w:rPr>
        <w:t xml:space="preserve">, 41, pp. 856–869. Retrieved (24/08/2015) from: </w:t>
      </w:r>
      <w:hyperlink r:id="rId3" w:history="1">
        <w:r w:rsidRPr="00094933">
          <w:rPr>
            <w:sz w:val="22"/>
            <w:szCs w:val="22"/>
          </w:rPr>
          <w:t>http://www.medicaljournals.se/jrm/content/?doi=10.2340/16501977-0457&amp;html=1</w:t>
        </w:r>
      </w:hyperlink>
      <w:r w:rsidRPr="00094933">
        <w:rPr>
          <w:sz w:val="22"/>
          <w:szCs w:val="22"/>
        </w:rPr>
        <w:t xml:space="preserve"> </w:t>
      </w:r>
    </w:p>
    <w:p w14:paraId="331BB673" w14:textId="77777777" w:rsidR="001E0A43" w:rsidRPr="00FB3D36" w:rsidRDefault="001E0A43" w:rsidP="00317F4A">
      <w:pPr>
        <w:pStyle w:val="FootnoteText"/>
        <w:rPr>
          <w:sz w:val="22"/>
          <w:szCs w:val="22"/>
        </w:rPr>
      </w:pPr>
      <w:r w:rsidRPr="00094933">
        <w:rPr>
          <w:sz w:val="22"/>
          <w:szCs w:val="22"/>
        </w:rPr>
        <w:t xml:space="preserve">Casey, P. &amp; Cameron, I. (2014) </w:t>
      </w:r>
      <w:r w:rsidRPr="00094933">
        <w:rPr>
          <w:b/>
          <w:sz w:val="22"/>
          <w:szCs w:val="22"/>
        </w:rPr>
        <w:t>Principles of Best Practice in Occupational Rehabilitation for AIA Australia</w:t>
      </w:r>
      <w:r w:rsidRPr="00094933">
        <w:rPr>
          <w:sz w:val="22"/>
          <w:szCs w:val="22"/>
        </w:rPr>
        <w:t xml:space="preserve">. Melbourne, AUS: AIA Australia. Retrieved (24/08/2015) from: </w:t>
      </w:r>
      <w:hyperlink r:id="rId4" w:history="1">
        <w:r w:rsidRPr="00094933">
          <w:rPr>
            <w:sz w:val="22"/>
            <w:szCs w:val="22"/>
          </w:rPr>
          <w:t>http://www.aia.com.au/en/resources/3b9ba88044c4d35380b1f40af27d2d40/Occ_rehab_best_practice_framework_0714.pdf</w:t>
        </w:r>
      </w:hyperlink>
    </w:p>
  </w:footnote>
  <w:footnote w:id="5">
    <w:p w14:paraId="4933393C" w14:textId="77777777" w:rsidR="001E0A43" w:rsidRDefault="001E0A43" w:rsidP="00200229">
      <w:pPr>
        <w:spacing w:after="0"/>
        <w:rPr>
          <w:sz w:val="22"/>
          <w:szCs w:val="22"/>
          <w:lang w:val="en-US"/>
        </w:rPr>
      </w:pPr>
      <w:r>
        <w:rPr>
          <w:rStyle w:val="FootnoteReference"/>
        </w:rPr>
        <w:footnoteRef/>
      </w:r>
      <w:r>
        <w:t xml:space="preserve"> </w:t>
      </w:r>
      <w:r w:rsidRPr="00361A25">
        <w:rPr>
          <w:sz w:val="22"/>
          <w:szCs w:val="22"/>
        </w:rPr>
        <w:t xml:space="preserve">Article 26 covers the </w:t>
      </w:r>
      <w:r w:rsidRPr="00361A25">
        <w:rPr>
          <w:sz w:val="22"/>
          <w:szCs w:val="22"/>
          <w:lang w:val="en-US"/>
        </w:rPr>
        <w:t xml:space="preserve">promotion of vocational and professional rehabilitation, job retention and return-to-work programmes for persons with disabilities. </w:t>
      </w:r>
    </w:p>
    <w:p w14:paraId="4D279C5F" w14:textId="77777777" w:rsidR="001E0A43" w:rsidRPr="00200229" w:rsidRDefault="001E0A43" w:rsidP="00200229">
      <w:pPr>
        <w:pStyle w:val="FootnoteText"/>
        <w:rPr>
          <w:sz w:val="22"/>
          <w:szCs w:val="22"/>
        </w:rPr>
      </w:pPr>
      <w:r>
        <w:rPr>
          <w:sz w:val="22"/>
          <w:szCs w:val="22"/>
          <w:lang w:val="en-US"/>
        </w:rPr>
        <w:t xml:space="preserve">Article 27 covers the right to work and employment for people with disabilities, including for those who acquire a disability during their employment. </w:t>
      </w:r>
      <w:r w:rsidRPr="00177792">
        <w:rPr>
          <w:sz w:val="22"/>
          <w:szCs w:val="22"/>
        </w:rPr>
        <w:t>Please see Appendix one for details and relevance</w:t>
      </w:r>
    </w:p>
  </w:footnote>
  <w:footnote w:id="6">
    <w:p w14:paraId="03A6BFBB" w14:textId="77777777" w:rsidR="001E0A43" w:rsidRDefault="001E0A43">
      <w:pPr>
        <w:pStyle w:val="FootnoteText"/>
      </w:pPr>
      <w:r>
        <w:rPr>
          <w:rStyle w:val="FootnoteReference"/>
        </w:rPr>
        <w:footnoteRef/>
      </w:r>
      <w:r>
        <w:t xml:space="preserve"> </w:t>
      </w:r>
      <w:r w:rsidRPr="009C2D20">
        <w:rPr>
          <w:sz w:val="22"/>
          <w:szCs w:val="22"/>
        </w:rPr>
        <w:t>Page 23 section 2.9 social protection and vocational rehabilitation WRC report</w:t>
      </w:r>
    </w:p>
  </w:footnote>
  <w:footnote w:id="7">
    <w:p w14:paraId="2F162CE5" w14:textId="77777777" w:rsidR="001E0A43" w:rsidRDefault="001E0A43" w:rsidP="00CC5083">
      <w:pPr>
        <w:spacing w:after="0"/>
      </w:pPr>
      <w:r>
        <w:rPr>
          <w:rStyle w:val="FootnoteReference"/>
          <w:rFonts w:hint="eastAsia"/>
        </w:rPr>
        <w:footnoteRef/>
      </w:r>
      <w:r>
        <w:t xml:space="preserve"> </w:t>
      </w:r>
      <w:r w:rsidRPr="00616773">
        <w:rPr>
          <w:sz w:val="22"/>
          <w:szCs w:val="22"/>
        </w:rPr>
        <w:t xml:space="preserve">This advice paper submitted to the Minister of State for Disability fulfils NDA commitments under the Comprehensive Employment Strategy for People with Disabilities 2015 to 2024 and the National Disability Inclusion Strategy 2017 to 2021. </w:t>
      </w:r>
    </w:p>
  </w:footnote>
  <w:footnote w:id="8">
    <w:p w14:paraId="00C51D5E" w14:textId="77777777" w:rsidR="001E0A43" w:rsidRPr="00DC03A2" w:rsidRDefault="001E0A43" w:rsidP="00CC5083">
      <w:pPr>
        <w:pStyle w:val="FootnoteText"/>
        <w:spacing w:after="0"/>
        <w:rPr>
          <w:rFonts w:cstheme="minorHAnsi"/>
          <w:sz w:val="22"/>
          <w:szCs w:val="22"/>
        </w:rPr>
      </w:pPr>
      <w:r w:rsidRPr="0075192E">
        <w:rPr>
          <w:rStyle w:val="FootnoteReference"/>
          <w:rFonts w:asciiTheme="minorHAnsi" w:hAnsiTheme="minorHAnsi" w:cstheme="minorHAnsi"/>
          <w:szCs w:val="22"/>
        </w:rPr>
        <w:footnoteRef/>
      </w:r>
      <w:r w:rsidRPr="0075192E">
        <w:rPr>
          <w:rFonts w:asciiTheme="minorHAnsi" w:hAnsiTheme="minorHAnsi" w:cstheme="minorHAnsi"/>
          <w:sz w:val="22"/>
          <w:szCs w:val="22"/>
        </w:rPr>
        <w:t xml:space="preserve"> </w:t>
      </w:r>
      <w:r w:rsidRPr="00DC03A2">
        <w:rPr>
          <w:rFonts w:cstheme="minorHAnsi"/>
          <w:sz w:val="22"/>
          <w:szCs w:val="22"/>
        </w:rPr>
        <w:t xml:space="preserve">OECD (2010) Sickness, Disability and Work: Breaking the Barriers - A synthesis of findings across OECD countries. </w:t>
      </w:r>
      <w:hyperlink r:id="rId5" w:history="1">
        <w:r w:rsidRPr="00DC03A2">
          <w:rPr>
            <w:rStyle w:val="Hyperlink"/>
            <w:rFonts w:cstheme="minorHAnsi"/>
            <w:sz w:val="22"/>
            <w:szCs w:val="22"/>
          </w:rPr>
          <w:t>https://www.oecd.org/els/soc/46488022.pdf</w:t>
        </w:r>
      </w:hyperlink>
    </w:p>
  </w:footnote>
  <w:footnote w:id="9">
    <w:p w14:paraId="25046043" w14:textId="77777777" w:rsidR="001E0A43" w:rsidRDefault="001E0A43" w:rsidP="00CC5083">
      <w:pPr>
        <w:pStyle w:val="FootnoteText"/>
        <w:spacing w:after="0"/>
      </w:pPr>
      <w:r>
        <w:rPr>
          <w:rStyle w:val="FootnoteReference"/>
        </w:rPr>
        <w:footnoteRef/>
      </w:r>
      <w:r>
        <w:t xml:space="preserve"> </w:t>
      </w:r>
      <w:r w:rsidRPr="00616773">
        <w:rPr>
          <w:sz w:val="22"/>
          <w:szCs w:val="22"/>
        </w:rPr>
        <w:t xml:space="preserve">Comprehensive Employment Strategy for People with Disabilities 2015 to </w:t>
      </w:r>
      <w:r>
        <w:rPr>
          <w:sz w:val="22"/>
          <w:szCs w:val="22"/>
        </w:rPr>
        <w:t>2024 page 18</w:t>
      </w:r>
    </w:p>
  </w:footnote>
  <w:footnote w:id="10">
    <w:p w14:paraId="33EDBE43" w14:textId="77777777" w:rsidR="001E0A43" w:rsidRPr="00F12785" w:rsidRDefault="001E0A43" w:rsidP="00CC5083">
      <w:pPr>
        <w:pStyle w:val="FootnoteText"/>
        <w:spacing w:after="0"/>
        <w:rPr>
          <w:rFonts w:cstheme="minorHAnsi"/>
          <w:sz w:val="22"/>
          <w:szCs w:val="22"/>
        </w:rPr>
      </w:pPr>
      <w:r w:rsidRPr="00F12785">
        <w:rPr>
          <w:rStyle w:val="FootnoteReference"/>
          <w:rFonts w:ascii="Gill Sans MT" w:hAnsi="Gill Sans MT" w:cstheme="minorHAnsi"/>
          <w:szCs w:val="22"/>
        </w:rPr>
        <w:footnoteRef/>
      </w:r>
      <w:r w:rsidRPr="00F12785">
        <w:rPr>
          <w:rFonts w:cstheme="minorHAnsi"/>
          <w:sz w:val="22"/>
          <w:szCs w:val="22"/>
        </w:rPr>
        <w:t xml:space="preserve"> An NDA literature review has summarised research findings in this area </w:t>
      </w:r>
      <w:hyperlink r:id="rId6" w:history="1">
        <w:r w:rsidRPr="00F12785">
          <w:rPr>
            <w:rStyle w:val="Hyperlink"/>
            <w:rFonts w:eastAsiaTheme="majorEastAsia" w:cstheme="minorHAnsi"/>
            <w:color w:val="auto"/>
            <w:sz w:val="22"/>
            <w:szCs w:val="22"/>
            <w:u w:val="none"/>
          </w:rPr>
          <w:t>http://nda.ie/Publications/Employment/Employment-Publications/Literature-Review-Guidance-on-retaining-employees-with-a-disability.html</w:t>
        </w:r>
      </w:hyperlink>
    </w:p>
  </w:footnote>
  <w:footnote w:id="11">
    <w:p w14:paraId="42A8E01A" w14:textId="77777777" w:rsidR="001E0A43" w:rsidRPr="009C44E2" w:rsidRDefault="001E0A43" w:rsidP="00CC5083">
      <w:pPr>
        <w:pStyle w:val="FootnoteText"/>
        <w:spacing w:after="0"/>
        <w:rPr>
          <w:rFonts w:asciiTheme="minorHAnsi" w:hAnsiTheme="minorHAnsi" w:cstheme="minorHAnsi"/>
          <w:sz w:val="22"/>
          <w:szCs w:val="22"/>
        </w:rPr>
      </w:pPr>
      <w:r w:rsidRPr="00F12785">
        <w:rPr>
          <w:rStyle w:val="FootnoteReference"/>
          <w:rFonts w:ascii="Gill Sans MT" w:hAnsi="Gill Sans MT" w:cstheme="minorHAnsi"/>
          <w:szCs w:val="22"/>
        </w:rPr>
        <w:footnoteRef/>
      </w:r>
      <w:r w:rsidRPr="00F12785">
        <w:rPr>
          <w:rFonts w:cstheme="minorHAnsi"/>
          <w:sz w:val="22"/>
          <w:szCs w:val="22"/>
        </w:rPr>
        <w:t xml:space="preserve"> WRC Social and Economic Research (2008) Research Report on Acquired Disability and Employment</w:t>
      </w:r>
    </w:p>
  </w:footnote>
  <w:footnote w:id="12">
    <w:p w14:paraId="0FABBEAA" w14:textId="77777777" w:rsidR="001E0A43" w:rsidRPr="000D12BE" w:rsidRDefault="001E0A43" w:rsidP="000D12BE">
      <w:pPr>
        <w:pStyle w:val="FootnoteText"/>
        <w:spacing w:after="0"/>
        <w:rPr>
          <w:rFonts w:cstheme="minorHAnsi"/>
          <w:sz w:val="22"/>
          <w:szCs w:val="22"/>
        </w:rPr>
      </w:pPr>
      <w:r w:rsidRPr="000D12BE">
        <w:rPr>
          <w:rStyle w:val="FootnoteReference"/>
          <w:rFonts w:ascii="Gill Sans MT" w:hAnsi="Gill Sans MT" w:cstheme="minorHAnsi"/>
          <w:szCs w:val="22"/>
        </w:rPr>
        <w:footnoteRef/>
      </w:r>
      <w:r w:rsidRPr="000D12BE">
        <w:rPr>
          <w:rFonts w:cstheme="minorHAnsi"/>
          <w:sz w:val="22"/>
          <w:szCs w:val="22"/>
        </w:rPr>
        <w:t xml:space="preserve"> http://nda.ie/Policy-and-research/Policy-Advice/Policy-Advice-Papers/Technical-paper-on-Employment-Targets.html</w:t>
      </w:r>
    </w:p>
  </w:footnote>
  <w:footnote w:id="13">
    <w:p w14:paraId="09B71856" w14:textId="77777777" w:rsidR="001E0A43" w:rsidRPr="001B6411" w:rsidRDefault="001E0A43" w:rsidP="00E27C76">
      <w:pPr>
        <w:pStyle w:val="FootnoteText"/>
        <w:spacing w:after="0"/>
        <w:rPr>
          <w:rFonts w:asciiTheme="minorHAnsi" w:hAnsiTheme="minorHAnsi" w:cstheme="minorHAnsi"/>
          <w:sz w:val="22"/>
          <w:szCs w:val="22"/>
        </w:rPr>
      </w:pPr>
      <w:r w:rsidRPr="001B6411">
        <w:rPr>
          <w:rStyle w:val="FootnoteReference"/>
          <w:rFonts w:asciiTheme="minorHAnsi" w:hAnsiTheme="minorHAnsi" w:cstheme="minorHAnsi"/>
          <w:szCs w:val="22"/>
        </w:rPr>
        <w:footnoteRef/>
      </w:r>
      <w:r w:rsidRPr="001B6411">
        <w:rPr>
          <w:rFonts w:asciiTheme="minorHAnsi" w:hAnsiTheme="minorHAnsi" w:cstheme="minorHAnsi"/>
          <w:sz w:val="22"/>
          <w:szCs w:val="22"/>
        </w:rPr>
        <w:t xml:space="preserve"> </w:t>
      </w:r>
      <w:r w:rsidRPr="00316642">
        <w:rPr>
          <w:rFonts w:cstheme="minorHAnsi"/>
          <w:sz w:val="22"/>
          <w:szCs w:val="22"/>
        </w:rPr>
        <w:t>These included NDA stakeholder consultations on developing the Comprehensive Employment Strategy for People with Disabilities (CES), on return to work after onset of disability, on development of the Ability programme and on supports to people with disabilities in employment (Action 5.1, CES)</w:t>
      </w:r>
    </w:p>
  </w:footnote>
  <w:footnote w:id="14">
    <w:p w14:paraId="7C8FA42D" w14:textId="77777777" w:rsidR="001E0A43" w:rsidRPr="00D24A9E" w:rsidRDefault="001E0A43" w:rsidP="0053033F">
      <w:pPr>
        <w:spacing w:after="0"/>
        <w:rPr>
          <w:sz w:val="22"/>
          <w:szCs w:val="22"/>
        </w:rPr>
      </w:pPr>
      <w:r w:rsidRPr="00D24A9E">
        <w:rPr>
          <w:rStyle w:val="FootnoteReference"/>
          <w:rFonts w:ascii="Gill Sans MT" w:hAnsi="Gill Sans MT"/>
          <w:szCs w:val="22"/>
        </w:rPr>
        <w:footnoteRef/>
      </w:r>
      <w:r w:rsidRPr="00D24A9E">
        <w:rPr>
          <w:sz w:val="22"/>
          <w:szCs w:val="22"/>
        </w:rPr>
        <w:t xml:space="preserve"> OECD (2003) Transforming disability into ability: Policies to promote work and income security for disabled people. Paris, FR: Organisation for Economic Cooperation and Development. Retrieved from: </w:t>
      </w:r>
      <w:hyperlink r:id="rId7" w:history="1">
        <w:r w:rsidRPr="00D24A9E">
          <w:rPr>
            <w:color w:val="0563C1" w:themeColor="hyperlink"/>
            <w:sz w:val="22"/>
            <w:szCs w:val="22"/>
            <w:u w:val="single"/>
          </w:rPr>
          <w:t>http://www1.oecd.org/publications/ebook/8103021E.PDF108</w:t>
        </w:r>
      </w:hyperlink>
      <w:r w:rsidRPr="00D24A9E">
        <w:rPr>
          <w:color w:val="0563C1" w:themeColor="hyperlink"/>
          <w:sz w:val="22"/>
          <w:szCs w:val="22"/>
          <w:u w:val="single"/>
        </w:rPr>
        <w:t xml:space="preserve"> </w:t>
      </w:r>
    </w:p>
  </w:footnote>
  <w:footnote w:id="15">
    <w:p w14:paraId="2D9A3A93" w14:textId="77777777" w:rsidR="001E0A43" w:rsidRPr="005305BC" w:rsidRDefault="001E0A43" w:rsidP="0053033F">
      <w:pPr>
        <w:pStyle w:val="FootnoteText"/>
        <w:spacing w:after="0"/>
        <w:rPr>
          <w:rFonts w:cstheme="minorHAnsi"/>
          <w:sz w:val="22"/>
          <w:szCs w:val="22"/>
        </w:rPr>
      </w:pPr>
      <w:r w:rsidRPr="005305BC">
        <w:rPr>
          <w:rStyle w:val="FootnoteReference"/>
          <w:rFonts w:ascii="Gill Sans MT" w:hAnsi="Gill Sans MT" w:cstheme="minorHAnsi"/>
          <w:szCs w:val="22"/>
        </w:rPr>
        <w:footnoteRef/>
      </w:r>
      <w:r w:rsidRPr="005305BC">
        <w:rPr>
          <w:rFonts w:cstheme="minorHAnsi"/>
          <w:sz w:val="22"/>
          <w:szCs w:val="22"/>
        </w:rPr>
        <w:t xml:space="preserve"> OECD (2010) Sickness, Disability and Work: Breaking the Barriers - A synthesis of findings across OECD countries. </w:t>
      </w:r>
      <w:hyperlink r:id="rId8" w:history="1">
        <w:r w:rsidRPr="005305BC">
          <w:rPr>
            <w:rStyle w:val="Hyperlink"/>
            <w:rFonts w:cstheme="minorHAnsi"/>
            <w:sz w:val="22"/>
            <w:szCs w:val="22"/>
          </w:rPr>
          <w:t>https://www.oecd.org/els/soc/46488022.pdf</w:t>
        </w:r>
      </w:hyperlink>
    </w:p>
  </w:footnote>
  <w:footnote w:id="16">
    <w:p w14:paraId="1322F971" w14:textId="77777777" w:rsidR="001E0A43" w:rsidRPr="00FB3D36" w:rsidRDefault="001E0A43" w:rsidP="0053033F">
      <w:pPr>
        <w:spacing w:after="0"/>
        <w:rPr>
          <w:sz w:val="22"/>
          <w:szCs w:val="22"/>
        </w:rPr>
      </w:pPr>
      <w:r w:rsidRPr="005305BC">
        <w:rPr>
          <w:rStyle w:val="FootnoteReference"/>
          <w:rFonts w:ascii="Gill Sans MT" w:hAnsi="Gill Sans MT"/>
          <w:szCs w:val="22"/>
        </w:rPr>
        <w:footnoteRef/>
      </w:r>
      <w:r w:rsidRPr="005305BC">
        <w:rPr>
          <w:sz w:val="22"/>
          <w:szCs w:val="22"/>
        </w:rPr>
        <w:t xml:space="preserve"> Chamberlain, M. A, Fialka-Moser, V., Schüldt-Ekholm, K., O’Connor, R. J., Herceg, M. &amp; Ekholm, J. (2009) ‘Vocational Rehabilitation: An Educational Review’, </w:t>
      </w:r>
      <w:r w:rsidRPr="005305BC">
        <w:rPr>
          <w:b/>
          <w:sz w:val="22"/>
          <w:szCs w:val="22"/>
        </w:rPr>
        <w:t>Journal of Rehabilitation Medicine</w:t>
      </w:r>
      <w:r w:rsidRPr="005305BC">
        <w:rPr>
          <w:sz w:val="22"/>
          <w:szCs w:val="22"/>
        </w:rPr>
        <w:t xml:space="preserve">, 41, pp. 856–869. Retrieved (24/08/2015) from: </w:t>
      </w:r>
      <w:hyperlink r:id="rId9" w:history="1">
        <w:r w:rsidRPr="005305BC">
          <w:rPr>
            <w:color w:val="0563C1" w:themeColor="hyperlink"/>
            <w:sz w:val="22"/>
            <w:szCs w:val="22"/>
            <w:u w:val="single"/>
          </w:rPr>
          <w:t>http://www.medicaljournals.se/jrm/content/?doi=10.2340/16501977-0457&amp;html=1</w:t>
        </w:r>
      </w:hyperlink>
      <w:r w:rsidRPr="005305BC">
        <w:rPr>
          <w:color w:val="0563C1" w:themeColor="hyperlink"/>
          <w:sz w:val="22"/>
          <w:szCs w:val="22"/>
          <w:u w:val="single"/>
        </w:rPr>
        <w:t xml:space="preserve"> </w:t>
      </w:r>
    </w:p>
  </w:footnote>
  <w:footnote w:id="17">
    <w:p w14:paraId="3FC8295C" w14:textId="77777777" w:rsidR="001E0A43" w:rsidRPr="00094933" w:rsidRDefault="001E0A43" w:rsidP="008A2445">
      <w:pPr>
        <w:spacing w:after="80"/>
      </w:pPr>
      <w:r w:rsidRPr="00FB3D36">
        <w:rPr>
          <w:rStyle w:val="FootnoteReference"/>
          <w:szCs w:val="22"/>
        </w:rPr>
        <w:footnoteRef/>
      </w:r>
      <w:r w:rsidRPr="00FB3D36">
        <w:rPr>
          <w:sz w:val="22"/>
          <w:szCs w:val="22"/>
        </w:rPr>
        <w:t xml:space="preserve"> </w:t>
      </w:r>
      <w:r w:rsidRPr="00094933">
        <w:rPr>
          <w:sz w:val="22"/>
          <w:szCs w:val="22"/>
        </w:rPr>
        <w:t xml:space="preserve">Rosenthal, D., Hursch, N., Lui, J., Zimmerman, W., &amp; Pruett, S.R. (2005) ‘Case Management Issues within Employer-Based Disability Management’, in F. Chan, Fong, Leahy, Michaels &amp; Saunders, Jodi Lynne (Eds.), </w:t>
      </w:r>
      <w:r w:rsidRPr="00094933">
        <w:rPr>
          <w:b/>
          <w:sz w:val="22"/>
          <w:szCs w:val="22"/>
        </w:rPr>
        <w:t>Case Management for Rehabilitation Health Professionals (2nd Ed.), Vol. l</w:t>
      </w:r>
      <w:r w:rsidRPr="00094933">
        <w:rPr>
          <w:sz w:val="22"/>
          <w:szCs w:val="22"/>
        </w:rPr>
        <w:t xml:space="preserve">, pp. 330-365. Lake Osage – MO, US: Aspen Professional Services. </w:t>
      </w:r>
    </w:p>
  </w:footnote>
  <w:footnote w:id="18">
    <w:p w14:paraId="7CE788EF" w14:textId="77777777" w:rsidR="001E0A43" w:rsidRPr="00094933" w:rsidRDefault="001E0A43" w:rsidP="00F17158">
      <w:pPr>
        <w:spacing w:after="80"/>
        <w:rPr>
          <w:sz w:val="22"/>
          <w:szCs w:val="22"/>
        </w:rPr>
      </w:pPr>
      <w:r w:rsidRPr="00094933">
        <w:rPr>
          <w:rStyle w:val="FootnoteReference"/>
          <w:szCs w:val="22"/>
        </w:rPr>
        <w:footnoteRef/>
      </w:r>
      <w:r w:rsidRPr="00094933">
        <w:rPr>
          <w:sz w:val="22"/>
          <w:szCs w:val="22"/>
        </w:rPr>
        <w:t xml:space="preserve"> OCWP (2007) </w:t>
      </w:r>
      <w:r w:rsidRPr="00094933">
        <w:rPr>
          <w:b/>
          <w:sz w:val="22"/>
          <w:szCs w:val="22"/>
        </w:rPr>
        <w:t>OWCP Procedure Manual Part 3 – Rehabilitation</w:t>
      </w:r>
      <w:r w:rsidRPr="00094933">
        <w:rPr>
          <w:sz w:val="22"/>
          <w:szCs w:val="22"/>
        </w:rPr>
        <w:t xml:space="preserve">. Washington – DC, US: Office of Workers’ Compensation, US Department of Labour. Retrieved (24/08/2015) from: </w:t>
      </w:r>
      <w:hyperlink r:id="rId10" w:history="1">
        <w:r w:rsidRPr="00094933">
          <w:rPr>
            <w:sz w:val="22"/>
            <w:szCs w:val="22"/>
          </w:rPr>
          <w:t>http://www.dol.gov/owcp/procedure-manual/rehab.pdf</w:t>
        </w:r>
      </w:hyperlink>
      <w:r w:rsidRPr="00094933">
        <w:rPr>
          <w:sz w:val="22"/>
          <w:szCs w:val="22"/>
        </w:rPr>
        <w:t xml:space="preserve"> </w:t>
      </w:r>
    </w:p>
    <w:p w14:paraId="597D22D9" w14:textId="77777777" w:rsidR="001E0A43" w:rsidRPr="00094933" w:rsidRDefault="001E0A43" w:rsidP="00F17158">
      <w:pPr>
        <w:spacing w:after="80"/>
        <w:rPr>
          <w:sz w:val="22"/>
          <w:szCs w:val="22"/>
        </w:rPr>
      </w:pPr>
      <w:r w:rsidRPr="00094933">
        <w:rPr>
          <w:sz w:val="22"/>
          <w:szCs w:val="22"/>
        </w:rPr>
        <w:t xml:space="preserve">Chamberlain, M. A, Fialka-Moser, V., Schüldt-Ekholm, K., O’Connor, R. J., Herceg, M. &amp; Ekholm, J. (2009) ‘Vocational Rehabilitation: An Educational Review’, </w:t>
      </w:r>
      <w:r w:rsidRPr="00094933">
        <w:rPr>
          <w:b/>
          <w:sz w:val="22"/>
          <w:szCs w:val="22"/>
        </w:rPr>
        <w:t>Journal of Rehabilitation Medicine</w:t>
      </w:r>
      <w:r w:rsidRPr="00094933">
        <w:rPr>
          <w:sz w:val="22"/>
          <w:szCs w:val="22"/>
        </w:rPr>
        <w:t xml:space="preserve">, 41, pp. 856–869. Retrieved (24/08/2015) from: </w:t>
      </w:r>
      <w:hyperlink r:id="rId11" w:history="1">
        <w:r w:rsidRPr="00094933">
          <w:rPr>
            <w:sz w:val="22"/>
            <w:szCs w:val="22"/>
          </w:rPr>
          <w:t>http://www.medicaljournals.se/jrm/content/?doi=10.2340/16501977-0457&amp;html=1</w:t>
        </w:r>
      </w:hyperlink>
      <w:r w:rsidRPr="00094933">
        <w:rPr>
          <w:sz w:val="22"/>
          <w:szCs w:val="22"/>
        </w:rPr>
        <w:t xml:space="preserve"> </w:t>
      </w:r>
    </w:p>
    <w:p w14:paraId="30AEB992" w14:textId="77777777" w:rsidR="001E0A43" w:rsidRPr="00FB3D36" w:rsidRDefault="001E0A43" w:rsidP="00F17158">
      <w:pPr>
        <w:pStyle w:val="FootnoteText"/>
        <w:rPr>
          <w:sz w:val="22"/>
          <w:szCs w:val="22"/>
        </w:rPr>
      </w:pPr>
      <w:r w:rsidRPr="00094933">
        <w:rPr>
          <w:sz w:val="22"/>
          <w:szCs w:val="22"/>
        </w:rPr>
        <w:t xml:space="preserve">Casey, P. &amp; Cameron, I. (2014) </w:t>
      </w:r>
      <w:r w:rsidRPr="00094933">
        <w:rPr>
          <w:b/>
          <w:sz w:val="22"/>
          <w:szCs w:val="22"/>
        </w:rPr>
        <w:t>Principles of Best Practice in Occupational Rehabilitation for AIA Australia</w:t>
      </w:r>
      <w:r w:rsidRPr="00094933">
        <w:rPr>
          <w:sz w:val="22"/>
          <w:szCs w:val="22"/>
        </w:rPr>
        <w:t xml:space="preserve">. Melbourne, AUS: AIA Australia. Retrieved (24/08/2015) from: </w:t>
      </w:r>
      <w:hyperlink r:id="rId12" w:history="1">
        <w:r w:rsidRPr="00094933">
          <w:rPr>
            <w:sz w:val="22"/>
            <w:szCs w:val="22"/>
          </w:rPr>
          <w:t>http://www.aia.com.au/en/resources/3b9ba88044c4d35380b1f40af27d2d40/Occ_rehab_best_practice_framework_0714.pdf</w:t>
        </w:r>
      </w:hyperlink>
    </w:p>
  </w:footnote>
  <w:footnote w:id="19">
    <w:p w14:paraId="5CFB7E9B" w14:textId="33574197" w:rsidR="001E0A43" w:rsidRDefault="001E0A43" w:rsidP="00387760">
      <w:pPr>
        <w:pStyle w:val="Pa2"/>
        <w:jc w:val="both"/>
      </w:pPr>
      <w:r>
        <w:rPr>
          <w:rStyle w:val="FootnoteReference"/>
        </w:rPr>
        <w:footnoteRef/>
      </w:r>
      <w:r>
        <w:t xml:space="preserve"> </w:t>
      </w:r>
      <w:r w:rsidRPr="00406951">
        <w:rPr>
          <w:rStyle w:val="A1"/>
          <w:rFonts w:ascii="Gill Sans MT" w:hAnsi="Gill Sans MT"/>
          <w:b w:val="0"/>
          <w:i w:val="0"/>
          <w:sz w:val="22"/>
          <w:szCs w:val="22"/>
        </w:rPr>
        <w:t>https://www.idmsc.org/professional-standards/ becoming-certified/</w:t>
      </w:r>
    </w:p>
  </w:footnote>
  <w:footnote w:id="20">
    <w:p w14:paraId="6AB00646" w14:textId="77777777" w:rsidR="001E0A43" w:rsidRPr="005305BC" w:rsidRDefault="001E0A43" w:rsidP="00826B39">
      <w:pPr>
        <w:spacing w:after="0"/>
        <w:rPr>
          <w:sz w:val="22"/>
          <w:szCs w:val="22"/>
        </w:rPr>
      </w:pPr>
      <w:r w:rsidRPr="005305BC">
        <w:rPr>
          <w:rStyle w:val="FootnoteReference"/>
          <w:rFonts w:ascii="Gill Sans MT" w:hAnsi="Gill Sans MT"/>
          <w:szCs w:val="22"/>
        </w:rPr>
        <w:footnoteRef/>
      </w:r>
      <w:r w:rsidRPr="005305BC">
        <w:rPr>
          <w:sz w:val="22"/>
          <w:szCs w:val="22"/>
        </w:rPr>
        <w:t xml:space="preserve"> WRC (2016) International Good Practice in Vocational Rehabilitation: Lessons for Ireland</w:t>
      </w:r>
    </w:p>
  </w:footnote>
  <w:footnote w:id="21">
    <w:p w14:paraId="3734F965" w14:textId="77777777" w:rsidR="001E0A43" w:rsidRPr="007A70E3" w:rsidRDefault="001E0A43" w:rsidP="0053033F">
      <w:pPr>
        <w:pStyle w:val="FootnoteText"/>
        <w:rPr>
          <w:sz w:val="22"/>
          <w:szCs w:val="22"/>
        </w:rPr>
      </w:pPr>
      <w:r w:rsidRPr="007A70E3">
        <w:rPr>
          <w:rStyle w:val="FootnoteReference"/>
          <w:szCs w:val="22"/>
        </w:rPr>
        <w:footnoteRef/>
      </w:r>
      <w:r w:rsidRPr="007A70E3">
        <w:rPr>
          <w:sz w:val="22"/>
          <w:szCs w:val="22"/>
        </w:rPr>
        <w:t xml:space="preserve"> Page 47 WRC report on International Good Practice in Vocational Rehabilitation: Lessons for Ireland</w:t>
      </w:r>
    </w:p>
  </w:footnote>
  <w:footnote w:id="22">
    <w:p w14:paraId="06505F8D" w14:textId="77777777" w:rsidR="001E0A43" w:rsidRDefault="001E0A43" w:rsidP="006135EF">
      <w:pPr>
        <w:pStyle w:val="FootnoteText"/>
      </w:pPr>
      <w:r w:rsidRPr="003F48D3">
        <w:rPr>
          <w:rStyle w:val="FootnoteReference"/>
          <w:rFonts w:ascii="Gill Sans MT" w:hAnsi="Gill Sans MT"/>
        </w:rPr>
        <w:footnoteRef/>
      </w:r>
      <w:r w:rsidRPr="003F48D3">
        <w:t xml:space="preserve"> </w:t>
      </w:r>
      <w:hyperlink r:id="rId13" w:history="1">
        <w:r w:rsidRPr="003F48D3">
          <w:rPr>
            <w:rFonts w:eastAsiaTheme="minorHAnsi" w:cs="Calibri"/>
            <w:sz w:val="22"/>
            <w:szCs w:val="22"/>
          </w:rPr>
          <w:t>http://nda.ie/Publications/Employment/Employment-Publications/Exploring-the-Impact-of-Fatigue-on-Work-Ability-of-People-with-Rheumatic-Disease.html</w:t>
        </w:r>
      </w:hyperlink>
    </w:p>
  </w:footnote>
  <w:footnote w:id="23">
    <w:p w14:paraId="546E5F1E" w14:textId="77777777" w:rsidR="001E0A43" w:rsidRPr="00F12785" w:rsidRDefault="001E0A43" w:rsidP="00BB0CFE">
      <w:pPr>
        <w:pStyle w:val="FootnoteText"/>
        <w:spacing w:after="0"/>
      </w:pPr>
      <w:r w:rsidRPr="00F12785">
        <w:rPr>
          <w:rStyle w:val="FootnoteReference"/>
          <w:rFonts w:ascii="Gill Sans MT" w:hAnsi="Gill Sans MT"/>
        </w:rPr>
        <w:footnoteRef/>
      </w:r>
      <w:r w:rsidRPr="00F12785">
        <w:t xml:space="preserve"> </w:t>
      </w:r>
      <w:hyperlink r:id="rId14" w:history="1">
        <w:r w:rsidRPr="00F12785">
          <w:rPr>
            <w:rStyle w:val="Hyperlink"/>
            <w:rFonts w:eastAsiaTheme="majorEastAsia" w:cstheme="minorHAnsi"/>
            <w:color w:val="auto"/>
            <w:sz w:val="22"/>
            <w:szCs w:val="22"/>
            <w:u w:val="none"/>
          </w:rPr>
          <w:t>http://nda.ie/Publications/Employment/Employment-Publications/Literature-Review-Guidance-on-retaining-employees-with-a-disability.html</w:t>
        </w:r>
      </w:hyperlink>
    </w:p>
  </w:footnote>
  <w:footnote w:id="24">
    <w:p w14:paraId="2943D2E6" w14:textId="77777777" w:rsidR="001E0A43" w:rsidRPr="00FB3D36" w:rsidRDefault="001E0A43" w:rsidP="00007978">
      <w:pPr>
        <w:spacing w:after="80"/>
        <w:rPr>
          <w:sz w:val="22"/>
          <w:szCs w:val="22"/>
        </w:rPr>
      </w:pPr>
      <w:r w:rsidRPr="00FB3D36">
        <w:rPr>
          <w:rStyle w:val="FootnoteReference"/>
          <w:szCs w:val="22"/>
        </w:rPr>
        <w:footnoteRef/>
      </w:r>
      <w:r w:rsidRPr="00FB3D36">
        <w:rPr>
          <w:sz w:val="22"/>
          <w:szCs w:val="22"/>
        </w:rPr>
        <w:t xml:space="preserve"> Leech, C. (2004). </w:t>
      </w:r>
      <w:r w:rsidRPr="00FB3D36">
        <w:rPr>
          <w:b/>
          <w:sz w:val="22"/>
          <w:szCs w:val="22"/>
        </w:rPr>
        <w:t>Preventing Chronic Disability from Low Back Pain: Renaissance Project</w:t>
      </w:r>
      <w:r w:rsidRPr="00FB3D36">
        <w:rPr>
          <w:sz w:val="22"/>
          <w:szCs w:val="22"/>
        </w:rPr>
        <w:t xml:space="preserve">. Dublin, IRL: Stationery Office, Government Publications. Retrieved (24/08/2015) from: </w:t>
      </w:r>
      <w:hyperlink r:id="rId15" w:history="1">
        <w:r w:rsidRPr="004D6930">
          <w:rPr>
            <w:color w:val="0563C1"/>
            <w:sz w:val="22"/>
            <w:szCs w:val="22"/>
            <w:u w:val="single"/>
          </w:rPr>
          <w:t>http://www.welfare.ie/en/downloads/renaissance.pdf</w:t>
        </w:r>
      </w:hyperlink>
      <w:r w:rsidRPr="004D6930">
        <w:rPr>
          <w:color w:val="0563C1"/>
          <w:sz w:val="22"/>
          <w:szCs w:val="22"/>
          <w:u w:val="single"/>
        </w:rPr>
        <w:t xml:space="preserve"> </w:t>
      </w:r>
    </w:p>
  </w:footnote>
  <w:footnote w:id="25">
    <w:p w14:paraId="29FE8298" w14:textId="77777777" w:rsidR="001E0A43" w:rsidRPr="00AE55DC" w:rsidRDefault="001E0A43" w:rsidP="00AE55DC">
      <w:pPr>
        <w:pStyle w:val="FootnoteText"/>
        <w:spacing w:after="0"/>
        <w:rPr>
          <w:rFonts w:cstheme="minorHAnsi"/>
          <w:sz w:val="22"/>
          <w:szCs w:val="22"/>
        </w:rPr>
      </w:pPr>
      <w:r w:rsidRPr="00AE55DC">
        <w:rPr>
          <w:rStyle w:val="FootnoteReference"/>
          <w:rFonts w:ascii="Gill Sans MT" w:hAnsi="Gill Sans MT" w:cstheme="minorHAnsi"/>
          <w:szCs w:val="22"/>
        </w:rPr>
        <w:footnoteRef/>
      </w:r>
      <w:r w:rsidRPr="00AE55DC">
        <w:rPr>
          <w:rFonts w:cstheme="minorHAnsi"/>
          <w:sz w:val="22"/>
          <w:szCs w:val="22"/>
        </w:rPr>
        <w:t xml:space="preserve"> </w:t>
      </w:r>
      <w:r w:rsidRPr="00AE55DC">
        <w:rPr>
          <w:rFonts w:cstheme="minorHAnsi"/>
          <w:bCs/>
          <w:sz w:val="22"/>
          <w:szCs w:val="22"/>
        </w:rPr>
        <w:t>A 2007 survey of Illness Benefit recipients showed that 40% of those on benefit for six months, and 58% of those on benefit for 12 months, were no longer in employment. WRC Social and Economic Consultants (2008) Research Report on Acquired Disability and Employment</w:t>
      </w:r>
    </w:p>
  </w:footnote>
  <w:footnote w:id="26">
    <w:p w14:paraId="23E4CE2C" w14:textId="77777777" w:rsidR="001E0A43" w:rsidRPr="00AE55DC" w:rsidRDefault="001E0A43" w:rsidP="00AE55DC">
      <w:pPr>
        <w:pStyle w:val="FootnoteText"/>
        <w:spacing w:after="0"/>
        <w:rPr>
          <w:rFonts w:cstheme="minorHAnsi"/>
          <w:sz w:val="22"/>
          <w:szCs w:val="22"/>
        </w:rPr>
      </w:pPr>
      <w:r w:rsidRPr="00AE55DC">
        <w:rPr>
          <w:rStyle w:val="FootnoteReference"/>
          <w:rFonts w:ascii="Gill Sans MT" w:hAnsi="Gill Sans MT" w:cstheme="minorHAnsi"/>
          <w:szCs w:val="22"/>
        </w:rPr>
        <w:footnoteRef/>
      </w:r>
      <w:r w:rsidRPr="00AE55DC">
        <w:rPr>
          <w:rFonts w:cstheme="minorHAnsi"/>
          <w:sz w:val="22"/>
          <w:szCs w:val="22"/>
        </w:rPr>
        <w:t xml:space="preserve"> Gannon and Nolan (2006) </w:t>
      </w:r>
      <w:r w:rsidRPr="00AE55DC">
        <w:rPr>
          <w:rFonts w:cstheme="minorHAnsi"/>
          <w:b/>
          <w:sz w:val="22"/>
          <w:szCs w:val="22"/>
        </w:rPr>
        <w:t>Dynamics of disability and social inclusion</w:t>
      </w:r>
      <w:r w:rsidRPr="00AE55DC">
        <w:rPr>
          <w:rFonts w:cstheme="minorHAnsi"/>
          <w:sz w:val="22"/>
          <w:szCs w:val="22"/>
        </w:rPr>
        <w:t>. Those who experienced disability onset were already somewhat less likely to be employed. This study was based on a longitudinal data set covering 1995-2001, a period of steady economic growth.</w:t>
      </w:r>
    </w:p>
  </w:footnote>
  <w:footnote w:id="27">
    <w:p w14:paraId="1BC6365E" w14:textId="77777777" w:rsidR="001E0A43" w:rsidRPr="00AE55DC" w:rsidRDefault="001E0A43" w:rsidP="00AE55DC">
      <w:pPr>
        <w:pStyle w:val="FootnoteText"/>
        <w:spacing w:after="0"/>
        <w:rPr>
          <w:rFonts w:cstheme="minorHAnsi"/>
          <w:sz w:val="22"/>
          <w:szCs w:val="22"/>
        </w:rPr>
      </w:pPr>
      <w:r w:rsidRPr="00AE55DC">
        <w:rPr>
          <w:rStyle w:val="FootnoteReference"/>
          <w:rFonts w:ascii="Gill Sans MT" w:hAnsi="Gill Sans MT" w:cstheme="minorHAnsi"/>
          <w:szCs w:val="22"/>
        </w:rPr>
        <w:footnoteRef/>
      </w:r>
      <w:r w:rsidRPr="00AE55DC">
        <w:rPr>
          <w:rFonts w:cstheme="minorHAnsi"/>
          <w:sz w:val="22"/>
          <w:szCs w:val="22"/>
        </w:rPr>
        <w:t xml:space="preserve"> </w:t>
      </w:r>
      <w:hyperlink r:id="rId16" w:history="1">
        <w:r w:rsidRPr="00AE55DC">
          <w:rPr>
            <w:rStyle w:val="Hyperlink"/>
            <w:rFonts w:cstheme="minorHAnsi"/>
            <w:color w:val="auto"/>
            <w:sz w:val="22"/>
            <w:szCs w:val="22"/>
          </w:rPr>
          <w:t>http://nda.ie/Publications/Employment/Employment-Publications/Exploring-the-Factors-Related-to-Return-to-Work-after-Stroke.html</w:t>
        </w:r>
      </w:hyperlink>
      <w:r w:rsidRPr="00AE55DC">
        <w:rPr>
          <w:rFonts w:cstheme="minorHAnsi"/>
          <w:sz w:val="22"/>
          <w:szCs w:val="22"/>
        </w:rPr>
        <w:t>; http://nda.ie/nda-files/Exploring-the-Impact-of-Fatigue-on-Work-Ability-of-People-with-Rheumatic-Disease.pdf</w:t>
      </w:r>
    </w:p>
  </w:footnote>
  <w:footnote w:id="28">
    <w:p w14:paraId="1E207976" w14:textId="77777777" w:rsidR="001E0A43" w:rsidRPr="00AE55DC" w:rsidRDefault="001E0A43" w:rsidP="00AE55DC">
      <w:pPr>
        <w:pStyle w:val="FootnoteText"/>
        <w:spacing w:after="0"/>
        <w:rPr>
          <w:rFonts w:cstheme="minorHAnsi"/>
          <w:sz w:val="22"/>
          <w:szCs w:val="22"/>
        </w:rPr>
      </w:pPr>
      <w:r w:rsidRPr="00AE55DC">
        <w:rPr>
          <w:rStyle w:val="FootnoteReference"/>
          <w:rFonts w:ascii="Gill Sans MT" w:hAnsi="Gill Sans MT" w:cstheme="minorHAnsi"/>
          <w:szCs w:val="22"/>
        </w:rPr>
        <w:footnoteRef/>
      </w:r>
      <w:r w:rsidRPr="00AE55DC">
        <w:rPr>
          <w:rFonts w:cstheme="minorHAnsi"/>
          <w:sz w:val="22"/>
          <w:szCs w:val="22"/>
        </w:rPr>
        <w:t xml:space="preserve"> Compared to other adults aged 20–59 years, people with disabilities tended to be concentrated in the upper end of the age distribution and to have lower levels of education. Data for 2010-15 show half were aged 45 and over, compared to 33 per cent of nondisabled adults, and 45 per cent had no more than the equivalent of Junior Certificate (Watson et al, 2017, </w:t>
      </w:r>
      <w:r w:rsidRPr="00AE55DC">
        <w:rPr>
          <w:rFonts w:cstheme="minorHAnsi"/>
          <w:b/>
          <w:sz w:val="22"/>
          <w:szCs w:val="22"/>
        </w:rPr>
        <w:t>Employment transitions among people with a disability in Ireland</w:t>
      </w:r>
      <w:r w:rsidRPr="00AE55DC">
        <w:rPr>
          <w:rFonts w:cstheme="minorHAnsi"/>
          <w:sz w:val="22"/>
          <w:szCs w:val="22"/>
        </w:rPr>
        <w:t xml:space="preserve">: an analysis of the Quarterly National Household Survey, 2010-2015). Onset of disability or long-term illness onset is five times more likely to occur among those aged over 55 than among 16-24 year olds, and such older workers are least likely to return to work (Gannon and Nolan, Table 2.3). </w:t>
      </w:r>
    </w:p>
  </w:footnote>
  <w:footnote w:id="29">
    <w:p w14:paraId="5EE05804" w14:textId="77777777" w:rsidR="001E0A43" w:rsidRPr="00363408" w:rsidRDefault="001E0A43" w:rsidP="00AE55DC">
      <w:pPr>
        <w:pStyle w:val="FootnoteText"/>
        <w:spacing w:after="0"/>
        <w:rPr>
          <w:rFonts w:asciiTheme="minorHAnsi" w:hAnsiTheme="minorHAnsi" w:cstheme="minorHAnsi"/>
          <w:sz w:val="22"/>
          <w:szCs w:val="22"/>
        </w:rPr>
      </w:pPr>
      <w:r w:rsidRPr="00AE55DC">
        <w:rPr>
          <w:rStyle w:val="FootnoteReference"/>
          <w:rFonts w:ascii="Gill Sans MT" w:hAnsi="Gill Sans MT" w:cstheme="minorHAnsi"/>
          <w:szCs w:val="22"/>
        </w:rPr>
        <w:footnoteRef/>
      </w:r>
      <w:r w:rsidRPr="00AE55DC">
        <w:rPr>
          <w:rFonts w:cstheme="minorHAnsi"/>
          <w:sz w:val="22"/>
          <w:szCs w:val="22"/>
        </w:rPr>
        <w:t xml:space="preserve"> Watson et al (2017). Findings relate to 2010-15 period.</w:t>
      </w:r>
      <w:r w:rsidRPr="00AE55DC">
        <w:rPr>
          <w:rFonts w:asciiTheme="minorHAnsi" w:hAnsiTheme="minorHAnsi" w:cstheme="minorHAnsi"/>
          <w:sz w:val="22"/>
          <w:szCs w:val="22"/>
        </w:rPr>
        <w:t xml:space="preserve"> </w:t>
      </w:r>
    </w:p>
  </w:footnote>
  <w:footnote w:id="30">
    <w:p w14:paraId="5F9D7B7A" w14:textId="77777777" w:rsidR="001E0A43" w:rsidRPr="008B414E" w:rsidRDefault="001E0A43" w:rsidP="008B414E">
      <w:pPr>
        <w:pStyle w:val="FootnoteText"/>
        <w:spacing w:after="0"/>
        <w:rPr>
          <w:rFonts w:cstheme="minorHAnsi"/>
          <w:sz w:val="22"/>
          <w:szCs w:val="22"/>
        </w:rPr>
      </w:pPr>
      <w:r w:rsidRPr="008B414E">
        <w:rPr>
          <w:rStyle w:val="FootnoteReference"/>
          <w:rFonts w:ascii="Gill Sans MT" w:hAnsi="Gill Sans MT" w:cstheme="minorHAnsi"/>
          <w:szCs w:val="22"/>
        </w:rPr>
        <w:footnoteRef/>
      </w:r>
      <w:r w:rsidRPr="008B414E">
        <w:rPr>
          <w:rFonts w:cstheme="minorHAnsi"/>
          <w:sz w:val="22"/>
          <w:szCs w:val="22"/>
        </w:rPr>
        <w:t xml:space="preserve"> The National Disability Survey 2006 showed 63% of those under 44 were interested in work, in the right circumstances, compared to 28% of those over 55. Vol. 2, Table 7.19.</w:t>
      </w:r>
    </w:p>
  </w:footnote>
  <w:footnote w:id="31">
    <w:p w14:paraId="3796D1FC" w14:textId="77777777" w:rsidR="001E0A43" w:rsidRPr="006B2137" w:rsidRDefault="001E0A43" w:rsidP="008B414E">
      <w:pPr>
        <w:pStyle w:val="FootnoteText"/>
        <w:spacing w:after="0"/>
        <w:rPr>
          <w:rFonts w:cstheme="minorHAnsi"/>
          <w:sz w:val="22"/>
          <w:szCs w:val="22"/>
        </w:rPr>
      </w:pPr>
      <w:r w:rsidRPr="006B2137">
        <w:rPr>
          <w:rStyle w:val="FootnoteReference"/>
          <w:rFonts w:ascii="Gill Sans MT" w:hAnsi="Gill Sans MT" w:cstheme="minorHAnsi"/>
          <w:szCs w:val="22"/>
        </w:rPr>
        <w:footnoteRef/>
      </w:r>
      <w:r w:rsidRPr="006B2137">
        <w:rPr>
          <w:rFonts w:cstheme="minorHAnsi"/>
          <w:sz w:val="22"/>
          <w:szCs w:val="22"/>
        </w:rPr>
        <w:t xml:space="preserve"> Watson et al (2017) Employment transitions among people with a disability in Ireland: an analysis of the Quarterly National Household Survey, 2010-2015  https://www.esri.ie/publications/employment-transitions-among-people-with-a-disability-in-ireland-an-analysis-of-the</w:t>
      </w:r>
    </w:p>
  </w:footnote>
  <w:footnote w:id="32">
    <w:p w14:paraId="30028225" w14:textId="77777777" w:rsidR="001E0A43" w:rsidRDefault="001E0A43" w:rsidP="00BD1604">
      <w:pPr>
        <w:pStyle w:val="FootnoteText"/>
        <w:spacing w:after="0"/>
      </w:pPr>
      <w:r w:rsidRPr="00B75B23">
        <w:rPr>
          <w:rStyle w:val="FootnoteReference"/>
          <w:szCs w:val="22"/>
        </w:rPr>
        <w:footnoteRef/>
      </w:r>
      <w:hyperlink r:id="rId17" w:history="1">
        <w:r w:rsidRPr="00B75B23">
          <w:rPr>
            <w:rFonts w:eastAsiaTheme="minorHAnsi" w:cs="Calibri"/>
            <w:sz w:val="22"/>
            <w:szCs w:val="22"/>
            <w:u w:val="single"/>
          </w:rPr>
          <w:t>h</w:t>
        </w:r>
        <w:r w:rsidRPr="008A43FA">
          <w:rPr>
            <w:rFonts w:eastAsiaTheme="minorHAnsi" w:cs="Calibri"/>
            <w:sz w:val="22"/>
            <w:szCs w:val="22"/>
          </w:rPr>
          <w:t>ttp://budget.gov.ie/Budgets/2020/Documents/Budget/The%20Inactive%20Working%20Age%20Population%20(A).pdf</w:t>
        </w:r>
      </w:hyperlink>
    </w:p>
  </w:footnote>
  <w:footnote w:id="33">
    <w:p w14:paraId="3D68BA0E" w14:textId="77777777" w:rsidR="001E0A43" w:rsidRDefault="001E0A43" w:rsidP="00D41FDF">
      <w:pPr>
        <w:pStyle w:val="FootnoteText"/>
      </w:pPr>
      <w:r>
        <w:rPr>
          <w:rStyle w:val="FootnoteReference"/>
        </w:rPr>
        <w:footnoteRef/>
      </w:r>
      <w:r>
        <w:t xml:space="preserve"> </w:t>
      </w:r>
      <w:r w:rsidRPr="00E03CA8">
        <w:rPr>
          <w:sz w:val="22"/>
        </w:rPr>
        <w:t>Assessment or evaluation, advice or guidance, new skills, training or education, health and wellbeing support, on the job support, adaptations or technologies, or service co-ordination</w:t>
      </w:r>
    </w:p>
  </w:footnote>
  <w:footnote w:id="34">
    <w:p w14:paraId="5653BB20" w14:textId="77777777" w:rsidR="001E0A43" w:rsidRPr="00210513" w:rsidRDefault="001E0A43" w:rsidP="0037408F">
      <w:pPr>
        <w:spacing w:after="0"/>
        <w:rPr>
          <w:sz w:val="22"/>
          <w:szCs w:val="22"/>
        </w:rPr>
      </w:pPr>
      <w:r w:rsidRPr="00D24A9E">
        <w:rPr>
          <w:rStyle w:val="FootnoteReference"/>
          <w:rFonts w:ascii="Gill Sans MT" w:hAnsi="Gill Sans MT"/>
          <w:szCs w:val="22"/>
        </w:rPr>
        <w:footnoteRef/>
      </w:r>
      <w:r w:rsidRPr="00D24A9E">
        <w:rPr>
          <w:sz w:val="22"/>
          <w:szCs w:val="22"/>
        </w:rPr>
        <w:t xml:space="preserve"> </w:t>
      </w:r>
      <w:r w:rsidRPr="00210513">
        <w:rPr>
          <w:sz w:val="22"/>
          <w:szCs w:val="22"/>
        </w:rPr>
        <w:t>OECD (2010) Sickness, Disability and Work: Breaking the Barriers. Paris, FR: Organisation of Economic Cooperation and Development</w:t>
      </w:r>
      <w:r w:rsidRPr="00210513">
        <w:rPr>
          <w:b/>
          <w:sz w:val="22"/>
          <w:szCs w:val="22"/>
        </w:rPr>
        <w:t xml:space="preserve">. </w:t>
      </w:r>
      <w:r w:rsidRPr="00210513">
        <w:rPr>
          <w:sz w:val="22"/>
          <w:szCs w:val="22"/>
        </w:rPr>
        <w:t xml:space="preserve">Retrieved (24/08/2015) from: </w:t>
      </w:r>
      <w:hyperlink r:id="rId18" w:history="1">
        <w:r w:rsidRPr="00210513">
          <w:rPr>
            <w:rStyle w:val="Hyperlink"/>
            <w:sz w:val="22"/>
            <w:szCs w:val="22"/>
          </w:rPr>
          <w:t>http://www.oecd.org/ireland/46461490.pdf</w:t>
        </w:r>
      </w:hyperlink>
      <w:r w:rsidRPr="00210513">
        <w:rPr>
          <w:sz w:val="22"/>
          <w:szCs w:val="22"/>
        </w:rPr>
        <w:t xml:space="preserve"> </w:t>
      </w:r>
    </w:p>
  </w:footnote>
  <w:footnote w:id="35">
    <w:p w14:paraId="653E9E5A" w14:textId="77777777" w:rsidR="001E0A43" w:rsidRPr="00210513" w:rsidRDefault="001E0A43" w:rsidP="003E31AE">
      <w:pPr>
        <w:spacing w:after="0"/>
        <w:rPr>
          <w:sz w:val="22"/>
          <w:szCs w:val="22"/>
        </w:rPr>
      </w:pPr>
      <w:r w:rsidRPr="00210513">
        <w:rPr>
          <w:rStyle w:val="FootnoteReference"/>
          <w:szCs w:val="22"/>
        </w:rPr>
        <w:footnoteRef/>
      </w:r>
      <w:r w:rsidRPr="00210513">
        <w:rPr>
          <w:sz w:val="22"/>
          <w:szCs w:val="22"/>
        </w:rPr>
        <w:t xml:space="preserve"> Government ratification of the UN Convention on the Rights of Persons with Disabilities and the co-ordinated cross-government approaches to disability under the National Disability Inclusion Strategy</w:t>
      </w:r>
    </w:p>
  </w:footnote>
  <w:footnote w:id="36">
    <w:p w14:paraId="2E4DD9D5" w14:textId="77777777" w:rsidR="001E0A43" w:rsidRDefault="001E0A43">
      <w:pPr>
        <w:pStyle w:val="FootnoteText"/>
      </w:pPr>
      <w:r>
        <w:rPr>
          <w:rStyle w:val="FootnoteReference"/>
        </w:rPr>
        <w:footnoteRef/>
      </w:r>
      <w:r>
        <w:t xml:space="preserve"> </w:t>
      </w:r>
      <w:r w:rsidRPr="00C0448D">
        <w:rPr>
          <w:sz w:val="22"/>
          <w:szCs w:val="22"/>
        </w:rPr>
        <w:t>Current actions are described in Pathways to Work 2020 to 2024</w:t>
      </w:r>
      <w:r>
        <w:rPr>
          <w:sz w:val="22"/>
          <w:szCs w:val="22"/>
        </w:rPr>
        <w:t>. Department name changed to Department of Social Protection in July 2020.</w:t>
      </w:r>
    </w:p>
  </w:footnote>
  <w:footnote w:id="37">
    <w:p w14:paraId="40876B07" w14:textId="3C89EE92" w:rsidR="001E0A43" w:rsidRPr="001C2B59" w:rsidRDefault="001E0A43">
      <w:pPr>
        <w:pStyle w:val="FootnoteText"/>
        <w:rPr>
          <w:sz w:val="22"/>
          <w:szCs w:val="22"/>
        </w:rPr>
      </w:pPr>
      <w:r>
        <w:rPr>
          <w:rStyle w:val="FootnoteReference"/>
        </w:rPr>
        <w:footnoteRef/>
      </w:r>
      <w:r>
        <w:t xml:space="preserve"> </w:t>
      </w:r>
      <w:r w:rsidRPr="001C2B59">
        <w:rPr>
          <w:sz w:val="22"/>
          <w:szCs w:val="22"/>
        </w:rPr>
        <w:t xml:space="preserve">Pathways to Work Strategy 2021-2025 </w:t>
      </w:r>
      <w:hyperlink r:id="rId19" w:history="1">
        <w:r w:rsidRPr="001C2B59">
          <w:rPr>
            <w:rStyle w:val="Hyperlink"/>
            <w:sz w:val="22"/>
            <w:szCs w:val="22"/>
          </w:rPr>
          <w:t>https://www.gov.ie/en/publication/1feaf-pathways-to-work-2021/</w:t>
        </w:r>
      </w:hyperlink>
    </w:p>
  </w:footnote>
  <w:footnote w:id="38">
    <w:p w14:paraId="5ACC9AB4" w14:textId="47C64766" w:rsidR="001E0A43" w:rsidRDefault="001E0A43">
      <w:pPr>
        <w:pStyle w:val="FootnoteText"/>
      </w:pPr>
      <w:r>
        <w:rPr>
          <w:rStyle w:val="FootnoteReference"/>
        </w:rPr>
        <w:footnoteRef/>
      </w:r>
      <w:r>
        <w:t xml:space="preserve"> </w:t>
      </w:r>
      <w:r w:rsidRPr="00CD6F66">
        <w:rPr>
          <w:sz w:val="22"/>
          <w:szCs w:val="22"/>
        </w:rPr>
        <w:t>Further commitments in the 2021 to 2025 Pathways to Work Strategy are listed in the appendices</w:t>
      </w:r>
    </w:p>
  </w:footnote>
  <w:footnote w:id="39">
    <w:p w14:paraId="59D174B0" w14:textId="77777777" w:rsidR="001E0A43" w:rsidRPr="009019DA" w:rsidRDefault="001E0A43" w:rsidP="00D7375A">
      <w:pPr>
        <w:spacing w:after="80"/>
        <w:rPr>
          <w:sz w:val="22"/>
          <w:szCs w:val="22"/>
        </w:rPr>
      </w:pPr>
      <w:r w:rsidRPr="009019DA">
        <w:rPr>
          <w:rStyle w:val="FootnoteReference"/>
          <w:szCs w:val="22"/>
        </w:rPr>
        <w:footnoteRef/>
      </w:r>
      <w:r w:rsidRPr="009019DA">
        <w:rPr>
          <w:sz w:val="22"/>
          <w:szCs w:val="22"/>
        </w:rPr>
        <w:t xml:space="preserve"> Strategic Priority 3 Make Work Pay. NDA (2006) A Strategy of Engagement - Towards a Comprehensive Employment Strategy for People with Disabilities</w:t>
      </w:r>
    </w:p>
  </w:footnote>
  <w:footnote w:id="40">
    <w:p w14:paraId="0219DFC4" w14:textId="1FAC0895" w:rsidR="001E0A43" w:rsidRDefault="001E0A43">
      <w:pPr>
        <w:pStyle w:val="FootnoteText"/>
      </w:pPr>
      <w:r>
        <w:rPr>
          <w:rStyle w:val="FootnoteReference"/>
        </w:rPr>
        <w:footnoteRef/>
      </w:r>
      <w:r w:rsidRPr="00C82821">
        <w:t>www.citizensinformation.ie/en/social_welfare/social_welfare_payments/disability_and_illness/disability_allowance.html#</w:t>
      </w:r>
    </w:p>
  </w:footnote>
  <w:footnote w:id="41">
    <w:p w14:paraId="76783E04" w14:textId="77777777" w:rsidR="001E0A43" w:rsidRPr="00AE6ABB" w:rsidRDefault="001E0A43" w:rsidP="00DE1F72">
      <w:pPr>
        <w:spacing w:after="0"/>
        <w:rPr>
          <w:sz w:val="22"/>
          <w:szCs w:val="22"/>
        </w:rPr>
      </w:pPr>
      <w:r w:rsidRPr="00BD1604">
        <w:rPr>
          <w:rStyle w:val="FootnoteReference"/>
          <w:rFonts w:ascii="Gill Sans MT" w:hAnsi="Gill Sans MT"/>
          <w:b/>
          <w:szCs w:val="22"/>
        </w:rPr>
        <w:footnoteRef/>
      </w:r>
      <w:r w:rsidRPr="00BD1604">
        <w:rPr>
          <w:b/>
          <w:sz w:val="22"/>
          <w:szCs w:val="22"/>
        </w:rPr>
        <w:t xml:space="preserve"> </w:t>
      </w:r>
      <w:r w:rsidRPr="00AE6ABB">
        <w:rPr>
          <w:sz w:val="22"/>
          <w:szCs w:val="22"/>
        </w:rPr>
        <w:t xml:space="preserve">SOLAS was established in 2013 under the Further Education and Training Act as an agency of the Department of Education and Skills. </w:t>
      </w:r>
    </w:p>
  </w:footnote>
  <w:footnote w:id="42">
    <w:p w14:paraId="7DF01F94" w14:textId="77777777" w:rsidR="001E0A43" w:rsidRPr="00DE1F72" w:rsidRDefault="001E0A43" w:rsidP="00DE1F72">
      <w:pPr>
        <w:pStyle w:val="FootnoteText"/>
        <w:spacing w:after="0"/>
        <w:rPr>
          <w:sz w:val="22"/>
          <w:szCs w:val="22"/>
        </w:rPr>
      </w:pPr>
      <w:r w:rsidRPr="00AE6ABB">
        <w:rPr>
          <w:rStyle w:val="FootnoteReference"/>
          <w:rFonts w:ascii="Gill Sans MT" w:hAnsi="Gill Sans MT"/>
          <w:szCs w:val="22"/>
        </w:rPr>
        <w:footnoteRef/>
      </w:r>
      <w:r w:rsidRPr="00AE6ABB">
        <w:rPr>
          <w:sz w:val="22"/>
          <w:szCs w:val="22"/>
        </w:rPr>
        <w:t xml:space="preserve"> </w:t>
      </w:r>
      <w:r>
        <w:rPr>
          <w:sz w:val="22"/>
          <w:szCs w:val="22"/>
        </w:rPr>
        <w:t>SOLAS</w:t>
      </w:r>
      <w:r w:rsidRPr="00AE6ABB">
        <w:rPr>
          <w:sz w:val="22"/>
          <w:szCs w:val="22"/>
        </w:rPr>
        <w:t xml:space="preserve"> </w:t>
      </w:r>
      <w:r w:rsidRPr="00AE6ABB">
        <w:rPr>
          <w:rFonts w:cs="Arial"/>
          <w:sz w:val="22"/>
          <w:szCs w:val="22"/>
        </w:rPr>
        <w:t>FET Strategy 2014 - 2019</w:t>
      </w:r>
    </w:p>
  </w:footnote>
  <w:footnote w:id="43">
    <w:p w14:paraId="0E97494E" w14:textId="2BEF3DFD" w:rsidR="001E0A43" w:rsidRPr="001C2B59" w:rsidRDefault="001E0A43">
      <w:pPr>
        <w:pStyle w:val="FootnoteText"/>
        <w:rPr>
          <w:sz w:val="22"/>
          <w:szCs w:val="22"/>
        </w:rPr>
      </w:pPr>
      <w:r w:rsidRPr="001C2B59">
        <w:rPr>
          <w:rStyle w:val="FootnoteReference"/>
          <w:rFonts w:ascii="Gill Sans MT" w:hAnsi="Gill Sans MT"/>
          <w:szCs w:val="22"/>
        </w:rPr>
        <w:footnoteRef/>
      </w:r>
      <w:r w:rsidRPr="001C2B59">
        <w:rPr>
          <w:sz w:val="22"/>
          <w:szCs w:val="22"/>
        </w:rPr>
        <w:t xml:space="preserve"> Appendix 3 seamless pathway to work CES action 5.1</w:t>
      </w:r>
    </w:p>
  </w:footnote>
  <w:footnote w:id="44">
    <w:p w14:paraId="7FF861FB" w14:textId="77777777" w:rsidR="001E0A43" w:rsidRPr="001C2B59" w:rsidRDefault="001E0A43" w:rsidP="00C530E7">
      <w:pPr>
        <w:pStyle w:val="FootnoteText"/>
        <w:spacing w:after="0"/>
        <w:rPr>
          <w:rFonts w:cstheme="minorHAnsi"/>
          <w:sz w:val="22"/>
          <w:szCs w:val="22"/>
        </w:rPr>
      </w:pPr>
      <w:r w:rsidRPr="001C2B59">
        <w:rPr>
          <w:rStyle w:val="FootnoteReference"/>
          <w:rFonts w:ascii="Gill Sans MT" w:hAnsi="Gill Sans MT" w:cstheme="minorHAnsi"/>
          <w:szCs w:val="22"/>
        </w:rPr>
        <w:footnoteRef/>
      </w:r>
      <w:r w:rsidRPr="001C2B59">
        <w:rPr>
          <w:rFonts w:cstheme="minorHAnsi"/>
          <w:sz w:val="22"/>
          <w:szCs w:val="22"/>
        </w:rPr>
        <w:t xml:space="preserve"> An NDA literature review has summarised research findings in this area </w:t>
      </w:r>
      <w:hyperlink r:id="rId20" w:history="1">
        <w:r w:rsidRPr="001C2B59">
          <w:rPr>
            <w:rStyle w:val="Hyperlink"/>
            <w:rFonts w:cstheme="minorHAnsi"/>
            <w:color w:val="auto"/>
            <w:sz w:val="22"/>
            <w:szCs w:val="22"/>
          </w:rPr>
          <w:t>http://nda.ie/Publications/Employment/Employment-Publications/Literature-Review-Guidance-on-retaining-employees-with-a-disability.html</w:t>
        </w:r>
      </w:hyperlink>
    </w:p>
  </w:footnote>
  <w:footnote w:id="45">
    <w:p w14:paraId="76D3C5B4" w14:textId="77777777" w:rsidR="001E0A43" w:rsidRPr="001C2B59" w:rsidRDefault="001E0A43" w:rsidP="00C530E7">
      <w:pPr>
        <w:pStyle w:val="FootnoteText"/>
        <w:spacing w:after="0"/>
        <w:rPr>
          <w:rFonts w:cstheme="minorHAnsi"/>
          <w:sz w:val="22"/>
          <w:szCs w:val="22"/>
        </w:rPr>
      </w:pPr>
      <w:r w:rsidRPr="001C2B59">
        <w:rPr>
          <w:rStyle w:val="FootnoteReference"/>
          <w:rFonts w:ascii="Gill Sans MT" w:hAnsi="Gill Sans MT" w:cstheme="minorHAnsi"/>
          <w:szCs w:val="22"/>
        </w:rPr>
        <w:footnoteRef/>
      </w:r>
      <w:r w:rsidRPr="001C2B59">
        <w:rPr>
          <w:rFonts w:cstheme="minorHAnsi"/>
          <w:sz w:val="22"/>
          <w:szCs w:val="22"/>
        </w:rPr>
        <w:t xml:space="preserve"> WRC Social and Economic Research (2008) Research Report on Acquired Disability and Employment</w:t>
      </w:r>
    </w:p>
  </w:footnote>
  <w:footnote w:id="46">
    <w:p w14:paraId="35547D68" w14:textId="77777777" w:rsidR="001E0A43" w:rsidRPr="00262A70" w:rsidRDefault="001E0A43" w:rsidP="00C530E7">
      <w:pPr>
        <w:pStyle w:val="FootnoteText"/>
        <w:spacing w:after="0"/>
        <w:rPr>
          <w:rFonts w:cstheme="minorHAnsi"/>
          <w:sz w:val="22"/>
          <w:szCs w:val="22"/>
        </w:rPr>
      </w:pPr>
      <w:r w:rsidRPr="001C2B59">
        <w:rPr>
          <w:rStyle w:val="FootnoteReference"/>
          <w:rFonts w:ascii="Gill Sans MT" w:hAnsi="Gill Sans MT"/>
          <w:szCs w:val="22"/>
        </w:rPr>
        <w:footnoteRef/>
      </w:r>
      <w:r w:rsidRPr="001C2B59">
        <w:rPr>
          <w:sz w:val="22"/>
          <w:szCs w:val="22"/>
        </w:rPr>
        <w:t xml:space="preserve"> </w:t>
      </w:r>
      <w:hyperlink r:id="rId21" w:history="1">
        <w:r w:rsidRPr="001C2B59">
          <w:rPr>
            <w:rStyle w:val="Hyperlink"/>
            <w:rFonts w:cstheme="minorHAnsi"/>
            <w:color w:val="auto"/>
            <w:sz w:val="22"/>
            <w:szCs w:val="22"/>
          </w:rPr>
          <w:t>http://nda.ie/Publications/Employment/Employment-Publications/Literature-Review-Guidance-on-retaining-employees-with-a-disability.html</w:t>
        </w:r>
      </w:hyperlink>
    </w:p>
  </w:footnote>
  <w:footnote w:id="47">
    <w:p w14:paraId="055BD1BB" w14:textId="77777777" w:rsidR="001E0A43" w:rsidRPr="00316642" w:rsidRDefault="001E0A43" w:rsidP="00316642">
      <w:pPr>
        <w:pStyle w:val="FootnoteText"/>
        <w:spacing w:after="0"/>
        <w:rPr>
          <w:sz w:val="22"/>
          <w:szCs w:val="22"/>
        </w:rPr>
      </w:pPr>
      <w:r w:rsidRPr="00262A70">
        <w:rPr>
          <w:rStyle w:val="FootnoteReference"/>
          <w:rFonts w:ascii="Gill Sans MT" w:hAnsi="Gill Sans MT" w:cstheme="minorHAnsi"/>
          <w:szCs w:val="22"/>
        </w:rPr>
        <w:footnoteRef/>
      </w:r>
      <w:r w:rsidRPr="00262A70">
        <w:rPr>
          <w:rFonts w:cstheme="minorHAnsi"/>
          <w:sz w:val="22"/>
          <w:szCs w:val="22"/>
        </w:rPr>
        <w:t xml:space="preserve"> </w:t>
      </w:r>
      <w:hyperlink r:id="rId22" w:history="1">
        <w:r w:rsidRPr="00262A70">
          <w:rPr>
            <w:rStyle w:val="Hyperlink"/>
            <w:rFonts w:cstheme="minorHAnsi"/>
            <w:color w:val="auto"/>
            <w:sz w:val="22"/>
            <w:szCs w:val="22"/>
          </w:rPr>
          <w:t>https://www.hse.ie/eng/services/list/4/disability/neurorehabilitation/national-strategy-policy-for-the-provision-of-neuro-rehabilitation-services-in-ireland.pdf</w:t>
        </w:r>
      </w:hyperlink>
      <w:r w:rsidRPr="00262A70">
        <w:rPr>
          <w:rFonts w:cstheme="minorHAnsi"/>
          <w:sz w:val="22"/>
          <w:szCs w:val="22"/>
        </w:rPr>
        <w:t xml:space="preserve">; </w:t>
      </w:r>
      <w:hyperlink r:id="rId23" w:history="1">
        <w:r w:rsidRPr="00262A70">
          <w:rPr>
            <w:rStyle w:val="Hyperlink"/>
            <w:rFonts w:cstheme="minorHAnsi"/>
            <w:color w:val="auto"/>
            <w:sz w:val="22"/>
            <w:szCs w:val="22"/>
          </w:rPr>
          <w:t>https://www.hse.ie/eng/services/publications/clinical-strategy-and-programmes/model-of-care-for-specialist-rehab-medicine.pdf</w:t>
        </w:r>
      </w:hyperlink>
      <w:r w:rsidRPr="00262A70">
        <w:rPr>
          <w:rFonts w:cstheme="minorHAnsi"/>
          <w:sz w:val="22"/>
          <w:szCs w:val="22"/>
        </w:rPr>
        <w:t>; HSE (2019) Neuro-rehabilitation implementation framework 2019-2021 https://www.hse.ie/eng/services/list/4/disability/neurorehabilitation/</w:t>
      </w:r>
    </w:p>
  </w:footnote>
  <w:footnote w:id="48">
    <w:p w14:paraId="2E89A955" w14:textId="77777777" w:rsidR="001E0A43" w:rsidRPr="00825BCE" w:rsidRDefault="001E0A43" w:rsidP="005B0850">
      <w:pPr>
        <w:pStyle w:val="FootnoteText"/>
        <w:spacing w:after="0"/>
        <w:rPr>
          <w:rFonts w:cstheme="minorHAnsi"/>
          <w:sz w:val="22"/>
          <w:szCs w:val="22"/>
        </w:rPr>
      </w:pPr>
      <w:r w:rsidRPr="00316642">
        <w:rPr>
          <w:rStyle w:val="FootnoteReference"/>
          <w:rFonts w:ascii="Gill Sans MT" w:hAnsi="Gill Sans MT" w:cstheme="minorHAnsi"/>
          <w:szCs w:val="22"/>
        </w:rPr>
        <w:footnoteRef/>
      </w:r>
      <w:r w:rsidRPr="00316642">
        <w:rPr>
          <w:rFonts w:cstheme="minorHAnsi"/>
          <w:sz w:val="22"/>
          <w:szCs w:val="22"/>
        </w:rPr>
        <w:t xml:space="preserve"> </w:t>
      </w:r>
      <w:r w:rsidRPr="00262A70">
        <w:rPr>
          <w:rFonts w:cstheme="minorHAnsi"/>
          <w:sz w:val="22"/>
          <w:szCs w:val="22"/>
        </w:rPr>
        <w:t xml:space="preserve">Report on future need for disability services </w:t>
      </w:r>
      <w:hyperlink r:id="rId24" w:history="1">
        <w:r w:rsidRPr="00262A70">
          <w:rPr>
            <w:rStyle w:val="Hyperlink"/>
            <w:rFonts w:cstheme="minorHAnsi"/>
            <w:color w:val="auto"/>
            <w:sz w:val="22"/>
            <w:szCs w:val="22"/>
          </w:rPr>
          <w:t>http://nda.ie/Publications/Disability-Supports/Transforming-Lives.pdf</w:t>
        </w:r>
      </w:hyperlink>
      <w:r w:rsidRPr="00262A70">
        <w:rPr>
          <w:rFonts w:cstheme="minorHAnsi"/>
          <w:sz w:val="22"/>
          <w:szCs w:val="22"/>
        </w:rPr>
        <w:t xml:space="preserve">; </w:t>
      </w:r>
      <w:hyperlink r:id="rId25" w:history="1">
        <w:r w:rsidRPr="00262A70">
          <w:rPr>
            <w:rStyle w:val="Hyperlink"/>
            <w:rFonts w:cstheme="minorHAnsi"/>
            <w:color w:val="auto"/>
            <w:sz w:val="22"/>
            <w:szCs w:val="22"/>
          </w:rPr>
          <w:t>http://nda.ie/Publications/Employment/Employment-Publications/Exploring-the-Factors-Related-to-Return-to-Work-after-Stroke.html</w:t>
        </w:r>
      </w:hyperlink>
      <w:r w:rsidRPr="00262A70">
        <w:rPr>
          <w:rFonts w:cstheme="minorHAnsi"/>
          <w:sz w:val="22"/>
          <w:szCs w:val="22"/>
        </w:rPr>
        <w:t xml:space="preserve">; Smith et al (2019) Geographic profile of healthcare needs and non-acute healthcare supply in Ireland, </w:t>
      </w:r>
      <w:hyperlink r:id="rId26" w:history="1">
        <w:r w:rsidRPr="00262A70">
          <w:rPr>
            <w:rStyle w:val="Hyperlink"/>
            <w:rFonts w:cstheme="minorHAnsi"/>
            <w:color w:val="auto"/>
            <w:sz w:val="22"/>
            <w:szCs w:val="22"/>
          </w:rPr>
          <w:t>https://www.esri.ie/system/files/publications/RS90.pdf</w:t>
        </w:r>
      </w:hyperlink>
      <w:r w:rsidRPr="00262A70">
        <w:rPr>
          <w:rFonts w:cstheme="minorHAnsi"/>
          <w:sz w:val="22"/>
          <w:szCs w:val="22"/>
        </w:rPr>
        <w:t>; Neurological Alliance (2019) https://www.nai.ie/go/resources/nai_documents/11-3-2019-living-with-a-neurological-condition-in-ireland-2019-survey</w:t>
      </w:r>
    </w:p>
  </w:footnote>
  <w:footnote w:id="49">
    <w:p w14:paraId="6446421B" w14:textId="78BFB796" w:rsidR="001E0A43" w:rsidRDefault="001E0A43">
      <w:pPr>
        <w:pStyle w:val="FootnoteText"/>
      </w:pPr>
      <w:r>
        <w:rPr>
          <w:rStyle w:val="FootnoteReference"/>
        </w:rPr>
        <w:footnoteRef/>
      </w:r>
      <w:r>
        <w:t xml:space="preserve"> </w:t>
      </w:r>
      <w:r w:rsidRPr="008809CB">
        <w:rPr>
          <w:sz w:val="22"/>
          <w:szCs w:val="22"/>
        </w:rPr>
        <w:t>Forthcoming OECD publication OECD - ”Disability, Work and Inclusion in Ireland: Engaging and supporting employers</w:t>
      </w:r>
    </w:p>
  </w:footnote>
  <w:footnote w:id="50">
    <w:p w14:paraId="4E7DBD61" w14:textId="77777777" w:rsidR="00226EB1" w:rsidRPr="00DD7112" w:rsidRDefault="00226EB1" w:rsidP="00226EB1">
      <w:pPr>
        <w:rPr>
          <w:szCs w:val="26"/>
        </w:rPr>
      </w:pPr>
      <w:r w:rsidRPr="00DD7112">
        <w:rPr>
          <w:rStyle w:val="FootnoteReference"/>
        </w:rPr>
        <w:footnoteRef/>
      </w:r>
      <w:r w:rsidRPr="00DD7112">
        <w:t xml:space="preserve"> </w:t>
      </w:r>
      <w:hyperlink r:id="rId27" w:history="1">
        <w:r w:rsidRPr="00DD7112">
          <w:rPr>
            <w:rStyle w:val="Hyperlink"/>
            <w:color w:val="auto"/>
            <w:sz w:val="24"/>
            <w:u w:val="none"/>
          </w:rPr>
          <w:t>http://nda.ie/publications/employment/employment-publications/reasonable-accommodations-obstacles-and-opportunities-to-the-employment-of-persons-with-a-disability1.pdf</w:t>
        </w:r>
      </w:hyperlink>
    </w:p>
  </w:footnote>
  <w:footnote w:id="51">
    <w:p w14:paraId="7231F6C5" w14:textId="77777777" w:rsidR="001E0A43" w:rsidRPr="004525C2" w:rsidRDefault="001E0A43" w:rsidP="00CC1954">
      <w:pPr>
        <w:spacing w:after="0"/>
        <w:rPr>
          <w:sz w:val="22"/>
          <w:szCs w:val="22"/>
          <w:lang w:eastAsia="en-IE"/>
        </w:rPr>
      </w:pPr>
      <w:r>
        <w:rPr>
          <w:rStyle w:val="FootnoteReference"/>
        </w:rPr>
        <w:footnoteRef/>
      </w:r>
      <w:r>
        <w:t xml:space="preserve"> </w:t>
      </w:r>
      <w:r w:rsidRPr="00EB70FF">
        <w:rPr>
          <w:sz w:val="22"/>
          <w:szCs w:val="22"/>
          <w:lang w:eastAsia="en-IE"/>
        </w:rPr>
        <w:t>EEPIC - Enhancing Employability Through Positive Interventions for Improving Career Potential: The Impact of a High Support Career Guidance Intervention on the Wellbeing, Hopefulness, Self-Efficacy and Employability of the Long-Term Unemployed - A Study Protocol for a Randomised Controlled Trial</w:t>
      </w:r>
    </w:p>
  </w:footnote>
  <w:footnote w:id="52">
    <w:p w14:paraId="01D4DC0E" w14:textId="77777777" w:rsidR="001E0A43" w:rsidRDefault="001E0A43" w:rsidP="00CC1954">
      <w:pPr>
        <w:pStyle w:val="FootnoteText"/>
        <w:spacing w:after="0"/>
      </w:pPr>
      <w:r>
        <w:rPr>
          <w:rStyle w:val="FootnoteReference"/>
        </w:rPr>
        <w:footnoteRef/>
      </w:r>
      <w:r>
        <w:t xml:space="preserve"> </w:t>
      </w:r>
      <w:hyperlink r:id="rId28" w:history="1">
        <w:r w:rsidRPr="004539F0">
          <w:rPr>
            <w:sz w:val="22"/>
            <w:szCs w:val="22"/>
          </w:rPr>
          <w:t>https://www.education.ie/en/Publications/Education-Reports/indecon-review-of-career-guidance.pdf</w:t>
        </w:r>
      </w:hyperlink>
    </w:p>
  </w:footnote>
  <w:footnote w:id="53">
    <w:p w14:paraId="5E0ABB8F" w14:textId="77777777" w:rsidR="001E0A43" w:rsidRDefault="001E0A43" w:rsidP="007E7F0B">
      <w:pPr>
        <w:pStyle w:val="FootnoteText"/>
        <w:spacing w:after="0"/>
      </w:pPr>
      <w:r>
        <w:rPr>
          <w:rStyle w:val="FootnoteReference"/>
        </w:rPr>
        <w:footnoteRef/>
      </w:r>
      <w:r>
        <w:t xml:space="preserve"> </w:t>
      </w:r>
      <w:r w:rsidRPr="00406951">
        <w:rPr>
          <w:rStyle w:val="A1"/>
          <w:b w:val="0"/>
          <w:i w:val="0"/>
          <w:sz w:val="22"/>
          <w:szCs w:val="22"/>
        </w:rPr>
        <w:t>https://www.idmsc.org/professional-standards/ becoming-certified/</w:t>
      </w:r>
    </w:p>
  </w:footnote>
  <w:footnote w:id="54">
    <w:p w14:paraId="5CCA38D0" w14:textId="77777777" w:rsidR="001E0A43" w:rsidRDefault="001E0A43" w:rsidP="007E7F0B">
      <w:pPr>
        <w:pStyle w:val="FootnoteText"/>
        <w:spacing w:after="0"/>
      </w:pPr>
      <w:r>
        <w:rPr>
          <w:rStyle w:val="FootnoteReference"/>
        </w:rPr>
        <w:footnoteRef/>
      </w:r>
      <w:r>
        <w:t xml:space="preserve"> </w:t>
      </w:r>
      <w:r w:rsidRPr="007E7F0B">
        <w:rPr>
          <w:sz w:val="22"/>
          <w:szCs w:val="22"/>
        </w:rPr>
        <w:t>Additional notes to NDA consultation on vocational rehabilitation</w:t>
      </w:r>
    </w:p>
  </w:footnote>
  <w:footnote w:id="55">
    <w:p w14:paraId="54F26891" w14:textId="77777777" w:rsidR="001E0A43" w:rsidRDefault="001E0A43" w:rsidP="00047C43">
      <w:pPr>
        <w:pStyle w:val="FootnoteText"/>
        <w:spacing w:after="0"/>
      </w:pPr>
      <w:r w:rsidRPr="00047C43">
        <w:rPr>
          <w:rStyle w:val="FootnoteReference"/>
          <w:rFonts w:ascii="Gill Sans MT" w:hAnsi="Gill Sans MT"/>
        </w:rPr>
        <w:footnoteRef/>
      </w:r>
      <w:r w:rsidRPr="00047C43">
        <w:t xml:space="preserve"> </w:t>
      </w:r>
      <w:r w:rsidRPr="00047C43">
        <w:rPr>
          <w:sz w:val="22"/>
          <w:szCs w:val="22"/>
        </w:rPr>
        <w:t xml:space="preserve">This evidence </w:t>
      </w:r>
      <w:r>
        <w:rPr>
          <w:sz w:val="22"/>
          <w:szCs w:val="22"/>
        </w:rPr>
        <w:t xml:space="preserve">was </w:t>
      </w:r>
      <w:r w:rsidRPr="00047C43">
        <w:rPr>
          <w:sz w:val="22"/>
          <w:szCs w:val="22"/>
        </w:rPr>
        <w:t>further inputted through consultation with stakeholders and key stakeholders</w:t>
      </w:r>
    </w:p>
  </w:footnote>
  <w:footnote w:id="56">
    <w:p w14:paraId="72A256D1" w14:textId="77777777" w:rsidR="001E0A43" w:rsidRPr="00664585" w:rsidRDefault="001E0A43" w:rsidP="00437F21">
      <w:pPr>
        <w:pStyle w:val="footnote"/>
        <w:spacing w:after="0"/>
        <w:rPr>
          <w:szCs w:val="22"/>
        </w:rPr>
      </w:pPr>
      <w:r w:rsidRPr="00664585">
        <w:rPr>
          <w:rStyle w:val="FootnoteReference"/>
          <w:szCs w:val="22"/>
        </w:rPr>
        <w:footnoteRef/>
      </w:r>
      <w:r w:rsidRPr="00664585">
        <w:rPr>
          <w:szCs w:val="22"/>
        </w:rPr>
        <w:t xml:space="preserve"> http://www.idmsc.org/pages/index.html</w:t>
      </w:r>
    </w:p>
  </w:footnote>
  <w:footnote w:id="57">
    <w:p w14:paraId="58E98F74" w14:textId="77777777" w:rsidR="001E0A43" w:rsidRPr="00664585" w:rsidRDefault="001E0A43" w:rsidP="00437F21">
      <w:pPr>
        <w:pStyle w:val="FootnoteText"/>
        <w:spacing w:after="0"/>
        <w:rPr>
          <w:sz w:val="22"/>
          <w:szCs w:val="22"/>
        </w:rPr>
      </w:pPr>
      <w:r w:rsidRPr="00664585">
        <w:rPr>
          <w:rStyle w:val="FootnoteReference"/>
          <w:szCs w:val="22"/>
        </w:rPr>
        <w:footnoteRef/>
      </w:r>
      <w:r w:rsidRPr="00664585">
        <w:rPr>
          <w:sz w:val="22"/>
          <w:szCs w:val="22"/>
        </w:rPr>
        <w:t xml:space="preserve"> </w:t>
      </w:r>
      <w:hyperlink r:id="rId29" w:history="1">
        <w:r w:rsidRPr="00664585">
          <w:rPr>
            <w:rStyle w:val="Hyperlink"/>
            <w:color w:val="auto"/>
            <w:sz w:val="22"/>
            <w:szCs w:val="22"/>
          </w:rPr>
          <w:t>www.carf.com</w:t>
        </w:r>
      </w:hyperlink>
    </w:p>
  </w:footnote>
  <w:footnote w:id="58">
    <w:p w14:paraId="133134FA" w14:textId="77777777" w:rsidR="001E0A43" w:rsidRDefault="001E0A43" w:rsidP="00437F21">
      <w:pPr>
        <w:pStyle w:val="FootnoteText"/>
        <w:spacing w:after="0"/>
      </w:pPr>
      <w:r w:rsidRPr="00664585">
        <w:rPr>
          <w:rStyle w:val="FootnoteReference"/>
          <w:szCs w:val="22"/>
        </w:rPr>
        <w:footnoteRef/>
      </w:r>
      <w:r w:rsidRPr="00664585">
        <w:rPr>
          <w:sz w:val="22"/>
          <w:szCs w:val="22"/>
        </w:rPr>
        <w:t xml:space="preserve"> </w:t>
      </w:r>
      <w:r w:rsidRPr="00664585">
        <w:rPr>
          <w:rStyle w:val="A1"/>
          <w:b w:val="0"/>
          <w:i w:val="0"/>
          <w:color w:val="auto"/>
          <w:sz w:val="22"/>
          <w:szCs w:val="22"/>
        </w:rPr>
        <w:t>https://www.idmsc.org/professional-standards/ becoming-certified/</w:t>
      </w:r>
    </w:p>
  </w:footnote>
  <w:footnote w:id="59">
    <w:p w14:paraId="24F85889" w14:textId="54FDE3F7" w:rsidR="001E0A43" w:rsidRPr="00EE4029" w:rsidRDefault="001E0A43">
      <w:pPr>
        <w:pStyle w:val="FootnoteText"/>
        <w:rPr>
          <w:sz w:val="22"/>
          <w:szCs w:val="22"/>
        </w:rPr>
      </w:pPr>
      <w:r w:rsidRPr="00EE4029">
        <w:rPr>
          <w:rStyle w:val="FootnoteReference"/>
          <w:rFonts w:ascii="Gill Sans MT" w:hAnsi="Gill Sans MT"/>
          <w:szCs w:val="22"/>
        </w:rPr>
        <w:footnoteRef/>
      </w:r>
      <w:r w:rsidRPr="00EE4029">
        <w:rPr>
          <w:sz w:val="22"/>
          <w:szCs w:val="22"/>
        </w:rPr>
        <w:t xml:space="preserve"> Ensuring that people with disabilities who are remote working  have equipment for home and the office</w:t>
      </w:r>
    </w:p>
  </w:footnote>
  <w:footnote w:id="60">
    <w:p w14:paraId="61CA1A82" w14:textId="77777777" w:rsidR="001E0A43" w:rsidRPr="00784A94" w:rsidRDefault="001E0A43" w:rsidP="00724A24">
      <w:pPr>
        <w:spacing w:after="0"/>
        <w:contextualSpacing/>
        <w:rPr>
          <w:sz w:val="22"/>
          <w:szCs w:val="22"/>
        </w:rPr>
      </w:pPr>
      <w:r w:rsidRPr="006E1794">
        <w:rPr>
          <w:rStyle w:val="FootnoteReference"/>
          <w:szCs w:val="22"/>
        </w:rPr>
        <w:footnoteRef/>
      </w:r>
      <w:r w:rsidRPr="006E1794">
        <w:rPr>
          <w:sz w:val="22"/>
          <w:szCs w:val="22"/>
        </w:rPr>
        <w:t xml:space="preserve"> This information builds on the removal of ‘rehabilitative quality of work’ as described in the Make Work Pay report and allows people on Disability Allowance to work. This policy shift has resulted in over 3000 people on DA coming off that payment since April 2017.</w:t>
      </w:r>
      <w:r>
        <w:rPr>
          <w:sz w:val="22"/>
          <w:szCs w:val="22"/>
        </w:rPr>
        <w:t xml:space="preserve">  </w:t>
      </w:r>
    </w:p>
  </w:footnote>
  <w:footnote w:id="61">
    <w:p w14:paraId="2167D634" w14:textId="77777777" w:rsidR="001E0A43" w:rsidRDefault="001E0A43" w:rsidP="00512F82">
      <w:pPr>
        <w:pStyle w:val="FootnoteText"/>
      </w:pPr>
      <w:r w:rsidRPr="003A404D">
        <w:rPr>
          <w:rStyle w:val="FootnoteReference"/>
          <w:rFonts w:ascii="Gill Sans MT" w:hAnsi="Gill Sans MT"/>
          <w:szCs w:val="22"/>
        </w:rPr>
        <w:footnoteRef/>
      </w:r>
      <w:r w:rsidRPr="003A404D">
        <w:rPr>
          <w:sz w:val="22"/>
          <w:szCs w:val="22"/>
        </w:rPr>
        <w:t xml:space="preserve"> </w:t>
      </w:r>
      <w:r w:rsidRPr="003A404D">
        <w:rPr>
          <w:rFonts w:eastAsia="Times New Roman" w:cs="Gill Sans"/>
          <w:sz w:val="22"/>
          <w:szCs w:val="22"/>
        </w:rPr>
        <w:t>To work together to develop an effective coordinated policy approach (and draw up an implementation plan based on that approach), to assist individuals with disabilities, including those who require a high level of support, to obtain and retain employment having due regard to the implementation of New Directions.’</w:t>
      </w:r>
      <w:r w:rsidRPr="003A404D">
        <w:rPr>
          <w:rFonts w:ascii="Gill Sans" w:eastAsia="Times New Roman" w:hAnsi="Gill Sans" w:cs="Gill Sans"/>
          <w:szCs w:val="26"/>
          <w:vertAlign w:val="superscript"/>
        </w:rPr>
        <w:footnoteRef/>
      </w:r>
    </w:p>
  </w:footnote>
  <w:footnote w:id="62">
    <w:p w14:paraId="209FB8A9" w14:textId="70FBB470" w:rsidR="001E0A43" w:rsidRDefault="001E0A43">
      <w:pPr>
        <w:pStyle w:val="FootnoteText"/>
      </w:pPr>
      <w:r>
        <w:rPr>
          <w:rStyle w:val="FootnoteReference"/>
        </w:rPr>
        <w:footnoteRef/>
      </w:r>
      <w:r>
        <w:t xml:space="preserve"> </w:t>
      </w:r>
      <w:r w:rsidRPr="0099404D">
        <w:rPr>
          <w:sz w:val="22"/>
          <w:szCs w:val="22"/>
        </w:rPr>
        <w:t>Pathways to Work commitment 44</w:t>
      </w:r>
    </w:p>
  </w:footnote>
  <w:footnote w:id="63">
    <w:p w14:paraId="27914EBA" w14:textId="77777777" w:rsidR="001E0A43" w:rsidRPr="008A6CEF" w:rsidRDefault="001E0A43" w:rsidP="00724A24">
      <w:pPr>
        <w:pStyle w:val="FootnoteText"/>
        <w:spacing w:after="0"/>
        <w:rPr>
          <w:sz w:val="22"/>
          <w:szCs w:val="22"/>
        </w:rPr>
      </w:pPr>
      <w:r w:rsidRPr="008A6CEF">
        <w:rPr>
          <w:rStyle w:val="FootnoteReference"/>
          <w:szCs w:val="22"/>
        </w:rPr>
        <w:footnoteRef/>
      </w:r>
      <w:r w:rsidRPr="008A6CEF">
        <w:rPr>
          <w:sz w:val="22"/>
          <w:szCs w:val="22"/>
        </w:rPr>
        <w:t xml:space="preserve"> McAnaney, D. and Wynne, R. (2006) ‘Stress, Absence and Reintegration: Perceptions and Practice of Professionals in Six European Member States’</w:t>
      </w:r>
      <w:r w:rsidRPr="008A6CEF">
        <w:rPr>
          <w:i/>
          <w:sz w:val="22"/>
          <w:szCs w:val="22"/>
        </w:rPr>
        <w:t xml:space="preserve">, </w:t>
      </w:r>
      <w:r w:rsidRPr="008A6CEF">
        <w:rPr>
          <w:sz w:val="22"/>
          <w:szCs w:val="22"/>
        </w:rPr>
        <w:t>International Journal of Disability Management Research, 1 (1), pp. 31-42.</w:t>
      </w:r>
    </w:p>
  </w:footnote>
  <w:footnote w:id="64">
    <w:p w14:paraId="0C85F424" w14:textId="77777777" w:rsidR="001E0A43" w:rsidRPr="00596638" w:rsidRDefault="001E0A43" w:rsidP="00724A24">
      <w:pPr>
        <w:autoSpaceDE w:val="0"/>
        <w:autoSpaceDN w:val="0"/>
        <w:adjustRightInd w:val="0"/>
        <w:spacing w:after="0"/>
        <w:rPr>
          <w:sz w:val="22"/>
          <w:szCs w:val="22"/>
          <w:lang w:val="en"/>
        </w:rPr>
      </w:pPr>
      <w:r w:rsidRPr="008A6CEF">
        <w:rPr>
          <w:rStyle w:val="FootnoteReference"/>
          <w:szCs w:val="22"/>
        </w:rPr>
        <w:footnoteRef/>
      </w:r>
      <w:r w:rsidRPr="008A6CEF">
        <w:rPr>
          <w:sz w:val="22"/>
          <w:szCs w:val="22"/>
        </w:rPr>
        <w:t xml:space="preserve"> </w:t>
      </w:r>
      <w:r>
        <w:rPr>
          <w:sz w:val="22"/>
          <w:szCs w:val="22"/>
        </w:rPr>
        <w:t xml:space="preserve">ILO </w:t>
      </w:r>
      <w:r w:rsidRPr="008A6CEF">
        <w:rPr>
          <w:sz w:val="22"/>
          <w:szCs w:val="22"/>
          <w:lang w:val="en"/>
        </w:rPr>
        <w:t>R099 - Vocational Rehabilitation (Disabled</w:t>
      </w:r>
      <w:r>
        <w:rPr>
          <w:sz w:val="22"/>
          <w:szCs w:val="22"/>
          <w:lang w:val="en"/>
        </w:rPr>
        <w:t>) Recommendation, 1955 (No. 99)</w:t>
      </w:r>
    </w:p>
  </w:footnote>
  <w:footnote w:id="65">
    <w:p w14:paraId="09F3AFE5" w14:textId="77777777" w:rsidR="001E0A43" w:rsidRPr="00784A94" w:rsidRDefault="001E0A43" w:rsidP="00724A24">
      <w:pPr>
        <w:spacing w:after="80"/>
        <w:rPr>
          <w:sz w:val="22"/>
          <w:szCs w:val="22"/>
        </w:rPr>
      </w:pPr>
      <w:r w:rsidRPr="00784A94">
        <w:rPr>
          <w:rStyle w:val="FootnoteReference"/>
          <w:szCs w:val="22"/>
        </w:rPr>
        <w:footnoteRef/>
      </w:r>
      <w:r w:rsidRPr="00784A94">
        <w:rPr>
          <w:sz w:val="22"/>
          <w:szCs w:val="22"/>
        </w:rPr>
        <w:t xml:space="preserve"> Hanophy, J. (2012) ‘Testimony of the Council of State Administrators of Vocational Rehabilitation (CSA vocational Rehabilitation) on Work Incentives in Social Security Disability Programs’, </w:t>
      </w:r>
      <w:r w:rsidRPr="00784A94">
        <w:rPr>
          <w:b/>
          <w:sz w:val="22"/>
          <w:szCs w:val="22"/>
        </w:rPr>
        <w:t>Journal of Vocational Rehabilitation</w:t>
      </w:r>
      <w:r w:rsidRPr="00784A94">
        <w:rPr>
          <w:sz w:val="22"/>
          <w:szCs w:val="22"/>
        </w:rPr>
        <w:t xml:space="preserve">, 36 (1), pp. 13-20. </w:t>
      </w:r>
    </w:p>
  </w:footnote>
  <w:footnote w:id="66">
    <w:p w14:paraId="64AF9B1D" w14:textId="77777777" w:rsidR="001E0A43" w:rsidRPr="003532F5" w:rsidRDefault="001E0A43" w:rsidP="00724A24">
      <w:pPr>
        <w:spacing w:after="80"/>
        <w:rPr>
          <w:sz w:val="22"/>
          <w:szCs w:val="22"/>
        </w:rPr>
      </w:pPr>
      <w:r w:rsidRPr="00784A94">
        <w:rPr>
          <w:rStyle w:val="FootnoteReference"/>
          <w:szCs w:val="22"/>
        </w:rPr>
        <w:footnoteRef/>
      </w:r>
      <w:r w:rsidRPr="00784A94">
        <w:rPr>
          <w:sz w:val="22"/>
          <w:szCs w:val="22"/>
        </w:rPr>
        <w:t xml:space="preserve"> Dean, D., Pepper, J., &amp; Schmidt, R. (2014) ‘State Vocational Rehabilitation Programs and Federal Disability Insurance: An Analysis of Virginia’s Vocational Rehabilitation Program’, </w:t>
      </w:r>
      <w:r w:rsidRPr="00784A94">
        <w:rPr>
          <w:b/>
          <w:sz w:val="22"/>
          <w:szCs w:val="22"/>
        </w:rPr>
        <w:t>IZA Journal of Labor Policy</w:t>
      </w:r>
      <w:r w:rsidRPr="00784A94">
        <w:rPr>
          <w:sz w:val="22"/>
          <w:szCs w:val="22"/>
        </w:rPr>
        <w:t>, 3 (7), pp. 1- 19</w:t>
      </w:r>
      <w:r w:rsidRPr="003532F5">
        <w:rPr>
          <w:sz w:val="22"/>
          <w:szCs w:val="22"/>
        </w:rPr>
        <w:t xml:space="preserve"> </w:t>
      </w:r>
    </w:p>
  </w:footnote>
  <w:footnote w:id="67">
    <w:p w14:paraId="3FDE86D8" w14:textId="77777777" w:rsidR="001E0A43" w:rsidRPr="00222393" w:rsidRDefault="001E0A43" w:rsidP="00222393">
      <w:pPr>
        <w:spacing w:after="0"/>
        <w:rPr>
          <w:szCs w:val="26"/>
        </w:rPr>
      </w:pPr>
      <w:r>
        <w:rPr>
          <w:rStyle w:val="FootnoteReference"/>
        </w:rPr>
        <w:footnoteRef/>
      </w:r>
      <w:r>
        <w:t xml:space="preserve"> </w:t>
      </w:r>
      <w:r w:rsidRPr="00222393">
        <w:rPr>
          <w:sz w:val="22"/>
          <w:szCs w:val="22"/>
        </w:rPr>
        <w:t>In keeping with actions 4.2 and 4.3 of the CES the NDA will develop a programme of work with relevant Departments and their agencies to support the introduction of a vocational rehabilitation system that meets the guidance set out in this paper.</w:t>
      </w:r>
      <w:r>
        <w:rPr>
          <w:szCs w:val="26"/>
        </w:rPr>
        <w:t xml:space="preserve"> </w:t>
      </w:r>
    </w:p>
  </w:footnote>
  <w:footnote w:id="68">
    <w:p w14:paraId="56E7E81B" w14:textId="77777777" w:rsidR="001E0A43" w:rsidRDefault="001E0A43" w:rsidP="002B0CBC">
      <w:pPr>
        <w:spacing w:after="0"/>
        <w:rPr>
          <w:sz w:val="22"/>
          <w:szCs w:val="22"/>
          <w:lang w:val="en-US"/>
        </w:rPr>
      </w:pPr>
      <w:r w:rsidRPr="0076459A">
        <w:rPr>
          <w:rStyle w:val="FootnoteReference"/>
          <w:rFonts w:ascii="Gill Sans MT" w:hAnsi="Gill Sans MT"/>
          <w:szCs w:val="22"/>
        </w:rPr>
        <w:footnoteRef/>
      </w:r>
      <w:r>
        <w:rPr>
          <w:sz w:val="22"/>
          <w:szCs w:val="22"/>
        </w:rPr>
        <w:t xml:space="preserve"> </w:t>
      </w:r>
      <w:r w:rsidRPr="00361A25">
        <w:rPr>
          <w:sz w:val="22"/>
          <w:szCs w:val="22"/>
        </w:rPr>
        <w:t xml:space="preserve">Article 26 covers the </w:t>
      </w:r>
      <w:r w:rsidRPr="00361A25">
        <w:rPr>
          <w:sz w:val="22"/>
          <w:szCs w:val="22"/>
          <w:lang w:val="en-US"/>
        </w:rPr>
        <w:t xml:space="preserve">promotion of vocational and professional rehabilitation, job retention and return-to-work programmes for persons with disabilities. </w:t>
      </w:r>
    </w:p>
    <w:p w14:paraId="19C03345" w14:textId="77777777" w:rsidR="001E0A43" w:rsidRPr="00361A25" w:rsidRDefault="001E0A43" w:rsidP="002B0CBC">
      <w:pPr>
        <w:spacing w:after="0"/>
        <w:rPr>
          <w:rFonts w:ascii="Gill Sans" w:eastAsia="Times New Roman" w:hAnsi="Gill Sans"/>
          <w:sz w:val="22"/>
          <w:szCs w:val="22"/>
        </w:rPr>
      </w:pPr>
      <w:r>
        <w:rPr>
          <w:sz w:val="22"/>
          <w:szCs w:val="22"/>
          <w:lang w:val="en-US"/>
        </w:rPr>
        <w:t>Article 27 covers the right to work and employment for people with disabilities, including for those who acquire a disability during their employment.</w:t>
      </w:r>
    </w:p>
  </w:footnote>
  <w:footnote w:id="69">
    <w:p w14:paraId="7D7BA146" w14:textId="77777777" w:rsidR="001E0A43" w:rsidRPr="00121A67" w:rsidRDefault="001E0A43" w:rsidP="00200229">
      <w:pPr>
        <w:spacing w:after="0"/>
        <w:rPr>
          <w:sz w:val="22"/>
          <w:szCs w:val="22"/>
        </w:rPr>
      </w:pPr>
      <w:r w:rsidRPr="00121A67">
        <w:rPr>
          <w:rStyle w:val="FootnoteReference"/>
          <w:rFonts w:ascii="Gill Sans MT" w:hAnsi="Gill Sans MT"/>
          <w:szCs w:val="22"/>
        </w:rPr>
        <w:footnoteRef/>
      </w:r>
      <w:r w:rsidRPr="00121A67">
        <w:rPr>
          <w:sz w:val="22"/>
          <w:szCs w:val="22"/>
        </w:rPr>
        <w:t xml:space="preserve"> Annual report of the United Nations High Commissioner for Human Rights and reports of the Office of the High Commissioner and the Secretary-General 25 February–22 March 2019 </w:t>
      </w:r>
    </w:p>
    <w:p w14:paraId="0AE6F803" w14:textId="77777777" w:rsidR="001E0A43" w:rsidRDefault="001E0A43" w:rsidP="00200229">
      <w:pPr>
        <w:pStyle w:val="FootnoteText"/>
      </w:pPr>
    </w:p>
  </w:footnote>
  <w:footnote w:id="70">
    <w:p w14:paraId="1C7960E4" w14:textId="77777777" w:rsidR="001E0A43" w:rsidRDefault="001E0A43" w:rsidP="00C56B9E">
      <w:pPr>
        <w:pStyle w:val="FootnoteText"/>
      </w:pPr>
      <w:r>
        <w:rPr>
          <w:rStyle w:val="FootnoteReference"/>
        </w:rPr>
        <w:footnoteRef/>
      </w:r>
      <w:r>
        <w:t xml:space="preserve"> </w:t>
      </w:r>
      <w:r w:rsidRPr="003A404D">
        <w:rPr>
          <w:rFonts w:ascii="Gill Sans" w:eastAsia="Times New Roman" w:hAnsi="Gill Sans" w:cs="Gill Sans"/>
          <w:sz w:val="22"/>
          <w:szCs w:val="22"/>
        </w:rPr>
        <w:t>DSP, DES, DoH, HSE, NDA,</w:t>
      </w:r>
    </w:p>
  </w:footnote>
  <w:footnote w:id="71">
    <w:p w14:paraId="7786CC9D" w14:textId="77777777" w:rsidR="001E0A43" w:rsidRDefault="001E0A43" w:rsidP="00C56B9E">
      <w:pPr>
        <w:pStyle w:val="FootnoteText"/>
      </w:pPr>
      <w:r w:rsidRPr="003A404D">
        <w:rPr>
          <w:rStyle w:val="FootnoteReference"/>
          <w:rFonts w:ascii="Gill Sans MT" w:hAnsi="Gill Sans MT"/>
          <w:szCs w:val="22"/>
        </w:rPr>
        <w:footnoteRef/>
      </w:r>
      <w:r w:rsidRPr="003A404D">
        <w:rPr>
          <w:sz w:val="22"/>
          <w:szCs w:val="22"/>
        </w:rPr>
        <w:t xml:space="preserve"> </w:t>
      </w:r>
      <w:r w:rsidRPr="003A404D">
        <w:rPr>
          <w:rFonts w:eastAsia="Times New Roman" w:cs="Gill Sans"/>
          <w:sz w:val="22"/>
          <w:szCs w:val="22"/>
        </w:rPr>
        <w:t>To work together to develop an effective coordinated policy approach (and draw up an implementation plan based on that approach), to assist individuals with disabilities, including those who require a high level of support, to obtain and retain employment having due regard to the implementation of New Directions.’</w:t>
      </w:r>
      <w:r w:rsidRPr="003A404D">
        <w:rPr>
          <w:rFonts w:ascii="Gill Sans" w:eastAsia="Times New Roman" w:hAnsi="Gill Sans" w:cs="Gill Sans"/>
          <w:szCs w:val="26"/>
          <w:vertAlign w:val="superscript"/>
        </w:rPr>
        <w:footnoteRef/>
      </w:r>
    </w:p>
  </w:footnote>
  <w:footnote w:id="72">
    <w:p w14:paraId="09648F4F" w14:textId="77777777" w:rsidR="001E0A43" w:rsidRPr="00FD3C76" w:rsidRDefault="001E0A43" w:rsidP="00C56B9E">
      <w:pPr>
        <w:pStyle w:val="FootnoteText"/>
        <w:rPr>
          <w:sz w:val="22"/>
          <w:szCs w:val="22"/>
        </w:rPr>
      </w:pPr>
      <w:r w:rsidRPr="00FD3C76">
        <w:rPr>
          <w:rStyle w:val="FootnoteReference"/>
          <w:szCs w:val="22"/>
        </w:rPr>
        <w:footnoteRef/>
      </w:r>
      <w:r w:rsidRPr="00FD3C76">
        <w:rPr>
          <w:sz w:val="22"/>
          <w:szCs w:val="22"/>
        </w:rPr>
        <w:t xml:space="preserve"> This recommendation to be delivered </w:t>
      </w:r>
      <w:r>
        <w:rPr>
          <w:sz w:val="22"/>
          <w:szCs w:val="22"/>
        </w:rPr>
        <w:t>with the support of</w:t>
      </w:r>
      <w:r w:rsidRPr="00FD3C76">
        <w:rPr>
          <w:sz w:val="22"/>
          <w:szCs w:val="22"/>
        </w:rPr>
        <w:t xml:space="preserve"> the new reconfigured Department of Enterprise Trade and Employment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85326DD4"/>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7987C34"/>
    <w:multiLevelType w:val="hybridMultilevel"/>
    <w:tmpl w:val="5B288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A8F344E"/>
    <w:multiLevelType w:val="hybridMultilevel"/>
    <w:tmpl w:val="846A7B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053D2A"/>
    <w:multiLevelType w:val="hybridMultilevel"/>
    <w:tmpl w:val="49E2C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DF113DD"/>
    <w:multiLevelType w:val="multilevel"/>
    <w:tmpl w:val="6922B666"/>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0" w15:restartNumberingAfterBreak="0">
    <w:nsid w:val="12C24A51"/>
    <w:multiLevelType w:val="hybridMultilevel"/>
    <w:tmpl w:val="ED6C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2DA6BC3"/>
    <w:multiLevelType w:val="hybridMultilevel"/>
    <w:tmpl w:val="A84A8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3C29A9"/>
    <w:multiLevelType w:val="hybridMultilevel"/>
    <w:tmpl w:val="1A5EC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962908"/>
    <w:multiLevelType w:val="hybridMultilevel"/>
    <w:tmpl w:val="BA3C1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95877C6"/>
    <w:multiLevelType w:val="hybridMultilevel"/>
    <w:tmpl w:val="4D40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CEF356B"/>
    <w:multiLevelType w:val="hybridMultilevel"/>
    <w:tmpl w:val="FF60A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E76BDE"/>
    <w:multiLevelType w:val="hybridMultilevel"/>
    <w:tmpl w:val="D1CAA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27B71B1"/>
    <w:multiLevelType w:val="hybridMultilevel"/>
    <w:tmpl w:val="B7E459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0A9079A"/>
    <w:multiLevelType w:val="hybridMultilevel"/>
    <w:tmpl w:val="F18C4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2D37FF"/>
    <w:multiLevelType w:val="hybridMultilevel"/>
    <w:tmpl w:val="F25C3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6806AD"/>
    <w:multiLevelType w:val="hybridMultilevel"/>
    <w:tmpl w:val="B284086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2B43720"/>
    <w:multiLevelType w:val="hybridMultilevel"/>
    <w:tmpl w:val="02F26D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5B9BD5"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52DB6EE8"/>
    <w:multiLevelType w:val="hybridMultilevel"/>
    <w:tmpl w:val="14A082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76754A2"/>
    <w:multiLevelType w:val="hybridMultilevel"/>
    <w:tmpl w:val="6BDA2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E6674A"/>
    <w:multiLevelType w:val="hybridMultilevel"/>
    <w:tmpl w:val="9000EA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9E3EEB"/>
    <w:multiLevelType w:val="hybridMultilevel"/>
    <w:tmpl w:val="B7023F9E"/>
    <w:lvl w:ilvl="0" w:tplc="340C140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CC6960"/>
    <w:multiLevelType w:val="hybridMultilevel"/>
    <w:tmpl w:val="A7BC8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17434F"/>
    <w:multiLevelType w:val="hybridMultilevel"/>
    <w:tmpl w:val="D958A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C07A71"/>
    <w:multiLevelType w:val="hybridMultilevel"/>
    <w:tmpl w:val="636201B0"/>
    <w:lvl w:ilvl="0" w:tplc="18090001">
      <w:start w:val="1"/>
      <w:numFmt w:val="bullet"/>
      <w:lvlText w:val=""/>
      <w:lvlJc w:val="left"/>
      <w:pPr>
        <w:ind w:left="660" w:hanging="360"/>
      </w:pPr>
      <w:rPr>
        <w:rFonts w:ascii="Symbol" w:hAnsi="Symbol" w:hint="default"/>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30" w15:restartNumberingAfterBreak="0">
    <w:nsid w:val="71546623"/>
    <w:multiLevelType w:val="hybridMultilevel"/>
    <w:tmpl w:val="4D10D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FD53BA"/>
    <w:multiLevelType w:val="hybridMultilevel"/>
    <w:tmpl w:val="95F8E298"/>
    <w:lvl w:ilvl="0" w:tplc="7F72DA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0B3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06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4A8F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C6F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16EE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CAF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6F1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6FE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143B75"/>
    <w:multiLevelType w:val="hybridMultilevel"/>
    <w:tmpl w:val="79A89F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6A25CA"/>
    <w:multiLevelType w:val="hybridMultilevel"/>
    <w:tmpl w:val="C8388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AF5B10"/>
    <w:multiLevelType w:val="hybridMultilevel"/>
    <w:tmpl w:val="9CF03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4A4BAC"/>
    <w:multiLevelType w:val="hybridMultilevel"/>
    <w:tmpl w:val="86DAC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6E1C84"/>
    <w:multiLevelType w:val="hybridMultilevel"/>
    <w:tmpl w:val="1C6CD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9AA4FAA"/>
    <w:multiLevelType w:val="hybridMultilevel"/>
    <w:tmpl w:val="5742E4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C750FE"/>
    <w:multiLevelType w:val="hybridMultilevel"/>
    <w:tmpl w:val="B66A9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1"/>
  </w:num>
  <w:num w:numId="8">
    <w:abstractNumId w:val="38"/>
  </w:num>
  <w:num w:numId="9">
    <w:abstractNumId w:val="18"/>
  </w:num>
  <w:num w:numId="10">
    <w:abstractNumId w:val="12"/>
  </w:num>
  <w:num w:numId="11">
    <w:abstractNumId w:val="14"/>
  </w:num>
  <w:num w:numId="12">
    <w:abstractNumId w:val="24"/>
  </w:num>
  <w:num w:numId="13">
    <w:abstractNumId w:val="10"/>
  </w:num>
  <w:num w:numId="14">
    <w:abstractNumId w:val="34"/>
  </w:num>
  <w:num w:numId="15">
    <w:abstractNumId w:val="11"/>
  </w:num>
  <w:num w:numId="16">
    <w:abstractNumId w:val="28"/>
  </w:num>
  <w:num w:numId="17">
    <w:abstractNumId w:val="29"/>
  </w:num>
  <w:num w:numId="18">
    <w:abstractNumId w:val="33"/>
  </w:num>
  <w:num w:numId="19">
    <w:abstractNumId w:val="7"/>
  </w:num>
  <w:num w:numId="20">
    <w:abstractNumId w:val="25"/>
  </w:num>
  <w:num w:numId="21">
    <w:abstractNumId w:val="8"/>
  </w:num>
  <w:num w:numId="22">
    <w:abstractNumId w:val="16"/>
  </w:num>
  <w:num w:numId="23">
    <w:abstractNumId w:val="27"/>
  </w:num>
  <w:num w:numId="24">
    <w:abstractNumId w:val="36"/>
  </w:num>
  <w:num w:numId="25">
    <w:abstractNumId w:val="20"/>
  </w:num>
  <w:num w:numId="26">
    <w:abstractNumId w:val="32"/>
  </w:num>
  <w:num w:numId="27">
    <w:abstractNumId w:val="19"/>
  </w:num>
  <w:num w:numId="28">
    <w:abstractNumId w:val="30"/>
  </w:num>
  <w:num w:numId="29">
    <w:abstractNumId w:val="17"/>
  </w:num>
  <w:num w:numId="30">
    <w:abstractNumId w:val="13"/>
  </w:num>
  <w:num w:numId="31">
    <w:abstractNumId w:val="37"/>
  </w:num>
  <w:num w:numId="32">
    <w:abstractNumId w:val="6"/>
  </w:num>
  <w:num w:numId="33">
    <w:abstractNumId w:val="9"/>
  </w:num>
  <w:num w:numId="34">
    <w:abstractNumId w:val="23"/>
  </w:num>
  <w:num w:numId="35">
    <w:abstractNumId w:val="26"/>
  </w:num>
  <w:num w:numId="36">
    <w:abstractNumId w:val="15"/>
  </w:num>
  <w:num w:numId="37">
    <w:abstractNumId w:val="31"/>
  </w:num>
  <w:num w:numId="38">
    <w:abstractNumId w:val="35"/>
  </w:num>
  <w:num w:numId="39">
    <w:abstractNumId w:val="22"/>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CA"/>
    <w:rsid w:val="000012DC"/>
    <w:rsid w:val="00001B1B"/>
    <w:rsid w:val="000033AD"/>
    <w:rsid w:val="00004832"/>
    <w:rsid w:val="00007978"/>
    <w:rsid w:val="000079DA"/>
    <w:rsid w:val="00010229"/>
    <w:rsid w:val="00010540"/>
    <w:rsid w:val="00012C42"/>
    <w:rsid w:val="00016518"/>
    <w:rsid w:val="00016F99"/>
    <w:rsid w:val="00020EF1"/>
    <w:rsid w:val="00023E4D"/>
    <w:rsid w:val="00025BDE"/>
    <w:rsid w:val="00026F52"/>
    <w:rsid w:val="0002724F"/>
    <w:rsid w:val="00027CC0"/>
    <w:rsid w:val="00030C78"/>
    <w:rsid w:val="00030E7D"/>
    <w:rsid w:val="00031502"/>
    <w:rsid w:val="00031688"/>
    <w:rsid w:val="00034DE9"/>
    <w:rsid w:val="0003705B"/>
    <w:rsid w:val="00040F09"/>
    <w:rsid w:val="00041C50"/>
    <w:rsid w:val="0004288C"/>
    <w:rsid w:val="00042E27"/>
    <w:rsid w:val="00043612"/>
    <w:rsid w:val="00044512"/>
    <w:rsid w:val="00044687"/>
    <w:rsid w:val="00045D22"/>
    <w:rsid w:val="00046F9C"/>
    <w:rsid w:val="00047779"/>
    <w:rsid w:val="00047C43"/>
    <w:rsid w:val="00047FEC"/>
    <w:rsid w:val="00050085"/>
    <w:rsid w:val="00051075"/>
    <w:rsid w:val="00052A1B"/>
    <w:rsid w:val="00052C5E"/>
    <w:rsid w:val="000558B1"/>
    <w:rsid w:val="00055C3C"/>
    <w:rsid w:val="000576F3"/>
    <w:rsid w:val="0006035E"/>
    <w:rsid w:val="000626BF"/>
    <w:rsid w:val="000637EF"/>
    <w:rsid w:val="00063AD0"/>
    <w:rsid w:val="0006654A"/>
    <w:rsid w:val="00066695"/>
    <w:rsid w:val="00066784"/>
    <w:rsid w:val="0007134A"/>
    <w:rsid w:val="00071C6A"/>
    <w:rsid w:val="00071F7E"/>
    <w:rsid w:val="00072B4C"/>
    <w:rsid w:val="00076474"/>
    <w:rsid w:val="00077025"/>
    <w:rsid w:val="00085FA1"/>
    <w:rsid w:val="000928C7"/>
    <w:rsid w:val="00094933"/>
    <w:rsid w:val="000961C3"/>
    <w:rsid w:val="00096C3D"/>
    <w:rsid w:val="000A0851"/>
    <w:rsid w:val="000A2D00"/>
    <w:rsid w:val="000A353A"/>
    <w:rsid w:val="000A38CC"/>
    <w:rsid w:val="000A4438"/>
    <w:rsid w:val="000A46A7"/>
    <w:rsid w:val="000A48DB"/>
    <w:rsid w:val="000A74D2"/>
    <w:rsid w:val="000A7B0B"/>
    <w:rsid w:val="000B052E"/>
    <w:rsid w:val="000B24F0"/>
    <w:rsid w:val="000B3E3B"/>
    <w:rsid w:val="000B63DC"/>
    <w:rsid w:val="000C0F8F"/>
    <w:rsid w:val="000C2D3A"/>
    <w:rsid w:val="000C436A"/>
    <w:rsid w:val="000C5E3C"/>
    <w:rsid w:val="000C641F"/>
    <w:rsid w:val="000C6C90"/>
    <w:rsid w:val="000C7346"/>
    <w:rsid w:val="000D0A3E"/>
    <w:rsid w:val="000D12BE"/>
    <w:rsid w:val="000D2873"/>
    <w:rsid w:val="000D503F"/>
    <w:rsid w:val="000E022E"/>
    <w:rsid w:val="000E02C1"/>
    <w:rsid w:val="000E349D"/>
    <w:rsid w:val="000E544A"/>
    <w:rsid w:val="000E63C0"/>
    <w:rsid w:val="000E7456"/>
    <w:rsid w:val="000F1B18"/>
    <w:rsid w:val="000F1D47"/>
    <w:rsid w:val="000F2507"/>
    <w:rsid w:val="000F603F"/>
    <w:rsid w:val="000F6658"/>
    <w:rsid w:val="00103758"/>
    <w:rsid w:val="00104C85"/>
    <w:rsid w:val="001054F5"/>
    <w:rsid w:val="0010664C"/>
    <w:rsid w:val="00106A9A"/>
    <w:rsid w:val="00112BC6"/>
    <w:rsid w:val="00114F68"/>
    <w:rsid w:val="00117772"/>
    <w:rsid w:val="00121A67"/>
    <w:rsid w:val="00125843"/>
    <w:rsid w:val="00130658"/>
    <w:rsid w:val="00135642"/>
    <w:rsid w:val="001358BB"/>
    <w:rsid w:val="00135C60"/>
    <w:rsid w:val="00135CEC"/>
    <w:rsid w:val="0014162E"/>
    <w:rsid w:val="00143D19"/>
    <w:rsid w:val="0014485D"/>
    <w:rsid w:val="0014491A"/>
    <w:rsid w:val="001456F0"/>
    <w:rsid w:val="00146F50"/>
    <w:rsid w:val="00152EDD"/>
    <w:rsid w:val="00153741"/>
    <w:rsid w:val="00155161"/>
    <w:rsid w:val="001551A0"/>
    <w:rsid w:val="001558C1"/>
    <w:rsid w:val="00155E92"/>
    <w:rsid w:val="001606DD"/>
    <w:rsid w:val="00162B86"/>
    <w:rsid w:val="00162E8A"/>
    <w:rsid w:val="00162F3E"/>
    <w:rsid w:val="001651C1"/>
    <w:rsid w:val="00166C20"/>
    <w:rsid w:val="0017239C"/>
    <w:rsid w:val="00172B06"/>
    <w:rsid w:val="00172B5F"/>
    <w:rsid w:val="00173227"/>
    <w:rsid w:val="001735D3"/>
    <w:rsid w:val="00175031"/>
    <w:rsid w:val="00175E43"/>
    <w:rsid w:val="00176D19"/>
    <w:rsid w:val="00176D25"/>
    <w:rsid w:val="00177792"/>
    <w:rsid w:val="00181CD5"/>
    <w:rsid w:val="00181EAC"/>
    <w:rsid w:val="00181FE6"/>
    <w:rsid w:val="00182DDF"/>
    <w:rsid w:val="00185677"/>
    <w:rsid w:val="0019095A"/>
    <w:rsid w:val="00191576"/>
    <w:rsid w:val="00192E7C"/>
    <w:rsid w:val="00193832"/>
    <w:rsid w:val="00195AA6"/>
    <w:rsid w:val="00197E50"/>
    <w:rsid w:val="001A055C"/>
    <w:rsid w:val="001A0A4C"/>
    <w:rsid w:val="001A21E8"/>
    <w:rsid w:val="001A634B"/>
    <w:rsid w:val="001A6ECD"/>
    <w:rsid w:val="001A79DE"/>
    <w:rsid w:val="001B103B"/>
    <w:rsid w:val="001B3E71"/>
    <w:rsid w:val="001B3F2D"/>
    <w:rsid w:val="001B3F9F"/>
    <w:rsid w:val="001B45E4"/>
    <w:rsid w:val="001B608C"/>
    <w:rsid w:val="001B6411"/>
    <w:rsid w:val="001C02B4"/>
    <w:rsid w:val="001C0AD8"/>
    <w:rsid w:val="001C1A0F"/>
    <w:rsid w:val="001C2B59"/>
    <w:rsid w:val="001C4575"/>
    <w:rsid w:val="001C4E0F"/>
    <w:rsid w:val="001C6FD1"/>
    <w:rsid w:val="001C7145"/>
    <w:rsid w:val="001D16EF"/>
    <w:rsid w:val="001D2D70"/>
    <w:rsid w:val="001E0A43"/>
    <w:rsid w:val="001E0AED"/>
    <w:rsid w:val="001E28E4"/>
    <w:rsid w:val="001E4D60"/>
    <w:rsid w:val="001F062C"/>
    <w:rsid w:val="001F30B5"/>
    <w:rsid w:val="001F363C"/>
    <w:rsid w:val="001F6214"/>
    <w:rsid w:val="001F6B73"/>
    <w:rsid w:val="001F76C1"/>
    <w:rsid w:val="001F7897"/>
    <w:rsid w:val="00200229"/>
    <w:rsid w:val="0020162C"/>
    <w:rsid w:val="0020350B"/>
    <w:rsid w:val="00203839"/>
    <w:rsid w:val="00203E42"/>
    <w:rsid w:val="002101B6"/>
    <w:rsid w:val="002101E1"/>
    <w:rsid w:val="00210513"/>
    <w:rsid w:val="002121DC"/>
    <w:rsid w:val="00213495"/>
    <w:rsid w:val="00216264"/>
    <w:rsid w:val="002162BE"/>
    <w:rsid w:val="00216478"/>
    <w:rsid w:val="0021721D"/>
    <w:rsid w:val="00220853"/>
    <w:rsid w:val="00220D07"/>
    <w:rsid w:val="00222393"/>
    <w:rsid w:val="00223AAC"/>
    <w:rsid w:val="00224AF4"/>
    <w:rsid w:val="002265A7"/>
    <w:rsid w:val="00226EB1"/>
    <w:rsid w:val="00230AB7"/>
    <w:rsid w:val="00231ADA"/>
    <w:rsid w:val="00231D2E"/>
    <w:rsid w:val="002333A4"/>
    <w:rsid w:val="00234132"/>
    <w:rsid w:val="00235520"/>
    <w:rsid w:val="00235B35"/>
    <w:rsid w:val="00236731"/>
    <w:rsid w:val="00236FE8"/>
    <w:rsid w:val="00244172"/>
    <w:rsid w:val="002449A5"/>
    <w:rsid w:val="00245C0C"/>
    <w:rsid w:val="00246204"/>
    <w:rsid w:val="00246A58"/>
    <w:rsid w:val="00247421"/>
    <w:rsid w:val="002479F6"/>
    <w:rsid w:val="00247AD3"/>
    <w:rsid w:val="00254092"/>
    <w:rsid w:val="0025485F"/>
    <w:rsid w:val="00255186"/>
    <w:rsid w:val="002556DC"/>
    <w:rsid w:val="00256400"/>
    <w:rsid w:val="00257421"/>
    <w:rsid w:val="00261EC3"/>
    <w:rsid w:val="00262A70"/>
    <w:rsid w:val="00263717"/>
    <w:rsid w:val="0026459E"/>
    <w:rsid w:val="00265CB8"/>
    <w:rsid w:val="00267153"/>
    <w:rsid w:val="00274187"/>
    <w:rsid w:val="002756CF"/>
    <w:rsid w:val="00281584"/>
    <w:rsid w:val="00281A28"/>
    <w:rsid w:val="00282D32"/>
    <w:rsid w:val="00283340"/>
    <w:rsid w:val="0028493D"/>
    <w:rsid w:val="0028534F"/>
    <w:rsid w:val="002864BC"/>
    <w:rsid w:val="00286E55"/>
    <w:rsid w:val="00287B8E"/>
    <w:rsid w:val="0029151D"/>
    <w:rsid w:val="002918AC"/>
    <w:rsid w:val="00295735"/>
    <w:rsid w:val="00295F57"/>
    <w:rsid w:val="00296666"/>
    <w:rsid w:val="0029668B"/>
    <w:rsid w:val="00296814"/>
    <w:rsid w:val="002A1A3F"/>
    <w:rsid w:val="002A36B1"/>
    <w:rsid w:val="002A5A16"/>
    <w:rsid w:val="002A649A"/>
    <w:rsid w:val="002A6800"/>
    <w:rsid w:val="002A6E2F"/>
    <w:rsid w:val="002A7B88"/>
    <w:rsid w:val="002B051F"/>
    <w:rsid w:val="002B0A50"/>
    <w:rsid w:val="002B0CBC"/>
    <w:rsid w:val="002B1B3D"/>
    <w:rsid w:val="002B1F1D"/>
    <w:rsid w:val="002B2F44"/>
    <w:rsid w:val="002B3B0E"/>
    <w:rsid w:val="002B40E5"/>
    <w:rsid w:val="002B5B78"/>
    <w:rsid w:val="002B6CF8"/>
    <w:rsid w:val="002B742E"/>
    <w:rsid w:val="002B7CA5"/>
    <w:rsid w:val="002B7E53"/>
    <w:rsid w:val="002C0F6B"/>
    <w:rsid w:val="002C1CE6"/>
    <w:rsid w:val="002C2059"/>
    <w:rsid w:val="002C212A"/>
    <w:rsid w:val="002C6513"/>
    <w:rsid w:val="002C68CD"/>
    <w:rsid w:val="002C7C32"/>
    <w:rsid w:val="002D48D5"/>
    <w:rsid w:val="002E0A55"/>
    <w:rsid w:val="002E0DEC"/>
    <w:rsid w:val="002E4A69"/>
    <w:rsid w:val="002E5750"/>
    <w:rsid w:val="002E5B30"/>
    <w:rsid w:val="002E68A0"/>
    <w:rsid w:val="002F0565"/>
    <w:rsid w:val="002F073F"/>
    <w:rsid w:val="002F499F"/>
    <w:rsid w:val="002F771E"/>
    <w:rsid w:val="00300E3A"/>
    <w:rsid w:val="003013F1"/>
    <w:rsid w:val="00303780"/>
    <w:rsid w:val="00303E66"/>
    <w:rsid w:val="00304241"/>
    <w:rsid w:val="003102E9"/>
    <w:rsid w:val="00310413"/>
    <w:rsid w:val="00311A07"/>
    <w:rsid w:val="00312104"/>
    <w:rsid w:val="00313095"/>
    <w:rsid w:val="00314204"/>
    <w:rsid w:val="003149BC"/>
    <w:rsid w:val="00315CA5"/>
    <w:rsid w:val="00316642"/>
    <w:rsid w:val="00317F4A"/>
    <w:rsid w:val="003200EF"/>
    <w:rsid w:val="00324283"/>
    <w:rsid w:val="00324B7C"/>
    <w:rsid w:val="00325A22"/>
    <w:rsid w:val="003275DA"/>
    <w:rsid w:val="00327A37"/>
    <w:rsid w:val="00330BB5"/>
    <w:rsid w:val="00330C1D"/>
    <w:rsid w:val="003310BF"/>
    <w:rsid w:val="00337504"/>
    <w:rsid w:val="00340BE3"/>
    <w:rsid w:val="00341CF7"/>
    <w:rsid w:val="003445F3"/>
    <w:rsid w:val="003446BB"/>
    <w:rsid w:val="00346DEB"/>
    <w:rsid w:val="00346F55"/>
    <w:rsid w:val="0035063C"/>
    <w:rsid w:val="00350AA2"/>
    <w:rsid w:val="00351D05"/>
    <w:rsid w:val="00352F7E"/>
    <w:rsid w:val="003549E2"/>
    <w:rsid w:val="00357839"/>
    <w:rsid w:val="00361A25"/>
    <w:rsid w:val="00363408"/>
    <w:rsid w:val="00365970"/>
    <w:rsid w:val="00366FA8"/>
    <w:rsid w:val="003673A0"/>
    <w:rsid w:val="00367A20"/>
    <w:rsid w:val="00367DD6"/>
    <w:rsid w:val="0037060D"/>
    <w:rsid w:val="00370703"/>
    <w:rsid w:val="00373BB3"/>
    <w:rsid w:val="0037408F"/>
    <w:rsid w:val="0037464B"/>
    <w:rsid w:val="003749AA"/>
    <w:rsid w:val="00375196"/>
    <w:rsid w:val="00377F63"/>
    <w:rsid w:val="0038241E"/>
    <w:rsid w:val="0038335C"/>
    <w:rsid w:val="00384ABF"/>
    <w:rsid w:val="00384E7C"/>
    <w:rsid w:val="003856E3"/>
    <w:rsid w:val="00385CA8"/>
    <w:rsid w:val="00386D80"/>
    <w:rsid w:val="00387760"/>
    <w:rsid w:val="00390026"/>
    <w:rsid w:val="0039076A"/>
    <w:rsid w:val="0039152C"/>
    <w:rsid w:val="003925C1"/>
    <w:rsid w:val="00392713"/>
    <w:rsid w:val="003958A9"/>
    <w:rsid w:val="003A05E9"/>
    <w:rsid w:val="003A1598"/>
    <w:rsid w:val="003A2CDA"/>
    <w:rsid w:val="003A404D"/>
    <w:rsid w:val="003A44C8"/>
    <w:rsid w:val="003A4CDC"/>
    <w:rsid w:val="003A6462"/>
    <w:rsid w:val="003A7601"/>
    <w:rsid w:val="003A7A03"/>
    <w:rsid w:val="003A7E93"/>
    <w:rsid w:val="003B04DA"/>
    <w:rsid w:val="003B09D6"/>
    <w:rsid w:val="003B10EC"/>
    <w:rsid w:val="003B3034"/>
    <w:rsid w:val="003B5196"/>
    <w:rsid w:val="003B70A4"/>
    <w:rsid w:val="003C0241"/>
    <w:rsid w:val="003D1690"/>
    <w:rsid w:val="003D1A61"/>
    <w:rsid w:val="003D3538"/>
    <w:rsid w:val="003D6106"/>
    <w:rsid w:val="003D6C81"/>
    <w:rsid w:val="003E0CC7"/>
    <w:rsid w:val="003E1D39"/>
    <w:rsid w:val="003E2089"/>
    <w:rsid w:val="003E31AE"/>
    <w:rsid w:val="003E4C18"/>
    <w:rsid w:val="003E5193"/>
    <w:rsid w:val="003E7301"/>
    <w:rsid w:val="003F012E"/>
    <w:rsid w:val="003F0F64"/>
    <w:rsid w:val="003F1894"/>
    <w:rsid w:val="003F3333"/>
    <w:rsid w:val="003F64B7"/>
    <w:rsid w:val="003F70EB"/>
    <w:rsid w:val="003F730C"/>
    <w:rsid w:val="00400372"/>
    <w:rsid w:val="004052AB"/>
    <w:rsid w:val="00406365"/>
    <w:rsid w:val="00407802"/>
    <w:rsid w:val="00410723"/>
    <w:rsid w:val="0041129E"/>
    <w:rsid w:val="00413D52"/>
    <w:rsid w:val="00414182"/>
    <w:rsid w:val="00417912"/>
    <w:rsid w:val="00420744"/>
    <w:rsid w:val="00421F48"/>
    <w:rsid w:val="00422224"/>
    <w:rsid w:val="00423EE4"/>
    <w:rsid w:val="0042439E"/>
    <w:rsid w:val="004246A4"/>
    <w:rsid w:val="00424C6D"/>
    <w:rsid w:val="00424C6E"/>
    <w:rsid w:val="0042727F"/>
    <w:rsid w:val="004316BA"/>
    <w:rsid w:val="0043228C"/>
    <w:rsid w:val="00435F56"/>
    <w:rsid w:val="00437F21"/>
    <w:rsid w:val="00440339"/>
    <w:rsid w:val="00442DDD"/>
    <w:rsid w:val="00444BC1"/>
    <w:rsid w:val="00444D8B"/>
    <w:rsid w:val="00446941"/>
    <w:rsid w:val="0044698D"/>
    <w:rsid w:val="00446DEE"/>
    <w:rsid w:val="00447618"/>
    <w:rsid w:val="00447777"/>
    <w:rsid w:val="00447CFA"/>
    <w:rsid w:val="00452514"/>
    <w:rsid w:val="004525C2"/>
    <w:rsid w:val="004539F0"/>
    <w:rsid w:val="00454CF6"/>
    <w:rsid w:val="004608CB"/>
    <w:rsid w:val="00464EC4"/>
    <w:rsid w:val="004655CE"/>
    <w:rsid w:val="004678A3"/>
    <w:rsid w:val="004704F6"/>
    <w:rsid w:val="004744A3"/>
    <w:rsid w:val="004748FA"/>
    <w:rsid w:val="004753AA"/>
    <w:rsid w:val="00481E19"/>
    <w:rsid w:val="0048259B"/>
    <w:rsid w:val="00482DFD"/>
    <w:rsid w:val="00484CF8"/>
    <w:rsid w:val="00485501"/>
    <w:rsid w:val="004857DD"/>
    <w:rsid w:val="00487A6B"/>
    <w:rsid w:val="0049005F"/>
    <w:rsid w:val="00491475"/>
    <w:rsid w:val="004934C9"/>
    <w:rsid w:val="00495E6B"/>
    <w:rsid w:val="0049793E"/>
    <w:rsid w:val="004A16C6"/>
    <w:rsid w:val="004A48C4"/>
    <w:rsid w:val="004A4A19"/>
    <w:rsid w:val="004A5122"/>
    <w:rsid w:val="004A5C0E"/>
    <w:rsid w:val="004A74D5"/>
    <w:rsid w:val="004A7BC3"/>
    <w:rsid w:val="004B0CE3"/>
    <w:rsid w:val="004B1578"/>
    <w:rsid w:val="004B3028"/>
    <w:rsid w:val="004B36D5"/>
    <w:rsid w:val="004B4271"/>
    <w:rsid w:val="004B587D"/>
    <w:rsid w:val="004B75F5"/>
    <w:rsid w:val="004C01A8"/>
    <w:rsid w:val="004C14AB"/>
    <w:rsid w:val="004C233C"/>
    <w:rsid w:val="004C261D"/>
    <w:rsid w:val="004C5836"/>
    <w:rsid w:val="004C678D"/>
    <w:rsid w:val="004D09E8"/>
    <w:rsid w:val="004D17AA"/>
    <w:rsid w:val="004D1CF8"/>
    <w:rsid w:val="004D2929"/>
    <w:rsid w:val="004D2CCD"/>
    <w:rsid w:val="004D34C7"/>
    <w:rsid w:val="004D4A2A"/>
    <w:rsid w:val="004D4D17"/>
    <w:rsid w:val="004D4D29"/>
    <w:rsid w:val="004D55A8"/>
    <w:rsid w:val="004D63EC"/>
    <w:rsid w:val="004D6CC7"/>
    <w:rsid w:val="004D6EB2"/>
    <w:rsid w:val="004E00F3"/>
    <w:rsid w:val="004E2509"/>
    <w:rsid w:val="004E5A7D"/>
    <w:rsid w:val="004E7486"/>
    <w:rsid w:val="004E7FC9"/>
    <w:rsid w:val="004F22CA"/>
    <w:rsid w:val="004F292F"/>
    <w:rsid w:val="004F3CFB"/>
    <w:rsid w:val="004F5854"/>
    <w:rsid w:val="004F6B63"/>
    <w:rsid w:val="004F705C"/>
    <w:rsid w:val="00500E39"/>
    <w:rsid w:val="00500FC1"/>
    <w:rsid w:val="005011A6"/>
    <w:rsid w:val="00502608"/>
    <w:rsid w:val="0050370F"/>
    <w:rsid w:val="0051005C"/>
    <w:rsid w:val="00512961"/>
    <w:rsid w:val="00512F82"/>
    <w:rsid w:val="0051399A"/>
    <w:rsid w:val="00515EF7"/>
    <w:rsid w:val="00517A5D"/>
    <w:rsid w:val="00521AA6"/>
    <w:rsid w:val="00527B08"/>
    <w:rsid w:val="00527DA2"/>
    <w:rsid w:val="0053033F"/>
    <w:rsid w:val="005305BC"/>
    <w:rsid w:val="005321BB"/>
    <w:rsid w:val="00533292"/>
    <w:rsid w:val="00533393"/>
    <w:rsid w:val="00534A92"/>
    <w:rsid w:val="00536313"/>
    <w:rsid w:val="00536E14"/>
    <w:rsid w:val="00542B0F"/>
    <w:rsid w:val="00543725"/>
    <w:rsid w:val="0054390A"/>
    <w:rsid w:val="005445AB"/>
    <w:rsid w:val="00545BD6"/>
    <w:rsid w:val="005467F2"/>
    <w:rsid w:val="005503F8"/>
    <w:rsid w:val="005514AC"/>
    <w:rsid w:val="00551B90"/>
    <w:rsid w:val="00552ED7"/>
    <w:rsid w:val="00557E56"/>
    <w:rsid w:val="00561824"/>
    <w:rsid w:val="00562C57"/>
    <w:rsid w:val="00562D50"/>
    <w:rsid w:val="00562DE4"/>
    <w:rsid w:val="0056614E"/>
    <w:rsid w:val="00566D90"/>
    <w:rsid w:val="00570668"/>
    <w:rsid w:val="00571125"/>
    <w:rsid w:val="00573916"/>
    <w:rsid w:val="00576085"/>
    <w:rsid w:val="00580D52"/>
    <w:rsid w:val="00581072"/>
    <w:rsid w:val="00581912"/>
    <w:rsid w:val="00582380"/>
    <w:rsid w:val="005835A3"/>
    <w:rsid w:val="00583610"/>
    <w:rsid w:val="00583C0E"/>
    <w:rsid w:val="00584BDF"/>
    <w:rsid w:val="0058538F"/>
    <w:rsid w:val="00585E90"/>
    <w:rsid w:val="005879BC"/>
    <w:rsid w:val="005907E0"/>
    <w:rsid w:val="00591962"/>
    <w:rsid w:val="005957BB"/>
    <w:rsid w:val="00596638"/>
    <w:rsid w:val="00597ABF"/>
    <w:rsid w:val="005A0BDA"/>
    <w:rsid w:val="005A1694"/>
    <w:rsid w:val="005A1840"/>
    <w:rsid w:val="005A20C1"/>
    <w:rsid w:val="005A3718"/>
    <w:rsid w:val="005A6428"/>
    <w:rsid w:val="005A7DD5"/>
    <w:rsid w:val="005B0850"/>
    <w:rsid w:val="005B0BB0"/>
    <w:rsid w:val="005B1980"/>
    <w:rsid w:val="005B3090"/>
    <w:rsid w:val="005B6902"/>
    <w:rsid w:val="005B715F"/>
    <w:rsid w:val="005B7BF5"/>
    <w:rsid w:val="005C034C"/>
    <w:rsid w:val="005C08D8"/>
    <w:rsid w:val="005C3D76"/>
    <w:rsid w:val="005C404F"/>
    <w:rsid w:val="005C5343"/>
    <w:rsid w:val="005C5918"/>
    <w:rsid w:val="005C5E5B"/>
    <w:rsid w:val="005C7A6E"/>
    <w:rsid w:val="005D2609"/>
    <w:rsid w:val="005D5A20"/>
    <w:rsid w:val="005D5A79"/>
    <w:rsid w:val="005D61DF"/>
    <w:rsid w:val="005D6A3C"/>
    <w:rsid w:val="005D6ED4"/>
    <w:rsid w:val="005E0831"/>
    <w:rsid w:val="005E0EBC"/>
    <w:rsid w:val="005E1B76"/>
    <w:rsid w:val="005E296B"/>
    <w:rsid w:val="005E71F9"/>
    <w:rsid w:val="005E7640"/>
    <w:rsid w:val="005F07EE"/>
    <w:rsid w:val="005F1A54"/>
    <w:rsid w:val="005F3BDB"/>
    <w:rsid w:val="005F3CAC"/>
    <w:rsid w:val="005F498F"/>
    <w:rsid w:val="005F4B4D"/>
    <w:rsid w:val="005F5133"/>
    <w:rsid w:val="005F57CE"/>
    <w:rsid w:val="005F5ABE"/>
    <w:rsid w:val="005F6F4C"/>
    <w:rsid w:val="005F7676"/>
    <w:rsid w:val="005F780B"/>
    <w:rsid w:val="006014AC"/>
    <w:rsid w:val="006019E2"/>
    <w:rsid w:val="00604AA9"/>
    <w:rsid w:val="006054C6"/>
    <w:rsid w:val="006056BE"/>
    <w:rsid w:val="00612DBA"/>
    <w:rsid w:val="006135EF"/>
    <w:rsid w:val="00615C95"/>
    <w:rsid w:val="00616584"/>
    <w:rsid w:val="00616B03"/>
    <w:rsid w:val="0062086B"/>
    <w:rsid w:val="00620D0F"/>
    <w:rsid w:val="00621559"/>
    <w:rsid w:val="006219E0"/>
    <w:rsid w:val="00623138"/>
    <w:rsid w:val="00623186"/>
    <w:rsid w:val="00623367"/>
    <w:rsid w:val="00624042"/>
    <w:rsid w:val="00624D5F"/>
    <w:rsid w:val="00625BA7"/>
    <w:rsid w:val="006265AF"/>
    <w:rsid w:val="00626908"/>
    <w:rsid w:val="0063261E"/>
    <w:rsid w:val="006349ED"/>
    <w:rsid w:val="0063740C"/>
    <w:rsid w:val="00640847"/>
    <w:rsid w:val="00640A45"/>
    <w:rsid w:val="00643296"/>
    <w:rsid w:val="006457E5"/>
    <w:rsid w:val="0064645E"/>
    <w:rsid w:val="006466CA"/>
    <w:rsid w:val="00650461"/>
    <w:rsid w:val="00650DA8"/>
    <w:rsid w:val="006513EA"/>
    <w:rsid w:val="00651626"/>
    <w:rsid w:val="00651DE5"/>
    <w:rsid w:val="0065259D"/>
    <w:rsid w:val="006537BC"/>
    <w:rsid w:val="0065544C"/>
    <w:rsid w:val="006562F8"/>
    <w:rsid w:val="00656387"/>
    <w:rsid w:val="00657362"/>
    <w:rsid w:val="006575BB"/>
    <w:rsid w:val="00660503"/>
    <w:rsid w:val="0066233D"/>
    <w:rsid w:val="00663756"/>
    <w:rsid w:val="00663934"/>
    <w:rsid w:val="00663D39"/>
    <w:rsid w:val="00664585"/>
    <w:rsid w:val="00664CDE"/>
    <w:rsid w:val="00665195"/>
    <w:rsid w:val="006672D9"/>
    <w:rsid w:val="00670CAF"/>
    <w:rsid w:val="00672B94"/>
    <w:rsid w:val="00673F56"/>
    <w:rsid w:val="006745B6"/>
    <w:rsid w:val="00674AE9"/>
    <w:rsid w:val="00674D0F"/>
    <w:rsid w:val="00676B4D"/>
    <w:rsid w:val="00683EAC"/>
    <w:rsid w:val="0068577F"/>
    <w:rsid w:val="006870A7"/>
    <w:rsid w:val="0068773E"/>
    <w:rsid w:val="0069144E"/>
    <w:rsid w:val="00691EEC"/>
    <w:rsid w:val="0069242E"/>
    <w:rsid w:val="0069320A"/>
    <w:rsid w:val="006959ED"/>
    <w:rsid w:val="00695B2C"/>
    <w:rsid w:val="006A0F0A"/>
    <w:rsid w:val="006A2764"/>
    <w:rsid w:val="006A6709"/>
    <w:rsid w:val="006A73E2"/>
    <w:rsid w:val="006A76DE"/>
    <w:rsid w:val="006A7F9F"/>
    <w:rsid w:val="006B0466"/>
    <w:rsid w:val="006B2137"/>
    <w:rsid w:val="006B4BD6"/>
    <w:rsid w:val="006B5F9A"/>
    <w:rsid w:val="006B7CAE"/>
    <w:rsid w:val="006C17D2"/>
    <w:rsid w:val="006C21E4"/>
    <w:rsid w:val="006C2864"/>
    <w:rsid w:val="006C3A7C"/>
    <w:rsid w:val="006C577D"/>
    <w:rsid w:val="006C6C69"/>
    <w:rsid w:val="006C7764"/>
    <w:rsid w:val="006D0F0A"/>
    <w:rsid w:val="006D1817"/>
    <w:rsid w:val="006D6C00"/>
    <w:rsid w:val="006E0668"/>
    <w:rsid w:val="006E0997"/>
    <w:rsid w:val="006E141F"/>
    <w:rsid w:val="006E1794"/>
    <w:rsid w:val="006E2ABC"/>
    <w:rsid w:val="006E2CD7"/>
    <w:rsid w:val="006E3855"/>
    <w:rsid w:val="006E3D96"/>
    <w:rsid w:val="006E52B9"/>
    <w:rsid w:val="006E656B"/>
    <w:rsid w:val="006E6E3F"/>
    <w:rsid w:val="006E7ED0"/>
    <w:rsid w:val="006F0AA0"/>
    <w:rsid w:val="006F171A"/>
    <w:rsid w:val="006F1913"/>
    <w:rsid w:val="006F2BA9"/>
    <w:rsid w:val="006F32BC"/>
    <w:rsid w:val="006F3F06"/>
    <w:rsid w:val="006F44F1"/>
    <w:rsid w:val="006F56CB"/>
    <w:rsid w:val="006F649D"/>
    <w:rsid w:val="006F66AC"/>
    <w:rsid w:val="006F7D7B"/>
    <w:rsid w:val="0070131C"/>
    <w:rsid w:val="0070236C"/>
    <w:rsid w:val="007037B9"/>
    <w:rsid w:val="007039C6"/>
    <w:rsid w:val="007040C9"/>
    <w:rsid w:val="00705F8C"/>
    <w:rsid w:val="00707171"/>
    <w:rsid w:val="00707231"/>
    <w:rsid w:val="00711C07"/>
    <w:rsid w:val="00714866"/>
    <w:rsid w:val="00716746"/>
    <w:rsid w:val="007204DD"/>
    <w:rsid w:val="00720801"/>
    <w:rsid w:val="00724A24"/>
    <w:rsid w:val="00725DC0"/>
    <w:rsid w:val="00726072"/>
    <w:rsid w:val="00730805"/>
    <w:rsid w:val="0073099E"/>
    <w:rsid w:val="00730B10"/>
    <w:rsid w:val="00730EE0"/>
    <w:rsid w:val="00734E0E"/>
    <w:rsid w:val="00736455"/>
    <w:rsid w:val="0073695C"/>
    <w:rsid w:val="0074086D"/>
    <w:rsid w:val="00741C9F"/>
    <w:rsid w:val="0074236D"/>
    <w:rsid w:val="007460F8"/>
    <w:rsid w:val="0074659F"/>
    <w:rsid w:val="00747057"/>
    <w:rsid w:val="00751301"/>
    <w:rsid w:val="0075192E"/>
    <w:rsid w:val="0075320E"/>
    <w:rsid w:val="00755318"/>
    <w:rsid w:val="00756B46"/>
    <w:rsid w:val="00761D68"/>
    <w:rsid w:val="0076459A"/>
    <w:rsid w:val="00765596"/>
    <w:rsid w:val="00766FA0"/>
    <w:rsid w:val="007670EE"/>
    <w:rsid w:val="0077018B"/>
    <w:rsid w:val="0077394B"/>
    <w:rsid w:val="00775E06"/>
    <w:rsid w:val="007804A6"/>
    <w:rsid w:val="00781734"/>
    <w:rsid w:val="0078198B"/>
    <w:rsid w:val="00782B00"/>
    <w:rsid w:val="00782B39"/>
    <w:rsid w:val="00784A94"/>
    <w:rsid w:val="00785A2A"/>
    <w:rsid w:val="007866BD"/>
    <w:rsid w:val="00790711"/>
    <w:rsid w:val="00790746"/>
    <w:rsid w:val="00792339"/>
    <w:rsid w:val="0079329C"/>
    <w:rsid w:val="007947E7"/>
    <w:rsid w:val="00795636"/>
    <w:rsid w:val="00797EBA"/>
    <w:rsid w:val="007A07BB"/>
    <w:rsid w:val="007A1414"/>
    <w:rsid w:val="007A1B80"/>
    <w:rsid w:val="007A1BBA"/>
    <w:rsid w:val="007A493C"/>
    <w:rsid w:val="007A5019"/>
    <w:rsid w:val="007A6A20"/>
    <w:rsid w:val="007A70E3"/>
    <w:rsid w:val="007B23D5"/>
    <w:rsid w:val="007B27C4"/>
    <w:rsid w:val="007B2853"/>
    <w:rsid w:val="007B2B7D"/>
    <w:rsid w:val="007B36AC"/>
    <w:rsid w:val="007B42F7"/>
    <w:rsid w:val="007C1D90"/>
    <w:rsid w:val="007C2BEA"/>
    <w:rsid w:val="007C3600"/>
    <w:rsid w:val="007C3BD6"/>
    <w:rsid w:val="007C75B6"/>
    <w:rsid w:val="007C7E33"/>
    <w:rsid w:val="007D07BB"/>
    <w:rsid w:val="007D135C"/>
    <w:rsid w:val="007D3F02"/>
    <w:rsid w:val="007D57C3"/>
    <w:rsid w:val="007D6B9E"/>
    <w:rsid w:val="007E0750"/>
    <w:rsid w:val="007E34E1"/>
    <w:rsid w:val="007E4417"/>
    <w:rsid w:val="007E526B"/>
    <w:rsid w:val="007E5E3C"/>
    <w:rsid w:val="007E6518"/>
    <w:rsid w:val="007E7F0B"/>
    <w:rsid w:val="007F0746"/>
    <w:rsid w:val="007F0A03"/>
    <w:rsid w:val="007F0E31"/>
    <w:rsid w:val="007F1643"/>
    <w:rsid w:val="007F1BAF"/>
    <w:rsid w:val="007F4198"/>
    <w:rsid w:val="007F61E3"/>
    <w:rsid w:val="007F66F2"/>
    <w:rsid w:val="008028DD"/>
    <w:rsid w:val="00805639"/>
    <w:rsid w:val="0080572C"/>
    <w:rsid w:val="00805FD9"/>
    <w:rsid w:val="0080644A"/>
    <w:rsid w:val="00811E08"/>
    <w:rsid w:val="0081284A"/>
    <w:rsid w:val="00813DC7"/>
    <w:rsid w:val="00813EAB"/>
    <w:rsid w:val="008140A4"/>
    <w:rsid w:val="00820038"/>
    <w:rsid w:val="008212BC"/>
    <w:rsid w:val="00822F8F"/>
    <w:rsid w:val="00823669"/>
    <w:rsid w:val="00825BCE"/>
    <w:rsid w:val="00826B39"/>
    <w:rsid w:val="008273D9"/>
    <w:rsid w:val="00827E00"/>
    <w:rsid w:val="00830B38"/>
    <w:rsid w:val="00831FA1"/>
    <w:rsid w:val="00834DA7"/>
    <w:rsid w:val="008357FE"/>
    <w:rsid w:val="00836FAB"/>
    <w:rsid w:val="00837B51"/>
    <w:rsid w:val="00837F43"/>
    <w:rsid w:val="008426D1"/>
    <w:rsid w:val="00843EBA"/>
    <w:rsid w:val="00845840"/>
    <w:rsid w:val="00846E29"/>
    <w:rsid w:val="008523FB"/>
    <w:rsid w:val="00854E18"/>
    <w:rsid w:val="00856FE9"/>
    <w:rsid w:val="00865171"/>
    <w:rsid w:val="0086540F"/>
    <w:rsid w:val="00872BA2"/>
    <w:rsid w:val="00872E4B"/>
    <w:rsid w:val="00873599"/>
    <w:rsid w:val="00873678"/>
    <w:rsid w:val="00875DD9"/>
    <w:rsid w:val="00877331"/>
    <w:rsid w:val="008809CB"/>
    <w:rsid w:val="0088292A"/>
    <w:rsid w:val="00883D5E"/>
    <w:rsid w:val="00890633"/>
    <w:rsid w:val="00893157"/>
    <w:rsid w:val="00895C89"/>
    <w:rsid w:val="008A14BF"/>
    <w:rsid w:val="008A2445"/>
    <w:rsid w:val="008A37A1"/>
    <w:rsid w:val="008A43FA"/>
    <w:rsid w:val="008A4CE0"/>
    <w:rsid w:val="008A5D13"/>
    <w:rsid w:val="008A6CEF"/>
    <w:rsid w:val="008A7B8F"/>
    <w:rsid w:val="008A7BFF"/>
    <w:rsid w:val="008B414E"/>
    <w:rsid w:val="008B5018"/>
    <w:rsid w:val="008B692F"/>
    <w:rsid w:val="008B706F"/>
    <w:rsid w:val="008C0E43"/>
    <w:rsid w:val="008C240E"/>
    <w:rsid w:val="008C37FC"/>
    <w:rsid w:val="008C3D50"/>
    <w:rsid w:val="008C41F7"/>
    <w:rsid w:val="008C4654"/>
    <w:rsid w:val="008C4FE7"/>
    <w:rsid w:val="008C5041"/>
    <w:rsid w:val="008C5966"/>
    <w:rsid w:val="008C699D"/>
    <w:rsid w:val="008C7D31"/>
    <w:rsid w:val="008D0704"/>
    <w:rsid w:val="008D23C9"/>
    <w:rsid w:val="008D4A3E"/>
    <w:rsid w:val="008D4E52"/>
    <w:rsid w:val="008D7377"/>
    <w:rsid w:val="008D7E7D"/>
    <w:rsid w:val="008E0182"/>
    <w:rsid w:val="008E413E"/>
    <w:rsid w:val="008E4CAF"/>
    <w:rsid w:val="008E4E96"/>
    <w:rsid w:val="008E5256"/>
    <w:rsid w:val="008E5AE2"/>
    <w:rsid w:val="008E5D32"/>
    <w:rsid w:val="008E6504"/>
    <w:rsid w:val="008F1F81"/>
    <w:rsid w:val="008F29EC"/>
    <w:rsid w:val="008F2CFC"/>
    <w:rsid w:val="008F4179"/>
    <w:rsid w:val="008F5949"/>
    <w:rsid w:val="008F5BEB"/>
    <w:rsid w:val="008F78B6"/>
    <w:rsid w:val="009019DA"/>
    <w:rsid w:val="0090233B"/>
    <w:rsid w:val="00902FC7"/>
    <w:rsid w:val="009059EC"/>
    <w:rsid w:val="00906A40"/>
    <w:rsid w:val="00911656"/>
    <w:rsid w:val="009120A0"/>
    <w:rsid w:val="009134E8"/>
    <w:rsid w:val="00913CDF"/>
    <w:rsid w:val="009142D8"/>
    <w:rsid w:val="00916118"/>
    <w:rsid w:val="0091653C"/>
    <w:rsid w:val="009178BF"/>
    <w:rsid w:val="00920601"/>
    <w:rsid w:val="00924FF9"/>
    <w:rsid w:val="0092534D"/>
    <w:rsid w:val="009277AE"/>
    <w:rsid w:val="00927DC3"/>
    <w:rsid w:val="00931CD0"/>
    <w:rsid w:val="009335F3"/>
    <w:rsid w:val="00933BB6"/>
    <w:rsid w:val="00936A98"/>
    <w:rsid w:val="00936D92"/>
    <w:rsid w:val="009376A9"/>
    <w:rsid w:val="00941E64"/>
    <w:rsid w:val="00943159"/>
    <w:rsid w:val="009442FC"/>
    <w:rsid w:val="00944C91"/>
    <w:rsid w:val="00944D4B"/>
    <w:rsid w:val="00945456"/>
    <w:rsid w:val="00946AD1"/>
    <w:rsid w:val="00946D83"/>
    <w:rsid w:val="009502E1"/>
    <w:rsid w:val="00955D05"/>
    <w:rsid w:val="00957D16"/>
    <w:rsid w:val="00960267"/>
    <w:rsid w:val="00961216"/>
    <w:rsid w:val="0096497C"/>
    <w:rsid w:val="00965815"/>
    <w:rsid w:val="00966A87"/>
    <w:rsid w:val="00971B13"/>
    <w:rsid w:val="00971C4C"/>
    <w:rsid w:val="0097224E"/>
    <w:rsid w:val="009739CF"/>
    <w:rsid w:val="00973F26"/>
    <w:rsid w:val="00977200"/>
    <w:rsid w:val="0097760D"/>
    <w:rsid w:val="00981E77"/>
    <w:rsid w:val="009855B3"/>
    <w:rsid w:val="00990292"/>
    <w:rsid w:val="0099130E"/>
    <w:rsid w:val="00992185"/>
    <w:rsid w:val="009924C8"/>
    <w:rsid w:val="00993153"/>
    <w:rsid w:val="0099404D"/>
    <w:rsid w:val="0099476E"/>
    <w:rsid w:val="00995906"/>
    <w:rsid w:val="00995CAB"/>
    <w:rsid w:val="00997747"/>
    <w:rsid w:val="0099783E"/>
    <w:rsid w:val="00997879"/>
    <w:rsid w:val="009A40A5"/>
    <w:rsid w:val="009A5E73"/>
    <w:rsid w:val="009A6FFD"/>
    <w:rsid w:val="009B33BE"/>
    <w:rsid w:val="009B5CC8"/>
    <w:rsid w:val="009C0950"/>
    <w:rsid w:val="009C2D20"/>
    <w:rsid w:val="009C39BA"/>
    <w:rsid w:val="009C3BD7"/>
    <w:rsid w:val="009C4D62"/>
    <w:rsid w:val="009C530A"/>
    <w:rsid w:val="009C64DF"/>
    <w:rsid w:val="009C69DD"/>
    <w:rsid w:val="009C7385"/>
    <w:rsid w:val="009D19D7"/>
    <w:rsid w:val="009D2302"/>
    <w:rsid w:val="009D3F1E"/>
    <w:rsid w:val="009D40D9"/>
    <w:rsid w:val="009E0AC2"/>
    <w:rsid w:val="009E0AE8"/>
    <w:rsid w:val="009E26F4"/>
    <w:rsid w:val="009E2AF3"/>
    <w:rsid w:val="009E5A76"/>
    <w:rsid w:val="009F2430"/>
    <w:rsid w:val="009F252A"/>
    <w:rsid w:val="009F3BC8"/>
    <w:rsid w:val="00A01BFF"/>
    <w:rsid w:val="00A0351B"/>
    <w:rsid w:val="00A05270"/>
    <w:rsid w:val="00A07A7A"/>
    <w:rsid w:val="00A106DC"/>
    <w:rsid w:val="00A127F3"/>
    <w:rsid w:val="00A135EA"/>
    <w:rsid w:val="00A136F9"/>
    <w:rsid w:val="00A1405E"/>
    <w:rsid w:val="00A159DA"/>
    <w:rsid w:val="00A16FB2"/>
    <w:rsid w:val="00A220F1"/>
    <w:rsid w:val="00A26343"/>
    <w:rsid w:val="00A264B5"/>
    <w:rsid w:val="00A268FD"/>
    <w:rsid w:val="00A279B2"/>
    <w:rsid w:val="00A310B2"/>
    <w:rsid w:val="00A323D1"/>
    <w:rsid w:val="00A324C1"/>
    <w:rsid w:val="00A3370F"/>
    <w:rsid w:val="00A33AB7"/>
    <w:rsid w:val="00A340DC"/>
    <w:rsid w:val="00A35E98"/>
    <w:rsid w:val="00A37051"/>
    <w:rsid w:val="00A42EE5"/>
    <w:rsid w:val="00A46D0E"/>
    <w:rsid w:val="00A47BF5"/>
    <w:rsid w:val="00A50801"/>
    <w:rsid w:val="00A50E7C"/>
    <w:rsid w:val="00A542A3"/>
    <w:rsid w:val="00A54C69"/>
    <w:rsid w:val="00A561FF"/>
    <w:rsid w:val="00A57AA0"/>
    <w:rsid w:val="00A60031"/>
    <w:rsid w:val="00A650BE"/>
    <w:rsid w:val="00A656CC"/>
    <w:rsid w:val="00A65E0D"/>
    <w:rsid w:val="00A67BBE"/>
    <w:rsid w:val="00A70F89"/>
    <w:rsid w:val="00A71506"/>
    <w:rsid w:val="00A71D55"/>
    <w:rsid w:val="00A7308D"/>
    <w:rsid w:val="00A7315B"/>
    <w:rsid w:val="00A731AD"/>
    <w:rsid w:val="00A74693"/>
    <w:rsid w:val="00A76C35"/>
    <w:rsid w:val="00A77ED4"/>
    <w:rsid w:val="00A80458"/>
    <w:rsid w:val="00A82716"/>
    <w:rsid w:val="00A8286C"/>
    <w:rsid w:val="00A83EF9"/>
    <w:rsid w:val="00A924FE"/>
    <w:rsid w:val="00A926D0"/>
    <w:rsid w:val="00A93F67"/>
    <w:rsid w:val="00A97A2A"/>
    <w:rsid w:val="00AA0BD5"/>
    <w:rsid w:val="00AA0FE7"/>
    <w:rsid w:val="00AA3A48"/>
    <w:rsid w:val="00AA7737"/>
    <w:rsid w:val="00AB0396"/>
    <w:rsid w:val="00AB09F1"/>
    <w:rsid w:val="00AB1355"/>
    <w:rsid w:val="00AB3B36"/>
    <w:rsid w:val="00AB5C7A"/>
    <w:rsid w:val="00AB6C0B"/>
    <w:rsid w:val="00AC0E1E"/>
    <w:rsid w:val="00AC1ABD"/>
    <w:rsid w:val="00AC375C"/>
    <w:rsid w:val="00AC5143"/>
    <w:rsid w:val="00AC5C16"/>
    <w:rsid w:val="00AC7CB8"/>
    <w:rsid w:val="00AD1AEC"/>
    <w:rsid w:val="00AD7C8D"/>
    <w:rsid w:val="00AE0211"/>
    <w:rsid w:val="00AE0A35"/>
    <w:rsid w:val="00AE13A3"/>
    <w:rsid w:val="00AE1F52"/>
    <w:rsid w:val="00AE2CA6"/>
    <w:rsid w:val="00AE494F"/>
    <w:rsid w:val="00AE55DC"/>
    <w:rsid w:val="00AE6ABB"/>
    <w:rsid w:val="00AE77D3"/>
    <w:rsid w:val="00AF050D"/>
    <w:rsid w:val="00AF105F"/>
    <w:rsid w:val="00AF41DC"/>
    <w:rsid w:val="00AF4566"/>
    <w:rsid w:val="00AF55E3"/>
    <w:rsid w:val="00AF576B"/>
    <w:rsid w:val="00AF6C38"/>
    <w:rsid w:val="00B00688"/>
    <w:rsid w:val="00B00937"/>
    <w:rsid w:val="00B00DB8"/>
    <w:rsid w:val="00B01CF7"/>
    <w:rsid w:val="00B04E71"/>
    <w:rsid w:val="00B0526E"/>
    <w:rsid w:val="00B057AE"/>
    <w:rsid w:val="00B07881"/>
    <w:rsid w:val="00B07AEF"/>
    <w:rsid w:val="00B113A6"/>
    <w:rsid w:val="00B11DF3"/>
    <w:rsid w:val="00B13422"/>
    <w:rsid w:val="00B1419C"/>
    <w:rsid w:val="00B14618"/>
    <w:rsid w:val="00B1463A"/>
    <w:rsid w:val="00B16282"/>
    <w:rsid w:val="00B16940"/>
    <w:rsid w:val="00B20836"/>
    <w:rsid w:val="00B21DAB"/>
    <w:rsid w:val="00B23400"/>
    <w:rsid w:val="00B2567C"/>
    <w:rsid w:val="00B26A59"/>
    <w:rsid w:val="00B30100"/>
    <w:rsid w:val="00B306A1"/>
    <w:rsid w:val="00B31FD0"/>
    <w:rsid w:val="00B334D9"/>
    <w:rsid w:val="00B34BFC"/>
    <w:rsid w:val="00B35BDB"/>
    <w:rsid w:val="00B35DFC"/>
    <w:rsid w:val="00B36456"/>
    <w:rsid w:val="00B37793"/>
    <w:rsid w:val="00B40DD1"/>
    <w:rsid w:val="00B41351"/>
    <w:rsid w:val="00B41770"/>
    <w:rsid w:val="00B42689"/>
    <w:rsid w:val="00B441F3"/>
    <w:rsid w:val="00B46227"/>
    <w:rsid w:val="00B46A9D"/>
    <w:rsid w:val="00B50260"/>
    <w:rsid w:val="00B509AF"/>
    <w:rsid w:val="00B538E3"/>
    <w:rsid w:val="00B5657C"/>
    <w:rsid w:val="00B61C97"/>
    <w:rsid w:val="00B62EC1"/>
    <w:rsid w:val="00B6347B"/>
    <w:rsid w:val="00B64C1B"/>
    <w:rsid w:val="00B653D5"/>
    <w:rsid w:val="00B65A9F"/>
    <w:rsid w:val="00B6685C"/>
    <w:rsid w:val="00B67224"/>
    <w:rsid w:val="00B71C6B"/>
    <w:rsid w:val="00B72089"/>
    <w:rsid w:val="00B72C79"/>
    <w:rsid w:val="00B73143"/>
    <w:rsid w:val="00B75836"/>
    <w:rsid w:val="00B76547"/>
    <w:rsid w:val="00B81823"/>
    <w:rsid w:val="00B8225F"/>
    <w:rsid w:val="00B84A65"/>
    <w:rsid w:val="00B908FB"/>
    <w:rsid w:val="00B90AC0"/>
    <w:rsid w:val="00B9313E"/>
    <w:rsid w:val="00B968AA"/>
    <w:rsid w:val="00B96A3C"/>
    <w:rsid w:val="00B96B2F"/>
    <w:rsid w:val="00BA0200"/>
    <w:rsid w:val="00BA19E1"/>
    <w:rsid w:val="00BA2579"/>
    <w:rsid w:val="00BA6CAB"/>
    <w:rsid w:val="00BA6CFC"/>
    <w:rsid w:val="00BB05B8"/>
    <w:rsid w:val="00BB0CFE"/>
    <w:rsid w:val="00BB17E0"/>
    <w:rsid w:val="00BB2C1D"/>
    <w:rsid w:val="00BB392D"/>
    <w:rsid w:val="00BB4333"/>
    <w:rsid w:val="00BB5412"/>
    <w:rsid w:val="00BB5811"/>
    <w:rsid w:val="00BB6D77"/>
    <w:rsid w:val="00BB72A9"/>
    <w:rsid w:val="00BB7EC5"/>
    <w:rsid w:val="00BC374E"/>
    <w:rsid w:val="00BC43A7"/>
    <w:rsid w:val="00BC4BF8"/>
    <w:rsid w:val="00BC74C2"/>
    <w:rsid w:val="00BC7C00"/>
    <w:rsid w:val="00BD1604"/>
    <w:rsid w:val="00BD229C"/>
    <w:rsid w:val="00BD3A6D"/>
    <w:rsid w:val="00BD3FAC"/>
    <w:rsid w:val="00BE022B"/>
    <w:rsid w:val="00BE03CC"/>
    <w:rsid w:val="00BE0C0E"/>
    <w:rsid w:val="00BE1347"/>
    <w:rsid w:val="00BE2A19"/>
    <w:rsid w:val="00BE3DCC"/>
    <w:rsid w:val="00BE454C"/>
    <w:rsid w:val="00BE650A"/>
    <w:rsid w:val="00BE650E"/>
    <w:rsid w:val="00BE67D8"/>
    <w:rsid w:val="00BE7E15"/>
    <w:rsid w:val="00BF70E8"/>
    <w:rsid w:val="00C01E3D"/>
    <w:rsid w:val="00C02068"/>
    <w:rsid w:val="00C03FB0"/>
    <w:rsid w:val="00C0448D"/>
    <w:rsid w:val="00C07C3A"/>
    <w:rsid w:val="00C1158E"/>
    <w:rsid w:val="00C11B35"/>
    <w:rsid w:val="00C11DAB"/>
    <w:rsid w:val="00C135CA"/>
    <w:rsid w:val="00C14BDA"/>
    <w:rsid w:val="00C154AE"/>
    <w:rsid w:val="00C206C5"/>
    <w:rsid w:val="00C2074E"/>
    <w:rsid w:val="00C214BD"/>
    <w:rsid w:val="00C21A5D"/>
    <w:rsid w:val="00C23298"/>
    <w:rsid w:val="00C25470"/>
    <w:rsid w:val="00C271AC"/>
    <w:rsid w:val="00C27E25"/>
    <w:rsid w:val="00C3037E"/>
    <w:rsid w:val="00C3058F"/>
    <w:rsid w:val="00C31FCA"/>
    <w:rsid w:val="00C33F6F"/>
    <w:rsid w:val="00C34A15"/>
    <w:rsid w:val="00C36588"/>
    <w:rsid w:val="00C371E9"/>
    <w:rsid w:val="00C40EE8"/>
    <w:rsid w:val="00C4171E"/>
    <w:rsid w:val="00C41A7F"/>
    <w:rsid w:val="00C44329"/>
    <w:rsid w:val="00C45502"/>
    <w:rsid w:val="00C46381"/>
    <w:rsid w:val="00C46916"/>
    <w:rsid w:val="00C52B39"/>
    <w:rsid w:val="00C530E7"/>
    <w:rsid w:val="00C56B9E"/>
    <w:rsid w:val="00C57510"/>
    <w:rsid w:val="00C60C11"/>
    <w:rsid w:val="00C61439"/>
    <w:rsid w:val="00C62243"/>
    <w:rsid w:val="00C631B6"/>
    <w:rsid w:val="00C64166"/>
    <w:rsid w:val="00C64F86"/>
    <w:rsid w:val="00C661E7"/>
    <w:rsid w:val="00C70556"/>
    <w:rsid w:val="00C70F31"/>
    <w:rsid w:val="00C7127D"/>
    <w:rsid w:val="00C7152F"/>
    <w:rsid w:val="00C72279"/>
    <w:rsid w:val="00C724AA"/>
    <w:rsid w:val="00C72CFF"/>
    <w:rsid w:val="00C74CC0"/>
    <w:rsid w:val="00C763BB"/>
    <w:rsid w:val="00C81B2D"/>
    <w:rsid w:val="00C82821"/>
    <w:rsid w:val="00C82E9B"/>
    <w:rsid w:val="00C8310C"/>
    <w:rsid w:val="00C84A5A"/>
    <w:rsid w:val="00C867C9"/>
    <w:rsid w:val="00C86967"/>
    <w:rsid w:val="00C90177"/>
    <w:rsid w:val="00C90BD9"/>
    <w:rsid w:val="00C913A1"/>
    <w:rsid w:val="00C91796"/>
    <w:rsid w:val="00C923DE"/>
    <w:rsid w:val="00C94AAF"/>
    <w:rsid w:val="00C968E2"/>
    <w:rsid w:val="00CA33A7"/>
    <w:rsid w:val="00CA39D8"/>
    <w:rsid w:val="00CA48D8"/>
    <w:rsid w:val="00CA68D8"/>
    <w:rsid w:val="00CA76B5"/>
    <w:rsid w:val="00CA7B34"/>
    <w:rsid w:val="00CB1730"/>
    <w:rsid w:val="00CB22F7"/>
    <w:rsid w:val="00CB33D3"/>
    <w:rsid w:val="00CB3793"/>
    <w:rsid w:val="00CB55F2"/>
    <w:rsid w:val="00CC1954"/>
    <w:rsid w:val="00CC34F5"/>
    <w:rsid w:val="00CC35AC"/>
    <w:rsid w:val="00CC3E4E"/>
    <w:rsid w:val="00CC4556"/>
    <w:rsid w:val="00CC486F"/>
    <w:rsid w:val="00CC5083"/>
    <w:rsid w:val="00CC5D25"/>
    <w:rsid w:val="00CC612C"/>
    <w:rsid w:val="00CC698F"/>
    <w:rsid w:val="00CC7F5C"/>
    <w:rsid w:val="00CD0760"/>
    <w:rsid w:val="00CD0A7B"/>
    <w:rsid w:val="00CD3EDA"/>
    <w:rsid w:val="00CD52BC"/>
    <w:rsid w:val="00CD6F66"/>
    <w:rsid w:val="00CE1BE8"/>
    <w:rsid w:val="00CE1BEF"/>
    <w:rsid w:val="00CE3127"/>
    <w:rsid w:val="00CE3CE0"/>
    <w:rsid w:val="00CE6153"/>
    <w:rsid w:val="00CF3F32"/>
    <w:rsid w:val="00CF480A"/>
    <w:rsid w:val="00CF557F"/>
    <w:rsid w:val="00CF6914"/>
    <w:rsid w:val="00CF6B92"/>
    <w:rsid w:val="00CF7457"/>
    <w:rsid w:val="00D00F36"/>
    <w:rsid w:val="00D00F60"/>
    <w:rsid w:val="00D0197B"/>
    <w:rsid w:val="00D01F22"/>
    <w:rsid w:val="00D03EAF"/>
    <w:rsid w:val="00D0423B"/>
    <w:rsid w:val="00D04B62"/>
    <w:rsid w:val="00D07E8D"/>
    <w:rsid w:val="00D11C92"/>
    <w:rsid w:val="00D12932"/>
    <w:rsid w:val="00D14E85"/>
    <w:rsid w:val="00D1573D"/>
    <w:rsid w:val="00D16226"/>
    <w:rsid w:val="00D1712B"/>
    <w:rsid w:val="00D17E19"/>
    <w:rsid w:val="00D24A9E"/>
    <w:rsid w:val="00D24F31"/>
    <w:rsid w:val="00D32ABD"/>
    <w:rsid w:val="00D3393E"/>
    <w:rsid w:val="00D371A2"/>
    <w:rsid w:val="00D41240"/>
    <w:rsid w:val="00D41FDF"/>
    <w:rsid w:val="00D42F9B"/>
    <w:rsid w:val="00D44766"/>
    <w:rsid w:val="00D45F2D"/>
    <w:rsid w:val="00D46185"/>
    <w:rsid w:val="00D46801"/>
    <w:rsid w:val="00D5224F"/>
    <w:rsid w:val="00D540B8"/>
    <w:rsid w:val="00D60E3D"/>
    <w:rsid w:val="00D619FF"/>
    <w:rsid w:val="00D6224F"/>
    <w:rsid w:val="00D62E46"/>
    <w:rsid w:val="00D63DF0"/>
    <w:rsid w:val="00D65AAA"/>
    <w:rsid w:val="00D67AC1"/>
    <w:rsid w:val="00D67E53"/>
    <w:rsid w:val="00D70522"/>
    <w:rsid w:val="00D70EB3"/>
    <w:rsid w:val="00D725AD"/>
    <w:rsid w:val="00D72925"/>
    <w:rsid w:val="00D72AA3"/>
    <w:rsid w:val="00D7375A"/>
    <w:rsid w:val="00D73E76"/>
    <w:rsid w:val="00D74748"/>
    <w:rsid w:val="00D748F4"/>
    <w:rsid w:val="00D753E0"/>
    <w:rsid w:val="00D75BA5"/>
    <w:rsid w:val="00D77B0F"/>
    <w:rsid w:val="00D82495"/>
    <w:rsid w:val="00D86929"/>
    <w:rsid w:val="00D8698F"/>
    <w:rsid w:val="00D90E9D"/>
    <w:rsid w:val="00D92166"/>
    <w:rsid w:val="00D92BE5"/>
    <w:rsid w:val="00D94E3C"/>
    <w:rsid w:val="00D96E8A"/>
    <w:rsid w:val="00DA15C0"/>
    <w:rsid w:val="00DA47EE"/>
    <w:rsid w:val="00DA50BB"/>
    <w:rsid w:val="00DA5DD2"/>
    <w:rsid w:val="00DB0CD9"/>
    <w:rsid w:val="00DB1C1D"/>
    <w:rsid w:val="00DB38E5"/>
    <w:rsid w:val="00DB60D3"/>
    <w:rsid w:val="00DB640E"/>
    <w:rsid w:val="00DC03A2"/>
    <w:rsid w:val="00DC10B4"/>
    <w:rsid w:val="00DC1C98"/>
    <w:rsid w:val="00DC268A"/>
    <w:rsid w:val="00DC530D"/>
    <w:rsid w:val="00DD112D"/>
    <w:rsid w:val="00DD2908"/>
    <w:rsid w:val="00DD43BB"/>
    <w:rsid w:val="00DD61D3"/>
    <w:rsid w:val="00DE1F72"/>
    <w:rsid w:val="00DE300E"/>
    <w:rsid w:val="00DE37BE"/>
    <w:rsid w:val="00DE45AB"/>
    <w:rsid w:val="00DF00F3"/>
    <w:rsid w:val="00DF2D92"/>
    <w:rsid w:val="00DF3373"/>
    <w:rsid w:val="00DF45A4"/>
    <w:rsid w:val="00DF4EDC"/>
    <w:rsid w:val="00DF5EEF"/>
    <w:rsid w:val="00E030F0"/>
    <w:rsid w:val="00E03CA8"/>
    <w:rsid w:val="00E04096"/>
    <w:rsid w:val="00E05938"/>
    <w:rsid w:val="00E06265"/>
    <w:rsid w:val="00E13890"/>
    <w:rsid w:val="00E14844"/>
    <w:rsid w:val="00E152EB"/>
    <w:rsid w:val="00E1692B"/>
    <w:rsid w:val="00E16A29"/>
    <w:rsid w:val="00E20269"/>
    <w:rsid w:val="00E25FF2"/>
    <w:rsid w:val="00E27C76"/>
    <w:rsid w:val="00E30C34"/>
    <w:rsid w:val="00E314AE"/>
    <w:rsid w:val="00E33A40"/>
    <w:rsid w:val="00E35628"/>
    <w:rsid w:val="00E362BC"/>
    <w:rsid w:val="00E40B5D"/>
    <w:rsid w:val="00E40FEC"/>
    <w:rsid w:val="00E4149A"/>
    <w:rsid w:val="00E42E32"/>
    <w:rsid w:val="00E449A7"/>
    <w:rsid w:val="00E45754"/>
    <w:rsid w:val="00E50CF7"/>
    <w:rsid w:val="00E514EC"/>
    <w:rsid w:val="00E529F8"/>
    <w:rsid w:val="00E618D2"/>
    <w:rsid w:val="00E62D25"/>
    <w:rsid w:val="00E63209"/>
    <w:rsid w:val="00E65728"/>
    <w:rsid w:val="00E66E69"/>
    <w:rsid w:val="00E70943"/>
    <w:rsid w:val="00E71396"/>
    <w:rsid w:val="00E717D3"/>
    <w:rsid w:val="00E71FE7"/>
    <w:rsid w:val="00E72AF8"/>
    <w:rsid w:val="00E734B5"/>
    <w:rsid w:val="00E754E2"/>
    <w:rsid w:val="00E76AC4"/>
    <w:rsid w:val="00E80CEE"/>
    <w:rsid w:val="00E829CA"/>
    <w:rsid w:val="00E82CF3"/>
    <w:rsid w:val="00E86E1C"/>
    <w:rsid w:val="00E878CE"/>
    <w:rsid w:val="00E904E3"/>
    <w:rsid w:val="00E90B6D"/>
    <w:rsid w:val="00E9454F"/>
    <w:rsid w:val="00E958AC"/>
    <w:rsid w:val="00E95FE0"/>
    <w:rsid w:val="00E96EDF"/>
    <w:rsid w:val="00E97906"/>
    <w:rsid w:val="00E97D5F"/>
    <w:rsid w:val="00EA0277"/>
    <w:rsid w:val="00EA04D3"/>
    <w:rsid w:val="00EA234F"/>
    <w:rsid w:val="00EA51F6"/>
    <w:rsid w:val="00EA6E39"/>
    <w:rsid w:val="00EB07AB"/>
    <w:rsid w:val="00EB3E33"/>
    <w:rsid w:val="00EB4B0F"/>
    <w:rsid w:val="00EB4F8E"/>
    <w:rsid w:val="00EB5F73"/>
    <w:rsid w:val="00EB635B"/>
    <w:rsid w:val="00EB69C1"/>
    <w:rsid w:val="00EB71E1"/>
    <w:rsid w:val="00EC0840"/>
    <w:rsid w:val="00EC12B3"/>
    <w:rsid w:val="00EC26C4"/>
    <w:rsid w:val="00EC3A01"/>
    <w:rsid w:val="00EC42C0"/>
    <w:rsid w:val="00EC476A"/>
    <w:rsid w:val="00EC598D"/>
    <w:rsid w:val="00EC60F6"/>
    <w:rsid w:val="00EC6D3A"/>
    <w:rsid w:val="00EC6FEC"/>
    <w:rsid w:val="00EC7F90"/>
    <w:rsid w:val="00ED247D"/>
    <w:rsid w:val="00ED2714"/>
    <w:rsid w:val="00ED37FC"/>
    <w:rsid w:val="00ED4570"/>
    <w:rsid w:val="00ED506E"/>
    <w:rsid w:val="00ED5EC2"/>
    <w:rsid w:val="00ED6C23"/>
    <w:rsid w:val="00EE0825"/>
    <w:rsid w:val="00EE1B1F"/>
    <w:rsid w:val="00EE4029"/>
    <w:rsid w:val="00EE4355"/>
    <w:rsid w:val="00EE4803"/>
    <w:rsid w:val="00EE4F5D"/>
    <w:rsid w:val="00EE6511"/>
    <w:rsid w:val="00EE78F6"/>
    <w:rsid w:val="00EF2352"/>
    <w:rsid w:val="00EF244C"/>
    <w:rsid w:val="00EF2E79"/>
    <w:rsid w:val="00EF4021"/>
    <w:rsid w:val="00EF43B6"/>
    <w:rsid w:val="00EF6156"/>
    <w:rsid w:val="00EF6DD3"/>
    <w:rsid w:val="00EF7409"/>
    <w:rsid w:val="00EF7D14"/>
    <w:rsid w:val="00F001A4"/>
    <w:rsid w:val="00F00D10"/>
    <w:rsid w:val="00F0102A"/>
    <w:rsid w:val="00F028BF"/>
    <w:rsid w:val="00F04E0D"/>
    <w:rsid w:val="00F066C9"/>
    <w:rsid w:val="00F06C38"/>
    <w:rsid w:val="00F07250"/>
    <w:rsid w:val="00F072B7"/>
    <w:rsid w:val="00F103A8"/>
    <w:rsid w:val="00F11E98"/>
    <w:rsid w:val="00F12785"/>
    <w:rsid w:val="00F1438A"/>
    <w:rsid w:val="00F1497E"/>
    <w:rsid w:val="00F150B1"/>
    <w:rsid w:val="00F17158"/>
    <w:rsid w:val="00F2185C"/>
    <w:rsid w:val="00F21C73"/>
    <w:rsid w:val="00F22C87"/>
    <w:rsid w:val="00F232C4"/>
    <w:rsid w:val="00F232D6"/>
    <w:rsid w:val="00F2426D"/>
    <w:rsid w:val="00F24D6D"/>
    <w:rsid w:val="00F27B93"/>
    <w:rsid w:val="00F30324"/>
    <w:rsid w:val="00F31901"/>
    <w:rsid w:val="00F32171"/>
    <w:rsid w:val="00F32726"/>
    <w:rsid w:val="00F3394F"/>
    <w:rsid w:val="00F351D6"/>
    <w:rsid w:val="00F402F4"/>
    <w:rsid w:val="00F4465A"/>
    <w:rsid w:val="00F45384"/>
    <w:rsid w:val="00F458A8"/>
    <w:rsid w:val="00F47E11"/>
    <w:rsid w:val="00F503AB"/>
    <w:rsid w:val="00F515A2"/>
    <w:rsid w:val="00F53DDD"/>
    <w:rsid w:val="00F55A0C"/>
    <w:rsid w:val="00F5701C"/>
    <w:rsid w:val="00F57096"/>
    <w:rsid w:val="00F577ED"/>
    <w:rsid w:val="00F57FAE"/>
    <w:rsid w:val="00F60354"/>
    <w:rsid w:val="00F60572"/>
    <w:rsid w:val="00F62220"/>
    <w:rsid w:val="00F63023"/>
    <w:rsid w:val="00F63D6C"/>
    <w:rsid w:val="00F64DE6"/>
    <w:rsid w:val="00F65352"/>
    <w:rsid w:val="00F653CD"/>
    <w:rsid w:val="00F667AC"/>
    <w:rsid w:val="00F67590"/>
    <w:rsid w:val="00F67973"/>
    <w:rsid w:val="00F6799A"/>
    <w:rsid w:val="00F71C8B"/>
    <w:rsid w:val="00F721F0"/>
    <w:rsid w:val="00F73DFF"/>
    <w:rsid w:val="00F74087"/>
    <w:rsid w:val="00F74323"/>
    <w:rsid w:val="00F7604F"/>
    <w:rsid w:val="00F77E9C"/>
    <w:rsid w:val="00F80046"/>
    <w:rsid w:val="00F81534"/>
    <w:rsid w:val="00F81E95"/>
    <w:rsid w:val="00F830D3"/>
    <w:rsid w:val="00F84C3B"/>
    <w:rsid w:val="00F857C4"/>
    <w:rsid w:val="00F8601C"/>
    <w:rsid w:val="00F86636"/>
    <w:rsid w:val="00F91C79"/>
    <w:rsid w:val="00F920B3"/>
    <w:rsid w:val="00F9261A"/>
    <w:rsid w:val="00F929BD"/>
    <w:rsid w:val="00F92FFB"/>
    <w:rsid w:val="00F96142"/>
    <w:rsid w:val="00F96C6D"/>
    <w:rsid w:val="00FA0A5B"/>
    <w:rsid w:val="00FA0BD8"/>
    <w:rsid w:val="00FA3CFF"/>
    <w:rsid w:val="00FA4412"/>
    <w:rsid w:val="00FA6536"/>
    <w:rsid w:val="00FB038B"/>
    <w:rsid w:val="00FB0580"/>
    <w:rsid w:val="00FB2F30"/>
    <w:rsid w:val="00FB5FCC"/>
    <w:rsid w:val="00FB6A9B"/>
    <w:rsid w:val="00FB7402"/>
    <w:rsid w:val="00FC0114"/>
    <w:rsid w:val="00FC39CB"/>
    <w:rsid w:val="00FC3E8C"/>
    <w:rsid w:val="00FC4841"/>
    <w:rsid w:val="00FC56D5"/>
    <w:rsid w:val="00FC581F"/>
    <w:rsid w:val="00FC585B"/>
    <w:rsid w:val="00FC6ECA"/>
    <w:rsid w:val="00FD3C76"/>
    <w:rsid w:val="00FD4CCF"/>
    <w:rsid w:val="00FD6C13"/>
    <w:rsid w:val="00FD6F10"/>
    <w:rsid w:val="00FD73A1"/>
    <w:rsid w:val="00FF0EA5"/>
    <w:rsid w:val="00FF1BC6"/>
    <w:rsid w:val="00FF37FB"/>
    <w:rsid w:val="00FF3F0F"/>
    <w:rsid w:val="00FF594C"/>
    <w:rsid w:val="00FF6E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B61DAB9"/>
  <w15:chartTrackingRefBased/>
  <w15:docId w15:val="{B10158F6-9444-4D88-A345-FC99FFE0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D0"/>
    <w:pPr>
      <w:spacing w:after="240"/>
    </w:pPr>
    <w:rPr>
      <w:rFonts w:ascii="Gill Sans MT" w:hAnsi="Gill Sans MT"/>
      <w:sz w:val="26"/>
      <w:szCs w:val="24"/>
      <w:lang w:eastAsia="en-US"/>
    </w:rPr>
  </w:style>
  <w:style w:type="paragraph" w:styleId="Heading1">
    <w:name w:val="heading 1"/>
    <w:basedOn w:val="Normal"/>
    <w:next w:val="Normal"/>
    <w:link w:val="Heading1Char"/>
    <w:qFormat/>
    <w:rsid w:val="00931CD0"/>
    <w:pPr>
      <w:keepNext/>
      <w:pBdr>
        <w:top w:val="single" w:sz="4" w:space="4" w:color="auto"/>
        <w:left w:val="single" w:sz="4" w:space="2" w:color="auto"/>
        <w:bottom w:val="single" w:sz="4" w:space="4" w:color="auto"/>
        <w:right w:val="single" w:sz="4" w:space="4" w:color="auto"/>
      </w:pBdr>
      <w:spacing w:before="360"/>
      <w:ind w:left="-284"/>
      <w:outlineLvl w:val="0"/>
    </w:pPr>
    <w:rPr>
      <w:rFonts w:eastAsiaTheme="majorEastAsia" w:cs="Arial"/>
      <w:b/>
      <w:bCs/>
      <w:kern w:val="32"/>
      <w:sz w:val="32"/>
      <w:szCs w:val="32"/>
    </w:rPr>
  </w:style>
  <w:style w:type="paragraph" w:styleId="Heading2">
    <w:name w:val="heading 2"/>
    <w:basedOn w:val="Normal"/>
    <w:next w:val="Normal"/>
    <w:link w:val="Heading2Char"/>
    <w:qFormat/>
    <w:rsid w:val="00931CD0"/>
    <w:pPr>
      <w:keepNext/>
      <w:spacing w:after="60"/>
      <w:outlineLvl w:val="1"/>
    </w:pPr>
    <w:rPr>
      <w:rFonts w:eastAsiaTheme="majorEastAsia" w:cs="Arial Bold"/>
      <w:b/>
      <w:bCs/>
      <w:iCs/>
      <w:sz w:val="28"/>
      <w:szCs w:val="28"/>
    </w:rPr>
  </w:style>
  <w:style w:type="paragraph" w:styleId="Heading3">
    <w:name w:val="heading 3"/>
    <w:basedOn w:val="Normal"/>
    <w:next w:val="Normal"/>
    <w:link w:val="Heading3Char"/>
    <w:qFormat/>
    <w:rsid w:val="00931CD0"/>
    <w:pPr>
      <w:keepNext/>
      <w:spacing w:after="0"/>
      <w:outlineLvl w:val="2"/>
    </w:pPr>
    <w:rPr>
      <w:rFonts w:eastAsiaTheme="majorEastAsia" w:cs="Arial Bold"/>
      <w:b/>
      <w:bCs/>
    </w:rPr>
  </w:style>
  <w:style w:type="paragraph" w:styleId="Heading4">
    <w:name w:val="heading 4"/>
    <w:basedOn w:val="Normal"/>
    <w:next w:val="Normal"/>
    <w:link w:val="Heading4Char"/>
    <w:qFormat/>
    <w:rsid w:val="00931CD0"/>
    <w:pPr>
      <w:keepNext/>
      <w:spacing w:after="0"/>
      <w:outlineLvl w:val="3"/>
    </w:pPr>
    <w:rPr>
      <w:rFonts w:eastAsiaTheme="majorEastAsia" w:cstheme="majorBidi"/>
      <w:b/>
      <w:bCs/>
      <w:color w:val="333333"/>
    </w:rPr>
  </w:style>
  <w:style w:type="paragraph" w:styleId="Heading5">
    <w:name w:val="heading 5"/>
    <w:basedOn w:val="Normal"/>
    <w:next w:val="Normal"/>
    <w:link w:val="Heading5Char"/>
    <w:qFormat/>
    <w:rsid w:val="00931CD0"/>
    <w:pPr>
      <w:spacing w:after="0"/>
      <w:outlineLvl w:val="4"/>
    </w:pPr>
    <w:rPr>
      <w:rFonts w:eastAsiaTheme="majorEastAsia" w:cstheme="majorBidi"/>
      <w:b/>
      <w:bCs/>
      <w:i/>
      <w:iCs/>
      <w:szCs w:val="26"/>
    </w:rPr>
  </w:style>
  <w:style w:type="paragraph" w:styleId="Heading6">
    <w:name w:val="heading 6"/>
    <w:basedOn w:val="Normal"/>
    <w:next w:val="Normal"/>
    <w:link w:val="Heading6Char"/>
    <w:qFormat/>
    <w:rsid w:val="00931CD0"/>
    <w:pPr>
      <w:spacing w:after="0"/>
      <w:outlineLvl w:val="5"/>
    </w:pPr>
    <w:rPr>
      <w:rFonts w:eastAsiaTheme="majorEastAsia" w:cstheme="majorBidi"/>
      <w:b/>
      <w:bCs/>
      <w:i/>
      <w:sz w:val="22"/>
      <w:szCs w:val="22"/>
    </w:rPr>
  </w:style>
  <w:style w:type="paragraph" w:styleId="Heading7">
    <w:name w:val="heading 7"/>
    <w:basedOn w:val="Normal"/>
    <w:next w:val="Normal"/>
    <w:link w:val="Heading7Char"/>
    <w:qFormat/>
    <w:rsid w:val="00931CD0"/>
    <w:pPr>
      <w:keepNext/>
      <w:spacing w:after="0"/>
      <w:jc w:val="center"/>
      <w:outlineLvl w:val="6"/>
    </w:pPr>
    <w:rPr>
      <w:rFonts w:eastAsiaTheme="majorEastAsia" w:cs="Arial"/>
      <w:b/>
      <w:sz w:val="22"/>
      <w:szCs w:val="40"/>
    </w:rPr>
  </w:style>
  <w:style w:type="paragraph" w:styleId="Heading8">
    <w:name w:val="heading 8"/>
    <w:basedOn w:val="Normal"/>
    <w:next w:val="Normal"/>
    <w:link w:val="Heading8Char"/>
    <w:qFormat/>
    <w:rsid w:val="00931CD0"/>
    <w:pPr>
      <w:keepNext/>
      <w:spacing w:after="0"/>
      <w:outlineLvl w:val="7"/>
    </w:pPr>
    <w:rPr>
      <w:rFonts w:eastAsiaTheme="majorEastAsia" w:cstheme="majorBidi"/>
      <w:b/>
      <w:i/>
      <w:sz w:val="22"/>
    </w:rPr>
  </w:style>
  <w:style w:type="paragraph" w:styleId="Heading9">
    <w:name w:val="heading 9"/>
    <w:basedOn w:val="Normal"/>
    <w:next w:val="Normal"/>
    <w:link w:val="Heading9Char"/>
    <w:qFormat/>
    <w:rsid w:val="00931CD0"/>
    <w:pPr>
      <w:keepNext/>
      <w:spacing w:after="0"/>
      <w:outlineLvl w:val="8"/>
    </w:pPr>
    <w:rPr>
      <w:rFonts w:eastAsiaTheme="majorEastAsia"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931CD0"/>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931CD0"/>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931CD0"/>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uiPriority w:val="99"/>
    <w:rsid w:val="00F351D6"/>
    <w:pPr>
      <w:tabs>
        <w:tab w:val="center" w:pos="4320"/>
        <w:tab w:val="right" w:pos="8640"/>
      </w:tabs>
      <w:spacing w:after="120"/>
    </w:pPr>
    <w:rPr>
      <w:color w:val="333333"/>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link w:val="SubtitleChar"/>
    <w:qFormat/>
    <w:rsid w:val="00931CD0"/>
    <w:pPr>
      <w:jc w:val="center"/>
      <w:outlineLvl w:val="1"/>
    </w:pPr>
    <w:rPr>
      <w:rFonts w:eastAsiaTheme="majorEastAsia" w:cstheme="majorBidi"/>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931CD0"/>
    <w:pPr>
      <w:spacing w:after="360"/>
      <w:jc w:val="center"/>
      <w:outlineLvl w:val="0"/>
    </w:pPr>
    <w:rPr>
      <w:rFonts w:eastAsiaTheme="majorEastAsia" w:cs="Arial"/>
      <w:b/>
      <w:bCs/>
      <w:kern w:val="28"/>
      <w:sz w:val="36"/>
      <w:szCs w:val="32"/>
    </w:rPr>
  </w:style>
  <w:style w:type="paragraph" w:customStyle="1" w:styleId="NormalBeforeList">
    <w:name w:val="Normal (Before List)"/>
    <w:basedOn w:val="Normal"/>
    <w:qFormat/>
    <w:rsid w:val="00931CD0"/>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uiPriority w:val="99"/>
    <w:rsid w:val="00287B8E"/>
    <w:pPr>
      <w:spacing w:after="120"/>
    </w:pPr>
    <w:rPr>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931CD0"/>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931CD0"/>
    <w:rPr>
      <w:rFonts w:ascii="Gill Sans MT" w:hAnsi="Gill Sans MT"/>
      <w:b/>
      <w:bCs/>
    </w:rPr>
  </w:style>
  <w:style w:type="paragraph" w:styleId="Quote">
    <w:name w:val="Quote"/>
    <w:basedOn w:val="Normal"/>
    <w:next w:val="Normal"/>
    <w:link w:val="QuoteChar"/>
    <w:uiPriority w:val="29"/>
    <w:qFormat/>
    <w:rsid w:val="00931CD0"/>
    <w:rPr>
      <w:i/>
      <w:iCs/>
      <w:color w:val="000000"/>
    </w:rPr>
  </w:style>
  <w:style w:type="character" w:customStyle="1" w:styleId="QuoteChar">
    <w:name w:val="Quote Char"/>
    <w:basedOn w:val="DefaultParagraphFont"/>
    <w:link w:val="Quote"/>
    <w:uiPriority w:val="29"/>
    <w:rsid w:val="00931CD0"/>
    <w:rPr>
      <w:rFonts w:ascii="Gill Sans MT" w:hAnsi="Gill Sans MT"/>
      <w:i/>
      <w:iCs/>
      <w:color w:val="000000"/>
      <w:sz w:val="26"/>
      <w:szCs w:val="24"/>
      <w:lang w:eastAsia="en-US"/>
    </w:rPr>
  </w:style>
  <w:style w:type="paragraph" w:styleId="IntenseQuote">
    <w:name w:val="Intense Quote"/>
    <w:basedOn w:val="Normal"/>
    <w:next w:val="Normal"/>
    <w:link w:val="IntenseQuoteChar"/>
    <w:uiPriority w:val="30"/>
    <w:qFormat/>
    <w:rsid w:val="00931CD0"/>
    <w:pPr>
      <w:pBdr>
        <w:bottom w:val="single" w:sz="4" w:space="4" w:color="4F81BD"/>
      </w:pBdr>
      <w:spacing w:before="200" w:after="280"/>
      <w:ind w:left="936" w:right="936"/>
    </w:pPr>
    <w:rPr>
      <w:rFonts w:eastAsiaTheme="majorEastAsia" w:cstheme="majorBidi"/>
      <w:b/>
      <w:bCs/>
      <w:i/>
      <w:iCs/>
      <w:color w:val="4F81BD"/>
    </w:rPr>
  </w:style>
  <w:style w:type="character" w:customStyle="1" w:styleId="IntenseQuoteChar">
    <w:name w:val="Intense Quote Char"/>
    <w:basedOn w:val="DefaultParagraphFont"/>
    <w:link w:val="IntenseQuote"/>
    <w:uiPriority w:val="30"/>
    <w:rsid w:val="00931CD0"/>
    <w:rPr>
      <w:rFonts w:ascii="Gill Sans MT" w:eastAsiaTheme="majorEastAsia" w:hAnsi="Gill Sans MT" w:cstheme="majorBidi"/>
      <w:b/>
      <w:bCs/>
      <w:i/>
      <w:iCs/>
      <w:color w:val="4F81BD"/>
      <w:sz w:val="26"/>
      <w:szCs w:val="24"/>
      <w:lang w:eastAsia="en-US"/>
    </w:rPr>
  </w:style>
  <w:style w:type="character" w:styleId="SubtleReference">
    <w:name w:val="Subtle Reference"/>
    <w:basedOn w:val="DefaultParagraphFont"/>
    <w:uiPriority w:val="31"/>
    <w:qFormat/>
    <w:rsid w:val="00931CD0"/>
    <w:rPr>
      <w:rFonts w:ascii="Gill Sans MT" w:hAnsi="Gill Sans MT"/>
      <w:smallCaps/>
      <w:color w:val="C0504D"/>
      <w:u w:val="single"/>
    </w:rPr>
  </w:style>
  <w:style w:type="paragraph" w:styleId="ListParagraph">
    <w:name w:val="List Paragraph"/>
    <w:basedOn w:val="Normal"/>
    <w:uiPriority w:val="34"/>
    <w:qFormat/>
    <w:rsid w:val="00050085"/>
    <w:pPr>
      <w:ind w:left="720"/>
    </w:pPr>
  </w:style>
  <w:style w:type="paragraph" w:styleId="BalloonText">
    <w:name w:val="Balloon Text"/>
    <w:basedOn w:val="Normal"/>
    <w:link w:val="BalloonTextChar"/>
    <w:rsid w:val="00EF6156"/>
    <w:pPr>
      <w:spacing w:after="0"/>
    </w:pPr>
    <w:rPr>
      <w:rFonts w:ascii="Segoe UI" w:hAnsi="Segoe UI" w:cs="Segoe UI"/>
      <w:sz w:val="18"/>
      <w:szCs w:val="18"/>
    </w:rPr>
  </w:style>
  <w:style w:type="character" w:customStyle="1" w:styleId="BalloonTextChar">
    <w:name w:val="Balloon Text Char"/>
    <w:basedOn w:val="DefaultParagraphFont"/>
    <w:link w:val="BalloonText"/>
    <w:rsid w:val="00EF6156"/>
    <w:rPr>
      <w:rFonts w:ascii="Segoe UI" w:eastAsia="Times New Roman" w:hAnsi="Segoe UI" w:cs="Segoe UI"/>
      <w:sz w:val="18"/>
      <w:szCs w:val="18"/>
      <w:lang w:eastAsia="en-US"/>
    </w:rPr>
  </w:style>
  <w:style w:type="paragraph" w:customStyle="1" w:styleId="CM79">
    <w:name w:val="CM79"/>
    <w:basedOn w:val="Normal"/>
    <w:next w:val="Normal"/>
    <w:uiPriority w:val="99"/>
    <w:rsid w:val="00406365"/>
    <w:pPr>
      <w:autoSpaceDE w:val="0"/>
      <w:autoSpaceDN w:val="0"/>
      <w:adjustRightInd w:val="0"/>
      <w:spacing w:after="0"/>
    </w:pPr>
    <w:rPr>
      <w:rFonts w:ascii="Futura Book" w:hAnsi="Futura Book"/>
      <w:sz w:val="24"/>
    </w:rPr>
  </w:style>
  <w:style w:type="character" w:customStyle="1" w:styleId="personname3">
    <w:name w:val="person_name3"/>
    <w:basedOn w:val="DefaultParagraphFont"/>
    <w:rsid w:val="00406365"/>
  </w:style>
  <w:style w:type="table" w:customStyle="1" w:styleId="TableGrid10">
    <w:name w:val="Table Grid10"/>
    <w:basedOn w:val="TableNormal"/>
    <w:next w:val="TableGrid"/>
    <w:uiPriority w:val="39"/>
    <w:rsid w:val="00651D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rsid w:val="00ED247D"/>
    <w:rPr>
      <w:rFonts w:ascii="Gill Sans MT" w:eastAsia="Times New Roman" w:hAnsi="Gill Sans MT"/>
      <w:sz w:val="22"/>
      <w:lang w:eastAsia="en-US"/>
    </w:rPr>
  </w:style>
  <w:style w:type="character" w:customStyle="1" w:styleId="Heading1Char">
    <w:name w:val="Heading 1 Char"/>
    <w:basedOn w:val="DefaultParagraphFont"/>
    <w:link w:val="Heading1"/>
    <w:rsid w:val="00FD6F10"/>
    <w:rPr>
      <w:rFonts w:ascii="Gill Sans MT" w:eastAsiaTheme="majorEastAsia" w:hAnsi="Gill Sans MT" w:cs="Arial"/>
      <w:b/>
      <w:bCs/>
      <w:kern w:val="32"/>
      <w:sz w:val="32"/>
      <w:szCs w:val="32"/>
      <w:lang w:eastAsia="en-US"/>
    </w:rPr>
  </w:style>
  <w:style w:type="character" w:customStyle="1" w:styleId="Heading2Char">
    <w:name w:val="Heading 2 Char"/>
    <w:basedOn w:val="DefaultParagraphFont"/>
    <w:link w:val="Heading2"/>
    <w:rsid w:val="00FD6F10"/>
    <w:rPr>
      <w:rFonts w:ascii="Gill Sans MT" w:eastAsiaTheme="majorEastAsia" w:hAnsi="Gill Sans MT" w:cs="Arial Bold"/>
      <w:b/>
      <w:bCs/>
      <w:iCs/>
      <w:sz w:val="28"/>
      <w:szCs w:val="28"/>
      <w:lang w:eastAsia="en-US"/>
    </w:rPr>
  </w:style>
  <w:style w:type="character" w:customStyle="1" w:styleId="Heading3Char">
    <w:name w:val="Heading 3 Char"/>
    <w:basedOn w:val="DefaultParagraphFont"/>
    <w:link w:val="Heading3"/>
    <w:rsid w:val="00FD6F10"/>
    <w:rPr>
      <w:rFonts w:ascii="Gill Sans MT" w:eastAsiaTheme="majorEastAsia" w:hAnsi="Gill Sans MT" w:cs="Arial Bold"/>
      <w:b/>
      <w:bCs/>
      <w:sz w:val="26"/>
      <w:szCs w:val="24"/>
      <w:lang w:eastAsia="en-US"/>
    </w:rPr>
  </w:style>
  <w:style w:type="character" w:customStyle="1" w:styleId="Heading4Char">
    <w:name w:val="Heading 4 Char"/>
    <w:basedOn w:val="DefaultParagraphFont"/>
    <w:link w:val="Heading4"/>
    <w:rsid w:val="00FD6F10"/>
    <w:rPr>
      <w:rFonts w:ascii="Gill Sans MT" w:eastAsiaTheme="majorEastAsia" w:hAnsi="Gill Sans MT" w:cstheme="majorBidi"/>
      <w:b/>
      <w:bCs/>
      <w:color w:val="333333"/>
      <w:sz w:val="26"/>
      <w:szCs w:val="24"/>
      <w:lang w:eastAsia="en-US"/>
    </w:rPr>
  </w:style>
  <w:style w:type="character" w:customStyle="1" w:styleId="Heading5Char">
    <w:name w:val="Heading 5 Char"/>
    <w:basedOn w:val="DefaultParagraphFont"/>
    <w:link w:val="Heading5"/>
    <w:rsid w:val="00FD6F10"/>
    <w:rPr>
      <w:rFonts w:ascii="Gill Sans MT" w:eastAsiaTheme="majorEastAsia" w:hAnsi="Gill Sans MT" w:cstheme="majorBidi"/>
      <w:b/>
      <w:bCs/>
      <w:i/>
      <w:iCs/>
      <w:sz w:val="26"/>
      <w:szCs w:val="26"/>
      <w:lang w:eastAsia="en-US"/>
    </w:rPr>
  </w:style>
  <w:style w:type="character" w:customStyle="1" w:styleId="Heading6Char">
    <w:name w:val="Heading 6 Char"/>
    <w:basedOn w:val="DefaultParagraphFont"/>
    <w:link w:val="Heading6"/>
    <w:rsid w:val="00FD6F10"/>
    <w:rPr>
      <w:rFonts w:ascii="Gill Sans MT" w:eastAsiaTheme="majorEastAsia" w:hAnsi="Gill Sans MT" w:cstheme="majorBidi"/>
      <w:b/>
      <w:bCs/>
      <w:i/>
      <w:sz w:val="22"/>
      <w:szCs w:val="22"/>
      <w:lang w:eastAsia="en-US"/>
    </w:rPr>
  </w:style>
  <w:style w:type="character" w:customStyle="1" w:styleId="Heading7Char">
    <w:name w:val="Heading 7 Char"/>
    <w:basedOn w:val="DefaultParagraphFont"/>
    <w:link w:val="Heading7"/>
    <w:rsid w:val="00FD6F10"/>
    <w:rPr>
      <w:rFonts w:ascii="Gill Sans MT" w:eastAsiaTheme="majorEastAsia" w:hAnsi="Gill Sans MT" w:cs="Arial"/>
      <w:b/>
      <w:sz w:val="22"/>
      <w:szCs w:val="40"/>
      <w:lang w:eastAsia="en-US"/>
    </w:rPr>
  </w:style>
  <w:style w:type="character" w:customStyle="1" w:styleId="Heading8Char">
    <w:name w:val="Heading 8 Char"/>
    <w:basedOn w:val="DefaultParagraphFont"/>
    <w:link w:val="Heading8"/>
    <w:rsid w:val="00FD6F10"/>
    <w:rPr>
      <w:rFonts w:ascii="Gill Sans MT" w:eastAsiaTheme="majorEastAsia" w:hAnsi="Gill Sans MT" w:cstheme="majorBidi"/>
      <w:b/>
      <w:i/>
      <w:sz w:val="22"/>
      <w:szCs w:val="24"/>
      <w:lang w:eastAsia="en-US"/>
    </w:rPr>
  </w:style>
  <w:style w:type="character" w:customStyle="1" w:styleId="Heading9Char">
    <w:name w:val="Heading 9 Char"/>
    <w:basedOn w:val="DefaultParagraphFont"/>
    <w:link w:val="Heading9"/>
    <w:rsid w:val="00FD6F10"/>
    <w:rPr>
      <w:rFonts w:ascii="Gill Sans MT" w:eastAsiaTheme="majorEastAsia" w:hAnsi="Gill Sans MT" w:cs="Arial"/>
      <w:i/>
      <w:sz w:val="22"/>
      <w:szCs w:val="32"/>
      <w:lang w:eastAsia="en-US"/>
    </w:rPr>
  </w:style>
  <w:style w:type="character" w:customStyle="1" w:styleId="TitleChar">
    <w:name w:val="Title Char"/>
    <w:basedOn w:val="DefaultParagraphFont"/>
    <w:link w:val="Title"/>
    <w:rsid w:val="00FD6F10"/>
    <w:rPr>
      <w:rFonts w:ascii="Gill Sans MT" w:eastAsiaTheme="majorEastAsia" w:hAnsi="Gill Sans MT" w:cs="Arial"/>
      <w:b/>
      <w:bCs/>
      <w:kern w:val="28"/>
      <w:sz w:val="36"/>
      <w:szCs w:val="32"/>
      <w:lang w:eastAsia="en-US"/>
    </w:rPr>
  </w:style>
  <w:style w:type="character" w:customStyle="1" w:styleId="SubtitleChar">
    <w:name w:val="Subtitle Char"/>
    <w:basedOn w:val="DefaultParagraphFont"/>
    <w:link w:val="Subtitle"/>
    <w:rsid w:val="00FD6F10"/>
    <w:rPr>
      <w:rFonts w:ascii="Gill Sans MT" w:eastAsiaTheme="majorEastAsia" w:hAnsi="Gill Sans MT" w:cstheme="majorBidi"/>
      <w:sz w:val="28"/>
      <w:szCs w:val="24"/>
      <w:lang w:eastAsia="en-US"/>
    </w:rPr>
  </w:style>
  <w:style w:type="paragraph" w:styleId="NoSpacing">
    <w:name w:val="No Spacing"/>
    <w:uiPriority w:val="1"/>
    <w:qFormat/>
    <w:rsid w:val="00FD6F10"/>
    <w:rPr>
      <w:rFonts w:ascii="Gill Sans MT" w:hAnsi="Gill Sans MT"/>
      <w:sz w:val="26"/>
      <w:szCs w:val="24"/>
      <w:lang w:eastAsia="en-US"/>
    </w:rPr>
  </w:style>
  <w:style w:type="character" w:styleId="SubtleEmphasis">
    <w:name w:val="Subtle Emphasis"/>
    <w:basedOn w:val="DefaultParagraphFont"/>
    <w:uiPriority w:val="19"/>
    <w:qFormat/>
    <w:rsid w:val="00FD6F10"/>
    <w:rPr>
      <w:i/>
      <w:iCs/>
      <w:color w:val="404040" w:themeColor="text1" w:themeTint="BF"/>
    </w:rPr>
  </w:style>
  <w:style w:type="character" w:styleId="IntenseEmphasis">
    <w:name w:val="Intense Emphasis"/>
    <w:basedOn w:val="DefaultParagraphFont"/>
    <w:uiPriority w:val="21"/>
    <w:qFormat/>
    <w:rsid w:val="00FD6F10"/>
    <w:rPr>
      <w:i/>
      <w:iCs/>
      <w:color w:val="5B9BD5" w:themeColor="accent1"/>
    </w:rPr>
  </w:style>
  <w:style w:type="character" w:styleId="IntenseReference">
    <w:name w:val="Intense Reference"/>
    <w:basedOn w:val="DefaultParagraphFont"/>
    <w:uiPriority w:val="32"/>
    <w:qFormat/>
    <w:rsid w:val="00FD6F10"/>
    <w:rPr>
      <w:b/>
      <w:bCs/>
      <w:smallCaps/>
      <w:color w:val="5B9BD5" w:themeColor="accent1"/>
      <w:spacing w:val="5"/>
    </w:rPr>
  </w:style>
  <w:style w:type="character" w:styleId="BookTitle">
    <w:name w:val="Book Title"/>
    <w:basedOn w:val="DefaultParagraphFont"/>
    <w:uiPriority w:val="33"/>
    <w:qFormat/>
    <w:rsid w:val="00FD6F10"/>
    <w:rPr>
      <w:b/>
      <w:bCs/>
      <w:i/>
      <w:iCs/>
      <w:spacing w:val="5"/>
    </w:rPr>
  </w:style>
  <w:style w:type="paragraph" w:styleId="TOCHeading">
    <w:name w:val="TOC Heading"/>
    <w:basedOn w:val="Heading1"/>
    <w:next w:val="Normal"/>
    <w:uiPriority w:val="39"/>
    <w:semiHidden/>
    <w:unhideWhenUsed/>
    <w:qFormat/>
    <w:rsid w:val="00FD6F10"/>
    <w:pPr>
      <w:pBdr>
        <w:top w:val="none" w:sz="0" w:space="0" w:color="auto"/>
        <w:left w:val="none" w:sz="0" w:space="0" w:color="auto"/>
        <w:bottom w:val="none" w:sz="0" w:space="0" w:color="auto"/>
        <w:right w:val="none" w:sz="0" w:space="0" w:color="auto"/>
      </w:pBdr>
      <w:spacing w:before="240" w:after="60"/>
      <w:ind w:left="0"/>
      <w:outlineLvl w:val="9"/>
    </w:pPr>
    <w:rPr>
      <w:rFonts w:asciiTheme="majorHAnsi" w:hAnsiTheme="majorHAnsi" w:cstheme="majorBidi"/>
    </w:rPr>
  </w:style>
  <w:style w:type="paragraph" w:customStyle="1" w:styleId="Default">
    <w:name w:val="Default"/>
    <w:rsid w:val="00CE1BE8"/>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F001A4"/>
    <w:rPr>
      <w:sz w:val="16"/>
      <w:szCs w:val="16"/>
    </w:rPr>
  </w:style>
  <w:style w:type="paragraph" w:styleId="NormalWeb">
    <w:name w:val="Normal (Web)"/>
    <w:basedOn w:val="Normal"/>
    <w:uiPriority w:val="99"/>
    <w:unhideWhenUsed/>
    <w:rsid w:val="00236FE8"/>
    <w:pPr>
      <w:spacing w:before="168" w:after="168"/>
    </w:pPr>
    <w:rPr>
      <w:rFonts w:ascii="Times New Roman" w:eastAsia="Times New Roman" w:hAnsi="Times New Roman"/>
      <w:sz w:val="24"/>
    </w:rPr>
  </w:style>
  <w:style w:type="character" w:customStyle="1" w:styleId="FooterChar">
    <w:name w:val="Footer Char"/>
    <w:basedOn w:val="DefaultParagraphFont"/>
    <w:link w:val="Footer"/>
    <w:uiPriority w:val="99"/>
    <w:rsid w:val="00931CD0"/>
    <w:rPr>
      <w:rFonts w:ascii="Gill Sans MT" w:hAnsi="Gill Sans MT"/>
      <w:color w:val="323232"/>
      <w:lang w:eastAsia="en-US"/>
    </w:rPr>
  </w:style>
  <w:style w:type="paragraph" w:customStyle="1" w:styleId="Char">
    <w:name w:val="Char"/>
    <w:basedOn w:val="Normal"/>
    <w:rsid w:val="004D4D17"/>
    <w:pPr>
      <w:spacing w:after="160" w:line="240" w:lineRule="exact"/>
    </w:pPr>
    <w:rPr>
      <w:rFonts w:ascii="Arial" w:eastAsia="Times New Roman" w:hAnsi="Arial" w:cs="Arial"/>
      <w:sz w:val="20"/>
      <w:szCs w:val="20"/>
    </w:rPr>
  </w:style>
  <w:style w:type="paragraph" w:styleId="CommentSubject">
    <w:name w:val="annotation subject"/>
    <w:basedOn w:val="CommentText"/>
    <w:next w:val="CommentText"/>
    <w:link w:val="CommentSubjectChar"/>
    <w:rsid w:val="00500FC1"/>
    <w:rPr>
      <w:rFonts w:ascii="Gill Sans MT" w:hAnsi="Gill Sans MT"/>
      <w:b/>
      <w:bCs/>
      <w:szCs w:val="20"/>
      <w:lang w:val="en-IE"/>
    </w:rPr>
  </w:style>
  <w:style w:type="character" w:customStyle="1" w:styleId="CommentSubjectChar">
    <w:name w:val="Comment Subject Char"/>
    <w:basedOn w:val="CommentTextChar"/>
    <w:link w:val="CommentSubject"/>
    <w:rsid w:val="00500FC1"/>
    <w:rPr>
      <w:rFonts w:ascii="Gill Sans MT" w:eastAsia="Times New Roman" w:hAnsi="Gill Sans MT"/>
      <w:b/>
      <w:bCs/>
      <w:szCs w:val="24"/>
      <w:lang w:eastAsia="en-US"/>
    </w:rPr>
  </w:style>
  <w:style w:type="paragraph" w:customStyle="1" w:styleId="Tableheading">
    <w:name w:val="Table heading"/>
    <w:basedOn w:val="Normal"/>
    <w:link w:val="TableheadingChar"/>
    <w:qFormat/>
    <w:rsid w:val="00726072"/>
    <w:pPr>
      <w:spacing w:after="120"/>
      <w:jc w:val="center"/>
    </w:pPr>
    <w:rPr>
      <w:rFonts w:eastAsia="Times New Roman"/>
      <w:b/>
    </w:rPr>
  </w:style>
  <w:style w:type="character" w:customStyle="1" w:styleId="TableheadingChar">
    <w:name w:val="Table heading Char"/>
    <w:link w:val="Tableheading"/>
    <w:rsid w:val="00726072"/>
    <w:rPr>
      <w:rFonts w:ascii="Gill Sans MT" w:eastAsia="Times New Roman" w:hAnsi="Gill Sans MT"/>
      <w:b/>
      <w:sz w:val="26"/>
      <w:szCs w:val="24"/>
      <w:lang w:eastAsia="en-US"/>
    </w:rPr>
  </w:style>
  <w:style w:type="paragraph" w:styleId="BodyText">
    <w:name w:val="Body Text"/>
    <w:basedOn w:val="Normal"/>
    <w:link w:val="BodyTextChar"/>
    <w:rsid w:val="00F402F4"/>
    <w:pPr>
      <w:spacing w:after="120"/>
    </w:pPr>
  </w:style>
  <w:style w:type="character" w:customStyle="1" w:styleId="BodyTextChar">
    <w:name w:val="Body Text Char"/>
    <w:basedOn w:val="DefaultParagraphFont"/>
    <w:link w:val="BodyText"/>
    <w:rsid w:val="00F402F4"/>
    <w:rPr>
      <w:rFonts w:ascii="Gill Sans MT" w:hAnsi="Gill Sans MT"/>
      <w:sz w:val="26"/>
      <w:szCs w:val="24"/>
      <w:lang w:eastAsia="en-US"/>
    </w:rPr>
  </w:style>
  <w:style w:type="character" w:customStyle="1" w:styleId="HeaderChar">
    <w:name w:val="Header Char"/>
    <w:basedOn w:val="DefaultParagraphFont"/>
    <w:link w:val="Header"/>
    <w:uiPriority w:val="99"/>
    <w:rsid w:val="009C2D20"/>
    <w:rPr>
      <w:rFonts w:ascii="Gill Sans MT" w:hAnsi="Gill Sans MT"/>
      <w:color w:val="333333"/>
      <w:sz w:val="26"/>
      <w:lang w:eastAsia="en-US"/>
    </w:rPr>
  </w:style>
  <w:style w:type="paragraph" w:customStyle="1" w:styleId="footnote">
    <w:name w:val="footnote"/>
    <w:basedOn w:val="FootnoteText"/>
    <w:link w:val="footnoteChar"/>
    <w:qFormat/>
    <w:rsid w:val="00325A22"/>
    <w:pPr>
      <w:spacing w:after="80"/>
    </w:pPr>
    <w:rPr>
      <w:rFonts w:eastAsia="Times New Roman"/>
      <w:sz w:val="22"/>
    </w:rPr>
  </w:style>
  <w:style w:type="character" w:customStyle="1" w:styleId="footnoteChar">
    <w:name w:val="footnote Char"/>
    <w:link w:val="footnote"/>
    <w:rsid w:val="00325A22"/>
    <w:rPr>
      <w:rFonts w:ascii="Gill Sans MT" w:eastAsia="Times New Roman" w:hAnsi="Gill Sans MT"/>
      <w:sz w:val="22"/>
      <w:lang w:eastAsia="en-US"/>
    </w:rPr>
  </w:style>
  <w:style w:type="paragraph" w:customStyle="1" w:styleId="Pa2">
    <w:name w:val="Pa2"/>
    <w:basedOn w:val="Normal"/>
    <w:next w:val="Normal"/>
    <w:uiPriority w:val="99"/>
    <w:rsid w:val="00C0448D"/>
    <w:pPr>
      <w:autoSpaceDE w:val="0"/>
      <w:autoSpaceDN w:val="0"/>
      <w:adjustRightInd w:val="0"/>
      <w:spacing w:after="0" w:line="241" w:lineRule="atLeast"/>
    </w:pPr>
    <w:rPr>
      <w:rFonts w:ascii="Univers 45 Light" w:eastAsia="Times New Roman" w:hAnsi="Univers 45 Light"/>
      <w:sz w:val="24"/>
      <w:lang w:eastAsia="en-IE"/>
    </w:rPr>
  </w:style>
  <w:style w:type="character" w:customStyle="1" w:styleId="A1">
    <w:name w:val="A1"/>
    <w:uiPriority w:val="99"/>
    <w:rsid w:val="00C0448D"/>
    <w:rPr>
      <w:rFonts w:cs="Univers 45 Light"/>
      <w:b/>
      <w:bCs/>
      <w:i/>
      <w:iCs/>
      <w:color w:val="000000"/>
      <w:sz w:val="20"/>
      <w:szCs w:val="20"/>
    </w:rPr>
  </w:style>
  <w:style w:type="paragraph" w:styleId="Revision">
    <w:name w:val="Revision"/>
    <w:hidden/>
    <w:uiPriority w:val="99"/>
    <w:semiHidden/>
    <w:rsid w:val="00F920B3"/>
    <w:rPr>
      <w:rFonts w:ascii="Gill Sans MT" w:hAnsi="Gill Sans MT"/>
      <w:sz w:val="26"/>
      <w:szCs w:val="24"/>
      <w:lang w:eastAsia="en-US"/>
    </w:rPr>
  </w:style>
  <w:style w:type="paragraph" w:customStyle="1" w:styleId="BulletedList">
    <w:name w:val="Bulleted List"/>
    <w:uiPriority w:val="12"/>
    <w:qFormat/>
    <w:rsid w:val="008809CB"/>
    <w:pPr>
      <w:numPr>
        <w:numId w:val="39"/>
      </w:numPr>
      <w:spacing w:after="60" w:line="260" w:lineRule="exact"/>
      <w:jc w:val="both"/>
    </w:pPr>
    <w:rPr>
      <w:rFonts w:asciiTheme="minorHAnsi" w:eastAsiaTheme="minorHAnsi" w:hAnsiTheme="minorHAnsi" w:cstheme="minorBidi"/>
      <w:color w:val="000000" w:themeColor="text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379">
      <w:bodyDiv w:val="1"/>
      <w:marLeft w:val="0"/>
      <w:marRight w:val="0"/>
      <w:marTop w:val="0"/>
      <w:marBottom w:val="0"/>
      <w:divBdr>
        <w:top w:val="none" w:sz="0" w:space="0" w:color="auto"/>
        <w:left w:val="none" w:sz="0" w:space="0" w:color="auto"/>
        <w:bottom w:val="none" w:sz="0" w:space="0" w:color="auto"/>
        <w:right w:val="none" w:sz="0" w:space="0" w:color="auto"/>
      </w:divBdr>
    </w:div>
    <w:div w:id="418017308">
      <w:bodyDiv w:val="1"/>
      <w:marLeft w:val="0"/>
      <w:marRight w:val="0"/>
      <w:marTop w:val="0"/>
      <w:marBottom w:val="0"/>
      <w:divBdr>
        <w:top w:val="none" w:sz="0" w:space="0" w:color="auto"/>
        <w:left w:val="none" w:sz="0" w:space="0" w:color="auto"/>
        <w:bottom w:val="none" w:sz="0" w:space="0" w:color="auto"/>
        <w:right w:val="none" w:sz="0" w:space="0" w:color="auto"/>
      </w:divBdr>
    </w:div>
    <w:div w:id="432016362">
      <w:bodyDiv w:val="1"/>
      <w:marLeft w:val="0"/>
      <w:marRight w:val="0"/>
      <w:marTop w:val="0"/>
      <w:marBottom w:val="0"/>
      <w:divBdr>
        <w:top w:val="none" w:sz="0" w:space="0" w:color="auto"/>
        <w:left w:val="none" w:sz="0" w:space="0" w:color="auto"/>
        <w:bottom w:val="none" w:sz="0" w:space="0" w:color="auto"/>
        <w:right w:val="none" w:sz="0" w:space="0" w:color="auto"/>
      </w:divBdr>
    </w:div>
    <w:div w:id="662438909">
      <w:bodyDiv w:val="1"/>
      <w:marLeft w:val="0"/>
      <w:marRight w:val="0"/>
      <w:marTop w:val="0"/>
      <w:marBottom w:val="0"/>
      <w:divBdr>
        <w:top w:val="none" w:sz="0" w:space="0" w:color="auto"/>
        <w:left w:val="none" w:sz="0" w:space="0" w:color="auto"/>
        <w:bottom w:val="none" w:sz="0" w:space="0" w:color="auto"/>
        <w:right w:val="none" w:sz="0" w:space="0" w:color="auto"/>
      </w:divBdr>
    </w:div>
    <w:div w:id="666440006">
      <w:bodyDiv w:val="1"/>
      <w:marLeft w:val="0"/>
      <w:marRight w:val="0"/>
      <w:marTop w:val="0"/>
      <w:marBottom w:val="0"/>
      <w:divBdr>
        <w:top w:val="none" w:sz="0" w:space="0" w:color="auto"/>
        <w:left w:val="none" w:sz="0" w:space="0" w:color="auto"/>
        <w:bottom w:val="none" w:sz="0" w:space="0" w:color="auto"/>
        <w:right w:val="none" w:sz="0" w:space="0" w:color="auto"/>
      </w:divBdr>
    </w:div>
    <w:div w:id="716516672">
      <w:bodyDiv w:val="1"/>
      <w:marLeft w:val="0"/>
      <w:marRight w:val="0"/>
      <w:marTop w:val="0"/>
      <w:marBottom w:val="0"/>
      <w:divBdr>
        <w:top w:val="none" w:sz="0" w:space="0" w:color="auto"/>
        <w:left w:val="none" w:sz="0" w:space="0" w:color="auto"/>
        <w:bottom w:val="none" w:sz="0" w:space="0" w:color="auto"/>
        <w:right w:val="none" w:sz="0" w:space="0" w:color="auto"/>
      </w:divBdr>
    </w:div>
    <w:div w:id="791901599">
      <w:bodyDiv w:val="1"/>
      <w:marLeft w:val="0"/>
      <w:marRight w:val="0"/>
      <w:marTop w:val="0"/>
      <w:marBottom w:val="0"/>
      <w:divBdr>
        <w:top w:val="none" w:sz="0" w:space="0" w:color="auto"/>
        <w:left w:val="none" w:sz="0" w:space="0" w:color="auto"/>
        <w:bottom w:val="none" w:sz="0" w:space="0" w:color="auto"/>
        <w:right w:val="none" w:sz="0" w:space="0" w:color="auto"/>
      </w:divBdr>
      <w:divsChild>
        <w:div w:id="810756640">
          <w:marLeft w:val="0"/>
          <w:marRight w:val="0"/>
          <w:marTop w:val="0"/>
          <w:marBottom w:val="0"/>
          <w:divBdr>
            <w:top w:val="none" w:sz="0" w:space="0" w:color="auto"/>
            <w:left w:val="none" w:sz="0" w:space="0" w:color="auto"/>
            <w:bottom w:val="none" w:sz="0" w:space="0" w:color="auto"/>
            <w:right w:val="none" w:sz="0" w:space="0" w:color="auto"/>
          </w:divBdr>
          <w:divsChild>
            <w:div w:id="14843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3401">
      <w:bodyDiv w:val="1"/>
      <w:marLeft w:val="0"/>
      <w:marRight w:val="0"/>
      <w:marTop w:val="0"/>
      <w:marBottom w:val="0"/>
      <w:divBdr>
        <w:top w:val="none" w:sz="0" w:space="0" w:color="auto"/>
        <w:left w:val="none" w:sz="0" w:space="0" w:color="auto"/>
        <w:bottom w:val="none" w:sz="0" w:space="0" w:color="auto"/>
        <w:right w:val="none" w:sz="0" w:space="0" w:color="auto"/>
      </w:divBdr>
    </w:div>
    <w:div w:id="1141534779">
      <w:bodyDiv w:val="1"/>
      <w:marLeft w:val="0"/>
      <w:marRight w:val="0"/>
      <w:marTop w:val="0"/>
      <w:marBottom w:val="0"/>
      <w:divBdr>
        <w:top w:val="none" w:sz="0" w:space="0" w:color="auto"/>
        <w:left w:val="none" w:sz="0" w:space="0" w:color="auto"/>
        <w:bottom w:val="none" w:sz="0" w:space="0" w:color="auto"/>
        <w:right w:val="none" w:sz="0" w:space="0" w:color="auto"/>
      </w:divBdr>
    </w:div>
    <w:div w:id="1254826980">
      <w:bodyDiv w:val="1"/>
      <w:marLeft w:val="0"/>
      <w:marRight w:val="0"/>
      <w:marTop w:val="0"/>
      <w:marBottom w:val="0"/>
      <w:divBdr>
        <w:top w:val="none" w:sz="0" w:space="0" w:color="auto"/>
        <w:left w:val="none" w:sz="0" w:space="0" w:color="auto"/>
        <w:bottom w:val="none" w:sz="0" w:space="0" w:color="auto"/>
        <w:right w:val="none" w:sz="0" w:space="0" w:color="auto"/>
      </w:divBdr>
    </w:div>
    <w:div w:id="1399357074">
      <w:bodyDiv w:val="1"/>
      <w:marLeft w:val="0"/>
      <w:marRight w:val="0"/>
      <w:marTop w:val="0"/>
      <w:marBottom w:val="0"/>
      <w:divBdr>
        <w:top w:val="none" w:sz="0" w:space="0" w:color="auto"/>
        <w:left w:val="none" w:sz="0" w:space="0" w:color="auto"/>
        <w:bottom w:val="none" w:sz="0" w:space="0" w:color="auto"/>
        <w:right w:val="none" w:sz="0" w:space="0" w:color="auto"/>
      </w:divBdr>
    </w:div>
    <w:div w:id="17671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i.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s.mywelfare.ie/en/topics/health-disability-illn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sireland.ie/" TargetMode="External"/><Relationship Id="rId5" Type="http://schemas.openxmlformats.org/officeDocument/2006/relationships/webSettings" Target="webSettings.xml"/><Relationship Id="rId15" Type="http://schemas.openxmlformats.org/officeDocument/2006/relationships/hyperlink" Target="http://www.fitforworkeurope.eu/Website-Documents/ffw_Ireland311009.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fitforworkeurope.eu/Website-Documents/ffw_Ireland31100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ls/soc/46488022.pdf" TargetMode="External"/><Relationship Id="rId13" Type="http://schemas.openxmlformats.org/officeDocument/2006/relationships/hyperlink" Target="http://nda.ie/Publications/Employment/Employment-Publications/Exploring-the-Impact-of-Fatigue-on-Work-Ability-of-People-with-Rheumatic-Disease.html" TargetMode="External"/><Relationship Id="rId18" Type="http://schemas.openxmlformats.org/officeDocument/2006/relationships/hyperlink" Target="http://www.oecd.org/ireland/46461490.pdf" TargetMode="External"/><Relationship Id="rId26" Type="http://schemas.openxmlformats.org/officeDocument/2006/relationships/hyperlink" Target="https://www.esri.ie/system/files/publications/RS90.pdf" TargetMode="External"/><Relationship Id="rId3" Type="http://schemas.openxmlformats.org/officeDocument/2006/relationships/hyperlink" Target="http://www.medicaljournals.se/jrm/content/?doi=10.2340/16501977-0457&amp;html=1" TargetMode="External"/><Relationship Id="rId21" Type="http://schemas.openxmlformats.org/officeDocument/2006/relationships/hyperlink" Target="http://nda.ie/Publications/Employment/Employment-Publications/Literature-Review-Guidance-on-retaining-employees-with-a-disability.html" TargetMode="External"/><Relationship Id="rId7" Type="http://schemas.openxmlformats.org/officeDocument/2006/relationships/hyperlink" Target="http://www1.oecd.org/publications/ebook/8103021E.PDF108" TargetMode="External"/><Relationship Id="rId12" Type="http://schemas.openxmlformats.org/officeDocument/2006/relationships/hyperlink" Target="http://www.aia.com.au/en/resources/3b9ba88044c4d35380b1f40af27d2d40/Occ_rehab_best_practice_framework_0714.pdf" TargetMode="External"/><Relationship Id="rId17" Type="http://schemas.openxmlformats.org/officeDocument/2006/relationships/hyperlink" Target="http://budget.gov.ie/Budgets/2020/Documents/Budget/The%20Inactive%20Working%20Age%20Population%20(A).pdf" TargetMode="External"/><Relationship Id="rId25" Type="http://schemas.openxmlformats.org/officeDocument/2006/relationships/hyperlink" Target="http://nda.ie/Publications/Employment/Employment-Publications/Exploring-the-Factors-Related-to-Return-to-Work-after-Stroke.html" TargetMode="External"/><Relationship Id="rId2" Type="http://schemas.openxmlformats.org/officeDocument/2006/relationships/hyperlink" Target="http://www.dol.gov/owcp/procedure-manual/rehab.pdf" TargetMode="External"/><Relationship Id="rId16" Type="http://schemas.openxmlformats.org/officeDocument/2006/relationships/hyperlink" Target="http://nda.ie/Publications/Employment/Employment-Publications/Exploring-the-Factors-Related-to-Return-to-Work-after-Stroke.html" TargetMode="External"/><Relationship Id="rId20" Type="http://schemas.openxmlformats.org/officeDocument/2006/relationships/hyperlink" Target="http://nda.ie/Publications/Employment/Employment-Publications/Literature-Review-Guidance-on-retaining-employees-with-a-disability.html" TargetMode="External"/><Relationship Id="rId29" Type="http://schemas.openxmlformats.org/officeDocument/2006/relationships/hyperlink" Target="http://www.carf.com" TargetMode="External"/><Relationship Id="rId1" Type="http://schemas.openxmlformats.org/officeDocument/2006/relationships/hyperlink" Target="https://www.oecd.org/els/soc/46488022.pdf" TargetMode="External"/><Relationship Id="rId6" Type="http://schemas.openxmlformats.org/officeDocument/2006/relationships/hyperlink" Target="http://nda.ie/Publications/Employment/Employment-Publications/Literature-Review-Guidance-on-retaining-employees-with-a-disability.html" TargetMode="External"/><Relationship Id="rId11" Type="http://schemas.openxmlformats.org/officeDocument/2006/relationships/hyperlink" Target="http://www.medicaljournals.se/jrm/content/?doi=10.2340/16501977-0457&amp;html=1" TargetMode="External"/><Relationship Id="rId24" Type="http://schemas.openxmlformats.org/officeDocument/2006/relationships/hyperlink" Target="http://nda.ie/Publications/Disability-Supports/Transforming-Lives.pdf" TargetMode="External"/><Relationship Id="rId5" Type="http://schemas.openxmlformats.org/officeDocument/2006/relationships/hyperlink" Target="https://www.oecd.org/els/soc/46488022.pdf" TargetMode="External"/><Relationship Id="rId15" Type="http://schemas.openxmlformats.org/officeDocument/2006/relationships/hyperlink" Target="http://www.welfare.ie/en/downloads/renaissance.pdf" TargetMode="External"/><Relationship Id="rId23" Type="http://schemas.openxmlformats.org/officeDocument/2006/relationships/hyperlink" Target="https://www.hse.ie/eng/services/publications/clinical-strategy-and-programmes/model-of-care-for-specialist-rehab-medicine.pdf" TargetMode="External"/><Relationship Id="rId28" Type="http://schemas.openxmlformats.org/officeDocument/2006/relationships/hyperlink" Target="https://www.education.ie/en/Publications/Education-Reports/indecon-review-of-career-guidance.pdf" TargetMode="External"/><Relationship Id="rId10" Type="http://schemas.openxmlformats.org/officeDocument/2006/relationships/hyperlink" Target="http://www.dol.gov/owcp/procedure-manual/rehab.pdf" TargetMode="External"/><Relationship Id="rId19" Type="http://schemas.openxmlformats.org/officeDocument/2006/relationships/hyperlink" Target="https://www.gov.ie/en/publication/1feaf-pathways-to-work-2021/" TargetMode="External"/><Relationship Id="rId4" Type="http://schemas.openxmlformats.org/officeDocument/2006/relationships/hyperlink" Target="http://www.aia.com.au/en/resources/3b9ba88044c4d35380b1f40af27d2d40/Occ_rehab_best_practice_framework_0714.pdf" TargetMode="External"/><Relationship Id="rId9" Type="http://schemas.openxmlformats.org/officeDocument/2006/relationships/hyperlink" Target="http://www.medicaljournals.se/jrm/content/?doi=10.2340/16501977-0457&amp;html=1" TargetMode="External"/><Relationship Id="rId14" Type="http://schemas.openxmlformats.org/officeDocument/2006/relationships/hyperlink" Target="http://nda.ie/Publications/Employment/Employment-Publications/Literature-Review-Guidance-on-retaining-employees-with-a-disability.html" TargetMode="External"/><Relationship Id="rId22" Type="http://schemas.openxmlformats.org/officeDocument/2006/relationships/hyperlink" Target="https://www.hse.ie/eng/services/list/4/disability/neurorehabilitation/national-strategy-policy-for-the-provision-of-neuro-rehabilitation-services-in-ireland.pdf" TargetMode="External"/><Relationship Id="rId27" Type="http://schemas.openxmlformats.org/officeDocument/2006/relationships/hyperlink" Target="http://nda.ie/publications/employment/employment-publications/reasonable-accommodations-obstacles-and-opportunities-to-the-employment-of-persons-with-a-disability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IE"/>
              <a:t>Graph 1: employment by age %</a:t>
            </a:r>
          </a:p>
        </c:rich>
      </c:tx>
      <c:overlay val="0"/>
      <c:spPr>
        <a:noFill/>
        <a:ln>
          <a:noFill/>
        </a:ln>
        <a:effectLst/>
      </c:spPr>
    </c:title>
    <c:autoTitleDeleted val="0"/>
    <c:plotArea>
      <c:layout/>
      <c:barChart>
        <c:barDir val="col"/>
        <c:grouping val="clustered"/>
        <c:varyColors val="0"/>
        <c:ser>
          <c:idx val="1"/>
          <c:order val="0"/>
          <c:tx>
            <c:strRef>
              <c:f>'work by age group'!$D$40</c:f>
              <c:strCache>
                <c:ptCount val="1"/>
                <c:pt idx="0">
                  <c:v>Persons at work</c:v>
                </c:pt>
              </c:strCache>
            </c:strRef>
          </c:tx>
          <c:spPr>
            <a:solidFill>
              <a:schemeClr val="accent2"/>
            </a:solidFill>
            <a:ln>
              <a:noFill/>
            </a:ln>
            <a:effectLst/>
          </c:spPr>
          <c:invertIfNegative val="0"/>
          <c:cat>
            <c:strRef>
              <c:f>'work by age group'!$E$38:$P$38</c:f>
              <c:strCache>
                <c:ptCount val="12"/>
                <c:pt idx="0">
                  <c:v>All ages</c:v>
                </c:pt>
                <c:pt idx="1">
                  <c:v>15 - 19 years</c:v>
                </c:pt>
                <c:pt idx="2">
                  <c:v>20 - 24 years</c:v>
                </c:pt>
                <c:pt idx="3">
                  <c:v>25 - 29 years</c:v>
                </c:pt>
                <c:pt idx="4">
                  <c:v>30 - 34 years</c:v>
                </c:pt>
                <c:pt idx="5">
                  <c:v>35 - 39 years</c:v>
                </c:pt>
                <c:pt idx="6">
                  <c:v>40 - 44 years</c:v>
                </c:pt>
                <c:pt idx="7">
                  <c:v>45 - 49 years</c:v>
                </c:pt>
                <c:pt idx="8">
                  <c:v>50 - 54 years</c:v>
                </c:pt>
                <c:pt idx="9">
                  <c:v>55 - 59 years</c:v>
                </c:pt>
                <c:pt idx="10">
                  <c:v>60 - 64 years</c:v>
                </c:pt>
                <c:pt idx="11">
                  <c:v>65 years and over</c:v>
                </c:pt>
              </c:strCache>
            </c:strRef>
          </c:cat>
          <c:val>
            <c:numRef>
              <c:f>'work by age group'!$E$40:$P$40</c:f>
              <c:numCache>
                <c:formatCode>General</c:formatCode>
                <c:ptCount val="12"/>
              </c:numCache>
            </c:numRef>
          </c:val>
          <c:extLst>
            <c:ext xmlns:c16="http://schemas.microsoft.com/office/drawing/2014/chart" uri="{C3380CC4-5D6E-409C-BE32-E72D297353CC}">
              <c16:uniqueId val="{00000000-0AA9-460C-95E9-D74DC7A28F27}"/>
            </c:ext>
          </c:extLst>
        </c:ser>
        <c:ser>
          <c:idx val="2"/>
          <c:order val="1"/>
          <c:tx>
            <c:strRef>
              <c:f>'work by age group'!$D$41</c:f>
              <c:strCache>
                <c:ptCount val="1"/>
                <c:pt idx="0">
                  <c:v>People without a disability</c:v>
                </c:pt>
              </c:strCache>
            </c:strRef>
          </c:tx>
          <c:spPr>
            <a:solidFill>
              <a:schemeClr val="accent3"/>
            </a:solidFill>
            <a:ln>
              <a:noFill/>
            </a:ln>
            <a:effectLst/>
          </c:spPr>
          <c:invertIfNegative val="0"/>
          <c:cat>
            <c:strRef>
              <c:f>'work by age group'!$E$38:$P$38</c:f>
              <c:strCache>
                <c:ptCount val="12"/>
                <c:pt idx="0">
                  <c:v>All ages</c:v>
                </c:pt>
                <c:pt idx="1">
                  <c:v>15 - 19 years</c:v>
                </c:pt>
                <c:pt idx="2">
                  <c:v>20 - 24 years</c:v>
                </c:pt>
                <c:pt idx="3">
                  <c:v>25 - 29 years</c:v>
                </c:pt>
                <c:pt idx="4">
                  <c:v>30 - 34 years</c:v>
                </c:pt>
                <c:pt idx="5">
                  <c:v>35 - 39 years</c:v>
                </c:pt>
                <c:pt idx="6">
                  <c:v>40 - 44 years</c:v>
                </c:pt>
                <c:pt idx="7">
                  <c:v>45 - 49 years</c:v>
                </c:pt>
                <c:pt idx="8">
                  <c:v>50 - 54 years</c:v>
                </c:pt>
                <c:pt idx="9">
                  <c:v>55 - 59 years</c:v>
                </c:pt>
                <c:pt idx="10">
                  <c:v>60 - 64 years</c:v>
                </c:pt>
                <c:pt idx="11">
                  <c:v>65 years and over</c:v>
                </c:pt>
              </c:strCache>
            </c:strRef>
          </c:cat>
          <c:val>
            <c:numRef>
              <c:f>'work by age group'!$E$41:$P$41</c:f>
              <c:numCache>
                <c:formatCode>0</c:formatCode>
                <c:ptCount val="12"/>
                <c:pt idx="0">
                  <c:v>59.174248281759851</c:v>
                </c:pt>
                <c:pt idx="1">
                  <c:v>6.3072357676154924</c:v>
                </c:pt>
                <c:pt idx="2">
                  <c:v>45.771926508848615</c:v>
                </c:pt>
                <c:pt idx="3">
                  <c:v>74.666539947582166</c:v>
                </c:pt>
                <c:pt idx="4">
                  <c:v>80.095887984581069</c:v>
                </c:pt>
                <c:pt idx="5">
                  <c:v>80.857307654432134</c:v>
                </c:pt>
                <c:pt idx="6">
                  <c:v>79.491530710921182</c:v>
                </c:pt>
                <c:pt idx="7">
                  <c:v>78.39852648250023</c:v>
                </c:pt>
                <c:pt idx="8">
                  <c:v>77.319205256644011</c:v>
                </c:pt>
                <c:pt idx="9">
                  <c:v>71.066138531766953</c:v>
                </c:pt>
                <c:pt idx="10">
                  <c:v>53.355136304076872</c:v>
                </c:pt>
                <c:pt idx="11">
                  <c:v>12.47038208621445</c:v>
                </c:pt>
              </c:numCache>
            </c:numRef>
          </c:val>
          <c:extLst>
            <c:ext xmlns:c16="http://schemas.microsoft.com/office/drawing/2014/chart" uri="{C3380CC4-5D6E-409C-BE32-E72D297353CC}">
              <c16:uniqueId val="{00000001-0AA9-460C-95E9-D74DC7A28F27}"/>
            </c:ext>
          </c:extLst>
        </c:ser>
        <c:ser>
          <c:idx val="3"/>
          <c:order val="2"/>
          <c:tx>
            <c:strRef>
              <c:f>'work by age group'!$D$42</c:f>
              <c:strCache>
                <c:ptCount val="1"/>
                <c:pt idx="0">
                  <c:v>People with a disability</c:v>
                </c:pt>
              </c:strCache>
            </c:strRef>
          </c:tx>
          <c:spPr>
            <a:solidFill>
              <a:schemeClr val="accent4"/>
            </a:solidFill>
            <a:ln>
              <a:noFill/>
            </a:ln>
            <a:effectLst/>
          </c:spPr>
          <c:invertIfNegative val="0"/>
          <c:cat>
            <c:strRef>
              <c:f>'work by age group'!$E$38:$P$38</c:f>
              <c:strCache>
                <c:ptCount val="12"/>
                <c:pt idx="0">
                  <c:v>All ages</c:v>
                </c:pt>
                <c:pt idx="1">
                  <c:v>15 - 19 years</c:v>
                </c:pt>
                <c:pt idx="2">
                  <c:v>20 - 24 years</c:v>
                </c:pt>
                <c:pt idx="3">
                  <c:v>25 - 29 years</c:v>
                </c:pt>
                <c:pt idx="4">
                  <c:v>30 - 34 years</c:v>
                </c:pt>
                <c:pt idx="5">
                  <c:v>35 - 39 years</c:v>
                </c:pt>
                <c:pt idx="6">
                  <c:v>40 - 44 years</c:v>
                </c:pt>
                <c:pt idx="7">
                  <c:v>45 - 49 years</c:v>
                </c:pt>
                <c:pt idx="8">
                  <c:v>50 - 54 years</c:v>
                </c:pt>
                <c:pt idx="9">
                  <c:v>55 - 59 years</c:v>
                </c:pt>
                <c:pt idx="10">
                  <c:v>60 - 64 years</c:v>
                </c:pt>
                <c:pt idx="11">
                  <c:v>65 years and over</c:v>
                </c:pt>
              </c:strCache>
            </c:strRef>
          </c:cat>
          <c:val>
            <c:numRef>
              <c:f>'work by age group'!$E$42:$P$42</c:f>
              <c:numCache>
                <c:formatCode>0</c:formatCode>
                <c:ptCount val="12"/>
                <c:pt idx="0">
                  <c:v>22.27003056271349</c:v>
                </c:pt>
                <c:pt idx="1">
                  <c:v>4.1842031425364761</c:v>
                </c:pt>
                <c:pt idx="2">
                  <c:v>28.269145994469604</c:v>
                </c:pt>
                <c:pt idx="3">
                  <c:v>45.968823332215891</c:v>
                </c:pt>
                <c:pt idx="4">
                  <c:v>49.248562919869805</c:v>
                </c:pt>
                <c:pt idx="5">
                  <c:v>47.850379344821505</c:v>
                </c:pt>
                <c:pt idx="6">
                  <c:v>43.795066413662241</c:v>
                </c:pt>
                <c:pt idx="7">
                  <c:v>39.286166949732568</c:v>
                </c:pt>
                <c:pt idx="8">
                  <c:v>35.055476918862155</c:v>
                </c:pt>
                <c:pt idx="9">
                  <c:v>29.99854738633298</c:v>
                </c:pt>
                <c:pt idx="10">
                  <c:v>21.113589231912979</c:v>
                </c:pt>
                <c:pt idx="11">
                  <c:v>3.6093730502522416</c:v>
                </c:pt>
              </c:numCache>
            </c:numRef>
          </c:val>
          <c:extLst>
            <c:ext xmlns:c16="http://schemas.microsoft.com/office/drawing/2014/chart" uri="{C3380CC4-5D6E-409C-BE32-E72D297353CC}">
              <c16:uniqueId val="{00000002-0AA9-460C-95E9-D74DC7A28F27}"/>
            </c:ext>
          </c:extLst>
        </c:ser>
        <c:dLbls>
          <c:showLegendKey val="0"/>
          <c:showVal val="0"/>
          <c:showCatName val="0"/>
          <c:showSerName val="0"/>
          <c:showPercent val="0"/>
          <c:showBubbleSize val="0"/>
        </c:dLbls>
        <c:gapWidth val="219"/>
        <c:overlap val="-27"/>
        <c:axId val="487302808"/>
        <c:axId val="487303200"/>
      </c:barChart>
      <c:catAx>
        <c:axId val="487302808"/>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487303200"/>
        <c:crosses val="autoZero"/>
        <c:auto val="1"/>
        <c:lblAlgn val="ctr"/>
        <c:lblOffset val="100"/>
        <c:noMultiLvlLbl val="0"/>
      </c:catAx>
      <c:valAx>
        <c:axId val="487303200"/>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487302808"/>
        <c:crosses val="autoZero"/>
        <c:crossBetween val="between"/>
      </c:valAx>
      <c:spPr>
        <a:noFill/>
        <a:ln w="25373">
          <a:noFill/>
        </a:ln>
      </c:spPr>
    </c:plotArea>
    <c:legend>
      <c:legendPos val="b"/>
      <c:legendEntry>
        <c:idx val="0"/>
        <c:delete val="1"/>
      </c:legendEntry>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Mendeley_US5fPcqt9TibvJeLFOoWHg</b:Tag>
    <b:SourceType>JournalArticle</b:SourceType>
    <b:Guid>{3D5F2E51-ADCA-38F5-9BBC-978B14EA161E}</b:Guid>
    <b:Title>Can paid sick leave mandates reduce leave-taking?</b:Title>
    <b:Year>2018</b:Year>
    <b:Publisher>Elsevier B.V.</b:Publisher>
    <b:Author>
      <b:Author>
        <b:NameList>
          <b:Person>
            <b:Last>Stearns</b:Last>
            <b:First>Jenna</b:First>
          </b:Person>
          <b:Person>
            <b:Last>White</b:Last>
            <b:First>Corey</b:First>
          </b:Person>
        </b:NameList>
      </b:Author>
    </b:Author>
    <b:Volume>51</b:Volume>
    <b:BookTitle>Labour Economics</b:BookTitle>
    <b:Pages>227-246</b:Pages>
    <b:JournalName>Labour Economics</b:JournalName>
    <b:DOI>10.1016/j.labeco.2018.01.002</b:DOI>
    <b:LCID>en-US</b:LCID>
    <b:Version>Mendeley</b:Version>
    <b:RefOrder>97</b:RefOrder>
  </b:Source>
</b:Sources>
</file>

<file path=customXml/itemProps1.xml><?xml version="1.0" encoding="utf-8"?>
<ds:datastoreItem xmlns:ds="http://schemas.openxmlformats.org/officeDocument/2006/customXml" ds:itemID="{266EAE63-543B-49EC-AF60-C78A683A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6</Pages>
  <Words>14209</Words>
  <Characters>80993</Characters>
  <Application>Microsoft Office Word</Application>
  <DocSecurity>4</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hartneyam</dc:creator>
  <cp:keywords/>
  <cp:lastModifiedBy>Heather C. O'Leary</cp:lastModifiedBy>
  <cp:revision>2</cp:revision>
  <cp:lastPrinted>2020-02-24T12:06:00Z</cp:lastPrinted>
  <dcterms:created xsi:type="dcterms:W3CDTF">2022-06-13T13:32:00Z</dcterms:created>
  <dcterms:modified xsi:type="dcterms:W3CDTF">2022-06-13T13:32:00Z</dcterms:modified>
</cp:coreProperties>
</file>