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F82E" w14:textId="77777777" w:rsidR="00EB555E" w:rsidRPr="005E3210" w:rsidRDefault="00EB555E" w:rsidP="005E3210">
      <w:pPr>
        <w:pStyle w:val="TableTitle"/>
        <w:spacing w:before="360"/>
        <w:rPr>
          <w:sz w:val="64"/>
          <w:szCs w:val="64"/>
        </w:rPr>
      </w:pPr>
      <w:bookmarkStart w:id="0" w:name="_GoBack"/>
      <w:bookmarkEnd w:id="0"/>
      <w:r w:rsidRPr="005E3210">
        <w:rPr>
          <w:sz w:val="64"/>
          <w:szCs w:val="64"/>
        </w:rPr>
        <w:t xml:space="preserve">Overview of UNCRPD </w:t>
      </w:r>
      <w:r w:rsidR="00B82F41" w:rsidRPr="005E3210">
        <w:rPr>
          <w:sz w:val="64"/>
          <w:szCs w:val="64"/>
        </w:rPr>
        <w:t>Article 27</w:t>
      </w:r>
      <w:r w:rsidRPr="005E3210">
        <w:rPr>
          <w:sz w:val="64"/>
          <w:szCs w:val="64"/>
        </w:rPr>
        <w:t xml:space="preserve"> in Ireland</w:t>
      </w:r>
    </w:p>
    <w:p w14:paraId="162BC76F" w14:textId="7B5C4CDC" w:rsidR="00EB555E" w:rsidRPr="005E3210" w:rsidRDefault="00B82F41" w:rsidP="005E3210">
      <w:pPr>
        <w:pStyle w:val="TableTitle"/>
        <w:spacing w:after="1440"/>
        <w:rPr>
          <w:sz w:val="64"/>
          <w:szCs w:val="64"/>
        </w:rPr>
      </w:pPr>
      <w:r w:rsidRPr="005E3210">
        <w:rPr>
          <w:sz w:val="64"/>
          <w:szCs w:val="64"/>
        </w:rPr>
        <w:t>Right to Work and Employment</w:t>
      </w:r>
    </w:p>
    <w:p w14:paraId="4F7BF620" w14:textId="181E102F" w:rsidR="00EB555E" w:rsidRPr="009636B8" w:rsidRDefault="00B31365" w:rsidP="00B31365">
      <w:pPr>
        <w:spacing w:before="960" w:after="2760"/>
        <w:rPr>
          <w:sz w:val="48"/>
          <w:szCs w:val="48"/>
        </w:rPr>
      </w:pPr>
      <w:r w:rsidRPr="009636B8">
        <w:rPr>
          <w:sz w:val="48"/>
          <w:szCs w:val="48"/>
        </w:rPr>
        <w:t>October 2020</w:t>
      </w:r>
    </w:p>
    <w:p w14:paraId="619DFDC5" w14:textId="77777777" w:rsidR="00EB555E" w:rsidRDefault="00EB555E" w:rsidP="00EB555E"/>
    <w:p w14:paraId="792B2A17" w14:textId="349D07DF" w:rsidR="00156E77" w:rsidRDefault="00EB555E" w:rsidP="009636B8">
      <w:r>
        <w:rPr>
          <w:noProof/>
          <w:lang w:eastAsia="en-IE"/>
        </w:rPr>
        <w:lastRenderedPageBreak/>
        <w:drawing>
          <wp:inline distT="0" distB="0" distL="0" distR="0" wp14:anchorId="50274F91" wp14:editId="0F2B29F2">
            <wp:extent cx="2523600" cy="1800000"/>
            <wp:effectExtent l="0" t="0" r="0" b="0"/>
            <wp:docPr id="1" name="Picture 1"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600" cy="1800000"/>
                    </a:xfrm>
                    <a:prstGeom prst="rect">
                      <a:avLst/>
                    </a:prstGeom>
                    <a:noFill/>
                    <a:ln>
                      <a:noFill/>
                    </a:ln>
                  </pic:spPr>
                </pic:pic>
              </a:graphicData>
            </a:graphic>
          </wp:inline>
        </w:drawing>
      </w:r>
    </w:p>
    <w:p w14:paraId="2DDC6B9D" w14:textId="287ED8BB" w:rsidR="009636B8" w:rsidRDefault="009636B8" w:rsidP="009636B8">
      <w:pPr>
        <w:pStyle w:val="Heading1"/>
      </w:pPr>
      <w:r>
        <w:t>Table of Contents</w:t>
      </w:r>
    </w:p>
    <w:p w14:paraId="1FA2B585" w14:textId="77951891" w:rsidR="00156E77" w:rsidRDefault="00156E77">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65581152" w:history="1">
        <w:r w:rsidRPr="001C7C6E">
          <w:rPr>
            <w:rStyle w:val="Hyperlink"/>
            <w:noProof/>
          </w:rPr>
          <w:t>Background to the UNCRPD Article review papers</w:t>
        </w:r>
        <w:r>
          <w:rPr>
            <w:noProof/>
            <w:webHidden/>
          </w:rPr>
          <w:tab/>
        </w:r>
        <w:r>
          <w:rPr>
            <w:noProof/>
            <w:webHidden/>
          </w:rPr>
          <w:fldChar w:fldCharType="begin"/>
        </w:r>
        <w:r>
          <w:rPr>
            <w:noProof/>
            <w:webHidden/>
          </w:rPr>
          <w:instrText xml:space="preserve"> PAGEREF _Toc65581152 \h </w:instrText>
        </w:r>
        <w:r>
          <w:rPr>
            <w:noProof/>
            <w:webHidden/>
          </w:rPr>
        </w:r>
        <w:r>
          <w:rPr>
            <w:noProof/>
            <w:webHidden/>
          </w:rPr>
          <w:fldChar w:fldCharType="separate"/>
        </w:r>
        <w:r>
          <w:rPr>
            <w:noProof/>
            <w:webHidden/>
          </w:rPr>
          <w:t>4</w:t>
        </w:r>
        <w:r>
          <w:rPr>
            <w:noProof/>
            <w:webHidden/>
          </w:rPr>
          <w:fldChar w:fldCharType="end"/>
        </w:r>
      </w:hyperlink>
    </w:p>
    <w:p w14:paraId="401A80EA" w14:textId="387D0BCC"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53" w:history="1">
        <w:r w:rsidR="00156E77" w:rsidRPr="001C7C6E">
          <w:rPr>
            <w:rStyle w:val="Hyperlink"/>
            <w:noProof/>
          </w:rPr>
          <w:t>Introduction</w:t>
        </w:r>
        <w:r w:rsidR="00156E77">
          <w:rPr>
            <w:noProof/>
            <w:webHidden/>
          </w:rPr>
          <w:tab/>
        </w:r>
        <w:r w:rsidR="00156E77">
          <w:rPr>
            <w:noProof/>
            <w:webHidden/>
          </w:rPr>
          <w:fldChar w:fldCharType="begin"/>
        </w:r>
        <w:r w:rsidR="00156E77">
          <w:rPr>
            <w:noProof/>
            <w:webHidden/>
          </w:rPr>
          <w:instrText xml:space="preserve"> PAGEREF _Toc65581153 \h </w:instrText>
        </w:r>
        <w:r w:rsidR="00156E77">
          <w:rPr>
            <w:noProof/>
            <w:webHidden/>
          </w:rPr>
        </w:r>
        <w:r w:rsidR="00156E77">
          <w:rPr>
            <w:noProof/>
            <w:webHidden/>
          </w:rPr>
          <w:fldChar w:fldCharType="separate"/>
        </w:r>
        <w:r w:rsidR="00156E77">
          <w:rPr>
            <w:noProof/>
            <w:webHidden/>
          </w:rPr>
          <w:t>6</w:t>
        </w:r>
        <w:r w:rsidR="00156E77">
          <w:rPr>
            <w:noProof/>
            <w:webHidden/>
          </w:rPr>
          <w:fldChar w:fldCharType="end"/>
        </w:r>
      </w:hyperlink>
    </w:p>
    <w:p w14:paraId="53D0636E" w14:textId="49233BB3"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54" w:history="1">
        <w:r w:rsidR="00156E77" w:rsidRPr="001C7C6E">
          <w:rPr>
            <w:rStyle w:val="Hyperlink"/>
            <w:noProof/>
          </w:rPr>
          <w:t>Convention text</w:t>
        </w:r>
        <w:r w:rsidR="00156E77">
          <w:rPr>
            <w:noProof/>
            <w:webHidden/>
          </w:rPr>
          <w:tab/>
        </w:r>
        <w:r w:rsidR="00156E77">
          <w:rPr>
            <w:noProof/>
            <w:webHidden/>
          </w:rPr>
          <w:fldChar w:fldCharType="begin"/>
        </w:r>
        <w:r w:rsidR="00156E77">
          <w:rPr>
            <w:noProof/>
            <w:webHidden/>
          </w:rPr>
          <w:instrText xml:space="preserve"> PAGEREF _Toc65581154 \h </w:instrText>
        </w:r>
        <w:r w:rsidR="00156E77">
          <w:rPr>
            <w:noProof/>
            <w:webHidden/>
          </w:rPr>
        </w:r>
        <w:r w:rsidR="00156E77">
          <w:rPr>
            <w:noProof/>
            <w:webHidden/>
          </w:rPr>
          <w:fldChar w:fldCharType="separate"/>
        </w:r>
        <w:r w:rsidR="00156E77">
          <w:rPr>
            <w:noProof/>
            <w:webHidden/>
          </w:rPr>
          <w:t>6</w:t>
        </w:r>
        <w:r w:rsidR="00156E77">
          <w:rPr>
            <w:noProof/>
            <w:webHidden/>
          </w:rPr>
          <w:fldChar w:fldCharType="end"/>
        </w:r>
      </w:hyperlink>
    </w:p>
    <w:p w14:paraId="7C83454E" w14:textId="4AC8F3D4"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55" w:history="1">
        <w:r w:rsidR="00156E77" w:rsidRPr="001C7C6E">
          <w:rPr>
            <w:rStyle w:val="Hyperlink"/>
            <w:noProof/>
          </w:rPr>
          <w:t>Type of Right</w:t>
        </w:r>
        <w:r w:rsidR="00156E77">
          <w:rPr>
            <w:noProof/>
            <w:webHidden/>
          </w:rPr>
          <w:tab/>
        </w:r>
        <w:r w:rsidR="00156E77">
          <w:rPr>
            <w:noProof/>
            <w:webHidden/>
          </w:rPr>
          <w:fldChar w:fldCharType="begin"/>
        </w:r>
        <w:r w:rsidR="00156E77">
          <w:rPr>
            <w:noProof/>
            <w:webHidden/>
          </w:rPr>
          <w:instrText xml:space="preserve"> PAGEREF _Toc65581155 \h </w:instrText>
        </w:r>
        <w:r w:rsidR="00156E77">
          <w:rPr>
            <w:noProof/>
            <w:webHidden/>
          </w:rPr>
        </w:r>
        <w:r w:rsidR="00156E77">
          <w:rPr>
            <w:noProof/>
            <w:webHidden/>
          </w:rPr>
          <w:fldChar w:fldCharType="separate"/>
        </w:r>
        <w:r w:rsidR="00156E77">
          <w:rPr>
            <w:noProof/>
            <w:webHidden/>
          </w:rPr>
          <w:t>7</w:t>
        </w:r>
        <w:r w:rsidR="00156E77">
          <w:rPr>
            <w:noProof/>
            <w:webHidden/>
          </w:rPr>
          <w:fldChar w:fldCharType="end"/>
        </w:r>
      </w:hyperlink>
    </w:p>
    <w:p w14:paraId="5306B314" w14:textId="2AEED72A"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56" w:history="1">
        <w:r w:rsidR="00156E77" w:rsidRPr="001C7C6E">
          <w:rPr>
            <w:rStyle w:val="Hyperlink"/>
            <w:noProof/>
          </w:rPr>
          <w:t>Employment situation of persons with a disability in Ireland</w:t>
        </w:r>
        <w:r w:rsidR="00156E77">
          <w:rPr>
            <w:noProof/>
            <w:webHidden/>
          </w:rPr>
          <w:tab/>
        </w:r>
        <w:r w:rsidR="00156E77">
          <w:rPr>
            <w:noProof/>
            <w:webHidden/>
          </w:rPr>
          <w:fldChar w:fldCharType="begin"/>
        </w:r>
        <w:r w:rsidR="00156E77">
          <w:rPr>
            <w:noProof/>
            <w:webHidden/>
          </w:rPr>
          <w:instrText xml:space="preserve"> PAGEREF _Toc65581156 \h </w:instrText>
        </w:r>
        <w:r w:rsidR="00156E77">
          <w:rPr>
            <w:noProof/>
            <w:webHidden/>
          </w:rPr>
        </w:r>
        <w:r w:rsidR="00156E77">
          <w:rPr>
            <w:noProof/>
            <w:webHidden/>
          </w:rPr>
          <w:fldChar w:fldCharType="separate"/>
        </w:r>
        <w:r w:rsidR="00156E77">
          <w:rPr>
            <w:noProof/>
            <w:webHidden/>
          </w:rPr>
          <w:t>8</w:t>
        </w:r>
        <w:r w:rsidR="00156E77">
          <w:rPr>
            <w:noProof/>
            <w:webHidden/>
          </w:rPr>
          <w:fldChar w:fldCharType="end"/>
        </w:r>
      </w:hyperlink>
    </w:p>
    <w:p w14:paraId="4310D5EA" w14:textId="247B9834"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57" w:history="1">
        <w:r w:rsidR="00156E77" w:rsidRPr="001C7C6E">
          <w:rPr>
            <w:rStyle w:val="Hyperlink"/>
            <w:noProof/>
          </w:rPr>
          <w:t>Labour Force Participation &amp; Unemployment Rates</w:t>
        </w:r>
        <w:r w:rsidR="00156E77">
          <w:rPr>
            <w:noProof/>
            <w:webHidden/>
          </w:rPr>
          <w:tab/>
        </w:r>
        <w:r w:rsidR="00156E77">
          <w:rPr>
            <w:noProof/>
            <w:webHidden/>
          </w:rPr>
          <w:fldChar w:fldCharType="begin"/>
        </w:r>
        <w:r w:rsidR="00156E77">
          <w:rPr>
            <w:noProof/>
            <w:webHidden/>
          </w:rPr>
          <w:instrText xml:space="preserve"> PAGEREF _Toc65581157 \h </w:instrText>
        </w:r>
        <w:r w:rsidR="00156E77">
          <w:rPr>
            <w:noProof/>
            <w:webHidden/>
          </w:rPr>
        </w:r>
        <w:r w:rsidR="00156E77">
          <w:rPr>
            <w:noProof/>
            <w:webHidden/>
          </w:rPr>
          <w:fldChar w:fldCharType="separate"/>
        </w:r>
        <w:r w:rsidR="00156E77">
          <w:rPr>
            <w:noProof/>
            <w:webHidden/>
          </w:rPr>
          <w:t>8</w:t>
        </w:r>
        <w:r w:rsidR="00156E77">
          <w:rPr>
            <w:noProof/>
            <w:webHidden/>
          </w:rPr>
          <w:fldChar w:fldCharType="end"/>
        </w:r>
      </w:hyperlink>
    </w:p>
    <w:p w14:paraId="77EB4F11" w14:textId="1982F78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58" w:history="1">
        <w:r w:rsidR="00156E77" w:rsidRPr="001C7C6E">
          <w:rPr>
            <w:rStyle w:val="Hyperlink"/>
            <w:noProof/>
          </w:rPr>
          <w:t>Employment Rates and Gender</w:t>
        </w:r>
        <w:r w:rsidR="00156E77">
          <w:rPr>
            <w:noProof/>
            <w:webHidden/>
          </w:rPr>
          <w:tab/>
        </w:r>
        <w:r w:rsidR="00156E77">
          <w:rPr>
            <w:noProof/>
            <w:webHidden/>
          </w:rPr>
          <w:fldChar w:fldCharType="begin"/>
        </w:r>
        <w:r w:rsidR="00156E77">
          <w:rPr>
            <w:noProof/>
            <w:webHidden/>
          </w:rPr>
          <w:instrText xml:space="preserve"> PAGEREF _Toc65581158 \h </w:instrText>
        </w:r>
        <w:r w:rsidR="00156E77">
          <w:rPr>
            <w:noProof/>
            <w:webHidden/>
          </w:rPr>
        </w:r>
        <w:r w:rsidR="00156E77">
          <w:rPr>
            <w:noProof/>
            <w:webHidden/>
          </w:rPr>
          <w:fldChar w:fldCharType="separate"/>
        </w:r>
        <w:r w:rsidR="00156E77">
          <w:rPr>
            <w:noProof/>
            <w:webHidden/>
          </w:rPr>
          <w:t>10</w:t>
        </w:r>
        <w:r w:rsidR="00156E77">
          <w:rPr>
            <w:noProof/>
            <w:webHidden/>
          </w:rPr>
          <w:fldChar w:fldCharType="end"/>
        </w:r>
      </w:hyperlink>
    </w:p>
    <w:p w14:paraId="19452FF2" w14:textId="0107BA66"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59" w:history="1">
        <w:r w:rsidR="00156E77" w:rsidRPr="001C7C6E">
          <w:rPr>
            <w:rStyle w:val="Hyperlink"/>
            <w:noProof/>
          </w:rPr>
          <w:t>Employment &amp; Unemployment Rates and Disability Type</w:t>
        </w:r>
        <w:r w:rsidR="00156E77">
          <w:rPr>
            <w:noProof/>
            <w:webHidden/>
          </w:rPr>
          <w:tab/>
        </w:r>
        <w:r w:rsidR="00156E77">
          <w:rPr>
            <w:noProof/>
            <w:webHidden/>
          </w:rPr>
          <w:fldChar w:fldCharType="begin"/>
        </w:r>
        <w:r w:rsidR="00156E77">
          <w:rPr>
            <w:noProof/>
            <w:webHidden/>
          </w:rPr>
          <w:instrText xml:space="preserve"> PAGEREF _Toc65581159 \h </w:instrText>
        </w:r>
        <w:r w:rsidR="00156E77">
          <w:rPr>
            <w:noProof/>
            <w:webHidden/>
          </w:rPr>
        </w:r>
        <w:r w:rsidR="00156E77">
          <w:rPr>
            <w:noProof/>
            <w:webHidden/>
          </w:rPr>
          <w:fldChar w:fldCharType="separate"/>
        </w:r>
        <w:r w:rsidR="00156E77">
          <w:rPr>
            <w:noProof/>
            <w:webHidden/>
          </w:rPr>
          <w:t>10</w:t>
        </w:r>
        <w:r w:rsidR="00156E77">
          <w:rPr>
            <w:noProof/>
            <w:webHidden/>
          </w:rPr>
          <w:fldChar w:fldCharType="end"/>
        </w:r>
      </w:hyperlink>
    </w:p>
    <w:p w14:paraId="0E4D18A1" w14:textId="0AF8767F"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0" w:history="1">
        <w:r w:rsidR="00156E77" w:rsidRPr="001C7C6E">
          <w:rPr>
            <w:rStyle w:val="Hyperlink"/>
            <w:noProof/>
          </w:rPr>
          <w:t>Not in Education, Employment, or Training (NEETS)</w:t>
        </w:r>
        <w:r w:rsidR="00156E77">
          <w:rPr>
            <w:noProof/>
            <w:webHidden/>
          </w:rPr>
          <w:tab/>
        </w:r>
        <w:r w:rsidR="00156E77">
          <w:rPr>
            <w:noProof/>
            <w:webHidden/>
          </w:rPr>
          <w:fldChar w:fldCharType="begin"/>
        </w:r>
        <w:r w:rsidR="00156E77">
          <w:rPr>
            <w:noProof/>
            <w:webHidden/>
          </w:rPr>
          <w:instrText xml:space="preserve"> PAGEREF _Toc65581160 \h </w:instrText>
        </w:r>
        <w:r w:rsidR="00156E77">
          <w:rPr>
            <w:noProof/>
            <w:webHidden/>
          </w:rPr>
        </w:r>
        <w:r w:rsidR="00156E77">
          <w:rPr>
            <w:noProof/>
            <w:webHidden/>
          </w:rPr>
          <w:fldChar w:fldCharType="separate"/>
        </w:r>
        <w:r w:rsidR="00156E77">
          <w:rPr>
            <w:noProof/>
            <w:webHidden/>
          </w:rPr>
          <w:t>13</w:t>
        </w:r>
        <w:r w:rsidR="00156E77">
          <w:rPr>
            <w:noProof/>
            <w:webHidden/>
          </w:rPr>
          <w:fldChar w:fldCharType="end"/>
        </w:r>
      </w:hyperlink>
    </w:p>
    <w:p w14:paraId="3EB6976E" w14:textId="31CB5D76"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1" w:history="1">
        <w:r w:rsidR="00156E77" w:rsidRPr="001C7C6E">
          <w:rPr>
            <w:rStyle w:val="Hyperlink"/>
            <w:noProof/>
          </w:rPr>
          <w:t>Occupations and Disability</w:t>
        </w:r>
        <w:r w:rsidR="00156E77">
          <w:rPr>
            <w:noProof/>
            <w:webHidden/>
          </w:rPr>
          <w:tab/>
        </w:r>
        <w:r w:rsidR="00156E77">
          <w:rPr>
            <w:noProof/>
            <w:webHidden/>
          </w:rPr>
          <w:fldChar w:fldCharType="begin"/>
        </w:r>
        <w:r w:rsidR="00156E77">
          <w:rPr>
            <w:noProof/>
            <w:webHidden/>
          </w:rPr>
          <w:instrText xml:space="preserve"> PAGEREF _Toc65581161 \h </w:instrText>
        </w:r>
        <w:r w:rsidR="00156E77">
          <w:rPr>
            <w:noProof/>
            <w:webHidden/>
          </w:rPr>
        </w:r>
        <w:r w:rsidR="00156E77">
          <w:rPr>
            <w:noProof/>
            <w:webHidden/>
          </w:rPr>
          <w:fldChar w:fldCharType="separate"/>
        </w:r>
        <w:r w:rsidR="00156E77">
          <w:rPr>
            <w:noProof/>
            <w:webHidden/>
          </w:rPr>
          <w:t>14</w:t>
        </w:r>
        <w:r w:rsidR="00156E77">
          <w:rPr>
            <w:noProof/>
            <w:webHidden/>
          </w:rPr>
          <w:fldChar w:fldCharType="end"/>
        </w:r>
      </w:hyperlink>
    </w:p>
    <w:p w14:paraId="7DDC209D" w14:textId="05807CFC"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62" w:history="1">
        <w:r w:rsidR="00156E77" w:rsidRPr="001C7C6E">
          <w:rPr>
            <w:rStyle w:val="Hyperlink"/>
            <w:noProof/>
          </w:rPr>
          <w:t>Legislation</w:t>
        </w:r>
        <w:r w:rsidR="00156E77">
          <w:rPr>
            <w:noProof/>
            <w:webHidden/>
          </w:rPr>
          <w:tab/>
        </w:r>
        <w:r w:rsidR="00156E77">
          <w:rPr>
            <w:noProof/>
            <w:webHidden/>
          </w:rPr>
          <w:fldChar w:fldCharType="begin"/>
        </w:r>
        <w:r w:rsidR="00156E77">
          <w:rPr>
            <w:noProof/>
            <w:webHidden/>
          </w:rPr>
          <w:instrText xml:space="preserve"> PAGEREF _Toc65581162 \h </w:instrText>
        </w:r>
        <w:r w:rsidR="00156E77">
          <w:rPr>
            <w:noProof/>
            <w:webHidden/>
          </w:rPr>
        </w:r>
        <w:r w:rsidR="00156E77">
          <w:rPr>
            <w:noProof/>
            <w:webHidden/>
          </w:rPr>
          <w:fldChar w:fldCharType="separate"/>
        </w:r>
        <w:r w:rsidR="00156E77">
          <w:rPr>
            <w:noProof/>
            <w:webHidden/>
          </w:rPr>
          <w:t>15</w:t>
        </w:r>
        <w:r w:rsidR="00156E77">
          <w:rPr>
            <w:noProof/>
            <w:webHidden/>
          </w:rPr>
          <w:fldChar w:fldCharType="end"/>
        </w:r>
      </w:hyperlink>
    </w:p>
    <w:p w14:paraId="00DC1615" w14:textId="36AA531F"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3" w:history="1">
        <w:r w:rsidR="00156E77" w:rsidRPr="001C7C6E">
          <w:rPr>
            <w:rStyle w:val="Hyperlink"/>
            <w:noProof/>
          </w:rPr>
          <w:t>Employment Equality Acts 1998-2015</w:t>
        </w:r>
        <w:r w:rsidR="00156E77">
          <w:rPr>
            <w:noProof/>
            <w:webHidden/>
          </w:rPr>
          <w:tab/>
        </w:r>
        <w:r w:rsidR="00156E77">
          <w:rPr>
            <w:noProof/>
            <w:webHidden/>
          </w:rPr>
          <w:fldChar w:fldCharType="begin"/>
        </w:r>
        <w:r w:rsidR="00156E77">
          <w:rPr>
            <w:noProof/>
            <w:webHidden/>
          </w:rPr>
          <w:instrText xml:space="preserve"> PAGEREF _Toc65581163 \h </w:instrText>
        </w:r>
        <w:r w:rsidR="00156E77">
          <w:rPr>
            <w:noProof/>
            <w:webHidden/>
          </w:rPr>
        </w:r>
        <w:r w:rsidR="00156E77">
          <w:rPr>
            <w:noProof/>
            <w:webHidden/>
          </w:rPr>
          <w:fldChar w:fldCharType="separate"/>
        </w:r>
        <w:r w:rsidR="00156E77">
          <w:rPr>
            <w:noProof/>
            <w:webHidden/>
          </w:rPr>
          <w:t>15</w:t>
        </w:r>
        <w:r w:rsidR="00156E77">
          <w:rPr>
            <w:noProof/>
            <w:webHidden/>
          </w:rPr>
          <w:fldChar w:fldCharType="end"/>
        </w:r>
      </w:hyperlink>
    </w:p>
    <w:p w14:paraId="1647DE9A" w14:textId="6C27ACC7"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4" w:history="1">
        <w:r w:rsidR="00156E77" w:rsidRPr="001C7C6E">
          <w:rPr>
            <w:rStyle w:val="Hyperlink"/>
            <w:noProof/>
          </w:rPr>
          <w:t>Disability Act 2005</w:t>
        </w:r>
        <w:r w:rsidR="00156E77">
          <w:rPr>
            <w:noProof/>
            <w:webHidden/>
          </w:rPr>
          <w:tab/>
        </w:r>
        <w:r w:rsidR="00156E77">
          <w:rPr>
            <w:noProof/>
            <w:webHidden/>
          </w:rPr>
          <w:fldChar w:fldCharType="begin"/>
        </w:r>
        <w:r w:rsidR="00156E77">
          <w:rPr>
            <w:noProof/>
            <w:webHidden/>
          </w:rPr>
          <w:instrText xml:space="preserve"> PAGEREF _Toc65581164 \h </w:instrText>
        </w:r>
        <w:r w:rsidR="00156E77">
          <w:rPr>
            <w:noProof/>
            <w:webHidden/>
          </w:rPr>
        </w:r>
        <w:r w:rsidR="00156E77">
          <w:rPr>
            <w:noProof/>
            <w:webHidden/>
          </w:rPr>
          <w:fldChar w:fldCharType="separate"/>
        </w:r>
        <w:r w:rsidR="00156E77">
          <w:rPr>
            <w:noProof/>
            <w:webHidden/>
          </w:rPr>
          <w:t>18</w:t>
        </w:r>
        <w:r w:rsidR="00156E77">
          <w:rPr>
            <w:noProof/>
            <w:webHidden/>
          </w:rPr>
          <w:fldChar w:fldCharType="end"/>
        </w:r>
      </w:hyperlink>
    </w:p>
    <w:p w14:paraId="5E336B8C" w14:textId="47CCB2D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5" w:history="1">
        <w:r w:rsidR="00156E77" w:rsidRPr="001C7C6E">
          <w:rPr>
            <w:rStyle w:val="Hyperlink"/>
            <w:noProof/>
          </w:rPr>
          <w:t>Codes of Practice</w:t>
        </w:r>
        <w:r w:rsidR="00156E77">
          <w:rPr>
            <w:noProof/>
            <w:webHidden/>
          </w:rPr>
          <w:tab/>
        </w:r>
        <w:r w:rsidR="00156E77">
          <w:rPr>
            <w:noProof/>
            <w:webHidden/>
          </w:rPr>
          <w:fldChar w:fldCharType="begin"/>
        </w:r>
        <w:r w:rsidR="00156E77">
          <w:rPr>
            <w:noProof/>
            <w:webHidden/>
          </w:rPr>
          <w:instrText xml:space="preserve"> PAGEREF _Toc65581165 \h </w:instrText>
        </w:r>
        <w:r w:rsidR="00156E77">
          <w:rPr>
            <w:noProof/>
            <w:webHidden/>
          </w:rPr>
        </w:r>
        <w:r w:rsidR="00156E77">
          <w:rPr>
            <w:noProof/>
            <w:webHidden/>
          </w:rPr>
          <w:fldChar w:fldCharType="separate"/>
        </w:r>
        <w:r w:rsidR="00156E77">
          <w:rPr>
            <w:noProof/>
            <w:webHidden/>
          </w:rPr>
          <w:t>18</w:t>
        </w:r>
        <w:r w:rsidR="00156E77">
          <w:rPr>
            <w:noProof/>
            <w:webHidden/>
          </w:rPr>
          <w:fldChar w:fldCharType="end"/>
        </w:r>
      </w:hyperlink>
    </w:p>
    <w:p w14:paraId="75B1C8A3" w14:textId="5FF045C6"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66" w:history="1">
        <w:r w:rsidR="00156E77" w:rsidRPr="001C7C6E">
          <w:rPr>
            <w:rStyle w:val="Hyperlink"/>
            <w:noProof/>
          </w:rPr>
          <w:t>Policies</w:t>
        </w:r>
        <w:r w:rsidR="00156E77">
          <w:rPr>
            <w:noProof/>
            <w:webHidden/>
          </w:rPr>
          <w:tab/>
        </w:r>
        <w:r w:rsidR="00156E77">
          <w:rPr>
            <w:noProof/>
            <w:webHidden/>
          </w:rPr>
          <w:fldChar w:fldCharType="begin"/>
        </w:r>
        <w:r w:rsidR="00156E77">
          <w:rPr>
            <w:noProof/>
            <w:webHidden/>
          </w:rPr>
          <w:instrText xml:space="preserve"> PAGEREF _Toc65581166 \h </w:instrText>
        </w:r>
        <w:r w:rsidR="00156E77">
          <w:rPr>
            <w:noProof/>
            <w:webHidden/>
          </w:rPr>
        </w:r>
        <w:r w:rsidR="00156E77">
          <w:rPr>
            <w:noProof/>
            <w:webHidden/>
          </w:rPr>
          <w:fldChar w:fldCharType="separate"/>
        </w:r>
        <w:r w:rsidR="00156E77">
          <w:rPr>
            <w:noProof/>
            <w:webHidden/>
          </w:rPr>
          <w:t>19</w:t>
        </w:r>
        <w:r w:rsidR="00156E77">
          <w:rPr>
            <w:noProof/>
            <w:webHidden/>
          </w:rPr>
          <w:fldChar w:fldCharType="end"/>
        </w:r>
      </w:hyperlink>
    </w:p>
    <w:p w14:paraId="406B1797" w14:textId="2F0CE21B"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7" w:history="1">
        <w:r w:rsidR="00156E77" w:rsidRPr="001C7C6E">
          <w:rPr>
            <w:rStyle w:val="Hyperlink"/>
            <w:noProof/>
          </w:rPr>
          <w:t>Comprehensive Employment Strategy for People with Disabilities 2015-2024</w:t>
        </w:r>
        <w:r w:rsidR="00156E77">
          <w:rPr>
            <w:noProof/>
            <w:webHidden/>
          </w:rPr>
          <w:tab/>
        </w:r>
        <w:r w:rsidR="00156E77">
          <w:rPr>
            <w:noProof/>
            <w:webHidden/>
          </w:rPr>
          <w:fldChar w:fldCharType="begin"/>
        </w:r>
        <w:r w:rsidR="00156E77">
          <w:rPr>
            <w:noProof/>
            <w:webHidden/>
          </w:rPr>
          <w:instrText xml:space="preserve"> PAGEREF _Toc65581167 \h </w:instrText>
        </w:r>
        <w:r w:rsidR="00156E77">
          <w:rPr>
            <w:noProof/>
            <w:webHidden/>
          </w:rPr>
        </w:r>
        <w:r w:rsidR="00156E77">
          <w:rPr>
            <w:noProof/>
            <w:webHidden/>
          </w:rPr>
          <w:fldChar w:fldCharType="separate"/>
        </w:r>
        <w:r w:rsidR="00156E77">
          <w:rPr>
            <w:noProof/>
            <w:webHidden/>
          </w:rPr>
          <w:t>19</w:t>
        </w:r>
        <w:r w:rsidR="00156E77">
          <w:rPr>
            <w:noProof/>
            <w:webHidden/>
          </w:rPr>
          <w:fldChar w:fldCharType="end"/>
        </w:r>
      </w:hyperlink>
    </w:p>
    <w:p w14:paraId="6774D7CA" w14:textId="151377CF"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68" w:history="1">
        <w:r w:rsidR="00156E77" w:rsidRPr="001C7C6E">
          <w:rPr>
            <w:rStyle w:val="Hyperlink"/>
            <w:noProof/>
          </w:rPr>
          <w:t>Other policies</w:t>
        </w:r>
        <w:r w:rsidR="00156E77">
          <w:rPr>
            <w:noProof/>
            <w:webHidden/>
          </w:rPr>
          <w:tab/>
        </w:r>
        <w:r w:rsidR="00156E77">
          <w:rPr>
            <w:noProof/>
            <w:webHidden/>
          </w:rPr>
          <w:fldChar w:fldCharType="begin"/>
        </w:r>
        <w:r w:rsidR="00156E77">
          <w:rPr>
            <w:noProof/>
            <w:webHidden/>
          </w:rPr>
          <w:instrText xml:space="preserve"> PAGEREF _Toc65581168 \h </w:instrText>
        </w:r>
        <w:r w:rsidR="00156E77">
          <w:rPr>
            <w:noProof/>
            <w:webHidden/>
          </w:rPr>
        </w:r>
        <w:r w:rsidR="00156E77">
          <w:rPr>
            <w:noProof/>
            <w:webHidden/>
          </w:rPr>
          <w:fldChar w:fldCharType="separate"/>
        </w:r>
        <w:r w:rsidR="00156E77">
          <w:rPr>
            <w:noProof/>
            <w:webHidden/>
          </w:rPr>
          <w:t>22</w:t>
        </w:r>
        <w:r w:rsidR="00156E77">
          <w:rPr>
            <w:noProof/>
            <w:webHidden/>
          </w:rPr>
          <w:fldChar w:fldCharType="end"/>
        </w:r>
      </w:hyperlink>
    </w:p>
    <w:p w14:paraId="08875BB8" w14:textId="51402F6F"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69" w:history="1">
        <w:r w:rsidR="00156E77" w:rsidRPr="001C7C6E">
          <w:rPr>
            <w:rStyle w:val="Hyperlink"/>
            <w:noProof/>
          </w:rPr>
          <w:t>Mainstream &amp; Specialist Programmes and Services</w:t>
        </w:r>
        <w:r w:rsidR="00156E77">
          <w:rPr>
            <w:noProof/>
            <w:webHidden/>
          </w:rPr>
          <w:tab/>
        </w:r>
        <w:r w:rsidR="00156E77">
          <w:rPr>
            <w:noProof/>
            <w:webHidden/>
          </w:rPr>
          <w:fldChar w:fldCharType="begin"/>
        </w:r>
        <w:r w:rsidR="00156E77">
          <w:rPr>
            <w:noProof/>
            <w:webHidden/>
          </w:rPr>
          <w:instrText xml:space="preserve"> PAGEREF _Toc65581169 \h </w:instrText>
        </w:r>
        <w:r w:rsidR="00156E77">
          <w:rPr>
            <w:noProof/>
            <w:webHidden/>
          </w:rPr>
        </w:r>
        <w:r w:rsidR="00156E77">
          <w:rPr>
            <w:noProof/>
            <w:webHidden/>
          </w:rPr>
          <w:fldChar w:fldCharType="separate"/>
        </w:r>
        <w:r w:rsidR="00156E77">
          <w:rPr>
            <w:noProof/>
            <w:webHidden/>
          </w:rPr>
          <w:t>25</w:t>
        </w:r>
        <w:r w:rsidR="00156E77">
          <w:rPr>
            <w:noProof/>
            <w:webHidden/>
          </w:rPr>
          <w:fldChar w:fldCharType="end"/>
        </w:r>
      </w:hyperlink>
    </w:p>
    <w:p w14:paraId="4BD65492" w14:textId="074D9432"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0" w:history="1">
        <w:r w:rsidR="00156E77" w:rsidRPr="001C7C6E">
          <w:rPr>
            <w:rStyle w:val="Hyperlink"/>
            <w:noProof/>
          </w:rPr>
          <w:t>Mainstream employment programmes</w:t>
        </w:r>
        <w:r w:rsidR="00156E77">
          <w:rPr>
            <w:noProof/>
            <w:webHidden/>
          </w:rPr>
          <w:tab/>
        </w:r>
        <w:r w:rsidR="00156E77">
          <w:rPr>
            <w:noProof/>
            <w:webHidden/>
          </w:rPr>
          <w:fldChar w:fldCharType="begin"/>
        </w:r>
        <w:r w:rsidR="00156E77">
          <w:rPr>
            <w:noProof/>
            <w:webHidden/>
          </w:rPr>
          <w:instrText xml:space="preserve"> PAGEREF _Toc65581170 \h </w:instrText>
        </w:r>
        <w:r w:rsidR="00156E77">
          <w:rPr>
            <w:noProof/>
            <w:webHidden/>
          </w:rPr>
        </w:r>
        <w:r w:rsidR="00156E77">
          <w:rPr>
            <w:noProof/>
            <w:webHidden/>
          </w:rPr>
          <w:fldChar w:fldCharType="separate"/>
        </w:r>
        <w:r w:rsidR="00156E77">
          <w:rPr>
            <w:noProof/>
            <w:webHidden/>
          </w:rPr>
          <w:t>25</w:t>
        </w:r>
        <w:r w:rsidR="00156E77">
          <w:rPr>
            <w:noProof/>
            <w:webHidden/>
          </w:rPr>
          <w:fldChar w:fldCharType="end"/>
        </w:r>
      </w:hyperlink>
    </w:p>
    <w:p w14:paraId="78773DC0" w14:textId="6B152E94"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1" w:history="1">
        <w:r w:rsidR="00156E77" w:rsidRPr="001C7C6E">
          <w:rPr>
            <w:rStyle w:val="Hyperlink"/>
            <w:noProof/>
          </w:rPr>
          <w:t>EmployAbility programme</w:t>
        </w:r>
        <w:r w:rsidR="00156E77">
          <w:rPr>
            <w:noProof/>
            <w:webHidden/>
          </w:rPr>
          <w:tab/>
        </w:r>
        <w:r w:rsidR="00156E77">
          <w:rPr>
            <w:noProof/>
            <w:webHidden/>
          </w:rPr>
          <w:fldChar w:fldCharType="begin"/>
        </w:r>
        <w:r w:rsidR="00156E77">
          <w:rPr>
            <w:noProof/>
            <w:webHidden/>
          </w:rPr>
          <w:instrText xml:space="preserve"> PAGEREF _Toc65581171 \h </w:instrText>
        </w:r>
        <w:r w:rsidR="00156E77">
          <w:rPr>
            <w:noProof/>
            <w:webHidden/>
          </w:rPr>
        </w:r>
        <w:r w:rsidR="00156E77">
          <w:rPr>
            <w:noProof/>
            <w:webHidden/>
          </w:rPr>
          <w:fldChar w:fldCharType="separate"/>
        </w:r>
        <w:r w:rsidR="00156E77">
          <w:rPr>
            <w:noProof/>
            <w:webHidden/>
          </w:rPr>
          <w:t>26</w:t>
        </w:r>
        <w:r w:rsidR="00156E77">
          <w:rPr>
            <w:noProof/>
            <w:webHidden/>
          </w:rPr>
          <w:fldChar w:fldCharType="end"/>
        </w:r>
      </w:hyperlink>
    </w:p>
    <w:p w14:paraId="1188F15A" w14:textId="5DAAB0F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2" w:history="1">
        <w:r w:rsidR="00156E77" w:rsidRPr="001C7C6E">
          <w:rPr>
            <w:rStyle w:val="Hyperlink"/>
            <w:noProof/>
          </w:rPr>
          <w:t>Ability programme</w:t>
        </w:r>
        <w:r w:rsidR="00156E77">
          <w:rPr>
            <w:noProof/>
            <w:webHidden/>
          </w:rPr>
          <w:tab/>
        </w:r>
        <w:r w:rsidR="00156E77">
          <w:rPr>
            <w:noProof/>
            <w:webHidden/>
          </w:rPr>
          <w:fldChar w:fldCharType="begin"/>
        </w:r>
        <w:r w:rsidR="00156E77">
          <w:rPr>
            <w:noProof/>
            <w:webHidden/>
          </w:rPr>
          <w:instrText xml:space="preserve"> PAGEREF _Toc65581172 \h </w:instrText>
        </w:r>
        <w:r w:rsidR="00156E77">
          <w:rPr>
            <w:noProof/>
            <w:webHidden/>
          </w:rPr>
        </w:r>
        <w:r w:rsidR="00156E77">
          <w:rPr>
            <w:noProof/>
            <w:webHidden/>
          </w:rPr>
          <w:fldChar w:fldCharType="separate"/>
        </w:r>
        <w:r w:rsidR="00156E77">
          <w:rPr>
            <w:noProof/>
            <w:webHidden/>
          </w:rPr>
          <w:t>28</w:t>
        </w:r>
        <w:r w:rsidR="00156E77">
          <w:rPr>
            <w:noProof/>
            <w:webHidden/>
          </w:rPr>
          <w:fldChar w:fldCharType="end"/>
        </w:r>
      </w:hyperlink>
    </w:p>
    <w:p w14:paraId="4D9FD440" w14:textId="7B56A4F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3" w:history="1">
        <w:r w:rsidR="00156E77" w:rsidRPr="001C7C6E">
          <w:rPr>
            <w:rStyle w:val="Hyperlink"/>
            <w:noProof/>
          </w:rPr>
          <w:t>Willing Able Mentoring programme</w:t>
        </w:r>
        <w:r w:rsidR="00156E77">
          <w:rPr>
            <w:noProof/>
            <w:webHidden/>
          </w:rPr>
          <w:tab/>
        </w:r>
        <w:r w:rsidR="00156E77">
          <w:rPr>
            <w:noProof/>
            <w:webHidden/>
          </w:rPr>
          <w:fldChar w:fldCharType="begin"/>
        </w:r>
        <w:r w:rsidR="00156E77">
          <w:rPr>
            <w:noProof/>
            <w:webHidden/>
          </w:rPr>
          <w:instrText xml:space="preserve"> PAGEREF _Toc65581173 \h </w:instrText>
        </w:r>
        <w:r w:rsidR="00156E77">
          <w:rPr>
            <w:noProof/>
            <w:webHidden/>
          </w:rPr>
        </w:r>
        <w:r w:rsidR="00156E77">
          <w:rPr>
            <w:noProof/>
            <w:webHidden/>
          </w:rPr>
          <w:fldChar w:fldCharType="separate"/>
        </w:r>
        <w:r w:rsidR="00156E77">
          <w:rPr>
            <w:noProof/>
            <w:webHidden/>
          </w:rPr>
          <w:t>29</w:t>
        </w:r>
        <w:r w:rsidR="00156E77">
          <w:rPr>
            <w:noProof/>
            <w:webHidden/>
          </w:rPr>
          <w:fldChar w:fldCharType="end"/>
        </w:r>
      </w:hyperlink>
    </w:p>
    <w:p w14:paraId="079E6AD4" w14:textId="6F5F5704"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4" w:history="1">
        <w:r w:rsidR="00156E77" w:rsidRPr="001C7C6E">
          <w:rPr>
            <w:rStyle w:val="Hyperlink"/>
            <w:noProof/>
          </w:rPr>
          <w:t>OWL programme</w:t>
        </w:r>
        <w:r w:rsidR="00156E77">
          <w:rPr>
            <w:noProof/>
            <w:webHidden/>
          </w:rPr>
          <w:tab/>
        </w:r>
        <w:r w:rsidR="00156E77">
          <w:rPr>
            <w:noProof/>
            <w:webHidden/>
          </w:rPr>
          <w:fldChar w:fldCharType="begin"/>
        </w:r>
        <w:r w:rsidR="00156E77">
          <w:rPr>
            <w:noProof/>
            <w:webHidden/>
          </w:rPr>
          <w:instrText xml:space="preserve"> PAGEREF _Toc65581174 \h </w:instrText>
        </w:r>
        <w:r w:rsidR="00156E77">
          <w:rPr>
            <w:noProof/>
            <w:webHidden/>
          </w:rPr>
        </w:r>
        <w:r w:rsidR="00156E77">
          <w:rPr>
            <w:noProof/>
            <w:webHidden/>
          </w:rPr>
          <w:fldChar w:fldCharType="separate"/>
        </w:r>
        <w:r w:rsidR="00156E77">
          <w:rPr>
            <w:noProof/>
            <w:webHidden/>
          </w:rPr>
          <w:t>30</w:t>
        </w:r>
        <w:r w:rsidR="00156E77">
          <w:rPr>
            <w:noProof/>
            <w:webHidden/>
          </w:rPr>
          <w:fldChar w:fldCharType="end"/>
        </w:r>
      </w:hyperlink>
    </w:p>
    <w:p w14:paraId="6374F6BE" w14:textId="7CC9A4BC"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5" w:history="1">
        <w:r w:rsidR="00156E77" w:rsidRPr="001C7C6E">
          <w:rPr>
            <w:rStyle w:val="Hyperlink"/>
            <w:noProof/>
          </w:rPr>
          <w:t>Individual Placement Service (IPS)</w:t>
        </w:r>
        <w:r w:rsidR="00156E77">
          <w:rPr>
            <w:noProof/>
            <w:webHidden/>
          </w:rPr>
          <w:tab/>
        </w:r>
        <w:r w:rsidR="00156E77">
          <w:rPr>
            <w:noProof/>
            <w:webHidden/>
          </w:rPr>
          <w:fldChar w:fldCharType="begin"/>
        </w:r>
        <w:r w:rsidR="00156E77">
          <w:rPr>
            <w:noProof/>
            <w:webHidden/>
          </w:rPr>
          <w:instrText xml:space="preserve"> PAGEREF _Toc65581175 \h </w:instrText>
        </w:r>
        <w:r w:rsidR="00156E77">
          <w:rPr>
            <w:noProof/>
            <w:webHidden/>
          </w:rPr>
        </w:r>
        <w:r w:rsidR="00156E77">
          <w:rPr>
            <w:noProof/>
            <w:webHidden/>
          </w:rPr>
          <w:fldChar w:fldCharType="separate"/>
        </w:r>
        <w:r w:rsidR="00156E77">
          <w:rPr>
            <w:noProof/>
            <w:webHidden/>
          </w:rPr>
          <w:t>31</w:t>
        </w:r>
        <w:r w:rsidR="00156E77">
          <w:rPr>
            <w:noProof/>
            <w:webHidden/>
          </w:rPr>
          <w:fldChar w:fldCharType="end"/>
        </w:r>
      </w:hyperlink>
    </w:p>
    <w:p w14:paraId="192ACBEA" w14:textId="70275B97"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6" w:history="1">
        <w:r w:rsidR="00156E77" w:rsidRPr="001C7C6E">
          <w:rPr>
            <w:rStyle w:val="Hyperlink"/>
            <w:noProof/>
          </w:rPr>
          <w:t>Youth Employment Support Scheme</w:t>
        </w:r>
        <w:r w:rsidR="00156E77">
          <w:rPr>
            <w:noProof/>
            <w:webHidden/>
          </w:rPr>
          <w:tab/>
        </w:r>
        <w:r w:rsidR="00156E77">
          <w:rPr>
            <w:noProof/>
            <w:webHidden/>
          </w:rPr>
          <w:fldChar w:fldCharType="begin"/>
        </w:r>
        <w:r w:rsidR="00156E77">
          <w:rPr>
            <w:noProof/>
            <w:webHidden/>
          </w:rPr>
          <w:instrText xml:space="preserve"> PAGEREF _Toc65581176 \h </w:instrText>
        </w:r>
        <w:r w:rsidR="00156E77">
          <w:rPr>
            <w:noProof/>
            <w:webHidden/>
          </w:rPr>
        </w:r>
        <w:r w:rsidR="00156E77">
          <w:rPr>
            <w:noProof/>
            <w:webHidden/>
          </w:rPr>
          <w:fldChar w:fldCharType="separate"/>
        </w:r>
        <w:r w:rsidR="00156E77">
          <w:rPr>
            <w:noProof/>
            <w:webHidden/>
          </w:rPr>
          <w:t>31</w:t>
        </w:r>
        <w:r w:rsidR="00156E77">
          <w:rPr>
            <w:noProof/>
            <w:webHidden/>
          </w:rPr>
          <w:fldChar w:fldCharType="end"/>
        </w:r>
      </w:hyperlink>
    </w:p>
    <w:p w14:paraId="19DD9146" w14:textId="42B4F9F7"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7" w:history="1">
        <w:r w:rsidR="00156E77" w:rsidRPr="001C7C6E">
          <w:rPr>
            <w:rStyle w:val="Hyperlink"/>
            <w:noProof/>
          </w:rPr>
          <w:t>Rehabilitative Training programmes</w:t>
        </w:r>
        <w:r w:rsidR="00156E77">
          <w:rPr>
            <w:noProof/>
            <w:webHidden/>
          </w:rPr>
          <w:tab/>
        </w:r>
        <w:r w:rsidR="00156E77">
          <w:rPr>
            <w:noProof/>
            <w:webHidden/>
          </w:rPr>
          <w:fldChar w:fldCharType="begin"/>
        </w:r>
        <w:r w:rsidR="00156E77">
          <w:rPr>
            <w:noProof/>
            <w:webHidden/>
          </w:rPr>
          <w:instrText xml:space="preserve"> PAGEREF _Toc65581177 \h </w:instrText>
        </w:r>
        <w:r w:rsidR="00156E77">
          <w:rPr>
            <w:noProof/>
            <w:webHidden/>
          </w:rPr>
        </w:r>
        <w:r w:rsidR="00156E77">
          <w:rPr>
            <w:noProof/>
            <w:webHidden/>
          </w:rPr>
          <w:fldChar w:fldCharType="separate"/>
        </w:r>
        <w:r w:rsidR="00156E77">
          <w:rPr>
            <w:noProof/>
            <w:webHidden/>
          </w:rPr>
          <w:t>32</w:t>
        </w:r>
        <w:r w:rsidR="00156E77">
          <w:rPr>
            <w:noProof/>
            <w:webHidden/>
          </w:rPr>
          <w:fldChar w:fldCharType="end"/>
        </w:r>
      </w:hyperlink>
    </w:p>
    <w:p w14:paraId="641AE5EC" w14:textId="13277925"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8" w:history="1">
        <w:r w:rsidR="00156E77" w:rsidRPr="001C7C6E">
          <w:rPr>
            <w:rStyle w:val="Hyperlink"/>
            <w:noProof/>
          </w:rPr>
          <w:t>Work or work-like activity services</w:t>
        </w:r>
        <w:r w:rsidR="00156E77">
          <w:rPr>
            <w:noProof/>
            <w:webHidden/>
          </w:rPr>
          <w:tab/>
        </w:r>
        <w:r w:rsidR="00156E77">
          <w:rPr>
            <w:noProof/>
            <w:webHidden/>
          </w:rPr>
          <w:fldChar w:fldCharType="begin"/>
        </w:r>
        <w:r w:rsidR="00156E77">
          <w:rPr>
            <w:noProof/>
            <w:webHidden/>
          </w:rPr>
          <w:instrText xml:space="preserve"> PAGEREF _Toc65581178 \h </w:instrText>
        </w:r>
        <w:r w:rsidR="00156E77">
          <w:rPr>
            <w:noProof/>
            <w:webHidden/>
          </w:rPr>
        </w:r>
        <w:r w:rsidR="00156E77">
          <w:rPr>
            <w:noProof/>
            <w:webHidden/>
          </w:rPr>
          <w:fldChar w:fldCharType="separate"/>
        </w:r>
        <w:r w:rsidR="00156E77">
          <w:rPr>
            <w:noProof/>
            <w:webHidden/>
          </w:rPr>
          <w:t>33</w:t>
        </w:r>
        <w:r w:rsidR="00156E77">
          <w:rPr>
            <w:noProof/>
            <w:webHidden/>
          </w:rPr>
          <w:fldChar w:fldCharType="end"/>
        </w:r>
      </w:hyperlink>
    </w:p>
    <w:p w14:paraId="76F3711D" w14:textId="144F6155"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79" w:history="1">
        <w:r w:rsidR="00156E77" w:rsidRPr="001C7C6E">
          <w:rPr>
            <w:rStyle w:val="Hyperlink"/>
            <w:noProof/>
          </w:rPr>
          <w:t>Ability to Work Fund</w:t>
        </w:r>
        <w:r w:rsidR="00156E77">
          <w:rPr>
            <w:noProof/>
            <w:webHidden/>
          </w:rPr>
          <w:tab/>
        </w:r>
        <w:r w:rsidR="00156E77">
          <w:rPr>
            <w:noProof/>
            <w:webHidden/>
          </w:rPr>
          <w:fldChar w:fldCharType="begin"/>
        </w:r>
        <w:r w:rsidR="00156E77">
          <w:rPr>
            <w:noProof/>
            <w:webHidden/>
          </w:rPr>
          <w:instrText xml:space="preserve"> PAGEREF _Toc65581179 \h </w:instrText>
        </w:r>
        <w:r w:rsidR="00156E77">
          <w:rPr>
            <w:noProof/>
            <w:webHidden/>
          </w:rPr>
        </w:r>
        <w:r w:rsidR="00156E77">
          <w:rPr>
            <w:noProof/>
            <w:webHidden/>
          </w:rPr>
          <w:fldChar w:fldCharType="separate"/>
        </w:r>
        <w:r w:rsidR="00156E77">
          <w:rPr>
            <w:noProof/>
            <w:webHidden/>
          </w:rPr>
          <w:t>33</w:t>
        </w:r>
        <w:r w:rsidR="00156E77">
          <w:rPr>
            <w:noProof/>
            <w:webHidden/>
          </w:rPr>
          <w:fldChar w:fldCharType="end"/>
        </w:r>
      </w:hyperlink>
    </w:p>
    <w:p w14:paraId="74475254" w14:textId="774DF56D"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80" w:history="1">
        <w:r w:rsidR="00156E77" w:rsidRPr="001C7C6E">
          <w:rPr>
            <w:rStyle w:val="Hyperlink"/>
            <w:noProof/>
          </w:rPr>
          <w:t>Employer Supports</w:t>
        </w:r>
        <w:r w:rsidR="00156E77">
          <w:rPr>
            <w:noProof/>
            <w:webHidden/>
          </w:rPr>
          <w:tab/>
        </w:r>
        <w:r w:rsidR="00156E77">
          <w:rPr>
            <w:noProof/>
            <w:webHidden/>
          </w:rPr>
          <w:fldChar w:fldCharType="begin"/>
        </w:r>
        <w:r w:rsidR="00156E77">
          <w:rPr>
            <w:noProof/>
            <w:webHidden/>
          </w:rPr>
          <w:instrText xml:space="preserve"> PAGEREF _Toc65581180 \h </w:instrText>
        </w:r>
        <w:r w:rsidR="00156E77">
          <w:rPr>
            <w:noProof/>
            <w:webHidden/>
          </w:rPr>
        </w:r>
        <w:r w:rsidR="00156E77">
          <w:rPr>
            <w:noProof/>
            <w:webHidden/>
          </w:rPr>
          <w:fldChar w:fldCharType="separate"/>
        </w:r>
        <w:r w:rsidR="00156E77">
          <w:rPr>
            <w:noProof/>
            <w:webHidden/>
          </w:rPr>
          <w:t>33</w:t>
        </w:r>
        <w:r w:rsidR="00156E77">
          <w:rPr>
            <w:noProof/>
            <w:webHidden/>
          </w:rPr>
          <w:fldChar w:fldCharType="end"/>
        </w:r>
      </w:hyperlink>
    </w:p>
    <w:p w14:paraId="6F2E56D3" w14:textId="556C296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1" w:history="1">
        <w:r w:rsidR="00156E77" w:rsidRPr="001C7C6E">
          <w:rPr>
            <w:rStyle w:val="Hyperlink"/>
            <w:noProof/>
          </w:rPr>
          <w:t>Wage Subsidy Scheme</w:t>
        </w:r>
        <w:r w:rsidR="00156E77">
          <w:rPr>
            <w:noProof/>
            <w:webHidden/>
          </w:rPr>
          <w:tab/>
        </w:r>
        <w:r w:rsidR="00156E77">
          <w:rPr>
            <w:noProof/>
            <w:webHidden/>
          </w:rPr>
          <w:fldChar w:fldCharType="begin"/>
        </w:r>
        <w:r w:rsidR="00156E77">
          <w:rPr>
            <w:noProof/>
            <w:webHidden/>
          </w:rPr>
          <w:instrText xml:space="preserve"> PAGEREF _Toc65581181 \h </w:instrText>
        </w:r>
        <w:r w:rsidR="00156E77">
          <w:rPr>
            <w:noProof/>
            <w:webHidden/>
          </w:rPr>
        </w:r>
        <w:r w:rsidR="00156E77">
          <w:rPr>
            <w:noProof/>
            <w:webHidden/>
          </w:rPr>
          <w:fldChar w:fldCharType="separate"/>
        </w:r>
        <w:r w:rsidR="00156E77">
          <w:rPr>
            <w:noProof/>
            <w:webHidden/>
          </w:rPr>
          <w:t>33</w:t>
        </w:r>
        <w:r w:rsidR="00156E77">
          <w:rPr>
            <w:noProof/>
            <w:webHidden/>
          </w:rPr>
          <w:fldChar w:fldCharType="end"/>
        </w:r>
      </w:hyperlink>
    </w:p>
    <w:p w14:paraId="5FC5D5A9" w14:textId="5375532F"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2" w:history="1">
        <w:r w:rsidR="00156E77" w:rsidRPr="001C7C6E">
          <w:rPr>
            <w:rStyle w:val="Hyperlink"/>
            <w:noProof/>
          </w:rPr>
          <w:t>Reasonable Accommodation Fund</w:t>
        </w:r>
        <w:r w:rsidR="00156E77">
          <w:rPr>
            <w:noProof/>
            <w:webHidden/>
          </w:rPr>
          <w:tab/>
        </w:r>
        <w:r w:rsidR="00156E77">
          <w:rPr>
            <w:noProof/>
            <w:webHidden/>
          </w:rPr>
          <w:fldChar w:fldCharType="begin"/>
        </w:r>
        <w:r w:rsidR="00156E77">
          <w:rPr>
            <w:noProof/>
            <w:webHidden/>
          </w:rPr>
          <w:instrText xml:space="preserve"> PAGEREF _Toc65581182 \h </w:instrText>
        </w:r>
        <w:r w:rsidR="00156E77">
          <w:rPr>
            <w:noProof/>
            <w:webHidden/>
          </w:rPr>
        </w:r>
        <w:r w:rsidR="00156E77">
          <w:rPr>
            <w:noProof/>
            <w:webHidden/>
          </w:rPr>
          <w:fldChar w:fldCharType="separate"/>
        </w:r>
        <w:r w:rsidR="00156E77">
          <w:rPr>
            <w:noProof/>
            <w:webHidden/>
          </w:rPr>
          <w:t>35</w:t>
        </w:r>
        <w:r w:rsidR="00156E77">
          <w:rPr>
            <w:noProof/>
            <w:webHidden/>
          </w:rPr>
          <w:fldChar w:fldCharType="end"/>
        </w:r>
      </w:hyperlink>
    </w:p>
    <w:p w14:paraId="43A29BB9" w14:textId="3AC26B90"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3" w:history="1">
        <w:r w:rsidR="00156E77" w:rsidRPr="001C7C6E">
          <w:rPr>
            <w:rStyle w:val="Hyperlink"/>
            <w:noProof/>
          </w:rPr>
          <w:t>Disability Awareness Support Scheme</w:t>
        </w:r>
        <w:r w:rsidR="00156E77">
          <w:rPr>
            <w:noProof/>
            <w:webHidden/>
          </w:rPr>
          <w:tab/>
        </w:r>
        <w:r w:rsidR="00156E77">
          <w:rPr>
            <w:noProof/>
            <w:webHidden/>
          </w:rPr>
          <w:fldChar w:fldCharType="begin"/>
        </w:r>
        <w:r w:rsidR="00156E77">
          <w:rPr>
            <w:noProof/>
            <w:webHidden/>
          </w:rPr>
          <w:instrText xml:space="preserve"> PAGEREF _Toc65581183 \h </w:instrText>
        </w:r>
        <w:r w:rsidR="00156E77">
          <w:rPr>
            <w:noProof/>
            <w:webHidden/>
          </w:rPr>
        </w:r>
        <w:r w:rsidR="00156E77">
          <w:rPr>
            <w:noProof/>
            <w:webHidden/>
          </w:rPr>
          <w:fldChar w:fldCharType="separate"/>
        </w:r>
        <w:r w:rsidR="00156E77">
          <w:rPr>
            <w:noProof/>
            <w:webHidden/>
          </w:rPr>
          <w:t>39</w:t>
        </w:r>
        <w:r w:rsidR="00156E77">
          <w:rPr>
            <w:noProof/>
            <w:webHidden/>
          </w:rPr>
          <w:fldChar w:fldCharType="end"/>
        </w:r>
      </w:hyperlink>
    </w:p>
    <w:p w14:paraId="503CCE30" w14:textId="17E0BA3F"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4" w:history="1">
        <w:r w:rsidR="00156E77" w:rsidRPr="001C7C6E">
          <w:rPr>
            <w:rStyle w:val="Hyperlink"/>
            <w:noProof/>
          </w:rPr>
          <w:t>Employer Disability Information service</w:t>
        </w:r>
        <w:r w:rsidR="00156E77">
          <w:rPr>
            <w:noProof/>
            <w:webHidden/>
          </w:rPr>
          <w:tab/>
        </w:r>
        <w:r w:rsidR="00156E77">
          <w:rPr>
            <w:noProof/>
            <w:webHidden/>
          </w:rPr>
          <w:fldChar w:fldCharType="begin"/>
        </w:r>
        <w:r w:rsidR="00156E77">
          <w:rPr>
            <w:noProof/>
            <w:webHidden/>
          </w:rPr>
          <w:instrText xml:space="preserve"> PAGEREF _Toc65581184 \h </w:instrText>
        </w:r>
        <w:r w:rsidR="00156E77">
          <w:rPr>
            <w:noProof/>
            <w:webHidden/>
          </w:rPr>
        </w:r>
        <w:r w:rsidR="00156E77">
          <w:rPr>
            <w:noProof/>
            <w:webHidden/>
          </w:rPr>
          <w:fldChar w:fldCharType="separate"/>
        </w:r>
        <w:r w:rsidR="00156E77">
          <w:rPr>
            <w:noProof/>
            <w:webHidden/>
          </w:rPr>
          <w:t>41</w:t>
        </w:r>
        <w:r w:rsidR="00156E77">
          <w:rPr>
            <w:noProof/>
            <w:webHidden/>
          </w:rPr>
          <w:fldChar w:fldCharType="end"/>
        </w:r>
      </w:hyperlink>
    </w:p>
    <w:p w14:paraId="47BEFA4D" w14:textId="6AAAC5BC"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85" w:history="1">
        <w:r w:rsidR="00156E77" w:rsidRPr="001C7C6E">
          <w:rPr>
            <w:rStyle w:val="Hyperlink"/>
            <w:noProof/>
          </w:rPr>
          <w:t>Public and Private Sector Employment</w:t>
        </w:r>
        <w:r w:rsidR="00156E77">
          <w:rPr>
            <w:noProof/>
            <w:webHidden/>
          </w:rPr>
          <w:tab/>
        </w:r>
        <w:r w:rsidR="00156E77">
          <w:rPr>
            <w:noProof/>
            <w:webHidden/>
          </w:rPr>
          <w:fldChar w:fldCharType="begin"/>
        </w:r>
        <w:r w:rsidR="00156E77">
          <w:rPr>
            <w:noProof/>
            <w:webHidden/>
          </w:rPr>
          <w:instrText xml:space="preserve"> PAGEREF _Toc65581185 \h </w:instrText>
        </w:r>
        <w:r w:rsidR="00156E77">
          <w:rPr>
            <w:noProof/>
            <w:webHidden/>
          </w:rPr>
        </w:r>
        <w:r w:rsidR="00156E77">
          <w:rPr>
            <w:noProof/>
            <w:webHidden/>
          </w:rPr>
          <w:fldChar w:fldCharType="separate"/>
        </w:r>
        <w:r w:rsidR="00156E77">
          <w:rPr>
            <w:noProof/>
            <w:webHidden/>
          </w:rPr>
          <w:t>42</w:t>
        </w:r>
        <w:r w:rsidR="00156E77">
          <w:rPr>
            <w:noProof/>
            <w:webHidden/>
          </w:rPr>
          <w:fldChar w:fldCharType="end"/>
        </w:r>
      </w:hyperlink>
    </w:p>
    <w:p w14:paraId="04954746" w14:textId="72AEB750"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6" w:history="1">
        <w:r w:rsidR="00156E77" w:rsidRPr="001C7C6E">
          <w:rPr>
            <w:rStyle w:val="Hyperlink"/>
            <w:noProof/>
          </w:rPr>
          <w:t>Part 5 process</w:t>
        </w:r>
        <w:r w:rsidR="00156E77">
          <w:rPr>
            <w:noProof/>
            <w:webHidden/>
          </w:rPr>
          <w:tab/>
        </w:r>
        <w:r w:rsidR="00156E77">
          <w:rPr>
            <w:noProof/>
            <w:webHidden/>
          </w:rPr>
          <w:fldChar w:fldCharType="begin"/>
        </w:r>
        <w:r w:rsidR="00156E77">
          <w:rPr>
            <w:noProof/>
            <w:webHidden/>
          </w:rPr>
          <w:instrText xml:space="preserve"> PAGEREF _Toc65581186 \h </w:instrText>
        </w:r>
        <w:r w:rsidR="00156E77">
          <w:rPr>
            <w:noProof/>
            <w:webHidden/>
          </w:rPr>
        </w:r>
        <w:r w:rsidR="00156E77">
          <w:rPr>
            <w:noProof/>
            <w:webHidden/>
          </w:rPr>
          <w:fldChar w:fldCharType="separate"/>
        </w:r>
        <w:r w:rsidR="00156E77">
          <w:rPr>
            <w:noProof/>
            <w:webHidden/>
          </w:rPr>
          <w:t>42</w:t>
        </w:r>
        <w:r w:rsidR="00156E77">
          <w:rPr>
            <w:noProof/>
            <w:webHidden/>
          </w:rPr>
          <w:fldChar w:fldCharType="end"/>
        </w:r>
      </w:hyperlink>
    </w:p>
    <w:p w14:paraId="6DDC0019" w14:textId="63A71B59"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7" w:history="1">
        <w:r w:rsidR="00156E77" w:rsidRPr="001C7C6E">
          <w:rPr>
            <w:rStyle w:val="Hyperlink"/>
            <w:noProof/>
          </w:rPr>
          <w:t>Good practices in the employment of persons with disabilities in the public sector</w:t>
        </w:r>
        <w:r w:rsidR="00156E77">
          <w:rPr>
            <w:noProof/>
            <w:webHidden/>
          </w:rPr>
          <w:tab/>
        </w:r>
        <w:r w:rsidR="00156E77">
          <w:rPr>
            <w:noProof/>
            <w:webHidden/>
          </w:rPr>
          <w:fldChar w:fldCharType="begin"/>
        </w:r>
        <w:r w:rsidR="00156E77">
          <w:rPr>
            <w:noProof/>
            <w:webHidden/>
          </w:rPr>
          <w:instrText xml:space="preserve"> PAGEREF _Toc65581187 \h </w:instrText>
        </w:r>
        <w:r w:rsidR="00156E77">
          <w:rPr>
            <w:noProof/>
            <w:webHidden/>
          </w:rPr>
        </w:r>
        <w:r w:rsidR="00156E77">
          <w:rPr>
            <w:noProof/>
            <w:webHidden/>
          </w:rPr>
          <w:fldChar w:fldCharType="separate"/>
        </w:r>
        <w:r w:rsidR="00156E77">
          <w:rPr>
            <w:noProof/>
            <w:webHidden/>
          </w:rPr>
          <w:t>44</w:t>
        </w:r>
        <w:r w:rsidR="00156E77">
          <w:rPr>
            <w:noProof/>
            <w:webHidden/>
          </w:rPr>
          <w:fldChar w:fldCharType="end"/>
        </w:r>
      </w:hyperlink>
    </w:p>
    <w:p w14:paraId="2BFCBDB6" w14:textId="0AE79F67"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88" w:history="1">
        <w:r w:rsidR="00156E77" w:rsidRPr="001C7C6E">
          <w:rPr>
            <w:rStyle w:val="Hyperlink"/>
            <w:noProof/>
          </w:rPr>
          <w:t>Private sector</w:t>
        </w:r>
        <w:r w:rsidR="00156E77">
          <w:rPr>
            <w:noProof/>
            <w:webHidden/>
          </w:rPr>
          <w:tab/>
        </w:r>
        <w:r w:rsidR="00156E77">
          <w:rPr>
            <w:noProof/>
            <w:webHidden/>
          </w:rPr>
          <w:fldChar w:fldCharType="begin"/>
        </w:r>
        <w:r w:rsidR="00156E77">
          <w:rPr>
            <w:noProof/>
            <w:webHidden/>
          </w:rPr>
          <w:instrText xml:space="preserve"> PAGEREF _Toc65581188 \h </w:instrText>
        </w:r>
        <w:r w:rsidR="00156E77">
          <w:rPr>
            <w:noProof/>
            <w:webHidden/>
          </w:rPr>
        </w:r>
        <w:r w:rsidR="00156E77">
          <w:rPr>
            <w:noProof/>
            <w:webHidden/>
          </w:rPr>
          <w:fldChar w:fldCharType="separate"/>
        </w:r>
        <w:r w:rsidR="00156E77">
          <w:rPr>
            <w:noProof/>
            <w:webHidden/>
          </w:rPr>
          <w:t>44</w:t>
        </w:r>
        <w:r w:rsidR="00156E77">
          <w:rPr>
            <w:noProof/>
            <w:webHidden/>
          </w:rPr>
          <w:fldChar w:fldCharType="end"/>
        </w:r>
      </w:hyperlink>
    </w:p>
    <w:p w14:paraId="1A06C80F" w14:textId="1AEEDC12"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89" w:history="1">
        <w:r w:rsidR="00156E77" w:rsidRPr="001C7C6E">
          <w:rPr>
            <w:rStyle w:val="Hyperlink"/>
            <w:noProof/>
          </w:rPr>
          <w:t>Reasonable Accommodations</w:t>
        </w:r>
        <w:r w:rsidR="00156E77">
          <w:rPr>
            <w:noProof/>
            <w:webHidden/>
          </w:rPr>
          <w:tab/>
        </w:r>
        <w:r w:rsidR="00156E77">
          <w:rPr>
            <w:noProof/>
            <w:webHidden/>
          </w:rPr>
          <w:fldChar w:fldCharType="begin"/>
        </w:r>
        <w:r w:rsidR="00156E77">
          <w:rPr>
            <w:noProof/>
            <w:webHidden/>
          </w:rPr>
          <w:instrText xml:space="preserve"> PAGEREF _Toc65581189 \h </w:instrText>
        </w:r>
        <w:r w:rsidR="00156E77">
          <w:rPr>
            <w:noProof/>
            <w:webHidden/>
          </w:rPr>
        </w:r>
        <w:r w:rsidR="00156E77">
          <w:rPr>
            <w:noProof/>
            <w:webHidden/>
          </w:rPr>
          <w:fldChar w:fldCharType="separate"/>
        </w:r>
        <w:r w:rsidR="00156E77">
          <w:rPr>
            <w:noProof/>
            <w:webHidden/>
          </w:rPr>
          <w:t>45</w:t>
        </w:r>
        <w:r w:rsidR="00156E77">
          <w:rPr>
            <w:noProof/>
            <w:webHidden/>
          </w:rPr>
          <w:fldChar w:fldCharType="end"/>
        </w:r>
      </w:hyperlink>
    </w:p>
    <w:p w14:paraId="1135B23B" w14:textId="0F29AB9D"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90" w:history="1">
        <w:r w:rsidR="00156E77" w:rsidRPr="001C7C6E">
          <w:rPr>
            <w:rStyle w:val="Hyperlink"/>
            <w:noProof/>
          </w:rPr>
          <w:t>Discrimination in Employment</w:t>
        </w:r>
        <w:r w:rsidR="00156E77">
          <w:rPr>
            <w:noProof/>
            <w:webHidden/>
          </w:rPr>
          <w:tab/>
        </w:r>
        <w:r w:rsidR="00156E77">
          <w:rPr>
            <w:noProof/>
            <w:webHidden/>
          </w:rPr>
          <w:fldChar w:fldCharType="begin"/>
        </w:r>
        <w:r w:rsidR="00156E77">
          <w:rPr>
            <w:noProof/>
            <w:webHidden/>
          </w:rPr>
          <w:instrText xml:space="preserve"> PAGEREF _Toc65581190 \h </w:instrText>
        </w:r>
        <w:r w:rsidR="00156E77">
          <w:rPr>
            <w:noProof/>
            <w:webHidden/>
          </w:rPr>
        </w:r>
        <w:r w:rsidR="00156E77">
          <w:rPr>
            <w:noProof/>
            <w:webHidden/>
          </w:rPr>
          <w:fldChar w:fldCharType="separate"/>
        </w:r>
        <w:r w:rsidR="00156E77">
          <w:rPr>
            <w:noProof/>
            <w:webHidden/>
          </w:rPr>
          <w:t>49</w:t>
        </w:r>
        <w:r w:rsidR="00156E77">
          <w:rPr>
            <w:noProof/>
            <w:webHidden/>
          </w:rPr>
          <w:fldChar w:fldCharType="end"/>
        </w:r>
      </w:hyperlink>
    </w:p>
    <w:p w14:paraId="54033F8C" w14:textId="2C116628"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91" w:history="1">
        <w:r w:rsidR="00156E77" w:rsidRPr="001C7C6E">
          <w:rPr>
            <w:rStyle w:val="Hyperlink"/>
            <w:noProof/>
          </w:rPr>
          <w:t>Disability Pay Gap</w:t>
        </w:r>
        <w:r w:rsidR="00156E77">
          <w:rPr>
            <w:noProof/>
            <w:webHidden/>
          </w:rPr>
          <w:tab/>
        </w:r>
        <w:r w:rsidR="00156E77">
          <w:rPr>
            <w:noProof/>
            <w:webHidden/>
          </w:rPr>
          <w:fldChar w:fldCharType="begin"/>
        </w:r>
        <w:r w:rsidR="00156E77">
          <w:rPr>
            <w:noProof/>
            <w:webHidden/>
          </w:rPr>
          <w:instrText xml:space="preserve"> PAGEREF _Toc65581191 \h </w:instrText>
        </w:r>
        <w:r w:rsidR="00156E77">
          <w:rPr>
            <w:noProof/>
            <w:webHidden/>
          </w:rPr>
        </w:r>
        <w:r w:rsidR="00156E77">
          <w:rPr>
            <w:noProof/>
            <w:webHidden/>
          </w:rPr>
          <w:fldChar w:fldCharType="separate"/>
        </w:r>
        <w:r w:rsidR="00156E77">
          <w:rPr>
            <w:noProof/>
            <w:webHidden/>
          </w:rPr>
          <w:t>51</w:t>
        </w:r>
        <w:r w:rsidR="00156E77">
          <w:rPr>
            <w:noProof/>
            <w:webHidden/>
          </w:rPr>
          <w:fldChar w:fldCharType="end"/>
        </w:r>
      </w:hyperlink>
    </w:p>
    <w:p w14:paraId="1BA9CDF4" w14:textId="50E2FF8D"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92" w:history="1">
        <w:r w:rsidR="00156E77" w:rsidRPr="001C7C6E">
          <w:rPr>
            <w:rStyle w:val="Hyperlink"/>
            <w:noProof/>
          </w:rPr>
          <w:t>Self-Employment &amp; Entrepreneurship</w:t>
        </w:r>
        <w:r w:rsidR="00156E77">
          <w:rPr>
            <w:noProof/>
            <w:webHidden/>
          </w:rPr>
          <w:tab/>
        </w:r>
        <w:r w:rsidR="00156E77">
          <w:rPr>
            <w:noProof/>
            <w:webHidden/>
          </w:rPr>
          <w:fldChar w:fldCharType="begin"/>
        </w:r>
        <w:r w:rsidR="00156E77">
          <w:rPr>
            <w:noProof/>
            <w:webHidden/>
          </w:rPr>
          <w:instrText xml:space="preserve"> PAGEREF _Toc65581192 \h </w:instrText>
        </w:r>
        <w:r w:rsidR="00156E77">
          <w:rPr>
            <w:noProof/>
            <w:webHidden/>
          </w:rPr>
        </w:r>
        <w:r w:rsidR="00156E77">
          <w:rPr>
            <w:noProof/>
            <w:webHidden/>
          </w:rPr>
          <w:fldChar w:fldCharType="separate"/>
        </w:r>
        <w:r w:rsidR="00156E77">
          <w:rPr>
            <w:noProof/>
            <w:webHidden/>
          </w:rPr>
          <w:t>51</w:t>
        </w:r>
        <w:r w:rsidR="00156E77">
          <w:rPr>
            <w:noProof/>
            <w:webHidden/>
          </w:rPr>
          <w:fldChar w:fldCharType="end"/>
        </w:r>
      </w:hyperlink>
    </w:p>
    <w:p w14:paraId="5C4ED94A" w14:textId="5DD4BA0D"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93" w:history="1">
        <w:r w:rsidR="00156E77" w:rsidRPr="001C7C6E">
          <w:rPr>
            <w:rStyle w:val="Hyperlink"/>
            <w:noProof/>
          </w:rPr>
          <w:t>Vocational Rehabilitation</w:t>
        </w:r>
        <w:r w:rsidR="00156E77">
          <w:rPr>
            <w:noProof/>
            <w:webHidden/>
          </w:rPr>
          <w:tab/>
        </w:r>
        <w:r w:rsidR="00156E77">
          <w:rPr>
            <w:noProof/>
            <w:webHidden/>
          </w:rPr>
          <w:fldChar w:fldCharType="begin"/>
        </w:r>
        <w:r w:rsidR="00156E77">
          <w:rPr>
            <w:noProof/>
            <w:webHidden/>
          </w:rPr>
          <w:instrText xml:space="preserve"> PAGEREF _Toc65581193 \h </w:instrText>
        </w:r>
        <w:r w:rsidR="00156E77">
          <w:rPr>
            <w:noProof/>
            <w:webHidden/>
          </w:rPr>
        </w:r>
        <w:r w:rsidR="00156E77">
          <w:rPr>
            <w:noProof/>
            <w:webHidden/>
          </w:rPr>
          <w:fldChar w:fldCharType="separate"/>
        </w:r>
        <w:r w:rsidR="00156E77">
          <w:rPr>
            <w:noProof/>
            <w:webHidden/>
          </w:rPr>
          <w:t>52</w:t>
        </w:r>
        <w:r w:rsidR="00156E77">
          <w:rPr>
            <w:noProof/>
            <w:webHidden/>
          </w:rPr>
          <w:fldChar w:fldCharType="end"/>
        </w:r>
      </w:hyperlink>
    </w:p>
    <w:p w14:paraId="57F2C8F1" w14:textId="45F708B8"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94" w:history="1">
        <w:r w:rsidR="00156E77" w:rsidRPr="001C7C6E">
          <w:rPr>
            <w:rStyle w:val="Hyperlink"/>
            <w:noProof/>
          </w:rPr>
          <w:t>Vocational &amp; Occupational Skills, Experience and Education</w:t>
        </w:r>
        <w:r w:rsidR="00156E77">
          <w:rPr>
            <w:noProof/>
            <w:webHidden/>
          </w:rPr>
          <w:tab/>
        </w:r>
        <w:r w:rsidR="00156E77">
          <w:rPr>
            <w:noProof/>
            <w:webHidden/>
          </w:rPr>
          <w:fldChar w:fldCharType="begin"/>
        </w:r>
        <w:r w:rsidR="00156E77">
          <w:rPr>
            <w:noProof/>
            <w:webHidden/>
          </w:rPr>
          <w:instrText xml:space="preserve"> PAGEREF _Toc65581194 \h </w:instrText>
        </w:r>
        <w:r w:rsidR="00156E77">
          <w:rPr>
            <w:noProof/>
            <w:webHidden/>
          </w:rPr>
        </w:r>
        <w:r w:rsidR="00156E77">
          <w:rPr>
            <w:noProof/>
            <w:webHidden/>
          </w:rPr>
          <w:fldChar w:fldCharType="separate"/>
        </w:r>
        <w:r w:rsidR="00156E77">
          <w:rPr>
            <w:noProof/>
            <w:webHidden/>
          </w:rPr>
          <w:t>55</w:t>
        </w:r>
        <w:r w:rsidR="00156E77">
          <w:rPr>
            <w:noProof/>
            <w:webHidden/>
          </w:rPr>
          <w:fldChar w:fldCharType="end"/>
        </w:r>
      </w:hyperlink>
    </w:p>
    <w:p w14:paraId="1813B652" w14:textId="77028A0B"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95" w:history="1">
        <w:r w:rsidR="00156E77" w:rsidRPr="001C7C6E">
          <w:rPr>
            <w:rStyle w:val="Hyperlink"/>
            <w:noProof/>
          </w:rPr>
          <w:t>Transition Year Work Experience</w:t>
        </w:r>
        <w:r w:rsidR="00156E77">
          <w:rPr>
            <w:noProof/>
            <w:webHidden/>
          </w:rPr>
          <w:tab/>
        </w:r>
        <w:r w:rsidR="00156E77">
          <w:rPr>
            <w:noProof/>
            <w:webHidden/>
          </w:rPr>
          <w:fldChar w:fldCharType="begin"/>
        </w:r>
        <w:r w:rsidR="00156E77">
          <w:rPr>
            <w:noProof/>
            <w:webHidden/>
          </w:rPr>
          <w:instrText xml:space="preserve"> PAGEREF _Toc65581195 \h </w:instrText>
        </w:r>
        <w:r w:rsidR="00156E77">
          <w:rPr>
            <w:noProof/>
            <w:webHidden/>
          </w:rPr>
        </w:r>
        <w:r w:rsidR="00156E77">
          <w:rPr>
            <w:noProof/>
            <w:webHidden/>
          </w:rPr>
          <w:fldChar w:fldCharType="separate"/>
        </w:r>
        <w:r w:rsidR="00156E77">
          <w:rPr>
            <w:noProof/>
            <w:webHidden/>
          </w:rPr>
          <w:t>56</w:t>
        </w:r>
        <w:r w:rsidR="00156E77">
          <w:rPr>
            <w:noProof/>
            <w:webHidden/>
          </w:rPr>
          <w:fldChar w:fldCharType="end"/>
        </w:r>
      </w:hyperlink>
    </w:p>
    <w:p w14:paraId="4746296D" w14:textId="4A5C7522"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196" w:history="1">
        <w:r w:rsidR="00156E77" w:rsidRPr="001C7C6E">
          <w:rPr>
            <w:rStyle w:val="Hyperlink"/>
            <w:noProof/>
          </w:rPr>
          <w:t>Employment Transitions &amp; Career Advancements</w:t>
        </w:r>
        <w:r w:rsidR="00156E77">
          <w:rPr>
            <w:noProof/>
            <w:webHidden/>
          </w:rPr>
          <w:tab/>
        </w:r>
        <w:r w:rsidR="00156E77">
          <w:rPr>
            <w:noProof/>
            <w:webHidden/>
          </w:rPr>
          <w:fldChar w:fldCharType="begin"/>
        </w:r>
        <w:r w:rsidR="00156E77">
          <w:rPr>
            <w:noProof/>
            <w:webHidden/>
          </w:rPr>
          <w:instrText xml:space="preserve"> PAGEREF _Toc65581196 \h </w:instrText>
        </w:r>
        <w:r w:rsidR="00156E77">
          <w:rPr>
            <w:noProof/>
            <w:webHidden/>
          </w:rPr>
        </w:r>
        <w:r w:rsidR="00156E77">
          <w:rPr>
            <w:noProof/>
            <w:webHidden/>
          </w:rPr>
          <w:fldChar w:fldCharType="separate"/>
        </w:r>
        <w:r w:rsidR="00156E77">
          <w:rPr>
            <w:noProof/>
            <w:webHidden/>
          </w:rPr>
          <w:t>57</w:t>
        </w:r>
        <w:r w:rsidR="00156E77">
          <w:rPr>
            <w:noProof/>
            <w:webHidden/>
          </w:rPr>
          <w:fldChar w:fldCharType="end"/>
        </w:r>
      </w:hyperlink>
    </w:p>
    <w:p w14:paraId="69B018EE" w14:textId="221D07E3"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97" w:history="1">
        <w:r w:rsidR="00156E77" w:rsidRPr="001C7C6E">
          <w:rPr>
            <w:rStyle w:val="Hyperlink"/>
            <w:noProof/>
          </w:rPr>
          <w:t>Employment Transitions</w:t>
        </w:r>
        <w:r w:rsidR="00156E77">
          <w:rPr>
            <w:noProof/>
            <w:webHidden/>
          </w:rPr>
          <w:tab/>
        </w:r>
        <w:r w:rsidR="00156E77">
          <w:rPr>
            <w:noProof/>
            <w:webHidden/>
          </w:rPr>
          <w:fldChar w:fldCharType="begin"/>
        </w:r>
        <w:r w:rsidR="00156E77">
          <w:rPr>
            <w:noProof/>
            <w:webHidden/>
          </w:rPr>
          <w:instrText xml:space="preserve"> PAGEREF _Toc65581197 \h </w:instrText>
        </w:r>
        <w:r w:rsidR="00156E77">
          <w:rPr>
            <w:noProof/>
            <w:webHidden/>
          </w:rPr>
        </w:r>
        <w:r w:rsidR="00156E77">
          <w:rPr>
            <w:noProof/>
            <w:webHidden/>
          </w:rPr>
          <w:fldChar w:fldCharType="separate"/>
        </w:r>
        <w:r w:rsidR="00156E77">
          <w:rPr>
            <w:noProof/>
            <w:webHidden/>
          </w:rPr>
          <w:t>57</w:t>
        </w:r>
        <w:r w:rsidR="00156E77">
          <w:rPr>
            <w:noProof/>
            <w:webHidden/>
          </w:rPr>
          <w:fldChar w:fldCharType="end"/>
        </w:r>
      </w:hyperlink>
    </w:p>
    <w:p w14:paraId="23B9569A" w14:textId="559443AD"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98" w:history="1">
        <w:r w:rsidR="00156E77" w:rsidRPr="001C7C6E">
          <w:rPr>
            <w:rStyle w:val="Hyperlink"/>
            <w:noProof/>
          </w:rPr>
          <w:t>Career Guidance</w:t>
        </w:r>
        <w:r w:rsidR="00156E77">
          <w:rPr>
            <w:noProof/>
            <w:webHidden/>
          </w:rPr>
          <w:tab/>
        </w:r>
        <w:r w:rsidR="00156E77">
          <w:rPr>
            <w:noProof/>
            <w:webHidden/>
          </w:rPr>
          <w:fldChar w:fldCharType="begin"/>
        </w:r>
        <w:r w:rsidR="00156E77">
          <w:rPr>
            <w:noProof/>
            <w:webHidden/>
          </w:rPr>
          <w:instrText xml:space="preserve"> PAGEREF _Toc65581198 \h </w:instrText>
        </w:r>
        <w:r w:rsidR="00156E77">
          <w:rPr>
            <w:noProof/>
            <w:webHidden/>
          </w:rPr>
        </w:r>
        <w:r w:rsidR="00156E77">
          <w:rPr>
            <w:noProof/>
            <w:webHidden/>
          </w:rPr>
          <w:fldChar w:fldCharType="separate"/>
        </w:r>
        <w:r w:rsidR="00156E77">
          <w:rPr>
            <w:noProof/>
            <w:webHidden/>
          </w:rPr>
          <w:t>58</w:t>
        </w:r>
        <w:r w:rsidR="00156E77">
          <w:rPr>
            <w:noProof/>
            <w:webHidden/>
          </w:rPr>
          <w:fldChar w:fldCharType="end"/>
        </w:r>
      </w:hyperlink>
    </w:p>
    <w:p w14:paraId="183C1A41" w14:textId="117FE5FA"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199" w:history="1">
        <w:r w:rsidR="00156E77" w:rsidRPr="001C7C6E">
          <w:rPr>
            <w:rStyle w:val="Hyperlink"/>
            <w:noProof/>
          </w:rPr>
          <w:t>Occupational Guidance</w:t>
        </w:r>
        <w:r w:rsidR="00156E77">
          <w:rPr>
            <w:noProof/>
            <w:webHidden/>
          </w:rPr>
          <w:tab/>
        </w:r>
        <w:r w:rsidR="00156E77">
          <w:rPr>
            <w:noProof/>
            <w:webHidden/>
          </w:rPr>
          <w:fldChar w:fldCharType="begin"/>
        </w:r>
        <w:r w:rsidR="00156E77">
          <w:rPr>
            <w:noProof/>
            <w:webHidden/>
          </w:rPr>
          <w:instrText xml:space="preserve"> PAGEREF _Toc65581199 \h </w:instrText>
        </w:r>
        <w:r w:rsidR="00156E77">
          <w:rPr>
            <w:noProof/>
            <w:webHidden/>
          </w:rPr>
        </w:r>
        <w:r w:rsidR="00156E77">
          <w:rPr>
            <w:noProof/>
            <w:webHidden/>
          </w:rPr>
          <w:fldChar w:fldCharType="separate"/>
        </w:r>
        <w:r w:rsidR="00156E77">
          <w:rPr>
            <w:noProof/>
            <w:webHidden/>
          </w:rPr>
          <w:t>59</w:t>
        </w:r>
        <w:r w:rsidR="00156E77">
          <w:rPr>
            <w:noProof/>
            <w:webHidden/>
          </w:rPr>
          <w:fldChar w:fldCharType="end"/>
        </w:r>
      </w:hyperlink>
    </w:p>
    <w:p w14:paraId="54C7EDF4" w14:textId="4013E739"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200" w:history="1">
        <w:r w:rsidR="00156E77" w:rsidRPr="001C7C6E">
          <w:rPr>
            <w:rStyle w:val="Hyperlink"/>
            <w:noProof/>
          </w:rPr>
          <w:t>Career Advancement</w:t>
        </w:r>
        <w:r w:rsidR="00156E77">
          <w:rPr>
            <w:noProof/>
            <w:webHidden/>
          </w:rPr>
          <w:tab/>
        </w:r>
        <w:r w:rsidR="00156E77">
          <w:rPr>
            <w:noProof/>
            <w:webHidden/>
          </w:rPr>
          <w:fldChar w:fldCharType="begin"/>
        </w:r>
        <w:r w:rsidR="00156E77">
          <w:rPr>
            <w:noProof/>
            <w:webHidden/>
          </w:rPr>
          <w:instrText xml:space="preserve"> PAGEREF _Toc65581200 \h </w:instrText>
        </w:r>
        <w:r w:rsidR="00156E77">
          <w:rPr>
            <w:noProof/>
            <w:webHidden/>
          </w:rPr>
        </w:r>
        <w:r w:rsidR="00156E77">
          <w:rPr>
            <w:noProof/>
            <w:webHidden/>
          </w:rPr>
          <w:fldChar w:fldCharType="separate"/>
        </w:r>
        <w:r w:rsidR="00156E77">
          <w:rPr>
            <w:noProof/>
            <w:webHidden/>
          </w:rPr>
          <w:t>59</w:t>
        </w:r>
        <w:r w:rsidR="00156E77">
          <w:rPr>
            <w:noProof/>
            <w:webHidden/>
          </w:rPr>
          <w:fldChar w:fldCharType="end"/>
        </w:r>
      </w:hyperlink>
    </w:p>
    <w:p w14:paraId="15008847" w14:textId="13DB7BD1"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201" w:history="1">
        <w:r w:rsidR="00156E77" w:rsidRPr="001C7C6E">
          <w:rPr>
            <w:rStyle w:val="Hyperlink"/>
            <w:noProof/>
          </w:rPr>
          <w:t>Apprenticeships</w:t>
        </w:r>
        <w:r w:rsidR="00156E77">
          <w:rPr>
            <w:noProof/>
            <w:webHidden/>
          </w:rPr>
          <w:tab/>
        </w:r>
        <w:r w:rsidR="00156E77">
          <w:rPr>
            <w:noProof/>
            <w:webHidden/>
          </w:rPr>
          <w:fldChar w:fldCharType="begin"/>
        </w:r>
        <w:r w:rsidR="00156E77">
          <w:rPr>
            <w:noProof/>
            <w:webHidden/>
          </w:rPr>
          <w:instrText xml:space="preserve"> PAGEREF _Toc65581201 \h </w:instrText>
        </w:r>
        <w:r w:rsidR="00156E77">
          <w:rPr>
            <w:noProof/>
            <w:webHidden/>
          </w:rPr>
        </w:r>
        <w:r w:rsidR="00156E77">
          <w:rPr>
            <w:noProof/>
            <w:webHidden/>
          </w:rPr>
          <w:fldChar w:fldCharType="separate"/>
        </w:r>
        <w:r w:rsidR="00156E77">
          <w:rPr>
            <w:noProof/>
            <w:webHidden/>
          </w:rPr>
          <w:t>60</w:t>
        </w:r>
        <w:r w:rsidR="00156E77">
          <w:rPr>
            <w:noProof/>
            <w:webHidden/>
          </w:rPr>
          <w:fldChar w:fldCharType="end"/>
        </w:r>
      </w:hyperlink>
    </w:p>
    <w:p w14:paraId="5078CF14" w14:textId="7B800847"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202" w:history="1">
        <w:r w:rsidR="00156E77" w:rsidRPr="001C7C6E">
          <w:rPr>
            <w:rStyle w:val="Hyperlink"/>
            <w:noProof/>
          </w:rPr>
          <w:t>Intersectional Barriers and Challenges of Persons with Disabilities</w:t>
        </w:r>
        <w:r w:rsidR="00156E77">
          <w:rPr>
            <w:noProof/>
            <w:webHidden/>
          </w:rPr>
          <w:tab/>
        </w:r>
        <w:r w:rsidR="00156E77">
          <w:rPr>
            <w:noProof/>
            <w:webHidden/>
          </w:rPr>
          <w:fldChar w:fldCharType="begin"/>
        </w:r>
        <w:r w:rsidR="00156E77">
          <w:rPr>
            <w:noProof/>
            <w:webHidden/>
          </w:rPr>
          <w:instrText xml:space="preserve"> PAGEREF _Toc65581202 \h </w:instrText>
        </w:r>
        <w:r w:rsidR="00156E77">
          <w:rPr>
            <w:noProof/>
            <w:webHidden/>
          </w:rPr>
        </w:r>
        <w:r w:rsidR="00156E77">
          <w:rPr>
            <w:noProof/>
            <w:webHidden/>
          </w:rPr>
          <w:fldChar w:fldCharType="separate"/>
        </w:r>
        <w:r w:rsidR="00156E77">
          <w:rPr>
            <w:noProof/>
            <w:webHidden/>
          </w:rPr>
          <w:t>62</w:t>
        </w:r>
        <w:r w:rsidR="00156E77">
          <w:rPr>
            <w:noProof/>
            <w:webHidden/>
          </w:rPr>
          <w:fldChar w:fldCharType="end"/>
        </w:r>
      </w:hyperlink>
    </w:p>
    <w:p w14:paraId="45AD1073" w14:textId="64BAA0C2"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203" w:history="1">
        <w:r w:rsidR="00156E77" w:rsidRPr="001C7C6E">
          <w:rPr>
            <w:rStyle w:val="Hyperlink"/>
            <w:noProof/>
          </w:rPr>
          <w:t>Ethnic and Racial Minorities</w:t>
        </w:r>
        <w:r w:rsidR="00156E77">
          <w:rPr>
            <w:noProof/>
            <w:webHidden/>
          </w:rPr>
          <w:tab/>
        </w:r>
        <w:r w:rsidR="00156E77">
          <w:rPr>
            <w:noProof/>
            <w:webHidden/>
          </w:rPr>
          <w:fldChar w:fldCharType="begin"/>
        </w:r>
        <w:r w:rsidR="00156E77">
          <w:rPr>
            <w:noProof/>
            <w:webHidden/>
          </w:rPr>
          <w:instrText xml:space="preserve"> PAGEREF _Toc65581203 \h </w:instrText>
        </w:r>
        <w:r w:rsidR="00156E77">
          <w:rPr>
            <w:noProof/>
            <w:webHidden/>
          </w:rPr>
        </w:r>
        <w:r w:rsidR="00156E77">
          <w:rPr>
            <w:noProof/>
            <w:webHidden/>
          </w:rPr>
          <w:fldChar w:fldCharType="separate"/>
        </w:r>
        <w:r w:rsidR="00156E77">
          <w:rPr>
            <w:noProof/>
            <w:webHidden/>
          </w:rPr>
          <w:t>62</w:t>
        </w:r>
        <w:r w:rsidR="00156E77">
          <w:rPr>
            <w:noProof/>
            <w:webHidden/>
          </w:rPr>
          <w:fldChar w:fldCharType="end"/>
        </w:r>
      </w:hyperlink>
    </w:p>
    <w:p w14:paraId="1B5CF1FB" w14:textId="551E57D1" w:rsidR="00156E77" w:rsidRDefault="00844AE0">
      <w:pPr>
        <w:pStyle w:val="TOC2"/>
        <w:tabs>
          <w:tab w:val="right" w:leader="dot" w:pos="8630"/>
        </w:tabs>
        <w:rPr>
          <w:rFonts w:asciiTheme="minorHAnsi" w:eastAsiaTheme="minorEastAsia" w:hAnsiTheme="minorHAnsi" w:cstheme="minorBidi"/>
          <w:noProof/>
          <w:sz w:val="22"/>
          <w:szCs w:val="22"/>
          <w:lang w:eastAsia="en-IE"/>
        </w:rPr>
      </w:pPr>
      <w:hyperlink w:anchor="_Toc65581204" w:history="1">
        <w:r w:rsidR="00156E77" w:rsidRPr="001C7C6E">
          <w:rPr>
            <w:rStyle w:val="Hyperlink"/>
            <w:noProof/>
          </w:rPr>
          <w:t>Women with Disabilities</w:t>
        </w:r>
        <w:r w:rsidR="00156E77">
          <w:rPr>
            <w:noProof/>
            <w:webHidden/>
          </w:rPr>
          <w:tab/>
        </w:r>
        <w:r w:rsidR="00156E77">
          <w:rPr>
            <w:noProof/>
            <w:webHidden/>
          </w:rPr>
          <w:fldChar w:fldCharType="begin"/>
        </w:r>
        <w:r w:rsidR="00156E77">
          <w:rPr>
            <w:noProof/>
            <w:webHidden/>
          </w:rPr>
          <w:instrText xml:space="preserve"> PAGEREF _Toc65581204 \h </w:instrText>
        </w:r>
        <w:r w:rsidR="00156E77">
          <w:rPr>
            <w:noProof/>
            <w:webHidden/>
          </w:rPr>
        </w:r>
        <w:r w:rsidR="00156E77">
          <w:rPr>
            <w:noProof/>
            <w:webHidden/>
          </w:rPr>
          <w:fldChar w:fldCharType="separate"/>
        </w:r>
        <w:r w:rsidR="00156E77">
          <w:rPr>
            <w:noProof/>
            <w:webHidden/>
          </w:rPr>
          <w:t>62</w:t>
        </w:r>
        <w:r w:rsidR="00156E77">
          <w:rPr>
            <w:noProof/>
            <w:webHidden/>
          </w:rPr>
          <w:fldChar w:fldCharType="end"/>
        </w:r>
      </w:hyperlink>
    </w:p>
    <w:p w14:paraId="57BBFABB" w14:textId="65EAFC4A" w:rsidR="00156E77" w:rsidRDefault="00844AE0">
      <w:pPr>
        <w:pStyle w:val="TOC1"/>
        <w:tabs>
          <w:tab w:val="right" w:leader="dot" w:pos="8630"/>
        </w:tabs>
        <w:rPr>
          <w:rFonts w:asciiTheme="minorHAnsi" w:eastAsiaTheme="minorEastAsia" w:hAnsiTheme="minorHAnsi" w:cstheme="minorBidi"/>
          <w:b w:val="0"/>
          <w:noProof/>
          <w:sz w:val="22"/>
          <w:szCs w:val="22"/>
          <w:lang w:eastAsia="en-IE"/>
        </w:rPr>
      </w:pPr>
      <w:hyperlink w:anchor="_Toc65581205" w:history="1">
        <w:r w:rsidR="00156E77" w:rsidRPr="001C7C6E">
          <w:rPr>
            <w:rStyle w:val="Hyperlink"/>
            <w:noProof/>
          </w:rPr>
          <w:t>Conclusion</w:t>
        </w:r>
        <w:r w:rsidR="00156E77">
          <w:rPr>
            <w:noProof/>
            <w:webHidden/>
          </w:rPr>
          <w:tab/>
        </w:r>
        <w:r w:rsidR="00156E77">
          <w:rPr>
            <w:noProof/>
            <w:webHidden/>
          </w:rPr>
          <w:fldChar w:fldCharType="begin"/>
        </w:r>
        <w:r w:rsidR="00156E77">
          <w:rPr>
            <w:noProof/>
            <w:webHidden/>
          </w:rPr>
          <w:instrText xml:space="preserve"> PAGEREF _Toc65581205 \h </w:instrText>
        </w:r>
        <w:r w:rsidR="00156E77">
          <w:rPr>
            <w:noProof/>
            <w:webHidden/>
          </w:rPr>
        </w:r>
        <w:r w:rsidR="00156E77">
          <w:rPr>
            <w:noProof/>
            <w:webHidden/>
          </w:rPr>
          <w:fldChar w:fldCharType="separate"/>
        </w:r>
        <w:r w:rsidR="00156E77">
          <w:rPr>
            <w:noProof/>
            <w:webHidden/>
          </w:rPr>
          <w:t>64</w:t>
        </w:r>
        <w:r w:rsidR="00156E77">
          <w:rPr>
            <w:noProof/>
            <w:webHidden/>
          </w:rPr>
          <w:fldChar w:fldCharType="end"/>
        </w:r>
      </w:hyperlink>
    </w:p>
    <w:p w14:paraId="37736867" w14:textId="435145F1" w:rsidR="00EB555E" w:rsidRDefault="00156E77" w:rsidP="005E3210">
      <w:r>
        <w:fldChar w:fldCharType="end"/>
      </w:r>
    </w:p>
    <w:p w14:paraId="25657584" w14:textId="052CBB2D" w:rsidR="002C34B9" w:rsidRDefault="00CB6570" w:rsidP="00156E77">
      <w:pPr>
        <w:pStyle w:val="Heading1"/>
      </w:pPr>
      <w:r>
        <w:br w:type="page"/>
      </w:r>
      <w:bookmarkStart w:id="1" w:name="_Toc65581152"/>
      <w:r w:rsidR="002C34B9">
        <w:lastRenderedPageBreak/>
        <w:t>Background to the UNCRPD Article review papers</w:t>
      </w:r>
      <w:bookmarkEnd w:id="1"/>
    </w:p>
    <w:p w14:paraId="12B5BB93" w14:textId="77777777" w:rsidR="002C681D" w:rsidRDefault="002C681D" w:rsidP="002C681D">
      <w:pPr>
        <w:autoSpaceDE w:val="0"/>
        <w:autoSpaceDN w:val="0"/>
        <w:adjustRightInd w:val="0"/>
        <w:spacing w:after="237"/>
        <w:ind w:right="102"/>
        <w:rPr>
          <w:szCs w:val="26"/>
        </w:rPr>
      </w:pPr>
      <w:r w:rsidRPr="002F33B0">
        <w:rPr>
          <w:szCs w:val="26"/>
        </w:rPr>
        <w:t xml:space="preserve">During 2020 the </w:t>
      </w:r>
      <w:r>
        <w:rPr>
          <w:szCs w:val="26"/>
        </w:rPr>
        <w:t>National Disability Authority (</w:t>
      </w:r>
      <w:r w:rsidRPr="002F33B0">
        <w:rPr>
          <w:szCs w:val="26"/>
        </w:rPr>
        <w:t>NDA</w:t>
      </w:r>
      <w:r>
        <w:rPr>
          <w:szCs w:val="26"/>
        </w:rPr>
        <w:t>)</w:t>
      </w:r>
      <w:r w:rsidRPr="002F33B0">
        <w:rPr>
          <w:szCs w:val="26"/>
        </w:rPr>
        <w:t xml:space="preserve"> developed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6193929C" w14:textId="1410F339" w:rsidR="009318FF" w:rsidRDefault="009318FF" w:rsidP="009318FF">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more direct consult</w:t>
      </w:r>
      <w:r w:rsidR="00B86B90">
        <w:rPr>
          <w:szCs w:val="26"/>
        </w:rPr>
        <w:t>ation process</w:t>
      </w:r>
      <w:r w:rsidRPr="00EF5E09">
        <w:rPr>
          <w:szCs w:val="26"/>
        </w:rPr>
        <w:t xml:space="preserve"> with persons with disabilities was not conducted. However, the NDA envisages continuing to conduct periodic consultations on specific articles of the UNCRPD and related matters which will seek the lived experience of persons with disabilities individually and through their representative bodies.</w:t>
      </w:r>
    </w:p>
    <w:p w14:paraId="756C4EC6" w14:textId="77777777" w:rsidR="009318FF" w:rsidRPr="002F33B0" w:rsidRDefault="009318FF" w:rsidP="009318FF">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24D22D38" w14:textId="77777777" w:rsidR="002C681D" w:rsidRPr="001E7023" w:rsidRDefault="002C681D" w:rsidP="002C681D">
      <w:pPr>
        <w:spacing w:after="200"/>
        <w:rPr>
          <w:rFonts w:cstheme="minorBidi"/>
          <w:szCs w:val="26"/>
        </w:rPr>
      </w:pPr>
      <w:r>
        <w:rPr>
          <w:szCs w:val="26"/>
        </w:rPr>
        <w:lastRenderedPageBreak/>
        <w:t>The NDA</w:t>
      </w:r>
      <w:r w:rsidRPr="002F33B0">
        <w:rPr>
          <w:szCs w:val="26"/>
        </w:rPr>
        <w:t xml:space="preserve"> sought to ensure that the information is accurate as</w:t>
      </w:r>
      <w:r>
        <w:rPr>
          <w:szCs w:val="26"/>
        </w:rPr>
        <w:t xml:space="preserve"> of October 2020 but recognises that</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will require them to </w:t>
      </w:r>
      <w:r w:rsidRPr="002F33B0">
        <w:rPr>
          <w:szCs w:val="26"/>
        </w:rPr>
        <w:t xml:space="preserve">be updated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2E1D7984" w14:textId="358A1802" w:rsidR="002C681D" w:rsidRPr="00DA4E6A" w:rsidRDefault="0015212D" w:rsidP="00DF6AEF">
      <w:pPr>
        <w:spacing w:after="120"/>
        <w:rPr>
          <w:szCs w:val="26"/>
        </w:rPr>
      </w:pPr>
      <w:r>
        <w:rPr>
          <w:szCs w:val="26"/>
        </w:rPr>
        <w:t xml:space="preserve">In the first instance we reviewed nine articles listed below. Five are available at </w:t>
      </w:r>
      <w:hyperlink r:id="rId9" w:history="1">
        <w:r>
          <w:rPr>
            <w:rStyle w:val="Hyperlink"/>
            <w:szCs w:val="26"/>
          </w:rPr>
          <w:t>www.nda.ie</w:t>
        </w:r>
      </w:hyperlink>
      <w:r>
        <w:rPr>
          <w:szCs w:val="26"/>
        </w:rPr>
        <w:t xml:space="preserve"> and the remaining four will be published shortly</w:t>
      </w:r>
      <w:r w:rsidR="002C681D">
        <w:rPr>
          <w:szCs w:val="26"/>
        </w:rPr>
        <w:t xml:space="preserve">. These were selected to reflect some of the main topics of concern to the stakeholders noted above and to include some of the cross-cutting issues such as children and women with disabilities. It is intended that the NDA will develop further papers during 2021 focusing on a number of civil and political Articles.  </w:t>
      </w:r>
    </w:p>
    <w:p w14:paraId="3BCB81F6" w14:textId="77777777" w:rsidR="002C681D" w:rsidRPr="00DA4E6A" w:rsidRDefault="002C681D" w:rsidP="002C681D">
      <w:pPr>
        <w:pStyle w:val="ListBullet"/>
        <w:numPr>
          <w:ilvl w:val="0"/>
          <w:numId w:val="1"/>
        </w:numPr>
      </w:pPr>
      <w:r w:rsidRPr="00DA4E6A">
        <w:t>Articl</w:t>
      </w:r>
      <w:r>
        <w:t xml:space="preserve">e 6, </w:t>
      </w:r>
      <w:r w:rsidRPr="00DA4E6A">
        <w:t>Women with Disabilities</w:t>
      </w:r>
    </w:p>
    <w:p w14:paraId="09459F60" w14:textId="77777777" w:rsidR="002C681D" w:rsidRPr="00DA4E6A" w:rsidRDefault="002C681D" w:rsidP="002C681D">
      <w:pPr>
        <w:pStyle w:val="ListBullet"/>
        <w:numPr>
          <w:ilvl w:val="0"/>
          <w:numId w:val="1"/>
        </w:numPr>
      </w:pPr>
      <w:r>
        <w:t xml:space="preserve">Article 7, </w:t>
      </w:r>
      <w:r w:rsidRPr="00DA4E6A">
        <w:t>Children with Disabilities</w:t>
      </w:r>
    </w:p>
    <w:p w14:paraId="4EFFD3A8" w14:textId="77777777" w:rsidR="002C681D" w:rsidRPr="00DA4E6A" w:rsidRDefault="002C681D" w:rsidP="002C681D">
      <w:pPr>
        <w:pStyle w:val="ListBullet"/>
        <w:numPr>
          <w:ilvl w:val="0"/>
          <w:numId w:val="1"/>
        </w:numPr>
      </w:pPr>
      <w:r>
        <w:t xml:space="preserve">Article 8, </w:t>
      </w:r>
      <w:r w:rsidRPr="00DA4E6A">
        <w:t>Awareness Raising</w:t>
      </w:r>
    </w:p>
    <w:p w14:paraId="4767AD32" w14:textId="77777777" w:rsidR="002C681D" w:rsidRPr="00DA4E6A" w:rsidRDefault="002C681D" w:rsidP="002C681D">
      <w:pPr>
        <w:pStyle w:val="ListBullet"/>
        <w:numPr>
          <w:ilvl w:val="0"/>
          <w:numId w:val="1"/>
        </w:numPr>
      </w:pPr>
      <w:r w:rsidRPr="00DA4E6A">
        <w:t>Article 19</w:t>
      </w:r>
      <w:r>
        <w:t xml:space="preserve">, </w:t>
      </w:r>
      <w:r w:rsidRPr="00DA4E6A">
        <w:t>Living Independently</w:t>
      </w:r>
    </w:p>
    <w:p w14:paraId="6F6C36D8" w14:textId="77777777" w:rsidR="002C681D" w:rsidRPr="00DA4E6A" w:rsidRDefault="002C681D" w:rsidP="002C681D">
      <w:pPr>
        <w:pStyle w:val="ListBullet"/>
        <w:numPr>
          <w:ilvl w:val="0"/>
          <w:numId w:val="1"/>
        </w:numPr>
      </w:pPr>
      <w:r>
        <w:t xml:space="preserve">Article 24, </w:t>
      </w:r>
      <w:r w:rsidRPr="00DA4E6A">
        <w:t>Education</w:t>
      </w:r>
    </w:p>
    <w:p w14:paraId="2580FAF3" w14:textId="77777777" w:rsidR="002C681D" w:rsidRPr="00DA4E6A" w:rsidRDefault="002C681D" w:rsidP="002C681D">
      <w:pPr>
        <w:pStyle w:val="ListBullet"/>
        <w:numPr>
          <w:ilvl w:val="0"/>
          <w:numId w:val="1"/>
        </w:numPr>
      </w:pPr>
      <w:r>
        <w:t xml:space="preserve">Article 25, </w:t>
      </w:r>
      <w:r w:rsidRPr="00DA4E6A">
        <w:t>Health</w:t>
      </w:r>
    </w:p>
    <w:p w14:paraId="60280721" w14:textId="77777777" w:rsidR="002C681D" w:rsidRPr="00DA4E6A" w:rsidRDefault="002C681D" w:rsidP="002C681D">
      <w:pPr>
        <w:pStyle w:val="ListBullet"/>
        <w:numPr>
          <w:ilvl w:val="0"/>
          <w:numId w:val="1"/>
        </w:numPr>
      </w:pPr>
      <w:r>
        <w:t xml:space="preserve">Article 26, </w:t>
      </w:r>
      <w:r w:rsidRPr="00DA4E6A">
        <w:t>Work and employment</w:t>
      </w:r>
    </w:p>
    <w:p w14:paraId="7AA6686F" w14:textId="77777777" w:rsidR="002C681D" w:rsidRPr="00DA4E6A" w:rsidRDefault="002C681D" w:rsidP="002C681D">
      <w:pPr>
        <w:pStyle w:val="ListBullet"/>
        <w:numPr>
          <w:ilvl w:val="0"/>
          <w:numId w:val="1"/>
        </w:numPr>
      </w:pPr>
      <w:r>
        <w:t xml:space="preserve">Article 28, </w:t>
      </w:r>
      <w:r w:rsidRPr="00DA4E6A">
        <w:t>Adequate Standard of Living and Social Protection</w:t>
      </w:r>
    </w:p>
    <w:p w14:paraId="443903FC" w14:textId="7D9D623A" w:rsidR="005849A2" w:rsidRDefault="002C681D" w:rsidP="00DF6AEF">
      <w:pPr>
        <w:pStyle w:val="ListBullet"/>
        <w:numPr>
          <w:ilvl w:val="0"/>
          <w:numId w:val="1"/>
        </w:numPr>
      </w:pPr>
      <w:r>
        <w:t xml:space="preserve">Article 31, </w:t>
      </w:r>
      <w:r w:rsidRPr="00DA4E6A">
        <w:t xml:space="preserve">Statistics and Data Collection </w:t>
      </w:r>
    </w:p>
    <w:p w14:paraId="15B37FA8" w14:textId="77777777" w:rsidR="00DF6AEF" w:rsidRDefault="00DF6AEF">
      <w:pPr>
        <w:spacing w:after="0"/>
        <w:rPr>
          <w:rFonts w:cs="Arial"/>
          <w:b/>
          <w:bCs/>
          <w:kern w:val="32"/>
          <w:sz w:val="32"/>
          <w:szCs w:val="32"/>
        </w:rPr>
      </w:pPr>
      <w:r>
        <w:br w:type="page"/>
      </w:r>
    </w:p>
    <w:p w14:paraId="5A5ABB94" w14:textId="14A84032" w:rsidR="005849A2" w:rsidRDefault="006D5A4F" w:rsidP="005849A2">
      <w:pPr>
        <w:pStyle w:val="Heading1"/>
      </w:pPr>
      <w:bookmarkStart w:id="2" w:name="_Toc65581153"/>
      <w:r>
        <w:lastRenderedPageBreak/>
        <w:t>Introduction</w:t>
      </w:r>
      <w:bookmarkEnd w:id="2"/>
    </w:p>
    <w:p w14:paraId="65DAFF38" w14:textId="7D2CC69B" w:rsidR="005849A2" w:rsidRDefault="005849A2" w:rsidP="005849A2">
      <w:r>
        <w:t>The</w:t>
      </w:r>
      <w:r w:rsidRPr="00C867D8">
        <w:t xml:space="preserve"> legislative framework to advance implementation of Article 27 </w:t>
      </w:r>
      <w:r>
        <w:t>i</w:t>
      </w:r>
      <w:r w:rsidRPr="00C867D8">
        <w:t xml:space="preserve">s </w:t>
      </w:r>
      <w:r>
        <w:t xml:space="preserve">relatively </w:t>
      </w:r>
      <w:r w:rsidRPr="00C867D8">
        <w:t>robust in the Irish context</w:t>
      </w:r>
      <w:r>
        <w:t>, though concerns have been raised about the extent to which it fully complies with the UNCRPD</w:t>
      </w:r>
      <w:r w:rsidRPr="00C867D8">
        <w:t xml:space="preserve">. </w:t>
      </w:r>
      <w:r>
        <w:t xml:space="preserve">Employment Equality legislation not only prohibits discrimination against </w:t>
      </w:r>
      <w:r w:rsidR="00DA6E35">
        <w:t>persons</w:t>
      </w:r>
      <w:r>
        <w:t xml:space="preserve"> with a disability across all forms of employment, but also imposes obligations on employers to provide reasonable accommodation to </w:t>
      </w:r>
      <w:r w:rsidR="00DA6E35">
        <w:t>persons</w:t>
      </w:r>
      <w:r>
        <w:t xml:space="preserve"> with disabilities. Additional legal</w:t>
      </w:r>
      <w:r w:rsidRPr="00C867D8">
        <w:t xml:space="preserve"> obligations </w:t>
      </w:r>
      <w:r>
        <w:t>are also placed on the</w:t>
      </w:r>
      <w:r w:rsidRPr="00C867D8">
        <w:t xml:space="preserve"> public sector under the Disability Act 2005</w:t>
      </w:r>
      <w:r>
        <w:t>, including</w:t>
      </w:r>
      <w:r w:rsidRPr="00C867D8">
        <w:t xml:space="preserve"> a minimum</w:t>
      </w:r>
      <w:r>
        <w:t xml:space="preserve"> requirement</w:t>
      </w:r>
      <w:r w:rsidR="009D7C7A">
        <w:t xml:space="preserve"> that </w:t>
      </w:r>
      <w:r w:rsidRPr="00C867D8">
        <w:t xml:space="preserve">3% of employees </w:t>
      </w:r>
      <w:r w:rsidR="009D7C7A">
        <w:t>are</w:t>
      </w:r>
      <w:r w:rsidRPr="00C867D8">
        <w:t xml:space="preserve"> persons with disabilities.</w:t>
      </w:r>
      <w:r>
        <w:t xml:space="preserve"> The NDA has called to introduce a similar employment target within the private sector, but is unclear as to whether such a measure would be constitutionally permissible in an Irish context as a result of previous Supreme Court jurisprudence.</w:t>
      </w:r>
      <w:r>
        <w:rPr>
          <w:rStyle w:val="FootnoteReference"/>
        </w:rPr>
        <w:footnoteReference w:id="1"/>
      </w:r>
    </w:p>
    <w:p w14:paraId="747624BD" w14:textId="77777777" w:rsidR="00EB555E" w:rsidRPr="002C34B9" w:rsidRDefault="00EB555E" w:rsidP="002C34B9">
      <w:r>
        <w:t>Following the convention text below this paper then examines the employment situation of persons with disabilities. It then looks at relevant legislation and</w:t>
      </w:r>
      <w:r w:rsidR="00F920B0">
        <w:t xml:space="preserve"> policies. This is followed by</w:t>
      </w:r>
      <w:r>
        <w:t xml:space="preserve"> section</w:t>
      </w:r>
      <w:r w:rsidR="00F920B0">
        <w:t>s on</w:t>
      </w:r>
      <w:r>
        <w:t xml:space="preserve"> </w:t>
      </w:r>
      <w:r w:rsidR="00F920B0">
        <w:t>mainstream and specialist programmes, employer supports,</w:t>
      </w:r>
      <w:r w:rsidR="000517D9">
        <w:t xml:space="preserve"> and</w:t>
      </w:r>
      <w:r w:rsidR="00F920B0">
        <w:t xml:space="preserve"> public and private sector employment. It then focuses on some barriers to employment of persons with disabilities through sections on discrimination in employment, </w:t>
      </w:r>
      <w:r w:rsidR="00256546">
        <w:t>v</w:t>
      </w:r>
      <w:r w:rsidR="00F920B0">
        <w:t xml:space="preserve">ocational and occupational skills, employment transition and career advice and finally intersectional barriers and challenges.  </w:t>
      </w:r>
    </w:p>
    <w:p w14:paraId="736C5F24" w14:textId="77777777" w:rsidR="00FA5556" w:rsidRDefault="00FA5556" w:rsidP="00FA5556">
      <w:pPr>
        <w:pStyle w:val="Heading1"/>
      </w:pPr>
      <w:bookmarkStart w:id="3" w:name="_Toc65581154"/>
      <w:r>
        <w:t>Convention text</w:t>
      </w:r>
      <w:bookmarkEnd w:id="3"/>
    </w:p>
    <w:p w14:paraId="2F70DEBB" w14:textId="77777777" w:rsidR="00FA5556" w:rsidRPr="00FA5556" w:rsidRDefault="00FA5556" w:rsidP="00FA5556">
      <w:r w:rsidRPr="00FA5556">
        <w:t>Article 27 – Work and employment</w:t>
      </w:r>
    </w:p>
    <w:p w14:paraId="181D80E8" w14:textId="48989B8E" w:rsidR="00FA5556" w:rsidRPr="00FA5556" w:rsidRDefault="00FA5556" w:rsidP="00883AA0">
      <w:pPr>
        <w:pStyle w:val="ListNumber"/>
      </w:pPr>
      <w:bookmarkStart w:id="4" w:name="text"/>
      <w:bookmarkEnd w:id="4"/>
      <w:r w:rsidRPr="00FA5556">
        <w:lastRenderedPageBreak/>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3EE6F702" w14:textId="25941594" w:rsidR="00FA5556" w:rsidRPr="00FA5556" w:rsidRDefault="00FA5556" w:rsidP="00883AA0">
      <w:pPr>
        <w:pStyle w:val="ListNumber2"/>
        <w:numPr>
          <w:ilvl w:val="0"/>
          <w:numId w:val="10"/>
        </w:numPr>
      </w:pPr>
      <w:r w:rsidRPr="00FA5556">
        <w:t>Prohibit discrimination on the basis of disability with regard to all matters concerning all forms of employment, including conditions of recruitment, hiring and employment, continuance of employment, career advancement and safe and healthy working conditions;</w:t>
      </w:r>
    </w:p>
    <w:p w14:paraId="3D9EE071" w14:textId="36D75006" w:rsidR="00FA5556" w:rsidRPr="00FA5556" w:rsidRDefault="00FA5556" w:rsidP="00883AA0">
      <w:pPr>
        <w:pStyle w:val="ListNumber2"/>
        <w:numPr>
          <w:ilvl w:val="0"/>
          <w:numId w:val="10"/>
        </w:numPr>
      </w:pPr>
      <w:r w:rsidRPr="00FA5556">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13152B4A" w14:textId="7D25C646" w:rsidR="00FA5556" w:rsidRPr="00FA5556" w:rsidRDefault="00FA5556" w:rsidP="00883AA0">
      <w:pPr>
        <w:pStyle w:val="ListNumber2"/>
        <w:numPr>
          <w:ilvl w:val="0"/>
          <w:numId w:val="10"/>
        </w:numPr>
      </w:pPr>
      <w:r w:rsidRPr="00FA5556">
        <w:t>Ensure that persons with disabilities are able to exercise their labour and trade union rights on an equal basis with others;</w:t>
      </w:r>
    </w:p>
    <w:p w14:paraId="2E2A805D" w14:textId="2D34724D" w:rsidR="00FA5556" w:rsidRPr="00FA5556" w:rsidRDefault="00FA5556" w:rsidP="00883AA0">
      <w:pPr>
        <w:pStyle w:val="ListNumber2"/>
        <w:numPr>
          <w:ilvl w:val="0"/>
          <w:numId w:val="10"/>
        </w:numPr>
      </w:pPr>
      <w:r w:rsidRPr="00FA5556">
        <w:t>Enable persons with disabilities to have effective access to general technical and vocational guidance programmes, placement services and vocational and continuing training;</w:t>
      </w:r>
    </w:p>
    <w:p w14:paraId="2F8B3864" w14:textId="5011CC03" w:rsidR="00FA5556" w:rsidRPr="00FA5556" w:rsidRDefault="00FA5556" w:rsidP="00883AA0">
      <w:pPr>
        <w:pStyle w:val="ListNumber2"/>
        <w:numPr>
          <w:ilvl w:val="0"/>
          <w:numId w:val="10"/>
        </w:numPr>
      </w:pPr>
      <w:r w:rsidRPr="00FA5556">
        <w:t>Promote employment opportunities and career advancement for persons with disabilities in the labour market, as well as assistance in finding, obtaining, maintaining and returning to employment;</w:t>
      </w:r>
    </w:p>
    <w:p w14:paraId="0AFF2E8C" w14:textId="55CC7956" w:rsidR="00FA5556" w:rsidRPr="00FA5556" w:rsidRDefault="00FA5556" w:rsidP="00883AA0">
      <w:pPr>
        <w:pStyle w:val="ListNumber2"/>
        <w:numPr>
          <w:ilvl w:val="0"/>
          <w:numId w:val="10"/>
        </w:numPr>
      </w:pPr>
      <w:r w:rsidRPr="00FA5556">
        <w:t>Promote opportunities for self-employment, entrepreneurship, the development of cooperatives and starting one’s own business;</w:t>
      </w:r>
    </w:p>
    <w:p w14:paraId="7AA958A5" w14:textId="2057C7D0" w:rsidR="00FA5556" w:rsidRPr="00FA5556" w:rsidRDefault="00FA5556" w:rsidP="00883AA0">
      <w:pPr>
        <w:pStyle w:val="ListNumber2"/>
        <w:numPr>
          <w:ilvl w:val="0"/>
          <w:numId w:val="10"/>
        </w:numPr>
      </w:pPr>
      <w:r w:rsidRPr="00FA5556">
        <w:t>Employ persons with disabilities in the public sector;</w:t>
      </w:r>
    </w:p>
    <w:p w14:paraId="4DBA9D17" w14:textId="62993BCB" w:rsidR="00FA5556" w:rsidRPr="00FA5556" w:rsidRDefault="00FA5556" w:rsidP="00883AA0">
      <w:pPr>
        <w:pStyle w:val="ListNumber2"/>
        <w:numPr>
          <w:ilvl w:val="0"/>
          <w:numId w:val="10"/>
        </w:numPr>
      </w:pPr>
      <w:r w:rsidRPr="00FA5556">
        <w:t>Promote the employment of persons with disabilities in the private sector through appropriate policies and measures, which may include affirmative action programmes, incentives and other measures;</w:t>
      </w:r>
    </w:p>
    <w:p w14:paraId="0B294B9B" w14:textId="2B97D4A8" w:rsidR="00FA5556" w:rsidRPr="00FA5556" w:rsidRDefault="00FA5556" w:rsidP="00883AA0">
      <w:pPr>
        <w:pStyle w:val="ListNumber2"/>
        <w:numPr>
          <w:ilvl w:val="0"/>
          <w:numId w:val="10"/>
        </w:numPr>
      </w:pPr>
      <w:r w:rsidRPr="00FA5556">
        <w:t>Ensure that reasonable accommodation is provided to persons with disabilities in the workplace;</w:t>
      </w:r>
    </w:p>
    <w:p w14:paraId="4A464164" w14:textId="7AC5F8CF" w:rsidR="00FA5556" w:rsidRPr="00FA5556" w:rsidRDefault="00FA5556" w:rsidP="00883AA0">
      <w:pPr>
        <w:pStyle w:val="ListNumber2"/>
        <w:numPr>
          <w:ilvl w:val="0"/>
          <w:numId w:val="10"/>
        </w:numPr>
      </w:pPr>
      <w:r w:rsidRPr="00FA5556">
        <w:lastRenderedPageBreak/>
        <w:t>Promote the acquisition by persons with disabilities of work experience in the open labour market;</w:t>
      </w:r>
    </w:p>
    <w:p w14:paraId="04476921" w14:textId="17E71DDB" w:rsidR="00FA5556" w:rsidRPr="00FA5556" w:rsidRDefault="00FA5556" w:rsidP="00883AA0">
      <w:pPr>
        <w:pStyle w:val="ListNumber2"/>
        <w:numPr>
          <w:ilvl w:val="0"/>
          <w:numId w:val="10"/>
        </w:numPr>
      </w:pPr>
      <w:r w:rsidRPr="00FA5556">
        <w:t>Promote vocational and professional rehabilitation, job retention and return-to-work programmes for persons with disabilities.</w:t>
      </w:r>
    </w:p>
    <w:p w14:paraId="4298DB9F" w14:textId="3972C415" w:rsidR="00FA5556" w:rsidRDefault="00FA5556" w:rsidP="00883AA0">
      <w:pPr>
        <w:pStyle w:val="ListNumber"/>
      </w:pPr>
      <w:r w:rsidRPr="00FA5556">
        <w:t>States Parties shall ensure that persons with disabilities are not held in slavery or in servitude, and are protected, on an equal basis with others, from forced or compulsory labour.</w:t>
      </w:r>
    </w:p>
    <w:p w14:paraId="02C81225" w14:textId="77777777" w:rsidR="006D5A4F" w:rsidRPr="00B17EB3" w:rsidRDefault="006D5A4F" w:rsidP="006D5A4F">
      <w:pPr>
        <w:pStyle w:val="Heading1"/>
      </w:pPr>
      <w:bookmarkStart w:id="5" w:name="_Toc52376413"/>
      <w:bookmarkStart w:id="6" w:name="_Toc65581155"/>
      <w:r w:rsidRPr="00B17EB3">
        <w:t>Type of Right</w:t>
      </w:r>
      <w:bookmarkEnd w:id="5"/>
      <w:bookmarkEnd w:id="6"/>
    </w:p>
    <w:p w14:paraId="4972AFCB" w14:textId="32224E59" w:rsidR="008E6228" w:rsidRPr="00214B07" w:rsidRDefault="008E6228" w:rsidP="008E6228">
      <w:pPr>
        <w:rPr>
          <w:color w:val="000000"/>
          <w:szCs w:val="26"/>
          <w:lang w:eastAsia="en-IE"/>
        </w:rPr>
      </w:pPr>
      <w:bookmarkStart w:id="7" w:name="_Toc65581156"/>
      <w:r>
        <w:rPr>
          <w:color w:val="000000"/>
          <w:szCs w:val="26"/>
          <w:lang w:eastAsia="en-IE"/>
        </w:rPr>
        <w:t xml:space="preserve">The UNCRPD includes </w:t>
      </w:r>
      <w:r>
        <w:rPr>
          <w:rFonts w:cs="Arial"/>
          <w:szCs w:val="26"/>
          <w:lang w:eastAsia="en-IE"/>
        </w:rPr>
        <w:t xml:space="preserve">economic, social, </w:t>
      </w:r>
      <w:r w:rsidRPr="00A66328">
        <w:rPr>
          <w:rFonts w:cs="Arial"/>
          <w:szCs w:val="26"/>
          <w:lang w:eastAsia="en-IE"/>
        </w:rPr>
        <w:t>cultural</w:t>
      </w:r>
      <w:r>
        <w:rPr>
          <w:rFonts w:cs="Arial"/>
          <w:szCs w:val="26"/>
          <w:lang w:eastAsia="en-IE"/>
        </w:rPr>
        <w:t xml:space="preserve"> and civil and political rights. </w:t>
      </w:r>
      <w:r w:rsidRPr="00095F2D">
        <w:rPr>
          <w:rFonts w:cs="Arial"/>
          <w:szCs w:val="26"/>
          <w:lang w:eastAsia="en-IE"/>
        </w:rPr>
        <w:t>States which ratify the Convention commit themselves to</w:t>
      </w:r>
      <w:r>
        <w:rPr>
          <w:rFonts w:cs="Arial"/>
          <w:szCs w:val="26"/>
          <w:lang w:eastAsia="en-IE"/>
        </w:rPr>
        <w:t xml:space="preserve"> immediate</w:t>
      </w:r>
      <w:r w:rsidRPr="00095F2D">
        <w:rPr>
          <w:rFonts w:cs="Arial"/>
          <w:szCs w:val="26"/>
          <w:lang w:eastAsia="en-IE"/>
        </w:rPr>
        <w:t xml:space="preserve"> deliver</w:t>
      </w:r>
      <w:r>
        <w:rPr>
          <w:rFonts w:cs="Arial"/>
          <w:szCs w:val="26"/>
          <w:lang w:eastAsia="en-IE"/>
        </w:rPr>
        <w:t>y of civil and political rights for</w:t>
      </w:r>
      <w:r w:rsidRPr="00095F2D">
        <w:rPr>
          <w:rFonts w:cs="Arial"/>
          <w:szCs w:val="26"/>
          <w:lang w:eastAsia="en-IE"/>
        </w:rPr>
        <w:t xml:space="preserve"> </w:t>
      </w:r>
      <w:r>
        <w:rPr>
          <w:rFonts w:cs="Arial"/>
          <w:szCs w:val="26"/>
          <w:lang w:eastAsia="en-IE"/>
        </w:rPr>
        <w:t>persons</w:t>
      </w:r>
      <w:r w:rsidRPr="00095F2D">
        <w:rPr>
          <w:rFonts w:cs="Arial"/>
          <w:szCs w:val="26"/>
          <w:lang w:eastAsia="en-IE"/>
        </w:rPr>
        <w:t xml:space="preserve"> with disabilities, and to progressive realisation of social and economic rights. </w:t>
      </w:r>
      <w:r>
        <w:rPr>
          <w:rFonts w:cs="Arial"/>
          <w:szCs w:val="26"/>
          <w:lang w:eastAsia="en-IE"/>
        </w:rPr>
        <w:t>Article 27</w:t>
      </w:r>
      <w:r>
        <w:rPr>
          <w:color w:val="000000"/>
          <w:szCs w:val="26"/>
          <w:lang w:eastAsia="en-IE"/>
        </w:rPr>
        <w:t xml:space="preserve"> is primarily</w:t>
      </w:r>
      <w:r w:rsidRPr="00B17EB3">
        <w:rPr>
          <w:color w:val="000000"/>
          <w:szCs w:val="26"/>
          <w:lang w:eastAsia="en-IE"/>
        </w:rPr>
        <w:t xml:space="preserve"> </w:t>
      </w:r>
      <w:r>
        <w:rPr>
          <w:color w:val="000000"/>
          <w:szCs w:val="26"/>
          <w:lang w:eastAsia="en-IE"/>
        </w:rPr>
        <w:t>an economic, social and cultural</w:t>
      </w:r>
      <w:r w:rsidRPr="00B17EB3">
        <w:rPr>
          <w:color w:val="000000"/>
          <w:szCs w:val="26"/>
          <w:lang w:eastAsia="en-IE"/>
        </w:rPr>
        <w:t xml:space="preserve"> righ</w:t>
      </w:r>
      <w:r>
        <w:rPr>
          <w:color w:val="000000"/>
          <w:szCs w:val="26"/>
          <w:lang w:eastAsia="en-IE"/>
        </w:rPr>
        <w:t xml:space="preserve">t and is being progressively realised in Ireland.  </w:t>
      </w:r>
    </w:p>
    <w:p w14:paraId="7D2E4B49" w14:textId="77777777" w:rsidR="008D7B00" w:rsidRPr="008D7B00" w:rsidRDefault="0089510A" w:rsidP="008D7B00">
      <w:pPr>
        <w:pStyle w:val="Heading1"/>
      </w:pPr>
      <w:r>
        <w:t>E</w:t>
      </w:r>
      <w:r w:rsidR="001731C6" w:rsidRPr="001731C6">
        <w:t xml:space="preserve">mployment situation of </w:t>
      </w:r>
      <w:r w:rsidR="000517D9">
        <w:t>persons</w:t>
      </w:r>
      <w:r w:rsidR="001731C6" w:rsidRPr="001731C6">
        <w:t xml:space="preserve"> with a disability in Ireland</w:t>
      </w:r>
      <w:bookmarkEnd w:id="7"/>
    </w:p>
    <w:p w14:paraId="740B1844" w14:textId="77777777" w:rsidR="00423DED" w:rsidRDefault="005E3827" w:rsidP="00423DED">
      <w:pPr>
        <w:pStyle w:val="Heading2"/>
      </w:pPr>
      <w:bookmarkStart w:id="8" w:name="_Toc65581157"/>
      <w:r>
        <w:t>Labour Force Participation &amp; Unemployment Rates</w:t>
      </w:r>
      <w:bookmarkEnd w:id="8"/>
    </w:p>
    <w:p w14:paraId="68AEE681" w14:textId="77777777" w:rsidR="008D7B00" w:rsidRPr="008D7B00" w:rsidRDefault="00F81E35" w:rsidP="008D7B00">
      <w:r>
        <w:t>According to Census data from</w:t>
      </w:r>
      <w:r w:rsidR="008D7B00" w:rsidRPr="008D7B00">
        <w:t xml:space="preserve"> 2016, 120,775 or 36.5% of </w:t>
      </w:r>
      <w:r w:rsidR="000517D9">
        <w:t>persons</w:t>
      </w:r>
      <w:r w:rsidR="008D7B00" w:rsidRPr="008D7B00">
        <w:t xml:space="preserve"> with disabilities aged 20-64 were in employment. This compares to 1,807,748 or 72.8% of those without a disability. The ‘disability employment gap’ </w:t>
      </w:r>
      <w:r w:rsidR="00257E5B">
        <w:t>is therefore</w:t>
      </w:r>
      <w:r w:rsidR="008D7B00" w:rsidRPr="008D7B00">
        <w:t xml:space="preserve"> 36.3%.</w:t>
      </w:r>
      <w:r w:rsidR="00407BD8">
        <w:rPr>
          <w:rStyle w:val="FootnoteReference"/>
        </w:rPr>
        <w:footnoteReference w:id="2"/>
      </w:r>
      <w:r w:rsidR="003671B1">
        <w:t xml:space="preserve"> </w:t>
      </w:r>
      <w:r w:rsidR="008D7B00" w:rsidRPr="008D7B00">
        <w:t xml:space="preserve">In 2016, 43,776 </w:t>
      </w:r>
      <w:r w:rsidR="000517D9">
        <w:t>persons</w:t>
      </w:r>
      <w:r w:rsidR="000517D9" w:rsidRPr="008D7B00">
        <w:t xml:space="preserve"> </w:t>
      </w:r>
      <w:r w:rsidR="008D7B00" w:rsidRPr="008D7B00">
        <w:t>with disabilities aged 20-64 were unemployed</w:t>
      </w:r>
      <w:r w:rsidR="00257E5B">
        <w:t xml:space="preserve">, </w:t>
      </w:r>
      <w:r w:rsidR="00F342A5">
        <w:t>a figure which includes</w:t>
      </w:r>
      <w:r w:rsidR="008D7B00" w:rsidRPr="008D7B00">
        <w:t xml:space="preserve"> those looking for their first regular job. The unemployment rate for </w:t>
      </w:r>
      <w:r w:rsidR="000517D9">
        <w:t>persons</w:t>
      </w:r>
      <w:r w:rsidR="000517D9" w:rsidRPr="008D7B00">
        <w:t xml:space="preserve"> </w:t>
      </w:r>
      <w:r w:rsidR="008D7B00" w:rsidRPr="008D7B00">
        <w:t>with a disability was 26.6%</w:t>
      </w:r>
      <w:r w:rsidR="00257E5B">
        <w:t>,</w:t>
      </w:r>
      <w:r w:rsidR="008D7B00" w:rsidRPr="008D7B00">
        <w:t xml:space="preserve"> compared to 11.5% for </w:t>
      </w:r>
      <w:r w:rsidR="000517D9">
        <w:t>persons</w:t>
      </w:r>
      <w:r w:rsidR="000517D9" w:rsidRPr="008D7B00">
        <w:t xml:space="preserve"> </w:t>
      </w:r>
      <w:r w:rsidR="008D7B00" w:rsidRPr="008D7B00">
        <w:t>wh</w:t>
      </w:r>
      <w:r w:rsidR="00257E5B">
        <w:t xml:space="preserve">o do not have a disability. </w:t>
      </w:r>
    </w:p>
    <w:p w14:paraId="18CDE22B" w14:textId="77777777" w:rsidR="00CC7A16" w:rsidRDefault="008D7B00" w:rsidP="00CC7A16">
      <w:r w:rsidRPr="008D7B00">
        <w:lastRenderedPageBreak/>
        <w:t xml:space="preserve">The labour force participation rate for </w:t>
      </w:r>
      <w:r w:rsidR="00DA6E35">
        <w:t>those</w:t>
      </w:r>
      <w:r w:rsidRPr="008D7B00">
        <w:t xml:space="preserve"> aged 20-64 was </w:t>
      </w:r>
      <w:r w:rsidRPr="00D179A3">
        <w:t>82.3%</w:t>
      </w:r>
      <w:r w:rsidRPr="008D7B00">
        <w:t xml:space="preserve"> for </w:t>
      </w:r>
      <w:r w:rsidR="000517D9">
        <w:t>persons</w:t>
      </w:r>
      <w:r w:rsidR="000517D9" w:rsidRPr="008D7B00">
        <w:t xml:space="preserve"> </w:t>
      </w:r>
      <w:r w:rsidRPr="008D7B00">
        <w:t>without a disability</w:t>
      </w:r>
      <w:r w:rsidR="00257E5B">
        <w:t>, compared to</w:t>
      </w:r>
      <w:r w:rsidRPr="008D7B00">
        <w:t xml:space="preserve"> 49.7% for </w:t>
      </w:r>
      <w:r w:rsidR="000517D9">
        <w:t>persons</w:t>
      </w:r>
      <w:r w:rsidR="000517D9" w:rsidRPr="008D7B00">
        <w:t xml:space="preserve"> </w:t>
      </w:r>
      <w:r w:rsidRPr="008D7B00">
        <w:t>with a disability</w:t>
      </w:r>
      <w:r w:rsidR="00E3177A">
        <w:t xml:space="preserve"> (Table 1)</w:t>
      </w:r>
      <w:r w:rsidRPr="008D7B00">
        <w:t xml:space="preserve">. </w:t>
      </w:r>
      <w:r w:rsidR="00257E5B">
        <w:t>As a result,</w:t>
      </w:r>
      <w:r w:rsidRPr="008D7B00">
        <w:t xml:space="preserve"> half of </w:t>
      </w:r>
      <w:r w:rsidR="000517D9">
        <w:t>persons</w:t>
      </w:r>
      <w:r w:rsidR="000517D9" w:rsidRPr="008D7B00">
        <w:t xml:space="preserve"> </w:t>
      </w:r>
      <w:r w:rsidRPr="008D7B00">
        <w:t>with a disability who are between 20 and 64 are not in the labour force.</w:t>
      </w:r>
      <w:r w:rsidR="00407BD8">
        <w:rPr>
          <w:rStyle w:val="FootnoteReference"/>
        </w:rPr>
        <w:footnoteReference w:id="3"/>
      </w:r>
      <w:r w:rsidRPr="008D7B00">
        <w:t xml:space="preserve"> This compares with only 18% of </w:t>
      </w:r>
      <w:r w:rsidR="000517D9">
        <w:t>persons</w:t>
      </w:r>
      <w:r w:rsidR="000517D9" w:rsidRPr="008D7B00">
        <w:t xml:space="preserve"> </w:t>
      </w:r>
      <w:r w:rsidRPr="008D7B00">
        <w:t xml:space="preserve">without a disability who are outside the labour force. However, once in the labour force, people with a disability are more likely to be unemployed than </w:t>
      </w:r>
      <w:r w:rsidR="000517D9">
        <w:t>persons</w:t>
      </w:r>
      <w:r w:rsidR="000517D9" w:rsidRPr="008D7B00">
        <w:t xml:space="preserve"> </w:t>
      </w:r>
      <w:r w:rsidRPr="008D7B00">
        <w:t>who do not have a disability.</w:t>
      </w:r>
    </w:p>
    <w:p w14:paraId="2D6A5667" w14:textId="77777777" w:rsidR="000A1BB0" w:rsidRDefault="00953E92" w:rsidP="00CC7A16">
      <w:r w:rsidRPr="00953E92">
        <w:t xml:space="preserve">A </w:t>
      </w:r>
      <w:r w:rsidR="00332C30">
        <w:t xml:space="preserve">2019 </w:t>
      </w:r>
      <w:r w:rsidRPr="00953E92">
        <w:t xml:space="preserve">European Commission Report for Ireland notes that the employment rate for </w:t>
      </w:r>
      <w:r w:rsidR="000517D9">
        <w:t>persons</w:t>
      </w:r>
      <w:r w:rsidR="000517D9" w:rsidRPr="008D7B00">
        <w:t xml:space="preserve"> </w:t>
      </w:r>
      <w:r w:rsidRPr="00953E92">
        <w:t>with disabilities in Ireland is</w:t>
      </w:r>
      <w:r w:rsidR="00407BD8">
        <w:t xml:space="preserve"> one of</w:t>
      </w:r>
      <w:r w:rsidRPr="00953E92">
        <w:t xml:space="preserve"> the lowest in the EU</w:t>
      </w:r>
      <w:r w:rsidR="003C04A6">
        <w:t>.</w:t>
      </w:r>
      <w:r w:rsidR="003C04A6">
        <w:rPr>
          <w:rStyle w:val="FootnoteReference"/>
        </w:rPr>
        <w:footnoteReference w:id="4"/>
      </w:r>
      <w:r w:rsidRPr="00953E92">
        <w:t xml:space="preserve"> It also reports that Ireland has one of the highest gaps between </w:t>
      </w:r>
      <w:r w:rsidR="000517D9">
        <w:t>persons</w:t>
      </w:r>
      <w:r w:rsidR="000517D9" w:rsidRPr="008D7B00">
        <w:t xml:space="preserve"> </w:t>
      </w:r>
      <w:r w:rsidRPr="00953E92">
        <w:t xml:space="preserve">with and without disabilities. </w:t>
      </w:r>
      <w:r w:rsidR="00B972FD">
        <w:t xml:space="preserve">The </w:t>
      </w:r>
      <w:r w:rsidR="00B972FD" w:rsidRPr="00BE55D9">
        <w:rPr>
          <w:b/>
        </w:rPr>
        <w:t>Comprehensive Employment Strategy for People with Disabilities</w:t>
      </w:r>
      <w:r w:rsidR="00B972FD">
        <w:t xml:space="preserve"> </w:t>
      </w:r>
      <w:r w:rsidR="00BE55D9" w:rsidRPr="00BE55D9">
        <w:rPr>
          <w:b/>
        </w:rPr>
        <w:t>2015-2024</w:t>
      </w:r>
      <w:r w:rsidR="00BE55D9">
        <w:t xml:space="preserve"> </w:t>
      </w:r>
      <w:r w:rsidR="00B972FD">
        <w:t>seeks to increase</w:t>
      </w:r>
      <w:r w:rsidR="00BE55D9">
        <w:t xml:space="preserve"> the</w:t>
      </w:r>
      <w:r w:rsidR="00B972FD">
        <w:t xml:space="preserve"> </w:t>
      </w:r>
      <w:r w:rsidR="00B972FD" w:rsidRPr="00B972FD">
        <w:t>employment levels</w:t>
      </w:r>
      <w:r w:rsidR="00BE55D9">
        <w:t xml:space="preserve"> </w:t>
      </w:r>
      <w:r w:rsidR="00BE55D9" w:rsidRPr="00BE55D9">
        <w:t xml:space="preserve">of </w:t>
      </w:r>
      <w:r w:rsidR="000517D9">
        <w:t>persons</w:t>
      </w:r>
      <w:r w:rsidR="000517D9" w:rsidRPr="008D7B00">
        <w:t xml:space="preserve"> </w:t>
      </w:r>
      <w:r w:rsidR="00BE55D9" w:rsidRPr="00BE55D9">
        <w:t xml:space="preserve">with disabilities </w:t>
      </w:r>
      <w:r w:rsidR="00BE55D9">
        <w:t>aged 20 to 64</w:t>
      </w:r>
      <w:r w:rsidR="00B972FD" w:rsidRPr="00B972FD">
        <w:t xml:space="preserve"> from</w:t>
      </w:r>
      <w:r w:rsidR="00BE55D9">
        <w:t xml:space="preserve"> the 2011 Census figure of 33%</w:t>
      </w:r>
      <w:r w:rsidR="00B972FD" w:rsidRPr="00B972FD">
        <w:t xml:space="preserve"> up to 38% by 2024.</w:t>
      </w:r>
      <w:r w:rsidR="00BE55D9">
        <w:rPr>
          <w:rStyle w:val="FootnoteReference"/>
        </w:rPr>
        <w:footnoteReference w:id="5"/>
      </w:r>
      <w:r w:rsidR="00BE55D9">
        <w:t xml:space="preserve"> </w:t>
      </w:r>
      <w:r w:rsidR="000A1BB0" w:rsidRPr="000A1BB0">
        <w:t xml:space="preserve">The </w:t>
      </w:r>
      <w:r w:rsidR="000A1BB0" w:rsidRPr="00407BD8">
        <w:rPr>
          <w:b/>
        </w:rPr>
        <w:t>Roadmap for Social Inclusion 2020 – 2025</w:t>
      </w:r>
      <w:r w:rsidR="000A1BB0" w:rsidRPr="000A1BB0">
        <w:t xml:space="preserve"> </w:t>
      </w:r>
      <w:r w:rsidR="007A7126">
        <w:t>aims to increase</w:t>
      </w:r>
      <w:r w:rsidR="00D93106" w:rsidRPr="00D93106">
        <w:t xml:space="preserve"> the employment rate of persons with a disability (aged 15+) from the current level of 22.3% (Census 2016) to 25% by Cen</w:t>
      </w:r>
      <w:r w:rsidR="00D93106">
        <w:t>sus 2021 and 33% by Census 2026</w:t>
      </w:r>
      <w:r w:rsidR="00BE55D9">
        <w:t>.</w:t>
      </w:r>
      <w:r w:rsidR="00BE55D9">
        <w:rPr>
          <w:rStyle w:val="FootnoteReference"/>
        </w:rPr>
        <w:footnoteReference w:id="6"/>
      </w:r>
    </w:p>
    <w:p w14:paraId="63816B88" w14:textId="77777777" w:rsidR="00423DED" w:rsidRDefault="00312A05" w:rsidP="00423DED">
      <w:pPr>
        <w:pStyle w:val="TableTitle"/>
      </w:pPr>
      <w:r>
        <w:t xml:space="preserve">Table 1: </w:t>
      </w:r>
      <w:r w:rsidR="00423DED" w:rsidRPr="00423DED">
        <w:t>Labour force participation and unemployment rate</w:t>
      </w:r>
      <w:r>
        <w:t>s</w:t>
      </w:r>
      <w:r w:rsidR="00423DED" w:rsidRPr="00423DED">
        <w:t xml:space="preserve"> by disability</w:t>
      </w:r>
    </w:p>
    <w:tbl>
      <w:tblPr>
        <w:tblW w:w="8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1: Labour force participation and unemployment rates by disability"/>
        <w:tblDescription w:val="Table showing the labour force participation and unemployment rates by disability"/>
      </w:tblPr>
      <w:tblGrid>
        <w:gridCol w:w="3402"/>
        <w:gridCol w:w="1418"/>
        <w:gridCol w:w="1660"/>
        <w:gridCol w:w="2160"/>
      </w:tblGrid>
      <w:tr w:rsidR="00423DED" w:rsidRPr="00E14CDF" w14:paraId="16F05B9E" w14:textId="77777777" w:rsidTr="00DB3C01">
        <w:trPr>
          <w:tblHeader/>
          <w:jc w:val="right"/>
        </w:trPr>
        <w:tc>
          <w:tcPr>
            <w:tcW w:w="3402" w:type="dxa"/>
            <w:shd w:val="clear" w:color="auto" w:fill="auto"/>
          </w:tcPr>
          <w:p w14:paraId="7707307F" w14:textId="77777777" w:rsidR="00423DED" w:rsidRPr="00E14CDF" w:rsidRDefault="00423DED" w:rsidP="00423DED">
            <w:pPr>
              <w:pStyle w:val="TableHead"/>
            </w:pPr>
          </w:p>
        </w:tc>
        <w:tc>
          <w:tcPr>
            <w:tcW w:w="1418" w:type="dxa"/>
            <w:shd w:val="clear" w:color="auto" w:fill="auto"/>
          </w:tcPr>
          <w:p w14:paraId="69DC6E26" w14:textId="77777777" w:rsidR="00423DED" w:rsidRPr="00E14CDF" w:rsidRDefault="00423DED" w:rsidP="00C23D2D">
            <w:pPr>
              <w:pStyle w:val="TableHead"/>
            </w:pPr>
            <w:r w:rsidRPr="00E14CDF">
              <w:t>All</w:t>
            </w:r>
          </w:p>
        </w:tc>
        <w:tc>
          <w:tcPr>
            <w:tcW w:w="1660" w:type="dxa"/>
            <w:shd w:val="clear" w:color="auto" w:fill="auto"/>
          </w:tcPr>
          <w:p w14:paraId="487A84F1" w14:textId="77777777" w:rsidR="00423DED" w:rsidRPr="00E14CDF" w:rsidRDefault="000517D9" w:rsidP="00C23D2D">
            <w:pPr>
              <w:pStyle w:val="TableHead"/>
            </w:pPr>
            <w:r>
              <w:t>Persons</w:t>
            </w:r>
            <w:r w:rsidRPr="008D7B00">
              <w:t xml:space="preserve"> </w:t>
            </w:r>
            <w:r w:rsidR="00423DED" w:rsidRPr="00E14CDF">
              <w:t>with a disability</w:t>
            </w:r>
          </w:p>
        </w:tc>
        <w:tc>
          <w:tcPr>
            <w:tcW w:w="2160" w:type="dxa"/>
            <w:shd w:val="clear" w:color="auto" w:fill="auto"/>
          </w:tcPr>
          <w:p w14:paraId="1F4AE2ED" w14:textId="77777777" w:rsidR="00423DED" w:rsidRPr="00E14CDF" w:rsidRDefault="000517D9" w:rsidP="00C23D2D">
            <w:pPr>
              <w:pStyle w:val="TableHead"/>
            </w:pPr>
            <w:r>
              <w:t>Persons</w:t>
            </w:r>
            <w:r w:rsidRPr="008D7B00">
              <w:t xml:space="preserve"> </w:t>
            </w:r>
            <w:r w:rsidR="00423DED" w:rsidRPr="00E14CDF">
              <w:t>without a disability</w:t>
            </w:r>
          </w:p>
        </w:tc>
      </w:tr>
      <w:tr w:rsidR="00423DED" w:rsidRPr="00E14CDF" w14:paraId="4030738F" w14:textId="77777777" w:rsidTr="00DB3C01">
        <w:trPr>
          <w:jc w:val="right"/>
        </w:trPr>
        <w:tc>
          <w:tcPr>
            <w:tcW w:w="3402" w:type="dxa"/>
            <w:shd w:val="clear" w:color="auto" w:fill="auto"/>
          </w:tcPr>
          <w:p w14:paraId="1DF774BF" w14:textId="77777777" w:rsidR="00423DED" w:rsidRPr="00E14CDF" w:rsidRDefault="00423DED" w:rsidP="00423DED">
            <w:pPr>
              <w:pStyle w:val="TableRowHead"/>
              <w:rPr>
                <w:rFonts w:ascii="Gill Sans MT" w:hAnsi="Gill Sans MT"/>
              </w:rPr>
            </w:pPr>
            <w:r w:rsidRPr="00E14CDF">
              <w:rPr>
                <w:rFonts w:ascii="Gill Sans MT" w:hAnsi="Gill Sans MT"/>
              </w:rPr>
              <w:t>Total population (aged 20-64)</w:t>
            </w:r>
          </w:p>
        </w:tc>
        <w:tc>
          <w:tcPr>
            <w:tcW w:w="1418" w:type="dxa"/>
            <w:shd w:val="clear" w:color="auto" w:fill="auto"/>
          </w:tcPr>
          <w:p w14:paraId="39468DA4" w14:textId="77777777" w:rsidR="00423DED" w:rsidRPr="00E14CDF" w:rsidRDefault="00423DED" w:rsidP="005458CE">
            <w:pPr>
              <w:pStyle w:val="TableCell"/>
              <w:jc w:val="right"/>
            </w:pPr>
            <w:r w:rsidRPr="00E14CDF">
              <w:t>2,814,930</w:t>
            </w:r>
          </w:p>
        </w:tc>
        <w:tc>
          <w:tcPr>
            <w:tcW w:w="1660" w:type="dxa"/>
            <w:shd w:val="clear" w:color="auto" w:fill="auto"/>
          </w:tcPr>
          <w:p w14:paraId="62B4A6A4" w14:textId="77777777" w:rsidR="00423DED" w:rsidRPr="00E14CDF" w:rsidRDefault="00423DED" w:rsidP="005458CE">
            <w:pPr>
              <w:pStyle w:val="TableCell"/>
              <w:jc w:val="right"/>
            </w:pPr>
            <w:r w:rsidRPr="00E14CDF">
              <w:t>331,145</w:t>
            </w:r>
          </w:p>
        </w:tc>
        <w:tc>
          <w:tcPr>
            <w:tcW w:w="2160" w:type="dxa"/>
            <w:shd w:val="clear" w:color="auto" w:fill="auto"/>
          </w:tcPr>
          <w:p w14:paraId="4769C828" w14:textId="77777777" w:rsidR="00423DED" w:rsidRPr="00E14CDF" w:rsidRDefault="00423DED" w:rsidP="005458CE">
            <w:pPr>
              <w:pStyle w:val="TableCell"/>
              <w:jc w:val="right"/>
            </w:pPr>
            <w:r w:rsidRPr="00E14CDF">
              <w:t>2,483,785</w:t>
            </w:r>
          </w:p>
        </w:tc>
      </w:tr>
      <w:tr w:rsidR="00423DED" w:rsidRPr="00E14CDF" w14:paraId="6BCBDFF3" w14:textId="77777777" w:rsidTr="00DB3C01">
        <w:trPr>
          <w:jc w:val="right"/>
        </w:trPr>
        <w:tc>
          <w:tcPr>
            <w:tcW w:w="3402" w:type="dxa"/>
            <w:shd w:val="clear" w:color="auto" w:fill="auto"/>
          </w:tcPr>
          <w:p w14:paraId="1DCE044D" w14:textId="77777777" w:rsidR="00423DED" w:rsidRPr="00E14CDF" w:rsidRDefault="00423DED" w:rsidP="00423DED">
            <w:pPr>
              <w:pStyle w:val="TableRowHead"/>
              <w:rPr>
                <w:rFonts w:ascii="Gill Sans MT" w:hAnsi="Gill Sans MT"/>
              </w:rPr>
            </w:pPr>
            <w:r w:rsidRPr="00E14CDF">
              <w:rPr>
                <w:rFonts w:ascii="Gill Sans MT" w:hAnsi="Gill Sans MT"/>
              </w:rPr>
              <w:t>At work (Number)</w:t>
            </w:r>
          </w:p>
        </w:tc>
        <w:tc>
          <w:tcPr>
            <w:tcW w:w="1418" w:type="dxa"/>
            <w:shd w:val="clear" w:color="auto" w:fill="auto"/>
          </w:tcPr>
          <w:p w14:paraId="0387BF2A" w14:textId="77777777" w:rsidR="00423DED" w:rsidRPr="00E14CDF" w:rsidRDefault="00423DED" w:rsidP="005458CE">
            <w:pPr>
              <w:pStyle w:val="TableCell"/>
              <w:jc w:val="right"/>
            </w:pPr>
            <w:r w:rsidRPr="00E14CDF">
              <w:t>1,928,523</w:t>
            </w:r>
          </w:p>
        </w:tc>
        <w:tc>
          <w:tcPr>
            <w:tcW w:w="1660" w:type="dxa"/>
            <w:shd w:val="clear" w:color="auto" w:fill="auto"/>
          </w:tcPr>
          <w:p w14:paraId="09BD62C9" w14:textId="77777777" w:rsidR="00423DED" w:rsidRPr="00E14CDF" w:rsidRDefault="00423DED" w:rsidP="005458CE">
            <w:pPr>
              <w:pStyle w:val="TableCell"/>
              <w:jc w:val="right"/>
            </w:pPr>
            <w:r w:rsidRPr="00E14CDF">
              <w:t>120,775</w:t>
            </w:r>
          </w:p>
        </w:tc>
        <w:tc>
          <w:tcPr>
            <w:tcW w:w="2160" w:type="dxa"/>
            <w:shd w:val="clear" w:color="auto" w:fill="auto"/>
          </w:tcPr>
          <w:p w14:paraId="41837929" w14:textId="77777777" w:rsidR="00423DED" w:rsidRPr="00E14CDF" w:rsidRDefault="00423DED" w:rsidP="005458CE">
            <w:pPr>
              <w:pStyle w:val="TableCell"/>
              <w:jc w:val="right"/>
            </w:pPr>
            <w:r w:rsidRPr="00E14CDF">
              <w:t>1,807,748</w:t>
            </w:r>
          </w:p>
        </w:tc>
      </w:tr>
      <w:tr w:rsidR="00423DED" w:rsidRPr="00E14CDF" w14:paraId="33164B28" w14:textId="77777777" w:rsidTr="00DB3C01">
        <w:trPr>
          <w:jc w:val="right"/>
        </w:trPr>
        <w:tc>
          <w:tcPr>
            <w:tcW w:w="3402" w:type="dxa"/>
            <w:shd w:val="clear" w:color="auto" w:fill="auto"/>
          </w:tcPr>
          <w:p w14:paraId="075B671D" w14:textId="77777777" w:rsidR="00423DED" w:rsidRPr="00E14CDF" w:rsidRDefault="00423DED" w:rsidP="00423DED">
            <w:pPr>
              <w:pStyle w:val="TableRowHead"/>
              <w:rPr>
                <w:rFonts w:ascii="Gill Sans MT" w:hAnsi="Gill Sans MT"/>
              </w:rPr>
            </w:pPr>
            <w:r w:rsidRPr="00E14CDF">
              <w:rPr>
                <w:rFonts w:ascii="Gill Sans MT" w:hAnsi="Gill Sans MT"/>
              </w:rPr>
              <w:t>Unemployed including looking for first regular job (Number)</w:t>
            </w:r>
          </w:p>
        </w:tc>
        <w:tc>
          <w:tcPr>
            <w:tcW w:w="1418" w:type="dxa"/>
            <w:shd w:val="clear" w:color="auto" w:fill="auto"/>
          </w:tcPr>
          <w:p w14:paraId="588F847F" w14:textId="77777777" w:rsidR="00423DED" w:rsidRPr="00E14CDF" w:rsidRDefault="00423DED" w:rsidP="005458CE">
            <w:pPr>
              <w:pStyle w:val="TableCell"/>
              <w:jc w:val="right"/>
            </w:pPr>
            <w:r w:rsidRPr="00E14CDF">
              <w:t>279,764</w:t>
            </w:r>
          </w:p>
        </w:tc>
        <w:tc>
          <w:tcPr>
            <w:tcW w:w="1660" w:type="dxa"/>
            <w:shd w:val="clear" w:color="auto" w:fill="auto"/>
          </w:tcPr>
          <w:p w14:paraId="14DAE87C" w14:textId="77777777" w:rsidR="00423DED" w:rsidRPr="00E14CDF" w:rsidRDefault="00423DED" w:rsidP="005458CE">
            <w:pPr>
              <w:pStyle w:val="TableCell"/>
              <w:jc w:val="right"/>
            </w:pPr>
            <w:r w:rsidRPr="00E14CDF">
              <w:t>43,776</w:t>
            </w:r>
          </w:p>
        </w:tc>
        <w:tc>
          <w:tcPr>
            <w:tcW w:w="2160" w:type="dxa"/>
            <w:shd w:val="clear" w:color="auto" w:fill="auto"/>
          </w:tcPr>
          <w:p w14:paraId="2D15A98D" w14:textId="77777777" w:rsidR="00423DED" w:rsidRPr="00E14CDF" w:rsidRDefault="00423DED" w:rsidP="005458CE">
            <w:pPr>
              <w:pStyle w:val="TableCell"/>
              <w:jc w:val="right"/>
            </w:pPr>
            <w:r w:rsidRPr="00E14CDF">
              <w:t>235,988</w:t>
            </w:r>
          </w:p>
        </w:tc>
      </w:tr>
      <w:tr w:rsidR="00423DED" w:rsidRPr="00E14CDF" w14:paraId="67988CB3" w14:textId="77777777" w:rsidTr="00DB3C01">
        <w:trPr>
          <w:jc w:val="right"/>
        </w:trPr>
        <w:tc>
          <w:tcPr>
            <w:tcW w:w="3402" w:type="dxa"/>
            <w:shd w:val="clear" w:color="auto" w:fill="auto"/>
          </w:tcPr>
          <w:p w14:paraId="794E1B90" w14:textId="77777777" w:rsidR="00423DED" w:rsidRPr="00E14CDF" w:rsidRDefault="00423DED" w:rsidP="00423DED">
            <w:pPr>
              <w:pStyle w:val="TableRowHead"/>
              <w:rPr>
                <w:rFonts w:ascii="Gill Sans MT" w:hAnsi="Gill Sans MT"/>
              </w:rPr>
            </w:pPr>
            <w:r w:rsidRPr="00E14CDF">
              <w:rPr>
                <w:rFonts w:ascii="Gill Sans MT" w:hAnsi="Gill Sans MT"/>
              </w:rPr>
              <w:lastRenderedPageBreak/>
              <w:t>Total in the Labour Force</w:t>
            </w:r>
          </w:p>
        </w:tc>
        <w:tc>
          <w:tcPr>
            <w:tcW w:w="1418" w:type="dxa"/>
            <w:shd w:val="clear" w:color="auto" w:fill="auto"/>
          </w:tcPr>
          <w:p w14:paraId="448461F1" w14:textId="77777777" w:rsidR="00423DED" w:rsidRPr="00E14CDF" w:rsidRDefault="00423DED" w:rsidP="005458CE">
            <w:pPr>
              <w:pStyle w:val="TableCell"/>
              <w:jc w:val="right"/>
            </w:pPr>
            <w:r w:rsidRPr="00E14CDF">
              <w:t>2,208,287</w:t>
            </w:r>
          </w:p>
        </w:tc>
        <w:tc>
          <w:tcPr>
            <w:tcW w:w="1660" w:type="dxa"/>
            <w:shd w:val="clear" w:color="auto" w:fill="auto"/>
          </w:tcPr>
          <w:p w14:paraId="25AE337E" w14:textId="77777777" w:rsidR="00423DED" w:rsidRPr="00E14CDF" w:rsidRDefault="00423DED" w:rsidP="005458CE">
            <w:pPr>
              <w:pStyle w:val="TableCell"/>
              <w:jc w:val="right"/>
            </w:pPr>
            <w:r w:rsidRPr="00E14CDF">
              <w:t>164,551</w:t>
            </w:r>
          </w:p>
        </w:tc>
        <w:tc>
          <w:tcPr>
            <w:tcW w:w="2160" w:type="dxa"/>
            <w:shd w:val="clear" w:color="auto" w:fill="auto"/>
          </w:tcPr>
          <w:p w14:paraId="26FA338E" w14:textId="77777777" w:rsidR="00423DED" w:rsidRPr="00E14CDF" w:rsidRDefault="00423DED" w:rsidP="005458CE">
            <w:pPr>
              <w:pStyle w:val="TableCell"/>
              <w:jc w:val="right"/>
            </w:pPr>
            <w:r w:rsidRPr="00E14CDF">
              <w:t>2,043,736</w:t>
            </w:r>
          </w:p>
        </w:tc>
      </w:tr>
      <w:tr w:rsidR="00423DED" w:rsidRPr="00E14CDF" w14:paraId="64A93A88" w14:textId="77777777" w:rsidTr="00DB3C01">
        <w:trPr>
          <w:jc w:val="right"/>
        </w:trPr>
        <w:tc>
          <w:tcPr>
            <w:tcW w:w="3402" w:type="dxa"/>
            <w:shd w:val="clear" w:color="auto" w:fill="auto"/>
          </w:tcPr>
          <w:p w14:paraId="625A9F1E" w14:textId="77777777" w:rsidR="00423DED" w:rsidRPr="00E14CDF" w:rsidRDefault="00423DED" w:rsidP="00423DED">
            <w:pPr>
              <w:pStyle w:val="TableRowHead"/>
              <w:rPr>
                <w:rFonts w:ascii="Gill Sans MT" w:hAnsi="Gill Sans MT"/>
              </w:rPr>
            </w:pPr>
            <w:r w:rsidRPr="00E14CDF">
              <w:rPr>
                <w:rFonts w:ascii="Gill Sans MT" w:hAnsi="Gill Sans MT"/>
              </w:rPr>
              <w:t>Not in labour force including not stated (Number)</w:t>
            </w:r>
          </w:p>
        </w:tc>
        <w:tc>
          <w:tcPr>
            <w:tcW w:w="1418" w:type="dxa"/>
            <w:shd w:val="clear" w:color="auto" w:fill="auto"/>
          </w:tcPr>
          <w:p w14:paraId="499737E9" w14:textId="77777777" w:rsidR="00423DED" w:rsidRPr="00E14CDF" w:rsidRDefault="00423DED" w:rsidP="005458CE">
            <w:pPr>
              <w:pStyle w:val="TableCell"/>
              <w:jc w:val="right"/>
            </w:pPr>
            <w:r w:rsidRPr="00E14CDF">
              <w:t>606,643</w:t>
            </w:r>
          </w:p>
        </w:tc>
        <w:tc>
          <w:tcPr>
            <w:tcW w:w="1660" w:type="dxa"/>
            <w:shd w:val="clear" w:color="auto" w:fill="auto"/>
          </w:tcPr>
          <w:p w14:paraId="4948C2B5" w14:textId="77777777" w:rsidR="00423DED" w:rsidRPr="00E14CDF" w:rsidRDefault="00423DED" w:rsidP="005458CE">
            <w:pPr>
              <w:pStyle w:val="TableCell"/>
              <w:jc w:val="right"/>
            </w:pPr>
            <w:r w:rsidRPr="00E14CDF">
              <w:t>166,594</w:t>
            </w:r>
          </w:p>
        </w:tc>
        <w:tc>
          <w:tcPr>
            <w:tcW w:w="2160" w:type="dxa"/>
            <w:shd w:val="clear" w:color="auto" w:fill="auto"/>
          </w:tcPr>
          <w:p w14:paraId="07626429" w14:textId="77777777" w:rsidR="00423DED" w:rsidRPr="00E14CDF" w:rsidRDefault="00423DED" w:rsidP="005458CE">
            <w:pPr>
              <w:pStyle w:val="TableCell"/>
              <w:jc w:val="right"/>
            </w:pPr>
            <w:r w:rsidRPr="00E14CDF">
              <w:t>440,049</w:t>
            </w:r>
          </w:p>
        </w:tc>
      </w:tr>
      <w:tr w:rsidR="00423DED" w:rsidRPr="00E14CDF" w14:paraId="05A13246" w14:textId="77777777" w:rsidTr="00DB3C01">
        <w:trPr>
          <w:jc w:val="right"/>
        </w:trPr>
        <w:tc>
          <w:tcPr>
            <w:tcW w:w="3402" w:type="dxa"/>
            <w:shd w:val="clear" w:color="auto" w:fill="auto"/>
          </w:tcPr>
          <w:p w14:paraId="4B3751BE" w14:textId="77777777" w:rsidR="00423DED" w:rsidRPr="00E14CDF" w:rsidRDefault="00423DED" w:rsidP="00423DED">
            <w:pPr>
              <w:pStyle w:val="TableRowHead"/>
              <w:rPr>
                <w:rFonts w:ascii="Gill Sans MT" w:hAnsi="Gill Sans MT"/>
              </w:rPr>
            </w:pPr>
            <w:r w:rsidRPr="00E14CDF">
              <w:rPr>
                <w:rFonts w:ascii="Gill Sans MT" w:hAnsi="Gill Sans MT"/>
              </w:rPr>
              <w:t>Labour force participation rate (% Rate)</w:t>
            </w:r>
          </w:p>
        </w:tc>
        <w:tc>
          <w:tcPr>
            <w:tcW w:w="1418" w:type="dxa"/>
            <w:shd w:val="clear" w:color="auto" w:fill="auto"/>
          </w:tcPr>
          <w:p w14:paraId="2447B3CD" w14:textId="77777777" w:rsidR="00423DED" w:rsidRPr="00E14CDF" w:rsidRDefault="00423DED" w:rsidP="005458CE">
            <w:pPr>
              <w:pStyle w:val="TableCell"/>
              <w:jc w:val="right"/>
            </w:pPr>
            <w:r w:rsidRPr="00D179A3">
              <w:t>78.4</w:t>
            </w:r>
          </w:p>
        </w:tc>
        <w:tc>
          <w:tcPr>
            <w:tcW w:w="1660" w:type="dxa"/>
            <w:shd w:val="clear" w:color="auto" w:fill="auto"/>
          </w:tcPr>
          <w:p w14:paraId="6DC987C7" w14:textId="77777777" w:rsidR="00423DED" w:rsidRPr="00E14CDF" w:rsidRDefault="00423DED" w:rsidP="005458CE">
            <w:pPr>
              <w:pStyle w:val="TableCell"/>
              <w:jc w:val="right"/>
            </w:pPr>
            <w:r w:rsidRPr="00E14CDF">
              <w:t>49.7</w:t>
            </w:r>
          </w:p>
        </w:tc>
        <w:tc>
          <w:tcPr>
            <w:tcW w:w="2160" w:type="dxa"/>
            <w:shd w:val="clear" w:color="auto" w:fill="auto"/>
          </w:tcPr>
          <w:p w14:paraId="676AC1FF" w14:textId="77777777" w:rsidR="00423DED" w:rsidRPr="00E14CDF" w:rsidRDefault="00423DED" w:rsidP="005458CE">
            <w:pPr>
              <w:pStyle w:val="TableCell"/>
              <w:jc w:val="right"/>
            </w:pPr>
            <w:r w:rsidRPr="00E14CDF">
              <w:t>82.3</w:t>
            </w:r>
          </w:p>
        </w:tc>
      </w:tr>
      <w:tr w:rsidR="00423DED" w:rsidRPr="00E14CDF" w14:paraId="6D7560F6" w14:textId="77777777" w:rsidTr="00DB3C01">
        <w:trPr>
          <w:jc w:val="right"/>
        </w:trPr>
        <w:tc>
          <w:tcPr>
            <w:tcW w:w="3402" w:type="dxa"/>
            <w:shd w:val="clear" w:color="auto" w:fill="auto"/>
          </w:tcPr>
          <w:p w14:paraId="14126AB8" w14:textId="77777777" w:rsidR="00423DED" w:rsidRPr="00E14CDF" w:rsidRDefault="00423DED" w:rsidP="00423DED">
            <w:pPr>
              <w:pStyle w:val="TableRowHead"/>
              <w:rPr>
                <w:rFonts w:ascii="Gill Sans MT" w:hAnsi="Gill Sans MT"/>
              </w:rPr>
            </w:pPr>
            <w:r w:rsidRPr="00E14CDF">
              <w:rPr>
                <w:rFonts w:ascii="Gill Sans MT" w:hAnsi="Gill Sans MT"/>
              </w:rPr>
              <w:t>Unemployment rate (% Rate)</w:t>
            </w:r>
          </w:p>
        </w:tc>
        <w:tc>
          <w:tcPr>
            <w:tcW w:w="1418" w:type="dxa"/>
            <w:shd w:val="clear" w:color="auto" w:fill="auto"/>
          </w:tcPr>
          <w:p w14:paraId="2194CCAB" w14:textId="77777777" w:rsidR="00423DED" w:rsidRPr="00E14CDF" w:rsidRDefault="00423DED" w:rsidP="005458CE">
            <w:pPr>
              <w:pStyle w:val="TableCell"/>
              <w:jc w:val="right"/>
            </w:pPr>
            <w:r w:rsidRPr="00E14CDF">
              <w:t>12.7</w:t>
            </w:r>
          </w:p>
        </w:tc>
        <w:tc>
          <w:tcPr>
            <w:tcW w:w="1660" w:type="dxa"/>
            <w:shd w:val="clear" w:color="auto" w:fill="auto"/>
          </w:tcPr>
          <w:p w14:paraId="647C7BF5" w14:textId="77777777" w:rsidR="00423DED" w:rsidRPr="00E14CDF" w:rsidRDefault="00423DED" w:rsidP="005458CE">
            <w:pPr>
              <w:pStyle w:val="TableCell"/>
              <w:jc w:val="right"/>
            </w:pPr>
            <w:r w:rsidRPr="00E14CDF">
              <w:t>26.6</w:t>
            </w:r>
          </w:p>
        </w:tc>
        <w:tc>
          <w:tcPr>
            <w:tcW w:w="2160" w:type="dxa"/>
            <w:shd w:val="clear" w:color="auto" w:fill="auto"/>
          </w:tcPr>
          <w:p w14:paraId="16AC5CEB" w14:textId="77777777" w:rsidR="00423DED" w:rsidRPr="00E14CDF" w:rsidRDefault="00423DED" w:rsidP="005458CE">
            <w:pPr>
              <w:pStyle w:val="TableCell"/>
              <w:jc w:val="right"/>
            </w:pPr>
            <w:r w:rsidRPr="00E14CDF">
              <w:t>11.5</w:t>
            </w:r>
          </w:p>
        </w:tc>
      </w:tr>
    </w:tbl>
    <w:p w14:paraId="4B15A30B" w14:textId="77777777" w:rsidR="00423DED" w:rsidRPr="00423DED" w:rsidRDefault="00423DED" w:rsidP="00423DED">
      <w:pPr>
        <w:pStyle w:val="TableNote"/>
      </w:pPr>
      <w:r>
        <w:t>Source: Census 2016</w:t>
      </w:r>
    </w:p>
    <w:p w14:paraId="181CC992" w14:textId="77777777" w:rsidR="00CC7A16" w:rsidRPr="00CC7A16" w:rsidRDefault="00257E5B" w:rsidP="00CC7A16">
      <w:r>
        <w:t>Most</w:t>
      </w:r>
      <w:r w:rsidR="008D7B00" w:rsidRPr="008D7B00">
        <w:t xml:space="preserve"> </w:t>
      </w:r>
      <w:r w:rsidR="000517D9">
        <w:t>persons</w:t>
      </w:r>
      <w:r w:rsidR="000517D9" w:rsidRPr="008D7B00">
        <w:t xml:space="preserve"> </w:t>
      </w:r>
      <w:r>
        <w:t>without a disability</w:t>
      </w:r>
      <w:r w:rsidR="008D7B00" w:rsidRPr="008D7B00">
        <w:t xml:space="preserve"> are out of the labour force because they are looking after </w:t>
      </w:r>
      <w:r>
        <w:t xml:space="preserve">their </w:t>
      </w:r>
      <w:r w:rsidR="008D7B00" w:rsidRPr="008D7B00">
        <w:t>home or family (45.9%)</w:t>
      </w:r>
      <w:r>
        <w:t>,</w:t>
      </w:r>
      <w:r w:rsidR="008D7B00" w:rsidRPr="008D7B00">
        <w:t xml:space="preserve"> or because they are in education (32.8%). </w:t>
      </w:r>
      <w:r w:rsidR="009E2028">
        <w:t>Six percent</w:t>
      </w:r>
      <w:r>
        <w:t xml:space="preserve"> did not report that they had</w:t>
      </w:r>
      <w:r w:rsidR="008D7B00" w:rsidRPr="008D7B00">
        <w:t xml:space="preserve"> a disability on the Census form</w:t>
      </w:r>
      <w:r>
        <w:t>,</w:t>
      </w:r>
      <w:r w:rsidR="008D7B00" w:rsidRPr="008D7B00">
        <w:t xml:space="preserve"> but still reported being unable to work due to perma</w:t>
      </w:r>
      <w:r w:rsidR="009E2028">
        <w:t>nent sickness or disability</w:t>
      </w:r>
      <w:r w:rsidR="008D7B00" w:rsidRPr="008D7B00">
        <w:t xml:space="preserve">. For </w:t>
      </w:r>
      <w:r w:rsidR="000517D9">
        <w:t>persons</w:t>
      </w:r>
      <w:r w:rsidR="000517D9" w:rsidRPr="008D7B00">
        <w:t xml:space="preserve"> </w:t>
      </w:r>
      <w:r w:rsidR="008D7B00" w:rsidRPr="008D7B00">
        <w:t>who reporte</w:t>
      </w:r>
      <w:r w:rsidR="009E2028">
        <w:t xml:space="preserve">d that they have a disability, </w:t>
      </w:r>
      <w:r w:rsidR="008D7B00" w:rsidRPr="008D7B00">
        <w:t>65% were unable to work due to permanent sickness or disability, 16% were looking after a home or family, and 9.4% were in education</w:t>
      </w:r>
      <w:r w:rsidR="009E2028">
        <w:t xml:space="preserve"> (Table 2)</w:t>
      </w:r>
      <w:r w:rsidR="008D7B00" w:rsidRPr="008D7B00">
        <w:t>.</w:t>
      </w:r>
      <w:r w:rsidR="00407BD8">
        <w:rPr>
          <w:rStyle w:val="FootnoteReference"/>
        </w:rPr>
        <w:footnoteReference w:id="7"/>
      </w:r>
      <w:r w:rsidR="008D7B00" w:rsidRPr="008D7B00">
        <w:t xml:space="preserve"> </w:t>
      </w:r>
    </w:p>
    <w:p w14:paraId="236DA116" w14:textId="77777777" w:rsidR="0004787D" w:rsidRDefault="0004787D" w:rsidP="0004787D">
      <w:pPr>
        <w:pStyle w:val="TableTitle"/>
      </w:pPr>
      <w:r w:rsidRPr="008B71EA">
        <w:t xml:space="preserve">Table </w:t>
      </w:r>
      <w:r>
        <w:t>2</w:t>
      </w:r>
      <w:r w:rsidRPr="008B71EA">
        <w:t xml:space="preserve">: </w:t>
      </w:r>
      <w:r w:rsidR="00312A05">
        <w:t>Reasons</w:t>
      </w:r>
      <w:r>
        <w:t xml:space="preserve"> fo</w:t>
      </w:r>
      <w:r w:rsidR="00312A05">
        <w:t>r not being in the labour force</w:t>
      </w:r>
    </w:p>
    <w:tbl>
      <w:tblPr>
        <w:tblStyle w:val="TableGrid"/>
        <w:tblW w:w="5000" w:type="pct"/>
        <w:tblLook w:val="04A0" w:firstRow="1" w:lastRow="0" w:firstColumn="1" w:lastColumn="0" w:noHBand="0" w:noVBand="1"/>
        <w:tblCaption w:val="Table 2: What reasons do people give for not being in the labour force?"/>
        <w:tblDescription w:val="Table noting the reasons for not being in the labour force"/>
      </w:tblPr>
      <w:tblGrid>
        <w:gridCol w:w="4188"/>
        <w:gridCol w:w="2099"/>
        <w:gridCol w:w="2343"/>
      </w:tblGrid>
      <w:tr w:rsidR="0004787D" w:rsidRPr="000D008A" w14:paraId="1587B7BC" w14:textId="77777777" w:rsidTr="00DB3C01">
        <w:trPr>
          <w:trHeight w:val="300"/>
          <w:tblHeader/>
        </w:trPr>
        <w:tc>
          <w:tcPr>
            <w:tcW w:w="2426" w:type="pct"/>
            <w:noWrap/>
            <w:hideMark/>
          </w:tcPr>
          <w:p w14:paraId="3FC98190" w14:textId="77777777" w:rsidR="0004787D" w:rsidRPr="0061301C" w:rsidRDefault="0004787D" w:rsidP="00736905">
            <w:pPr>
              <w:pStyle w:val="TableCell"/>
              <w:rPr>
                <w:b/>
                <w:lang w:eastAsia="en-IE"/>
              </w:rPr>
            </w:pPr>
          </w:p>
        </w:tc>
        <w:tc>
          <w:tcPr>
            <w:tcW w:w="1216" w:type="pct"/>
            <w:noWrap/>
            <w:hideMark/>
          </w:tcPr>
          <w:p w14:paraId="307C5079" w14:textId="77777777" w:rsidR="0004787D" w:rsidRPr="000D008A" w:rsidRDefault="000517D9" w:rsidP="00C23D2D">
            <w:pPr>
              <w:pStyle w:val="TableHead"/>
            </w:pPr>
            <w:r>
              <w:t>Persons</w:t>
            </w:r>
            <w:r w:rsidRPr="008D7B00">
              <w:t xml:space="preserve"> </w:t>
            </w:r>
            <w:r w:rsidR="0004787D">
              <w:t>with a disability %</w:t>
            </w:r>
          </w:p>
        </w:tc>
        <w:tc>
          <w:tcPr>
            <w:tcW w:w="1357" w:type="pct"/>
            <w:noWrap/>
            <w:hideMark/>
          </w:tcPr>
          <w:p w14:paraId="2C27FFA9" w14:textId="77777777" w:rsidR="0004787D" w:rsidRPr="000D008A" w:rsidRDefault="000517D9" w:rsidP="00C23D2D">
            <w:pPr>
              <w:pStyle w:val="TableHead"/>
            </w:pPr>
            <w:r>
              <w:t>Persons</w:t>
            </w:r>
            <w:r w:rsidRPr="008D7B00">
              <w:t xml:space="preserve"> </w:t>
            </w:r>
            <w:r w:rsidR="0004787D">
              <w:t>without a disability %</w:t>
            </w:r>
          </w:p>
        </w:tc>
      </w:tr>
      <w:tr w:rsidR="0004787D" w:rsidRPr="000D008A" w14:paraId="270A5A06" w14:textId="77777777" w:rsidTr="00DA6E35">
        <w:trPr>
          <w:trHeight w:val="300"/>
        </w:trPr>
        <w:tc>
          <w:tcPr>
            <w:tcW w:w="2426" w:type="pct"/>
            <w:noWrap/>
            <w:hideMark/>
          </w:tcPr>
          <w:p w14:paraId="12A069C3" w14:textId="77777777" w:rsidR="0004787D" w:rsidRPr="0061301C" w:rsidRDefault="0004787D" w:rsidP="00736905">
            <w:pPr>
              <w:pStyle w:val="TableCell"/>
              <w:rPr>
                <w:b/>
              </w:rPr>
            </w:pPr>
            <w:r w:rsidRPr="0061301C">
              <w:rPr>
                <w:b/>
              </w:rPr>
              <w:t>Looking after home/family</w:t>
            </w:r>
          </w:p>
        </w:tc>
        <w:tc>
          <w:tcPr>
            <w:tcW w:w="1216" w:type="pct"/>
            <w:noWrap/>
            <w:hideMark/>
          </w:tcPr>
          <w:p w14:paraId="2F0615BD" w14:textId="77777777" w:rsidR="0004787D" w:rsidRPr="000D008A" w:rsidRDefault="0004787D" w:rsidP="00736905">
            <w:pPr>
              <w:spacing w:after="0"/>
              <w:jc w:val="right"/>
            </w:pPr>
            <w:r w:rsidRPr="000D008A">
              <w:t>15</w:t>
            </w:r>
            <w:r w:rsidR="009E5BBE">
              <w:t>.</w:t>
            </w:r>
            <w:r w:rsidRPr="000D008A">
              <w:t>7</w:t>
            </w:r>
          </w:p>
        </w:tc>
        <w:tc>
          <w:tcPr>
            <w:tcW w:w="1357" w:type="pct"/>
            <w:noWrap/>
            <w:hideMark/>
          </w:tcPr>
          <w:p w14:paraId="177CBA78" w14:textId="77777777" w:rsidR="0004787D" w:rsidRPr="000D008A" w:rsidRDefault="0004787D" w:rsidP="00736905">
            <w:pPr>
              <w:spacing w:after="0"/>
              <w:jc w:val="right"/>
            </w:pPr>
            <w:r w:rsidRPr="000D008A">
              <w:t>45</w:t>
            </w:r>
            <w:r w:rsidR="009E5BBE">
              <w:t>.</w:t>
            </w:r>
            <w:r w:rsidRPr="000D008A">
              <w:t>9</w:t>
            </w:r>
          </w:p>
        </w:tc>
      </w:tr>
      <w:tr w:rsidR="0004787D" w:rsidRPr="000D008A" w14:paraId="1A59D245" w14:textId="77777777" w:rsidTr="00DA6E35">
        <w:trPr>
          <w:trHeight w:val="300"/>
        </w:trPr>
        <w:tc>
          <w:tcPr>
            <w:tcW w:w="2426" w:type="pct"/>
            <w:noWrap/>
            <w:hideMark/>
          </w:tcPr>
          <w:p w14:paraId="532C5625" w14:textId="77777777" w:rsidR="0004787D" w:rsidRPr="0061301C" w:rsidRDefault="0004787D" w:rsidP="00736905">
            <w:pPr>
              <w:pStyle w:val="TableCell"/>
              <w:rPr>
                <w:b/>
              </w:rPr>
            </w:pPr>
            <w:r w:rsidRPr="0061301C">
              <w:rPr>
                <w:b/>
              </w:rPr>
              <w:t>Retired</w:t>
            </w:r>
          </w:p>
        </w:tc>
        <w:tc>
          <w:tcPr>
            <w:tcW w:w="1216" w:type="pct"/>
            <w:noWrap/>
            <w:hideMark/>
          </w:tcPr>
          <w:p w14:paraId="66F1AB98" w14:textId="77777777" w:rsidR="0004787D" w:rsidRPr="000D008A" w:rsidRDefault="0004787D" w:rsidP="00736905">
            <w:pPr>
              <w:spacing w:after="0"/>
              <w:jc w:val="right"/>
            </w:pPr>
            <w:r w:rsidRPr="000D008A">
              <w:t>8</w:t>
            </w:r>
            <w:r w:rsidR="009E5BBE">
              <w:t>.</w:t>
            </w:r>
            <w:r w:rsidRPr="000D008A">
              <w:t>7</w:t>
            </w:r>
          </w:p>
        </w:tc>
        <w:tc>
          <w:tcPr>
            <w:tcW w:w="1357" w:type="pct"/>
            <w:noWrap/>
            <w:hideMark/>
          </w:tcPr>
          <w:p w14:paraId="6050E479" w14:textId="77777777" w:rsidR="0004787D" w:rsidRPr="000D008A" w:rsidRDefault="0004787D" w:rsidP="00736905">
            <w:pPr>
              <w:spacing w:after="0"/>
              <w:jc w:val="right"/>
            </w:pPr>
            <w:r w:rsidRPr="000D008A">
              <w:t>13</w:t>
            </w:r>
            <w:r w:rsidR="009E5BBE">
              <w:t>.</w:t>
            </w:r>
            <w:r w:rsidRPr="000D008A">
              <w:t>2</w:t>
            </w:r>
          </w:p>
        </w:tc>
      </w:tr>
      <w:tr w:rsidR="0004787D" w:rsidRPr="000D008A" w14:paraId="207DE26D" w14:textId="77777777" w:rsidTr="00DA6E35">
        <w:trPr>
          <w:trHeight w:val="300"/>
        </w:trPr>
        <w:tc>
          <w:tcPr>
            <w:tcW w:w="2426" w:type="pct"/>
            <w:noWrap/>
            <w:hideMark/>
          </w:tcPr>
          <w:p w14:paraId="02E47284" w14:textId="77777777" w:rsidR="0004787D" w:rsidRPr="0061301C" w:rsidRDefault="0004787D" w:rsidP="00736905">
            <w:pPr>
              <w:pStyle w:val="TableCell"/>
              <w:rPr>
                <w:b/>
              </w:rPr>
            </w:pPr>
            <w:r w:rsidRPr="0061301C">
              <w:rPr>
                <w:b/>
              </w:rPr>
              <w:t>Student or pupil</w:t>
            </w:r>
          </w:p>
        </w:tc>
        <w:tc>
          <w:tcPr>
            <w:tcW w:w="1216" w:type="pct"/>
            <w:noWrap/>
            <w:hideMark/>
          </w:tcPr>
          <w:p w14:paraId="1109F671" w14:textId="77777777" w:rsidR="0004787D" w:rsidRPr="000D008A" w:rsidRDefault="0004787D" w:rsidP="00736905">
            <w:pPr>
              <w:spacing w:after="0"/>
              <w:jc w:val="right"/>
            </w:pPr>
            <w:r w:rsidRPr="000D008A">
              <w:t>9</w:t>
            </w:r>
            <w:r w:rsidR="009E5BBE">
              <w:t>.</w:t>
            </w:r>
            <w:r w:rsidRPr="000D008A">
              <w:t>4</w:t>
            </w:r>
          </w:p>
        </w:tc>
        <w:tc>
          <w:tcPr>
            <w:tcW w:w="1357" w:type="pct"/>
            <w:noWrap/>
            <w:hideMark/>
          </w:tcPr>
          <w:p w14:paraId="46400147" w14:textId="77777777" w:rsidR="0004787D" w:rsidRPr="000D008A" w:rsidRDefault="0004787D" w:rsidP="00736905">
            <w:pPr>
              <w:spacing w:after="0"/>
              <w:jc w:val="right"/>
            </w:pPr>
            <w:r w:rsidRPr="000D008A">
              <w:t>32</w:t>
            </w:r>
            <w:r w:rsidR="009E5BBE">
              <w:t>.</w:t>
            </w:r>
            <w:r w:rsidRPr="000D008A">
              <w:t>8</w:t>
            </w:r>
          </w:p>
        </w:tc>
      </w:tr>
      <w:tr w:rsidR="0004787D" w:rsidRPr="000D008A" w14:paraId="50A27955" w14:textId="77777777" w:rsidTr="00DA6E35">
        <w:trPr>
          <w:trHeight w:val="300"/>
        </w:trPr>
        <w:tc>
          <w:tcPr>
            <w:tcW w:w="2426" w:type="pct"/>
            <w:noWrap/>
            <w:hideMark/>
          </w:tcPr>
          <w:p w14:paraId="18643D14" w14:textId="77777777" w:rsidR="0004787D" w:rsidRPr="0061301C" w:rsidRDefault="0004787D" w:rsidP="00736905">
            <w:pPr>
              <w:pStyle w:val="TableCell"/>
              <w:rPr>
                <w:b/>
              </w:rPr>
            </w:pPr>
            <w:r w:rsidRPr="0061301C">
              <w:rPr>
                <w:b/>
              </w:rPr>
              <w:t>Unable to work due to permanent sickness or disability</w:t>
            </w:r>
          </w:p>
        </w:tc>
        <w:tc>
          <w:tcPr>
            <w:tcW w:w="1216" w:type="pct"/>
            <w:noWrap/>
            <w:hideMark/>
          </w:tcPr>
          <w:p w14:paraId="5887D4B2" w14:textId="77777777" w:rsidR="0004787D" w:rsidRPr="000D008A" w:rsidRDefault="0004787D" w:rsidP="00736905">
            <w:pPr>
              <w:spacing w:after="0"/>
              <w:jc w:val="right"/>
            </w:pPr>
            <w:r w:rsidRPr="000D008A">
              <w:t>64</w:t>
            </w:r>
            <w:r w:rsidR="009E5BBE">
              <w:t>.</w:t>
            </w:r>
            <w:r w:rsidRPr="000D008A">
              <w:t>5</w:t>
            </w:r>
          </w:p>
        </w:tc>
        <w:tc>
          <w:tcPr>
            <w:tcW w:w="1357" w:type="pct"/>
            <w:noWrap/>
            <w:hideMark/>
          </w:tcPr>
          <w:p w14:paraId="6DF7A5D9" w14:textId="77777777" w:rsidR="0004787D" w:rsidRPr="000D008A" w:rsidRDefault="0004787D" w:rsidP="00736905">
            <w:pPr>
              <w:spacing w:after="0"/>
              <w:jc w:val="right"/>
            </w:pPr>
            <w:r w:rsidRPr="000D008A">
              <w:t>6</w:t>
            </w:r>
            <w:r w:rsidR="009E5BBE">
              <w:t>.</w:t>
            </w:r>
            <w:r w:rsidRPr="000D008A">
              <w:t>0</w:t>
            </w:r>
          </w:p>
        </w:tc>
      </w:tr>
      <w:tr w:rsidR="00DA6E35" w:rsidRPr="000D008A" w14:paraId="17059F7D" w14:textId="77777777" w:rsidTr="00DA6E35">
        <w:trPr>
          <w:trHeight w:val="300"/>
        </w:trPr>
        <w:tc>
          <w:tcPr>
            <w:tcW w:w="2426" w:type="pct"/>
            <w:noWrap/>
          </w:tcPr>
          <w:p w14:paraId="04158354" w14:textId="77777777" w:rsidR="00DA6E35" w:rsidRDefault="00DA6E35" w:rsidP="00DA6E35">
            <w:pPr>
              <w:pStyle w:val="TableCell"/>
              <w:rPr>
                <w:b/>
              </w:rPr>
            </w:pPr>
            <w:r>
              <w:rPr>
                <w:b/>
              </w:rPr>
              <w:t>Other</w:t>
            </w:r>
          </w:p>
        </w:tc>
        <w:tc>
          <w:tcPr>
            <w:tcW w:w="1216" w:type="pct"/>
            <w:noWrap/>
          </w:tcPr>
          <w:p w14:paraId="485BF200" w14:textId="77777777" w:rsidR="00DA6E35" w:rsidRDefault="00DA6E35" w:rsidP="00DA6E35">
            <w:pPr>
              <w:spacing w:after="0"/>
              <w:jc w:val="right"/>
            </w:pPr>
            <w:r w:rsidRPr="000D008A">
              <w:t>1</w:t>
            </w:r>
            <w:r>
              <w:t>.</w:t>
            </w:r>
            <w:r w:rsidRPr="000D008A">
              <w:t>8</w:t>
            </w:r>
          </w:p>
        </w:tc>
        <w:tc>
          <w:tcPr>
            <w:tcW w:w="1357" w:type="pct"/>
            <w:noWrap/>
          </w:tcPr>
          <w:p w14:paraId="0A5FC498" w14:textId="77777777" w:rsidR="00DA6E35" w:rsidRDefault="00DA6E35" w:rsidP="00DA6E35">
            <w:pPr>
              <w:spacing w:after="0"/>
              <w:jc w:val="right"/>
            </w:pPr>
            <w:r w:rsidRPr="000D008A">
              <w:t>2</w:t>
            </w:r>
            <w:r>
              <w:t>.</w:t>
            </w:r>
            <w:r w:rsidRPr="000D008A">
              <w:t>1</w:t>
            </w:r>
          </w:p>
        </w:tc>
      </w:tr>
      <w:tr w:rsidR="00DA6E35" w:rsidRPr="000D008A" w14:paraId="52F6C430" w14:textId="77777777" w:rsidTr="00DA6E35">
        <w:trPr>
          <w:trHeight w:val="300"/>
        </w:trPr>
        <w:tc>
          <w:tcPr>
            <w:tcW w:w="2426" w:type="pct"/>
            <w:noWrap/>
          </w:tcPr>
          <w:p w14:paraId="4DC42E97" w14:textId="77777777" w:rsidR="00DA6E35" w:rsidRPr="0061301C" w:rsidRDefault="00DA6E35" w:rsidP="00DA6E35">
            <w:pPr>
              <w:pStyle w:val="TableCell"/>
              <w:rPr>
                <w:b/>
              </w:rPr>
            </w:pPr>
            <w:r>
              <w:rPr>
                <w:b/>
              </w:rPr>
              <w:t>Total</w:t>
            </w:r>
          </w:p>
        </w:tc>
        <w:tc>
          <w:tcPr>
            <w:tcW w:w="1216" w:type="pct"/>
            <w:noWrap/>
          </w:tcPr>
          <w:p w14:paraId="7A3C28D3" w14:textId="77777777" w:rsidR="00DA6E35" w:rsidRPr="000D008A" w:rsidRDefault="00DA6E35" w:rsidP="00DA6E35">
            <w:pPr>
              <w:spacing w:after="0"/>
              <w:jc w:val="right"/>
            </w:pPr>
            <w:r>
              <w:t>100</w:t>
            </w:r>
          </w:p>
        </w:tc>
        <w:tc>
          <w:tcPr>
            <w:tcW w:w="1357" w:type="pct"/>
            <w:noWrap/>
          </w:tcPr>
          <w:p w14:paraId="70F71BEA" w14:textId="77777777" w:rsidR="00DA6E35" w:rsidRPr="000D008A" w:rsidRDefault="00DA6E35" w:rsidP="00DA6E35">
            <w:pPr>
              <w:spacing w:after="0"/>
              <w:jc w:val="right"/>
            </w:pPr>
            <w:r>
              <w:t>100</w:t>
            </w:r>
          </w:p>
        </w:tc>
      </w:tr>
    </w:tbl>
    <w:p w14:paraId="5FD139BB" w14:textId="77777777" w:rsidR="0004787D" w:rsidRDefault="0004787D" w:rsidP="0004787D">
      <w:pPr>
        <w:pStyle w:val="TableNote"/>
      </w:pPr>
      <w:r>
        <w:t>Source: Census 2016</w:t>
      </w:r>
    </w:p>
    <w:p w14:paraId="78A0A208" w14:textId="77777777" w:rsidR="0004787D" w:rsidRDefault="00312A05" w:rsidP="00312A05">
      <w:pPr>
        <w:pStyle w:val="Heading2"/>
      </w:pPr>
      <w:bookmarkStart w:id="9" w:name="_Toc65581158"/>
      <w:r>
        <w:lastRenderedPageBreak/>
        <w:t>Employment Rates and Gender</w:t>
      </w:r>
      <w:bookmarkEnd w:id="9"/>
    </w:p>
    <w:p w14:paraId="45750AB6" w14:textId="77777777" w:rsidR="008D7B00" w:rsidRDefault="002B0521" w:rsidP="008D7B00">
      <w:r>
        <w:t>Data from Census 2016 shows that b</w:t>
      </w:r>
      <w:r w:rsidR="008D7B00" w:rsidRPr="008D7B00">
        <w:t xml:space="preserve">oth men and women with a disability were about half as likely to be working as </w:t>
      </w:r>
      <w:r w:rsidR="000517D9">
        <w:t>persons</w:t>
      </w:r>
      <w:r w:rsidR="000517D9" w:rsidRPr="008D7B00">
        <w:t xml:space="preserve"> </w:t>
      </w:r>
      <w:r w:rsidR="008D7B00" w:rsidRPr="008D7B00">
        <w:t>without a disability of the same gender.</w:t>
      </w:r>
      <w:r w:rsidR="00407BD8">
        <w:rPr>
          <w:rStyle w:val="FootnoteReference"/>
        </w:rPr>
        <w:footnoteReference w:id="8"/>
      </w:r>
      <w:r w:rsidR="008D7B00" w:rsidRPr="008D7B00">
        <w:t xml:space="preserve"> 39% of men with a disability were employed, compared to 78.4% of men without a disability. 34% of women with a disability were employed compared to 67% of women without a disability</w:t>
      </w:r>
      <w:r w:rsidR="009E2028">
        <w:t xml:space="preserve"> (Table 3)</w:t>
      </w:r>
      <w:r w:rsidR="008D7B00" w:rsidRPr="008D7B00">
        <w:t>.</w:t>
      </w:r>
    </w:p>
    <w:p w14:paraId="3628C10F" w14:textId="77777777" w:rsidR="004D42BA" w:rsidRPr="004D42BA" w:rsidRDefault="009E2028" w:rsidP="00317848">
      <w:pPr>
        <w:pStyle w:val="TableTitle"/>
        <w:rPr>
          <w:lang w:eastAsia="en-IE"/>
        </w:rPr>
      </w:pPr>
      <w:r>
        <w:rPr>
          <w:lang w:eastAsia="en-IE"/>
        </w:rPr>
        <w:t xml:space="preserve">Table 3: </w:t>
      </w:r>
      <w:r w:rsidR="004D42BA" w:rsidRPr="004D42BA">
        <w:rPr>
          <w:lang w:eastAsia="en-IE"/>
        </w:rPr>
        <w:t xml:space="preserve">Proportion of </w:t>
      </w:r>
      <w:r w:rsidR="000517D9" w:rsidRPr="000517D9">
        <w:t>persons</w:t>
      </w:r>
      <w:r w:rsidR="000517D9" w:rsidRPr="008D7B00">
        <w:t xml:space="preserve"> </w:t>
      </w:r>
      <w:r w:rsidR="004D42BA" w:rsidRPr="004D42BA">
        <w:rPr>
          <w:lang w:eastAsia="en-IE"/>
        </w:rPr>
        <w:t>aged 20-64 with and without a disability by princ</w:t>
      </w:r>
      <w:r w:rsidR="004D42BA">
        <w:rPr>
          <w:lang w:eastAsia="en-IE"/>
        </w:rPr>
        <w:t>ipal economic status and gender</w:t>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Proportion of persons aged 20-64 with and without a disability by principal economic status and gender"/>
        <w:tblDescription w:val="Table showing the proportion of persons aged 20-64 with and without a disability by principal economic status and gender"/>
      </w:tblPr>
      <w:tblGrid>
        <w:gridCol w:w="2972"/>
        <w:gridCol w:w="1559"/>
        <w:gridCol w:w="1560"/>
        <w:gridCol w:w="1645"/>
        <w:gridCol w:w="1288"/>
      </w:tblGrid>
      <w:tr w:rsidR="004D42BA" w:rsidRPr="004D42BA" w14:paraId="01EC8C8C" w14:textId="77777777" w:rsidTr="00671E0F">
        <w:trPr>
          <w:trHeight w:val="315"/>
          <w:tblHeader/>
        </w:trPr>
        <w:tc>
          <w:tcPr>
            <w:tcW w:w="2972" w:type="dxa"/>
            <w:shd w:val="clear" w:color="auto" w:fill="auto"/>
            <w:noWrap/>
            <w:vAlign w:val="bottom"/>
            <w:hideMark/>
          </w:tcPr>
          <w:p w14:paraId="14424E06" w14:textId="5D89211F" w:rsidR="004D42BA" w:rsidRPr="00E14CDF" w:rsidRDefault="00671E0F" w:rsidP="00671E0F">
            <w:pPr>
              <w:pStyle w:val="TableHead"/>
              <w:rPr>
                <w:szCs w:val="26"/>
                <w:lang w:eastAsia="en-IE"/>
              </w:rPr>
            </w:pPr>
            <w:r w:rsidRPr="00E14CDF">
              <w:rPr>
                <w:lang w:eastAsia="en-IE"/>
              </w:rPr>
              <w:t>Principal economic status</w:t>
            </w:r>
          </w:p>
        </w:tc>
        <w:tc>
          <w:tcPr>
            <w:tcW w:w="1559" w:type="dxa"/>
            <w:shd w:val="clear" w:color="auto" w:fill="auto"/>
            <w:noWrap/>
            <w:vAlign w:val="bottom"/>
            <w:hideMark/>
          </w:tcPr>
          <w:p w14:paraId="4EB7E730" w14:textId="1050178B" w:rsidR="004D42BA" w:rsidRPr="004D42BA" w:rsidRDefault="00671E0F" w:rsidP="00671E0F">
            <w:pPr>
              <w:pStyle w:val="TableHead"/>
              <w:rPr>
                <w:lang w:eastAsia="en-IE"/>
              </w:rPr>
            </w:pPr>
            <w:r w:rsidRPr="004D42BA">
              <w:rPr>
                <w:lang w:eastAsia="en-IE"/>
              </w:rPr>
              <w:t>Persons with a disability</w:t>
            </w:r>
            <w:r>
              <w:rPr>
                <w:lang w:eastAsia="en-IE"/>
              </w:rPr>
              <w:t xml:space="preserve"> % </w:t>
            </w:r>
            <w:r w:rsidR="004D42BA" w:rsidRPr="004D42BA">
              <w:rPr>
                <w:lang w:eastAsia="en-IE"/>
              </w:rPr>
              <w:t>Male</w:t>
            </w:r>
          </w:p>
        </w:tc>
        <w:tc>
          <w:tcPr>
            <w:tcW w:w="1560" w:type="dxa"/>
            <w:shd w:val="clear" w:color="auto" w:fill="auto"/>
            <w:noWrap/>
            <w:vAlign w:val="bottom"/>
            <w:hideMark/>
          </w:tcPr>
          <w:p w14:paraId="002D0052" w14:textId="2F838C81" w:rsidR="004D42BA" w:rsidRPr="004D42BA" w:rsidRDefault="00671E0F" w:rsidP="00671E0F">
            <w:pPr>
              <w:pStyle w:val="TableHead"/>
              <w:rPr>
                <w:lang w:eastAsia="en-IE"/>
              </w:rPr>
            </w:pPr>
            <w:r w:rsidRPr="004D42BA">
              <w:rPr>
                <w:lang w:eastAsia="en-IE"/>
              </w:rPr>
              <w:t>Persons with a disability</w:t>
            </w:r>
            <w:r>
              <w:rPr>
                <w:lang w:eastAsia="en-IE"/>
              </w:rPr>
              <w:t xml:space="preserve"> % </w:t>
            </w:r>
            <w:r w:rsidR="004D42BA" w:rsidRPr="004D42BA">
              <w:rPr>
                <w:lang w:eastAsia="en-IE"/>
              </w:rPr>
              <w:t>Female</w:t>
            </w:r>
          </w:p>
        </w:tc>
        <w:tc>
          <w:tcPr>
            <w:tcW w:w="1645" w:type="dxa"/>
            <w:shd w:val="clear" w:color="auto" w:fill="auto"/>
            <w:noWrap/>
            <w:vAlign w:val="bottom"/>
            <w:hideMark/>
          </w:tcPr>
          <w:p w14:paraId="59720222" w14:textId="51A47C2A" w:rsidR="004D42BA" w:rsidRPr="004D42BA" w:rsidRDefault="00671E0F" w:rsidP="00671E0F">
            <w:pPr>
              <w:pStyle w:val="TableHead"/>
              <w:rPr>
                <w:lang w:eastAsia="en-IE"/>
              </w:rPr>
            </w:pPr>
            <w:r w:rsidRPr="004D42BA">
              <w:rPr>
                <w:lang w:eastAsia="en-IE"/>
              </w:rPr>
              <w:t>Persons without a disability</w:t>
            </w:r>
            <w:r>
              <w:rPr>
                <w:lang w:eastAsia="en-IE"/>
              </w:rPr>
              <w:t xml:space="preserve"> % </w:t>
            </w:r>
            <w:r w:rsidR="004D42BA" w:rsidRPr="004D42BA">
              <w:rPr>
                <w:lang w:eastAsia="en-IE"/>
              </w:rPr>
              <w:t xml:space="preserve">Male </w:t>
            </w:r>
          </w:p>
        </w:tc>
        <w:tc>
          <w:tcPr>
            <w:tcW w:w="1206" w:type="dxa"/>
            <w:shd w:val="clear" w:color="auto" w:fill="auto"/>
            <w:noWrap/>
            <w:vAlign w:val="bottom"/>
            <w:hideMark/>
          </w:tcPr>
          <w:p w14:paraId="05C8C2F9" w14:textId="1E063F2A" w:rsidR="004D42BA" w:rsidRPr="004D42BA" w:rsidRDefault="00671E0F" w:rsidP="00671E0F">
            <w:pPr>
              <w:pStyle w:val="TableHead"/>
              <w:rPr>
                <w:lang w:eastAsia="en-IE"/>
              </w:rPr>
            </w:pPr>
            <w:r w:rsidRPr="004D42BA">
              <w:rPr>
                <w:lang w:eastAsia="en-IE"/>
              </w:rPr>
              <w:t>Persons without a disability</w:t>
            </w:r>
            <w:r>
              <w:rPr>
                <w:lang w:eastAsia="en-IE"/>
              </w:rPr>
              <w:t xml:space="preserve"> % </w:t>
            </w:r>
            <w:r w:rsidR="004D42BA" w:rsidRPr="004D42BA">
              <w:rPr>
                <w:lang w:eastAsia="en-IE"/>
              </w:rPr>
              <w:t>Female</w:t>
            </w:r>
          </w:p>
        </w:tc>
      </w:tr>
      <w:tr w:rsidR="004D42BA" w:rsidRPr="004D42BA" w14:paraId="1C076129" w14:textId="77777777" w:rsidTr="00671E0F">
        <w:trPr>
          <w:trHeight w:val="315"/>
        </w:trPr>
        <w:tc>
          <w:tcPr>
            <w:tcW w:w="2972" w:type="dxa"/>
            <w:shd w:val="clear" w:color="auto" w:fill="auto"/>
            <w:noWrap/>
            <w:vAlign w:val="bottom"/>
            <w:hideMark/>
          </w:tcPr>
          <w:p w14:paraId="6AD89246" w14:textId="77777777" w:rsidR="004D42BA" w:rsidRPr="00E14CDF" w:rsidRDefault="004D42BA" w:rsidP="004D42BA">
            <w:pPr>
              <w:spacing w:after="0"/>
              <w:rPr>
                <w:rFonts w:cs="Calibri"/>
                <w:b/>
                <w:color w:val="000000"/>
                <w:szCs w:val="26"/>
                <w:lang w:eastAsia="en-IE"/>
              </w:rPr>
            </w:pPr>
            <w:r w:rsidRPr="00E14CDF">
              <w:rPr>
                <w:rFonts w:cs="Calibri"/>
                <w:b/>
                <w:color w:val="000000"/>
                <w:szCs w:val="26"/>
                <w:lang w:eastAsia="en-IE"/>
              </w:rPr>
              <w:t>Employed</w:t>
            </w:r>
          </w:p>
        </w:tc>
        <w:tc>
          <w:tcPr>
            <w:tcW w:w="1559" w:type="dxa"/>
            <w:shd w:val="clear" w:color="auto" w:fill="auto"/>
            <w:noWrap/>
            <w:vAlign w:val="center"/>
            <w:hideMark/>
          </w:tcPr>
          <w:p w14:paraId="11708936"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39.0</w:t>
            </w:r>
          </w:p>
        </w:tc>
        <w:tc>
          <w:tcPr>
            <w:tcW w:w="1560" w:type="dxa"/>
            <w:shd w:val="clear" w:color="auto" w:fill="auto"/>
            <w:noWrap/>
            <w:vAlign w:val="center"/>
            <w:hideMark/>
          </w:tcPr>
          <w:p w14:paraId="254C97E3"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34.0</w:t>
            </w:r>
          </w:p>
        </w:tc>
        <w:tc>
          <w:tcPr>
            <w:tcW w:w="1645" w:type="dxa"/>
            <w:shd w:val="clear" w:color="auto" w:fill="auto"/>
            <w:noWrap/>
            <w:vAlign w:val="center"/>
            <w:hideMark/>
          </w:tcPr>
          <w:p w14:paraId="066BACF2"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78.4</w:t>
            </w:r>
          </w:p>
        </w:tc>
        <w:tc>
          <w:tcPr>
            <w:tcW w:w="1206" w:type="dxa"/>
            <w:shd w:val="clear" w:color="auto" w:fill="auto"/>
            <w:noWrap/>
            <w:vAlign w:val="center"/>
            <w:hideMark/>
          </w:tcPr>
          <w:p w14:paraId="6BD66C58"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67.3</w:t>
            </w:r>
          </w:p>
        </w:tc>
      </w:tr>
      <w:tr w:rsidR="004D42BA" w:rsidRPr="004D42BA" w14:paraId="066218D8" w14:textId="77777777" w:rsidTr="00671E0F">
        <w:trPr>
          <w:trHeight w:val="405"/>
        </w:trPr>
        <w:tc>
          <w:tcPr>
            <w:tcW w:w="2972" w:type="dxa"/>
            <w:shd w:val="clear" w:color="auto" w:fill="auto"/>
            <w:noWrap/>
            <w:vAlign w:val="bottom"/>
            <w:hideMark/>
          </w:tcPr>
          <w:p w14:paraId="622718AA" w14:textId="77777777" w:rsidR="004D42BA" w:rsidRPr="00E14CDF" w:rsidRDefault="004D42BA" w:rsidP="004D42BA">
            <w:pPr>
              <w:spacing w:after="0"/>
              <w:rPr>
                <w:rFonts w:cs="Calibri"/>
                <w:b/>
                <w:color w:val="000000"/>
                <w:szCs w:val="26"/>
                <w:lang w:eastAsia="en-IE"/>
              </w:rPr>
            </w:pPr>
            <w:r w:rsidRPr="00E14CDF">
              <w:rPr>
                <w:rFonts w:cs="Calibri"/>
                <w:b/>
                <w:color w:val="000000"/>
                <w:szCs w:val="26"/>
                <w:lang w:eastAsia="en-IE"/>
              </w:rPr>
              <w:t>Unemployed</w:t>
            </w:r>
          </w:p>
        </w:tc>
        <w:tc>
          <w:tcPr>
            <w:tcW w:w="1559" w:type="dxa"/>
            <w:shd w:val="clear" w:color="auto" w:fill="auto"/>
            <w:noWrap/>
            <w:vAlign w:val="center"/>
            <w:hideMark/>
          </w:tcPr>
          <w:p w14:paraId="10EA297F"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16.0</w:t>
            </w:r>
          </w:p>
        </w:tc>
        <w:tc>
          <w:tcPr>
            <w:tcW w:w="1560" w:type="dxa"/>
            <w:shd w:val="clear" w:color="auto" w:fill="auto"/>
            <w:noWrap/>
            <w:vAlign w:val="center"/>
            <w:hideMark/>
          </w:tcPr>
          <w:p w14:paraId="0246AAA8"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10.6</w:t>
            </w:r>
          </w:p>
        </w:tc>
        <w:tc>
          <w:tcPr>
            <w:tcW w:w="1645" w:type="dxa"/>
            <w:shd w:val="clear" w:color="auto" w:fill="auto"/>
            <w:noWrap/>
            <w:vAlign w:val="center"/>
            <w:hideMark/>
          </w:tcPr>
          <w:p w14:paraId="6C0DA760"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11.0</w:t>
            </w:r>
          </w:p>
        </w:tc>
        <w:tc>
          <w:tcPr>
            <w:tcW w:w="1206" w:type="dxa"/>
            <w:shd w:val="clear" w:color="auto" w:fill="auto"/>
            <w:noWrap/>
            <w:vAlign w:val="center"/>
            <w:hideMark/>
          </w:tcPr>
          <w:p w14:paraId="62DAFE7E"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8.0</w:t>
            </w:r>
          </w:p>
        </w:tc>
      </w:tr>
      <w:tr w:rsidR="004D42BA" w:rsidRPr="004D42BA" w14:paraId="712538F5" w14:textId="77777777" w:rsidTr="00671E0F">
        <w:trPr>
          <w:trHeight w:val="405"/>
        </w:trPr>
        <w:tc>
          <w:tcPr>
            <w:tcW w:w="2972" w:type="dxa"/>
            <w:shd w:val="clear" w:color="auto" w:fill="auto"/>
            <w:noWrap/>
            <w:vAlign w:val="bottom"/>
            <w:hideMark/>
          </w:tcPr>
          <w:p w14:paraId="7C5FCD9D" w14:textId="77777777" w:rsidR="004D42BA" w:rsidRPr="00E14CDF" w:rsidRDefault="004D42BA" w:rsidP="004D42BA">
            <w:pPr>
              <w:spacing w:after="0"/>
              <w:rPr>
                <w:rFonts w:cs="Calibri"/>
                <w:b/>
                <w:color w:val="000000"/>
                <w:szCs w:val="26"/>
                <w:lang w:eastAsia="en-IE"/>
              </w:rPr>
            </w:pPr>
            <w:r w:rsidRPr="00E14CDF">
              <w:rPr>
                <w:rFonts w:cs="Calibri"/>
                <w:b/>
                <w:color w:val="000000"/>
                <w:szCs w:val="26"/>
                <w:lang w:eastAsia="en-IE"/>
              </w:rPr>
              <w:t>In education</w:t>
            </w:r>
          </w:p>
        </w:tc>
        <w:tc>
          <w:tcPr>
            <w:tcW w:w="1559" w:type="dxa"/>
            <w:shd w:val="clear" w:color="auto" w:fill="auto"/>
            <w:noWrap/>
            <w:vAlign w:val="center"/>
            <w:hideMark/>
          </w:tcPr>
          <w:p w14:paraId="025FF441"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4.5</w:t>
            </w:r>
          </w:p>
        </w:tc>
        <w:tc>
          <w:tcPr>
            <w:tcW w:w="1560" w:type="dxa"/>
            <w:shd w:val="clear" w:color="auto" w:fill="auto"/>
            <w:noWrap/>
            <w:vAlign w:val="center"/>
            <w:hideMark/>
          </w:tcPr>
          <w:p w14:paraId="362A0A9A"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4.9</w:t>
            </w:r>
          </w:p>
        </w:tc>
        <w:tc>
          <w:tcPr>
            <w:tcW w:w="1645" w:type="dxa"/>
            <w:shd w:val="clear" w:color="auto" w:fill="auto"/>
            <w:noWrap/>
            <w:vAlign w:val="center"/>
            <w:hideMark/>
          </w:tcPr>
          <w:p w14:paraId="05E57724"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5.7</w:t>
            </w:r>
          </w:p>
        </w:tc>
        <w:tc>
          <w:tcPr>
            <w:tcW w:w="1206" w:type="dxa"/>
            <w:shd w:val="clear" w:color="auto" w:fill="auto"/>
            <w:noWrap/>
            <w:vAlign w:val="center"/>
            <w:hideMark/>
          </w:tcPr>
          <w:p w14:paraId="4F18453E"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6.0</w:t>
            </w:r>
          </w:p>
        </w:tc>
      </w:tr>
      <w:tr w:rsidR="004D42BA" w:rsidRPr="004D42BA" w14:paraId="46D45843" w14:textId="77777777" w:rsidTr="00671E0F">
        <w:trPr>
          <w:trHeight w:val="405"/>
        </w:trPr>
        <w:tc>
          <w:tcPr>
            <w:tcW w:w="2972" w:type="dxa"/>
            <w:shd w:val="clear" w:color="auto" w:fill="auto"/>
            <w:noWrap/>
            <w:vAlign w:val="bottom"/>
            <w:hideMark/>
          </w:tcPr>
          <w:p w14:paraId="3C06FC40" w14:textId="77777777" w:rsidR="004D42BA" w:rsidRPr="00E14CDF" w:rsidRDefault="004D42BA" w:rsidP="004D42BA">
            <w:pPr>
              <w:spacing w:after="0"/>
              <w:rPr>
                <w:rFonts w:cs="Calibri"/>
                <w:b/>
                <w:color w:val="000000"/>
                <w:szCs w:val="26"/>
                <w:lang w:eastAsia="en-IE"/>
              </w:rPr>
            </w:pPr>
            <w:r w:rsidRPr="00E14CDF">
              <w:rPr>
                <w:rFonts w:cs="Calibri"/>
                <w:b/>
                <w:color w:val="000000"/>
                <w:szCs w:val="26"/>
                <w:lang w:eastAsia="en-IE"/>
              </w:rPr>
              <w:t>Unable to work due to permanent illness or disability</w:t>
            </w:r>
          </w:p>
        </w:tc>
        <w:tc>
          <w:tcPr>
            <w:tcW w:w="1559" w:type="dxa"/>
            <w:shd w:val="clear" w:color="auto" w:fill="auto"/>
            <w:noWrap/>
            <w:vAlign w:val="center"/>
            <w:hideMark/>
          </w:tcPr>
          <w:p w14:paraId="7307F6CB"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33.4</w:t>
            </w:r>
          </w:p>
        </w:tc>
        <w:tc>
          <w:tcPr>
            <w:tcW w:w="1560" w:type="dxa"/>
            <w:shd w:val="clear" w:color="auto" w:fill="auto"/>
            <w:noWrap/>
            <w:vAlign w:val="center"/>
            <w:hideMark/>
          </w:tcPr>
          <w:p w14:paraId="1393B7E5"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31.5</w:t>
            </w:r>
          </w:p>
        </w:tc>
        <w:tc>
          <w:tcPr>
            <w:tcW w:w="1645" w:type="dxa"/>
            <w:shd w:val="clear" w:color="auto" w:fill="auto"/>
            <w:noWrap/>
            <w:vAlign w:val="center"/>
            <w:hideMark/>
          </w:tcPr>
          <w:p w14:paraId="25028045"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1.1</w:t>
            </w:r>
          </w:p>
        </w:tc>
        <w:tc>
          <w:tcPr>
            <w:tcW w:w="1206" w:type="dxa"/>
            <w:shd w:val="clear" w:color="auto" w:fill="auto"/>
            <w:noWrap/>
            <w:vAlign w:val="center"/>
            <w:hideMark/>
          </w:tcPr>
          <w:p w14:paraId="6BFF93C2"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1.0</w:t>
            </w:r>
          </w:p>
        </w:tc>
      </w:tr>
      <w:tr w:rsidR="004D42BA" w:rsidRPr="004D42BA" w14:paraId="7315C841" w14:textId="77777777" w:rsidTr="00671E0F">
        <w:trPr>
          <w:trHeight w:val="405"/>
        </w:trPr>
        <w:tc>
          <w:tcPr>
            <w:tcW w:w="2972" w:type="dxa"/>
            <w:shd w:val="clear" w:color="auto" w:fill="auto"/>
            <w:noWrap/>
            <w:vAlign w:val="bottom"/>
            <w:hideMark/>
          </w:tcPr>
          <w:p w14:paraId="5B4AD3A3" w14:textId="77777777" w:rsidR="004D42BA" w:rsidRPr="00E14CDF" w:rsidRDefault="004D42BA" w:rsidP="004D42BA">
            <w:pPr>
              <w:spacing w:after="0"/>
              <w:rPr>
                <w:rFonts w:cs="Calibri"/>
                <w:b/>
                <w:color w:val="000000"/>
                <w:szCs w:val="26"/>
                <w:lang w:eastAsia="en-IE"/>
              </w:rPr>
            </w:pPr>
            <w:r w:rsidRPr="00E14CDF">
              <w:rPr>
                <w:rFonts w:cs="Calibri"/>
                <w:b/>
                <w:color w:val="000000"/>
                <w:szCs w:val="26"/>
                <w:lang w:eastAsia="en-IE"/>
              </w:rPr>
              <w:t>Other</w:t>
            </w:r>
          </w:p>
        </w:tc>
        <w:tc>
          <w:tcPr>
            <w:tcW w:w="1559" w:type="dxa"/>
            <w:shd w:val="clear" w:color="auto" w:fill="auto"/>
            <w:noWrap/>
            <w:vAlign w:val="center"/>
            <w:hideMark/>
          </w:tcPr>
          <w:p w14:paraId="60A5F120"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7.1</w:t>
            </w:r>
          </w:p>
        </w:tc>
        <w:tc>
          <w:tcPr>
            <w:tcW w:w="1560" w:type="dxa"/>
            <w:shd w:val="clear" w:color="auto" w:fill="auto"/>
            <w:noWrap/>
            <w:vAlign w:val="center"/>
            <w:hideMark/>
          </w:tcPr>
          <w:p w14:paraId="59203B74"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19.0</w:t>
            </w:r>
          </w:p>
        </w:tc>
        <w:tc>
          <w:tcPr>
            <w:tcW w:w="1645" w:type="dxa"/>
            <w:shd w:val="clear" w:color="auto" w:fill="auto"/>
            <w:noWrap/>
            <w:vAlign w:val="center"/>
            <w:hideMark/>
          </w:tcPr>
          <w:p w14:paraId="4495C162"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3.9</w:t>
            </w:r>
          </w:p>
        </w:tc>
        <w:tc>
          <w:tcPr>
            <w:tcW w:w="1206" w:type="dxa"/>
            <w:shd w:val="clear" w:color="auto" w:fill="auto"/>
            <w:noWrap/>
            <w:vAlign w:val="center"/>
            <w:hideMark/>
          </w:tcPr>
          <w:p w14:paraId="4028AA30" w14:textId="77777777" w:rsidR="004D42BA" w:rsidRPr="004D42BA" w:rsidRDefault="004D42BA" w:rsidP="004D42BA">
            <w:pPr>
              <w:spacing w:after="0"/>
              <w:jc w:val="right"/>
              <w:rPr>
                <w:rFonts w:cs="Calibri"/>
                <w:color w:val="000000"/>
                <w:szCs w:val="26"/>
                <w:lang w:eastAsia="en-IE"/>
              </w:rPr>
            </w:pPr>
            <w:r w:rsidRPr="004D42BA">
              <w:rPr>
                <w:rFonts w:cs="Calibri"/>
                <w:color w:val="000000"/>
                <w:szCs w:val="26"/>
              </w:rPr>
              <w:t>17.7</w:t>
            </w:r>
          </w:p>
        </w:tc>
      </w:tr>
    </w:tbl>
    <w:p w14:paraId="25B05722" w14:textId="77777777" w:rsidR="00870BFA" w:rsidRPr="00A84804" w:rsidRDefault="00A84804" w:rsidP="00A84804">
      <w:pPr>
        <w:pStyle w:val="TableNote"/>
      </w:pPr>
      <w:r>
        <w:t>Source: Census 2016</w:t>
      </w:r>
    </w:p>
    <w:p w14:paraId="790B6E04" w14:textId="77777777" w:rsidR="00312A05" w:rsidRDefault="00312A05" w:rsidP="00312A05">
      <w:pPr>
        <w:pStyle w:val="Heading2"/>
      </w:pPr>
      <w:bookmarkStart w:id="10" w:name="_Toc65581159"/>
      <w:r>
        <w:t>Employment &amp; Unemployment Rates and Disability Type</w:t>
      </w:r>
      <w:bookmarkEnd w:id="10"/>
    </w:p>
    <w:p w14:paraId="46889846" w14:textId="77777777" w:rsidR="00BC58C0" w:rsidRDefault="00CB17DB" w:rsidP="008D7B00">
      <w:r>
        <w:t>Persons</w:t>
      </w:r>
      <w:r w:rsidR="008D7B00" w:rsidRPr="008D7B00">
        <w:t xml:space="preserve"> who are deaf or who have a serious hearing impairment have the highest percentage of people at work when compared to other disability groups</w:t>
      </w:r>
      <w:r>
        <w:t xml:space="preserve"> at 47.3%</w:t>
      </w:r>
      <w:r w:rsidR="008D7B00" w:rsidRPr="008D7B00">
        <w:t>.</w:t>
      </w:r>
      <w:r w:rsidR="00407BD8">
        <w:rPr>
          <w:rStyle w:val="FootnoteReference"/>
        </w:rPr>
        <w:footnoteReference w:id="9"/>
      </w:r>
      <w:r w:rsidR="008D7B00" w:rsidRPr="008D7B00">
        <w:t xml:space="preserve"> </w:t>
      </w:r>
      <w:r>
        <w:t>The</w:t>
      </w:r>
      <w:r w:rsidR="008D7B00" w:rsidRPr="008D7B00">
        <w:t xml:space="preserve"> lowest employment is </w:t>
      </w:r>
      <w:r>
        <w:t xml:space="preserve">among </w:t>
      </w:r>
      <w:r w:rsidR="008D7B00" w:rsidRPr="008D7B00">
        <w:t>people with an intellectual disability</w:t>
      </w:r>
      <w:r>
        <w:t xml:space="preserve"> at 17.3%</w:t>
      </w:r>
      <w:r w:rsidR="009E2028">
        <w:t xml:space="preserve"> (Table 4)</w:t>
      </w:r>
      <w:r w:rsidR="008D7B00" w:rsidRPr="008D7B00">
        <w:t xml:space="preserve">. </w:t>
      </w:r>
    </w:p>
    <w:p w14:paraId="014682FC" w14:textId="77777777" w:rsidR="008D7B00" w:rsidRPr="008D7B00" w:rsidRDefault="00BC58C0" w:rsidP="008D7B00">
      <w:r w:rsidRPr="00497110">
        <w:lastRenderedPageBreak/>
        <w:t>The National Platform of Self-Advocates, with the support of funding from the Irish Human Rights and Equality Commission, is conducting research on barriers to paid employment for people with intellectual disabilities from the perspective of both the rights holders and employers in three specific industries: retail, information technology and hospitality.</w:t>
      </w:r>
      <w:r w:rsidRPr="00497110">
        <w:rPr>
          <w:rStyle w:val="FootnoteReference"/>
        </w:rPr>
        <w:footnoteReference w:id="10"/>
      </w:r>
      <w:r w:rsidRPr="00497110">
        <w:t xml:space="preserve"> It will also </w:t>
      </w:r>
      <w:r w:rsidR="00332C30" w:rsidRPr="00497110">
        <w:t>identify</w:t>
      </w:r>
      <w:r w:rsidRPr="00497110">
        <w:t xml:space="preserve"> solutions</w:t>
      </w:r>
      <w:r w:rsidR="00332C30" w:rsidRPr="00497110">
        <w:t xml:space="preserve"> that</w:t>
      </w:r>
      <w:r w:rsidRPr="00497110">
        <w:t xml:space="preserve"> can best address these barriers and inform public policy and practice.</w:t>
      </w:r>
    </w:p>
    <w:p w14:paraId="091BB0F4" w14:textId="77777777" w:rsidR="008D7B00" w:rsidRPr="008D7B00" w:rsidRDefault="008D7B00" w:rsidP="008D7B00">
      <w:r w:rsidRPr="008D7B00">
        <w:t xml:space="preserve">The Census also records functional limitations (difficulties people might have doing certain things). The lowest </w:t>
      </w:r>
      <w:r w:rsidR="00CB17DB">
        <w:t>level of</w:t>
      </w:r>
      <w:r w:rsidRPr="008D7B00">
        <w:t xml:space="preserve"> employment is among people who have a difficulty in dressing, bathing or getting around</w:t>
      </w:r>
      <w:r w:rsidR="001556EF">
        <w:t xml:space="preserve"> inside the home, and people who</w:t>
      </w:r>
      <w:r w:rsidRPr="008D7B00">
        <w:t xml:space="preserve"> have difficulty in going outside </w:t>
      </w:r>
      <w:r w:rsidR="00342B01">
        <w:t>the</w:t>
      </w:r>
      <w:r w:rsidRPr="008D7B00">
        <w:t xml:space="preserve"> home alone.</w:t>
      </w:r>
      <w:r w:rsidR="00407BD8">
        <w:rPr>
          <w:rStyle w:val="FootnoteReference"/>
        </w:rPr>
        <w:footnoteReference w:id="11"/>
      </w:r>
    </w:p>
    <w:p w14:paraId="066024FC" w14:textId="77777777" w:rsidR="0004787D" w:rsidRPr="0004787D" w:rsidRDefault="0004787D" w:rsidP="00317848">
      <w:pPr>
        <w:pStyle w:val="TableTitle"/>
      </w:pPr>
      <w:r w:rsidRPr="0004787D">
        <w:t xml:space="preserve">Table 4: </w:t>
      </w:r>
      <w:r w:rsidR="00312A05">
        <w:t>Employment</w:t>
      </w:r>
      <w:r w:rsidRPr="0004787D">
        <w:t xml:space="preserve"> rates for people wit</w:t>
      </w:r>
      <w:r w:rsidR="00312A05">
        <w:t>h different types of disability</w:t>
      </w:r>
    </w:p>
    <w:tbl>
      <w:tblPr>
        <w:tblStyle w:val="TableGrid"/>
        <w:tblW w:w="5000" w:type="pct"/>
        <w:tblLook w:val="04A0" w:firstRow="1" w:lastRow="0" w:firstColumn="1" w:lastColumn="0" w:noHBand="0" w:noVBand="1"/>
        <w:tblCaption w:val="Table 4: What are the employment rates for people with different types of disability?"/>
        <w:tblDescription w:val="This table shows employment by disability type for those aged 20-64 as a % of total population, aged 20-64.&#10;All people with a disability, 36. 5%&#10;Deafness or a serious hearing impairment, 47. 3%&#10;Blindness or a serious vision impairment, 36. 2%&#10;Other disability, including chronic illness, 35. 4%&#10;Psychological or emotional condition, 27. 5%&#10;Difficulty in learning, remembering or concentrating, 24. 6%&#10;Difficulty in participating in other activities, 20. 0%&#10;A condition that substantially limits one or more basic physical activities,18. 5%&#10;An intellectual disability, 17. 3%&#10;Difficulty in working or attending school/college, 15. 0%&#10;Difficulty in dressing, bathing or getting around inside the home , 13. 4%&#10;Difficulty in going outside home alone, 10. 9%"/>
      </w:tblPr>
      <w:tblGrid>
        <w:gridCol w:w="6428"/>
        <w:gridCol w:w="2202"/>
      </w:tblGrid>
      <w:tr w:rsidR="0004787D" w:rsidRPr="0004787D" w14:paraId="0080E573" w14:textId="77777777" w:rsidTr="00671E0F">
        <w:trPr>
          <w:trHeight w:val="300"/>
          <w:tblHeader/>
        </w:trPr>
        <w:tc>
          <w:tcPr>
            <w:tcW w:w="3724" w:type="pct"/>
            <w:noWrap/>
            <w:hideMark/>
          </w:tcPr>
          <w:p w14:paraId="31779A32" w14:textId="77777777" w:rsidR="0004787D" w:rsidRPr="0004787D" w:rsidRDefault="009E2028" w:rsidP="00671E0F">
            <w:pPr>
              <w:pStyle w:val="TableHead"/>
            </w:pPr>
            <w:r>
              <w:t>Type of disability</w:t>
            </w:r>
          </w:p>
        </w:tc>
        <w:tc>
          <w:tcPr>
            <w:tcW w:w="1276" w:type="pct"/>
            <w:noWrap/>
            <w:hideMark/>
          </w:tcPr>
          <w:p w14:paraId="54634CAA" w14:textId="77777777" w:rsidR="0004787D" w:rsidRPr="0004787D" w:rsidRDefault="0004787D" w:rsidP="00671E0F">
            <w:pPr>
              <w:pStyle w:val="TableHead"/>
            </w:pPr>
            <w:r w:rsidRPr="0004787D">
              <w:t xml:space="preserve">Persons at work </w:t>
            </w:r>
            <w:r w:rsidR="0061301C">
              <w:t>(</w:t>
            </w:r>
            <w:r w:rsidRPr="0004787D">
              <w:t>%</w:t>
            </w:r>
            <w:r w:rsidR="0061301C">
              <w:t>)</w:t>
            </w:r>
          </w:p>
        </w:tc>
      </w:tr>
      <w:tr w:rsidR="0004787D" w:rsidRPr="0004787D" w14:paraId="04F4D4C9" w14:textId="77777777" w:rsidTr="009E2028">
        <w:trPr>
          <w:trHeight w:val="300"/>
        </w:trPr>
        <w:tc>
          <w:tcPr>
            <w:tcW w:w="3724" w:type="pct"/>
            <w:noWrap/>
            <w:hideMark/>
          </w:tcPr>
          <w:p w14:paraId="6BEF13BD" w14:textId="77777777" w:rsidR="0004787D" w:rsidRPr="0004787D" w:rsidRDefault="0004787D" w:rsidP="0004787D">
            <w:r w:rsidRPr="0004787D">
              <w:t xml:space="preserve">All </w:t>
            </w:r>
            <w:r w:rsidR="000517D9">
              <w:t>persons</w:t>
            </w:r>
            <w:r w:rsidR="000517D9" w:rsidRPr="008D7B00">
              <w:t xml:space="preserve"> </w:t>
            </w:r>
            <w:r w:rsidRPr="0004787D">
              <w:t>with a disability</w:t>
            </w:r>
          </w:p>
        </w:tc>
        <w:tc>
          <w:tcPr>
            <w:tcW w:w="1276" w:type="pct"/>
            <w:noWrap/>
            <w:hideMark/>
          </w:tcPr>
          <w:p w14:paraId="4DD524E2" w14:textId="77777777" w:rsidR="0004787D" w:rsidRPr="0004787D" w:rsidRDefault="0004787D" w:rsidP="005458CE">
            <w:pPr>
              <w:jc w:val="right"/>
            </w:pPr>
            <w:r w:rsidRPr="0004787D">
              <w:t>36</w:t>
            </w:r>
            <w:r w:rsidR="009E5BBE">
              <w:t>.</w:t>
            </w:r>
            <w:r w:rsidRPr="0004787D">
              <w:t>5</w:t>
            </w:r>
          </w:p>
        </w:tc>
      </w:tr>
      <w:tr w:rsidR="0004787D" w:rsidRPr="0004787D" w14:paraId="1719773D" w14:textId="77777777" w:rsidTr="009E2028">
        <w:trPr>
          <w:trHeight w:val="300"/>
        </w:trPr>
        <w:tc>
          <w:tcPr>
            <w:tcW w:w="3724" w:type="pct"/>
            <w:noWrap/>
            <w:hideMark/>
          </w:tcPr>
          <w:p w14:paraId="3F93DEF6" w14:textId="77777777" w:rsidR="0004787D" w:rsidRPr="0004787D" w:rsidRDefault="0004787D" w:rsidP="0004787D">
            <w:r w:rsidRPr="0004787D">
              <w:t>Deafness or a serious hearing impairment</w:t>
            </w:r>
          </w:p>
        </w:tc>
        <w:tc>
          <w:tcPr>
            <w:tcW w:w="1276" w:type="pct"/>
            <w:noWrap/>
            <w:hideMark/>
          </w:tcPr>
          <w:p w14:paraId="26DD6932" w14:textId="77777777" w:rsidR="0004787D" w:rsidRPr="0004787D" w:rsidRDefault="0004787D" w:rsidP="005458CE">
            <w:pPr>
              <w:jc w:val="right"/>
            </w:pPr>
            <w:r w:rsidRPr="0004787D">
              <w:t>47</w:t>
            </w:r>
            <w:r w:rsidR="009E5BBE">
              <w:t>.</w:t>
            </w:r>
            <w:r w:rsidRPr="0004787D">
              <w:t>3</w:t>
            </w:r>
          </w:p>
        </w:tc>
      </w:tr>
      <w:tr w:rsidR="0004787D" w:rsidRPr="0004787D" w14:paraId="49345502" w14:textId="77777777" w:rsidTr="009E2028">
        <w:trPr>
          <w:trHeight w:val="300"/>
        </w:trPr>
        <w:tc>
          <w:tcPr>
            <w:tcW w:w="3724" w:type="pct"/>
            <w:noWrap/>
            <w:hideMark/>
          </w:tcPr>
          <w:p w14:paraId="47000AFE" w14:textId="77777777" w:rsidR="0004787D" w:rsidRPr="0004787D" w:rsidRDefault="0004787D" w:rsidP="0004787D">
            <w:r w:rsidRPr="0004787D">
              <w:t>Blindness or a serious vision impairment</w:t>
            </w:r>
          </w:p>
        </w:tc>
        <w:tc>
          <w:tcPr>
            <w:tcW w:w="1276" w:type="pct"/>
            <w:noWrap/>
            <w:hideMark/>
          </w:tcPr>
          <w:p w14:paraId="67B29613" w14:textId="77777777" w:rsidR="0004787D" w:rsidRPr="0004787D" w:rsidRDefault="0004787D" w:rsidP="005458CE">
            <w:pPr>
              <w:jc w:val="right"/>
            </w:pPr>
            <w:r w:rsidRPr="0004787D">
              <w:t>36</w:t>
            </w:r>
            <w:r w:rsidR="009E5BBE">
              <w:t>.</w:t>
            </w:r>
            <w:r w:rsidRPr="0004787D">
              <w:t>2</w:t>
            </w:r>
          </w:p>
        </w:tc>
      </w:tr>
      <w:tr w:rsidR="0004787D" w:rsidRPr="0004787D" w14:paraId="5B284186" w14:textId="77777777" w:rsidTr="009E2028">
        <w:trPr>
          <w:trHeight w:val="300"/>
        </w:trPr>
        <w:tc>
          <w:tcPr>
            <w:tcW w:w="3724" w:type="pct"/>
            <w:noWrap/>
            <w:hideMark/>
          </w:tcPr>
          <w:p w14:paraId="77ADFC19" w14:textId="77777777" w:rsidR="0004787D" w:rsidRPr="0004787D" w:rsidRDefault="0004787D" w:rsidP="0004787D">
            <w:r w:rsidRPr="0004787D">
              <w:t>Other disability, including chronic illness</w:t>
            </w:r>
          </w:p>
        </w:tc>
        <w:tc>
          <w:tcPr>
            <w:tcW w:w="1276" w:type="pct"/>
            <w:noWrap/>
            <w:hideMark/>
          </w:tcPr>
          <w:p w14:paraId="68AD4B22" w14:textId="77777777" w:rsidR="0004787D" w:rsidRPr="0004787D" w:rsidRDefault="0004787D" w:rsidP="005458CE">
            <w:pPr>
              <w:jc w:val="right"/>
            </w:pPr>
            <w:r w:rsidRPr="0004787D">
              <w:t>35</w:t>
            </w:r>
            <w:r w:rsidR="009E5BBE">
              <w:t>.</w:t>
            </w:r>
            <w:r w:rsidRPr="0004787D">
              <w:t>4</w:t>
            </w:r>
          </w:p>
        </w:tc>
      </w:tr>
      <w:tr w:rsidR="0004787D" w:rsidRPr="0004787D" w14:paraId="2AC3C5C3" w14:textId="77777777" w:rsidTr="009E2028">
        <w:trPr>
          <w:trHeight w:val="300"/>
        </w:trPr>
        <w:tc>
          <w:tcPr>
            <w:tcW w:w="3724" w:type="pct"/>
            <w:noWrap/>
            <w:hideMark/>
          </w:tcPr>
          <w:p w14:paraId="32669A48" w14:textId="77777777" w:rsidR="0004787D" w:rsidRPr="0004787D" w:rsidRDefault="0004787D" w:rsidP="0004787D">
            <w:r w:rsidRPr="0004787D">
              <w:t>Psychological or emotional condition</w:t>
            </w:r>
          </w:p>
        </w:tc>
        <w:tc>
          <w:tcPr>
            <w:tcW w:w="1276" w:type="pct"/>
            <w:noWrap/>
            <w:hideMark/>
          </w:tcPr>
          <w:p w14:paraId="25398583" w14:textId="77777777" w:rsidR="0004787D" w:rsidRPr="0004787D" w:rsidRDefault="0004787D" w:rsidP="005458CE">
            <w:pPr>
              <w:jc w:val="right"/>
            </w:pPr>
            <w:r w:rsidRPr="0004787D">
              <w:t>27</w:t>
            </w:r>
            <w:r w:rsidR="009E5BBE">
              <w:t>.</w:t>
            </w:r>
            <w:r w:rsidRPr="0004787D">
              <w:t>5</w:t>
            </w:r>
          </w:p>
        </w:tc>
      </w:tr>
      <w:tr w:rsidR="0004787D" w:rsidRPr="0004787D" w14:paraId="24D847B4" w14:textId="77777777" w:rsidTr="009E2028">
        <w:trPr>
          <w:trHeight w:val="300"/>
        </w:trPr>
        <w:tc>
          <w:tcPr>
            <w:tcW w:w="3724" w:type="pct"/>
            <w:noWrap/>
            <w:hideMark/>
          </w:tcPr>
          <w:p w14:paraId="33869525" w14:textId="77777777" w:rsidR="0004787D" w:rsidRPr="0004787D" w:rsidRDefault="0004787D" w:rsidP="0004787D">
            <w:r w:rsidRPr="0004787D">
              <w:t>Difficulty in learning, remembering or concentrating</w:t>
            </w:r>
          </w:p>
        </w:tc>
        <w:tc>
          <w:tcPr>
            <w:tcW w:w="1276" w:type="pct"/>
            <w:noWrap/>
            <w:hideMark/>
          </w:tcPr>
          <w:p w14:paraId="4D1474F9" w14:textId="77777777" w:rsidR="0004787D" w:rsidRPr="0004787D" w:rsidRDefault="0004787D" w:rsidP="005458CE">
            <w:pPr>
              <w:jc w:val="right"/>
            </w:pPr>
            <w:r w:rsidRPr="0004787D">
              <w:t>24</w:t>
            </w:r>
            <w:r w:rsidR="009E5BBE">
              <w:t>.</w:t>
            </w:r>
            <w:r w:rsidRPr="0004787D">
              <w:t>6</w:t>
            </w:r>
          </w:p>
        </w:tc>
      </w:tr>
      <w:tr w:rsidR="0004787D" w:rsidRPr="0004787D" w14:paraId="01FA913F" w14:textId="77777777" w:rsidTr="009E2028">
        <w:trPr>
          <w:trHeight w:val="300"/>
        </w:trPr>
        <w:tc>
          <w:tcPr>
            <w:tcW w:w="3724" w:type="pct"/>
            <w:noWrap/>
            <w:hideMark/>
          </w:tcPr>
          <w:p w14:paraId="184396AA" w14:textId="77777777" w:rsidR="0004787D" w:rsidRPr="0004787D" w:rsidRDefault="0004787D" w:rsidP="0004787D">
            <w:r w:rsidRPr="0004787D">
              <w:t>A condition that substantially limits one or more basic physical activities</w:t>
            </w:r>
          </w:p>
        </w:tc>
        <w:tc>
          <w:tcPr>
            <w:tcW w:w="1276" w:type="pct"/>
            <w:noWrap/>
            <w:hideMark/>
          </w:tcPr>
          <w:p w14:paraId="73F7BC2A" w14:textId="77777777" w:rsidR="0004787D" w:rsidRPr="0004787D" w:rsidRDefault="0004787D" w:rsidP="005458CE">
            <w:pPr>
              <w:jc w:val="right"/>
            </w:pPr>
            <w:r w:rsidRPr="0004787D">
              <w:t>18</w:t>
            </w:r>
            <w:r w:rsidR="009E5BBE">
              <w:t>.</w:t>
            </w:r>
            <w:r w:rsidRPr="0004787D">
              <w:t>5</w:t>
            </w:r>
          </w:p>
        </w:tc>
      </w:tr>
      <w:tr w:rsidR="0004787D" w:rsidRPr="0004787D" w14:paraId="72EA7711" w14:textId="77777777" w:rsidTr="009E2028">
        <w:trPr>
          <w:trHeight w:val="300"/>
        </w:trPr>
        <w:tc>
          <w:tcPr>
            <w:tcW w:w="3724" w:type="pct"/>
            <w:noWrap/>
            <w:hideMark/>
          </w:tcPr>
          <w:p w14:paraId="04A2C647" w14:textId="77777777" w:rsidR="0004787D" w:rsidRPr="0004787D" w:rsidRDefault="0004787D" w:rsidP="0004787D">
            <w:r w:rsidRPr="0004787D">
              <w:t>An intellectual disability</w:t>
            </w:r>
          </w:p>
        </w:tc>
        <w:tc>
          <w:tcPr>
            <w:tcW w:w="1276" w:type="pct"/>
            <w:noWrap/>
            <w:hideMark/>
          </w:tcPr>
          <w:p w14:paraId="739D4199" w14:textId="77777777" w:rsidR="0004787D" w:rsidRPr="0004787D" w:rsidRDefault="0004787D" w:rsidP="005458CE">
            <w:pPr>
              <w:jc w:val="right"/>
            </w:pPr>
            <w:r w:rsidRPr="0004787D">
              <w:t>17</w:t>
            </w:r>
            <w:r w:rsidR="009E5BBE">
              <w:t>.</w:t>
            </w:r>
            <w:r w:rsidRPr="0004787D">
              <w:t>3</w:t>
            </w:r>
          </w:p>
        </w:tc>
      </w:tr>
      <w:tr w:rsidR="0004787D" w:rsidRPr="0004787D" w14:paraId="167DE954" w14:textId="77777777" w:rsidTr="009E2028">
        <w:trPr>
          <w:trHeight w:val="300"/>
        </w:trPr>
        <w:tc>
          <w:tcPr>
            <w:tcW w:w="3724" w:type="pct"/>
            <w:noWrap/>
            <w:hideMark/>
          </w:tcPr>
          <w:p w14:paraId="38D78B0D" w14:textId="77777777" w:rsidR="0004787D" w:rsidRPr="0004787D" w:rsidRDefault="0004787D" w:rsidP="0004787D">
            <w:r w:rsidRPr="0004787D">
              <w:lastRenderedPageBreak/>
              <w:t>Difficulty in working or attending school/college</w:t>
            </w:r>
          </w:p>
        </w:tc>
        <w:tc>
          <w:tcPr>
            <w:tcW w:w="1276" w:type="pct"/>
            <w:noWrap/>
            <w:hideMark/>
          </w:tcPr>
          <w:p w14:paraId="3FFE3682" w14:textId="77777777" w:rsidR="0004787D" w:rsidRPr="0004787D" w:rsidRDefault="0004787D" w:rsidP="005458CE">
            <w:pPr>
              <w:jc w:val="right"/>
            </w:pPr>
            <w:r w:rsidRPr="0004787D">
              <w:t>15</w:t>
            </w:r>
            <w:r w:rsidR="009E5BBE">
              <w:t>.</w:t>
            </w:r>
            <w:r w:rsidRPr="0004787D">
              <w:t>0</w:t>
            </w:r>
          </w:p>
        </w:tc>
      </w:tr>
      <w:tr w:rsidR="0004787D" w:rsidRPr="0004787D" w14:paraId="22CA88A6" w14:textId="77777777" w:rsidTr="009E2028">
        <w:trPr>
          <w:trHeight w:val="300"/>
        </w:trPr>
        <w:tc>
          <w:tcPr>
            <w:tcW w:w="3724" w:type="pct"/>
            <w:noWrap/>
            <w:hideMark/>
          </w:tcPr>
          <w:p w14:paraId="776CF5A8" w14:textId="77777777" w:rsidR="0004787D" w:rsidRPr="0004787D" w:rsidRDefault="0004787D" w:rsidP="0004787D">
            <w:r w:rsidRPr="0004787D">
              <w:t>Difficulty in dressing, bathing or getting around inside the home</w:t>
            </w:r>
          </w:p>
        </w:tc>
        <w:tc>
          <w:tcPr>
            <w:tcW w:w="1276" w:type="pct"/>
            <w:noWrap/>
            <w:hideMark/>
          </w:tcPr>
          <w:p w14:paraId="2A192C70" w14:textId="77777777" w:rsidR="0004787D" w:rsidRPr="0004787D" w:rsidRDefault="0004787D" w:rsidP="005458CE">
            <w:pPr>
              <w:jc w:val="right"/>
            </w:pPr>
            <w:r w:rsidRPr="0004787D">
              <w:t>13</w:t>
            </w:r>
            <w:r w:rsidR="009E5BBE">
              <w:t>.</w:t>
            </w:r>
            <w:r w:rsidRPr="0004787D">
              <w:t>4</w:t>
            </w:r>
          </w:p>
        </w:tc>
      </w:tr>
      <w:tr w:rsidR="0004787D" w:rsidRPr="0004787D" w14:paraId="0A355108" w14:textId="77777777" w:rsidTr="009E2028">
        <w:trPr>
          <w:trHeight w:val="300"/>
        </w:trPr>
        <w:tc>
          <w:tcPr>
            <w:tcW w:w="3724" w:type="pct"/>
            <w:noWrap/>
            <w:hideMark/>
          </w:tcPr>
          <w:p w14:paraId="4EE9187A" w14:textId="77777777" w:rsidR="0004787D" w:rsidRPr="0004787D" w:rsidRDefault="0004787D" w:rsidP="0004787D">
            <w:r w:rsidRPr="0004787D">
              <w:t>Difficulty in going outside home alone</w:t>
            </w:r>
          </w:p>
        </w:tc>
        <w:tc>
          <w:tcPr>
            <w:tcW w:w="1276" w:type="pct"/>
            <w:noWrap/>
            <w:hideMark/>
          </w:tcPr>
          <w:p w14:paraId="5F5CE7CB" w14:textId="77777777" w:rsidR="0004787D" w:rsidRPr="0004787D" w:rsidRDefault="0004787D" w:rsidP="005458CE">
            <w:pPr>
              <w:jc w:val="right"/>
            </w:pPr>
            <w:r w:rsidRPr="0004787D">
              <w:t>10</w:t>
            </w:r>
            <w:r w:rsidR="009E5BBE">
              <w:t>.</w:t>
            </w:r>
            <w:r w:rsidRPr="0004787D">
              <w:t>9</w:t>
            </w:r>
          </w:p>
        </w:tc>
      </w:tr>
      <w:tr w:rsidR="009E2028" w:rsidRPr="0004787D" w14:paraId="3EE20654" w14:textId="77777777" w:rsidTr="009E2028">
        <w:trPr>
          <w:trHeight w:val="300"/>
        </w:trPr>
        <w:tc>
          <w:tcPr>
            <w:tcW w:w="3724" w:type="pct"/>
            <w:noWrap/>
            <w:hideMark/>
          </w:tcPr>
          <w:p w14:paraId="3A72642B" w14:textId="77777777" w:rsidR="009E2028" w:rsidRPr="0004787D" w:rsidRDefault="009E2028" w:rsidP="003C411A">
            <w:r w:rsidRPr="0004787D">
              <w:t>Difficulty in participating in other activities</w:t>
            </w:r>
          </w:p>
        </w:tc>
        <w:tc>
          <w:tcPr>
            <w:tcW w:w="1276" w:type="pct"/>
            <w:noWrap/>
            <w:hideMark/>
          </w:tcPr>
          <w:p w14:paraId="51798B4E" w14:textId="77777777" w:rsidR="009E2028" w:rsidRPr="0004787D" w:rsidRDefault="009E2028" w:rsidP="003C411A">
            <w:pPr>
              <w:jc w:val="right"/>
            </w:pPr>
            <w:r w:rsidRPr="0004787D">
              <w:t>20</w:t>
            </w:r>
            <w:r>
              <w:t>.</w:t>
            </w:r>
            <w:r w:rsidRPr="0004787D">
              <w:t>0</w:t>
            </w:r>
          </w:p>
        </w:tc>
      </w:tr>
    </w:tbl>
    <w:p w14:paraId="001999F0" w14:textId="77777777" w:rsidR="0004787D" w:rsidRPr="00312A05" w:rsidRDefault="0004787D" w:rsidP="00312A05">
      <w:pPr>
        <w:jc w:val="center"/>
        <w:rPr>
          <w:sz w:val="20"/>
          <w:szCs w:val="20"/>
        </w:rPr>
      </w:pPr>
      <w:r w:rsidRPr="00312A05">
        <w:rPr>
          <w:sz w:val="20"/>
          <w:szCs w:val="20"/>
        </w:rPr>
        <w:t>Source: Census 2016</w:t>
      </w:r>
    </w:p>
    <w:p w14:paraId="7133425C" w14:textId="77777777" w:rsidR="008D7B00" w:rsidRDefault="00D179A3" w:rsidP="00D179A3">
      <w:r>
        <w:t>Almost a third of persons with a disability (32.5%) report being unable to work due to permanent sickness or disability (Table 5)</w:t>
      </w:r>
      <w:r w:rsidR="008D7B00" w:rsidRPr="008D7B00">
        <w:t>.</w:t>
      </w:r>
      <w:r w:rsidR="009F5859">
        <w:rPr>
          <w:rStyle w:val="FootnoteReference"/>
        </w:rPr>
        <w:footnoteReference w:id="12"/>
      </w:r>
      <w:r>
        <w:t xml:space="preserve"> For persons with an intellectual disability this rises to 57.3% and among those with a condition that substantially limits one or more basic physical activities it is 54.7%. The rates are higher again among most people who report a functional limitation. </w:t>
      </w:r>
    </w:p>
    <w:p w14:paraId="5685A9C6" w14:textId="77777777" w:rsidR="0004787D" w:rsidRPr="0004787D" w:rsidRDefault="0004787D" w:rsidP="00317848">
      <w:pPr>
        <w:pStyle w:val="TableTitle"/>
      </w:pPr>
      <w:r w:rsidRPr="0004787D">
        <w:t>Table 5: People who are unable to work due to permanent sickness or disability</w:t>
      </w:r>
      <w:r w:rsidR="00342B01">
        <w:t xml:space="preserve"> by disability type</w:t>
      </w:r>
      <w:r w:rsidRPr="0004787D">
        <w:t>.</w:t>
      </w:r>
    </w:p>
    <w:tbl>
      <w:tblPr>
        <w:tblStyle w:val="TableGrid"/>
        <w:tblW w:w="5000" w:type="pct"/>
        <w:tblLook w:val="04A0" w:firstRow="1" w:lastRow="0" w:firstColumn="1" w:lastColumn="0" w:noHBand="0" w:noVBand="1"/>
        <w:tblCaption w:val="Table 5: People who are unable to work due to permanent sickness or disability."/>
        <w:tblDescription w:val="This table shows the population unable to work due to permanent sickness or disability as % of total pop by disability type, aged 20-64. &#10;Deafness or a serious hearing impairment, 21. 4%&#10;Blindness or a serious vision impairment, 32. 5%&#10;Other disability, including chronic illness, 36. 5%&#10;Psychological or emotional condition, 40. 4%&#10;Difficulty in learning, remembering or concentrating, 42. 8%&#10;All people with a disability, 49. 3%&#10;A condition that substantially limits one or more basic physical activities, 54. 7%&#10;Difficulty in participating in other activities, 55. 6%&#10;An intellectual disability, 57. 3%&#10;Difficulty in working or attending school/college, 60. 9%&#10;Difficulty in dressing, bathing or getting around inside the home, 65. 4%&#10;Difficulty in going outside home alone, 65. 5%&#10;"/>
      </w:tblPr>
      <w:tblGrid>
        <w:gridCol w:w="3578"/>
        <w:gridCol w:w="5052"/>
      </w:tblGrid>
      <w:tr w:rsidR="0004787D" w:rsidRPr="0004787D" w14:paraId="154313A8" w14:textId="77777777" w:rsidTr="00671E0F">
        <w:trPr>
          <w:trHeight w:val="300"/>
          <w:tblHeader/>
        </w:trPr>
        <w:tc>
          <w:tcPr>
            <w:tcW w:w="2073" w:type="pct"/>
            <w:noWrap/>
            <w:hideMark/>
          </w:tcPr>
          <w:p w14:paraId="60CEFD33" w14:textId="77777777" w:rsidR="0004787D" w:rsidRPr="0004787D" w:rsidRDefault="0004787D" w:rsidP="00C23D2D">
            <w:pPr>
              <w:pStyle w:val="TableHead"/>
            </w:pPr>
            <w:r w:rsidRPr="0004787D">
              <w:t>Type of Disability</w:t>
            </w:r>
          </w:p>
        </w:tc>
        <w:tc>
          <w:tcPr>
            <w:tcW w:w="2927" w:type="pct"/>
            <w:noWrap/>
            <w:hideMark/>
          </w:tcPr>
          <w:p w14:paraId="7FD4796C" w14:textId="77777777" w:rsidR="0004787D" w:rsidRPr="0004787D" w:rsidRDefault="0004787D" w:rsidP="00C23D2D">
            <w:pPr>
              <w:pStyle w:val="TableHead"/>
            </w:pPr>
            <w:r w:rsidRPr="0004787D">
              <w:t xml:space="preserve">Unable to work due to permanent sickness or disability as % of </w:t>
            </w:r>
            <w:r w:rsidR="00342B01">
              <w:t>all persons with a disability</w:t>
            </w:r>
          </w:p>
        </w:tc>
      </w:tr>
      <w:tr w:rsidR="00342B01" w:rsidRPr="0004787D" w14:paraId="08C4AE43" w14:textId="77777777" w:rsidTr="009C2377">
        <w:trPr>
          <w:trHeight w:val="300"/>
        </w:trPr>
        <w:tc>
          <w:tcPr>
            <w:tcW w:w="2073" w:type="pct"/>
            <w:noWrap/>
            <w:hideMark/>
          </w:tcPr>
          <w:p w14:paraId="4955CB67" w14:textId="77777777" w:rsidR="00342B01" w:rsidRPr="0004787D" w:rsidRDefault="00342B01" w:rsidP="003C411A">
            <w:r w:rsidRPr="0004787D">
              <w:t xml:space="preserve">All </w:t>
            </w:r>
            <w:r>
              <w:t>persons</w:t>
            </w:r>
            <w:r w:rsidRPr="008D7B00">
              <w:t xml:space="preserve"> </w:t>
            </w:r>
            <w:r w:rsidRPr="0004787D">
              <w:t>with a disability</w:t>
            </w:r>
          </w:p>
        </w:tc>
        <w:tc>
          <w:tcPr>
            <w:tcW w:w="2927" w:type="pct"/>
            <w:noWrap/>
            <w:hideMark/>
          </w:tcPr>
          <w:p w14:paraId="7B69112C" w14:textId="77777777" w:rsidR="00342B01" w:rsidRPr="0004787D" w:rsidRDefault="00342B01" w:rsidP="003C411A">
            <w:pPr>
              <w:jc w:val="right"/>
            </w:pPr>
            <w:r>
              <w:t>32.5</w:t>
            </w:r>
          </w:p>
        </w:tc>
      </w:tr>
      <w:tr w:rsidR="0004787D" w:rsidRPr="0004787D" w14:paraId="7FB12161" w14:textId="77777777" w:rsidTr="009C2377">
        <w:trPr>
          <w:trHeight w:val="300"/>
        </w:trPr>
        <w:tc>
          <w:tcPr>
            <w:tcW w:w="2073" w:type="pct"/>
            <w:noWrap/>
            <w:hideMark/>
          </w:tcPr>
          <w:p w14:paraId="7C5DFBC1" w14:textId="77777777" w:rsidR="0004787D" w:rsidRPr="0004787D" w:rsidRDefault="0004787D" w:rsidP="0004787D">
            <w:r w:rsidRPr="0004787D">
              <w:t>Deafness or a serious hearing impairment</w:t>
            </w:r>
          </w:p>
        </w:tc>
        <w:tc>
          <w:tcPr>
            <w:tcW w:w="2927" w:type="pct"/>
            <w:noWrap/>
            <w:hideMark/>
          </w:tcPr>
          <w:p w14:paraId="3C901CE4" w14:textId="77777777" w:rsidR="0004787D" w:rsidRPr="0004787D" w:rsidRDefault="0004787D" w:rsidP="005458CE">
            <w:pPr>
              <w:jc w:val="right"/>
            </w:pPr>
            <w:r w:rsidRPr="0004787D">
              <w:t>21</w:t>
            </w:r>
            <w:r w:rsidR="009E5BBE">
              <w:t>.</w:t>
            </w:r>
            <w:r w:rsidRPr="0004787D">
              <w:t>4</w:t>
            </w:r>
          </w:p>
        </w:tc>
      </w:tr>
      <w:tr w:rsidR="0004787D" w:rsidRPr="0004787D" w14:paraId="42CF9D51" w14:textId="77777777" w:rsidTr="009C2377">
        <w:trPr>
          <w:trHeight w:val="300"/>
        </w:trPr>
        <w:tc>
          <w:tcPr>
            <w:tcW w:w="2073" w:type="pct"/>
            <w:noWrap/>
            <w:hideMark/>
          </w:tcPr>
          <w:p w14:paraId="495A7C2D" w14:textId="77777777" w:rsidR="0004787D" w:rsidRPr="0004787D" w:rsidRDefault="0004787D" w:rsidP="0004787D">
            <w:r w:rsidRPr="0004787D">
              <w:t>Blindness or a serious vision impairment</w:t>
            </w:r>
          </w:p>
        </w:tc>
        <w:tc>
          <w:tcPr>
            <w:tcW w:w="2927" w:type="pct"/>
            <w:noWrap/>
            <w:hideMark/>
          </w:tcPr>
          <w:p w14:paraId="2F5AA097" w14:textId="77777777" w:rsidR="0004787D" w:rsidRPr="0004787D" w:rsidRDefault="0004787D" w:rsidP="005458CE">
            <w:pPr>
              <w:jc w:val="right"/>
            </w:pPr>
            <w:r w:rsidRPr="0004787D">
              <w:t>32</w:t>
            </w:r>
            <w:r w:rsidR="009E5BBE">
              <w:t>.</w:t>
            </w:r>
            <w:r w:rsidRPr="0004787D">
              <w:t>5</w:t>
            </w:r>
          </w:p>
        </w:tc>
      </w:tr>
      <w:tr w:rsidR="0004787D" w:rsidRPr="0004787D" w14:paraId="213B482D" w14:textId="77777777" w:rsidTr="009C2377">
        <w:trPr>
          <w:trHeight w:val="300"/>
        </w:trPr>
        <w:tc>
          <w:tcPr>
            <w:tcW w:w="2073" w:type="pct"/>
            <w:noWrap/>
            <w:hideMark/>
          </w:tcPr>
          <w:p w14:paraId="31D30BD0" w14:textId="77777777" w:rsidR="0004787D" w:rsidRPr="0004787D" w:rsidRDefault="0004787D" w:rsidP="0004787D">
            <w:r w:rsidRPr="0004787D">
              <w:t>Other disability, including chronic illness</w:t>
            </w:r>
          </w:p>
        </w:tc>
        <w:tc>
          <w:tcPr>
            <w:tcW w:w="2927" w:type="pct"/>
            <w:noWrap/>
            <w:hideMark/>
          </w:tcPr>
          <w:p w14:paraId="0878E6CF" w14:textId="77777777" w:rsidR="0004787D" w:rsidRPr="0004787D" w:rsidRDefault="0004787D" w:rsidP="005458CE">
            <w:pPr>
              <w:jc w:val="right"/>
            </w:pPr>
            <w:r w:rsidRPr="0004787D">
              <w:t>36</w:t>
            </w:r>
            <w:r w:rsidR="009E5BBE">
              <w:t>.</w:t>
            </w:r>
            <w:r w:rsidRPr="0004787D">
              <w:t>5</w:t>
            </w:r>
          </w:p>
        </w:tc>
      </w:tr>
      <w:tr w:rsidR="0004787D" w:rsidRPr="0004787D" w14:paraId="6A1A091B" w14:textId="77777777" w:rsidTr="009C2377">
        <w:trPr>
          <w:trHeight w:val="300"/>
        </w:trPr>
        <w:tc>
          <w:tcPr>
            <w:tcW w:w="2073" w:type="pct"/>
            <w:noWrap/>
            <w:hideMark/>
          </w:tcPr>
          <w:p w14:paraId="7A4CA9EE" w14:textId="77777777" w:rsidR="0004787D" w:rsidRPr="0004787D" w:rsidRDefault="0004787D" w:rsidP="0004787D">
            <w:r w:rsidRPr="0004787D">
              <w:t>Psychological or emotional condition</w:t>
            </w:r>
          </w:p>
        </w:tc>
        <w:tc>
          <w:tcPr>
            <w:tcW w:w="2927" w:type="pct"/>
            <w:noWrap/>
            <w:hideMark/>
          </w:tcPr>
          <w:p w14:paraId="6A200984" w14:textId="77777777" w:rsidR="0004787D" w:rsidRPr="0004787D" w:rsidRDefault="0004787D" w:rsidP="005458CE">
            <w:pPr>
              <w:jc w:val="right"/>
            </w:pPr>
            <w:r w:rsidRPr="0004787D">
              <w:t>40</w:t>
            </w:r>
            <w:r w:rsidR="009E5BBE">
              <w:t>.</w:t>
            </w:r>
            <w:r w:rsidRPr="0004787D">
              <w:t>4</w:t>
            </w:r>
          </w:p>
        </w:tc>
      </w:tr>
      <w:tr w:rsidR="0004787D" w:rsidRPr="0004787D" w14:paraId="48D5D26F" w14:textId="77777777" w:rsidTr="009C2377">
        <w:trPr>
          <w:trHeight w:val="300"/>
        </w:trPr>
        <w:tc>
          <w:tcPr>
            <w:tcW w:w="2073" w:type="pct"/>
            <w:noWrap/>
            <w:hideMark/>
          </w:tcPr>
          <w:p w14:paraId="03DC5031" w14:textId="77777777" w:rsidR="0004787D" w:rsidRPr="0004787D" w:rsidRDefault="0004787D" w:rsidP="0004787D">
            <w:r w:rsidRPr="0004787D">
              <w:lastRenderedPageBreak/>
              <w:t>Difficulty in learning, remembering or concentrating</w:t>
            </w:r>
          </w:p>
        </w:tc>
        <w:tc>
          <w:tcPr>
            <w:tcW w:w="2927" w:type="pct"/>
            <w:noWrap/>
            <w:hideMark/>
          </w:tcPr>
          <w:p w14:paraId="35FD132F" w14:textId="77777777" w:rsidR="0004787D" w:rsidRPr="0004787D" w:rsidRDefault="0004787D" w:rsidP="005458CE">
            <w:pPr>
              <w:jc w:val="right"/>
            </w:pPr>
            <w:r w:rsidRPr="0004787D">
              <w:t>42</w:t>
            </w:r>
            <w:r w:rsidR="009E5BBE">
              <w:t>.</w:t>
            </w:r>
            <w:r w:rsidRPr="0004787D">
              <w:t>8</w:t>
            </w:r>
          </w:p>
        </w:tc>
      </w:tr>
      <w:tr w:rsidR="0004787D" w:rsidRPr="0004787D" w14:paraId="727648CF" w14:textId="77777777" w:rsidTr="009C2377">
        <w:trPr>
          <w:trHeight w:val="300"/>
        </w:trPr>
        <w:tc>
          <w:tcPr>
            <w:tcW w:w="2073" w:type="pct"/>
            <w:noWrap/>
            <w:hideMark/>
          </w:tcPr>
          <w:p w14:paraId="4DF6B66E" w14:textId="77777777" w:rsidR="0004787D" w:rsidRPr="0004787D" w:rsidRDefault="0004787D" w:rsidP="0004787D">
            <w:r w:rsidRPr="0004787D">
              <w:t>A condition that substantially limits one or more basic physical activities</w:t>
            </w:r>
          </w:p>
        </w:tc>
        <w:tc>
          <w:tcPr>
            <w:tcW w:w="2927" w:type="pct"/>
            <w:noWrap/>
            <w:hideMark/>
          </w:tcPr>
          <w:p w14:paraId="0CC16617" w14:textId="77777777" w:rsidR="0004787D" w:rsidRPr="0004787D" w:rsidRDefault="0004787D" w:rsidP="005458CE">
            <w:pPr>
              <w:jc w:val="right"/>
            </w:pPr>
            <w:r w:rsidRPr="0004787D">
              <w:t>54</w:t>
            </w:r>
            <w:r w:rsidR="009E5BBE">
              <w:t>.</w:t>
            </w:r>
            <w:r w:rsidRPr="0004787D">
              <w:t>7</w:t>
            </w:r>
          </w:p>
        </w:tc>
      </w:tr>
      <w:tr w:rsidR="0004787D" w:rsidRPr="0004787D" w14:paraId="3B071F47" w14:textId="77777777" w:rsidTr="009C2377">
        <w:trPr>
          <w:trHeight w:val="300"/>
        </w:trPr>
        <w:tc>
          <w:tcPr>
            <w:tcW w:w="2073" w:type="pct"/>
            <w:noWrap/>
            <w:hideMark/>
          </w:tcPr>
          <w:p w14:paraId="3ED41FD7" w14:textId="77777777" w:rsidR="0004787D" w:rsidRPr="0004787D" w:rsidRDefault="0004787D" w:rsidP="0004787D">
            <w:r w:rsidRPr="0004787D">
              <w:t>An intellectual disability</w:t>
            </w:r>
          </w:p>
        </w:tc>
        <w:tc>
          <w:tcPr>
            <w:tcW w:w="2927" w:type="pct"/>
            <w:noWrap/>
            <w:hideMark/>
          </w:tcPr>
          <w:p w14:paraId="6AD651A5" w14:textId="77777777" w:rsidR="0004787D" w:rsidRPr="0004787D" w:rsidRDefault="0004787D" w:rsidP="005458CE">
            <w:pPr>
              <w:jc w:val="right"/>
            </w:pPr>
            <w:r w:rsidRPr="0004787D">
              <w:t>57</w:t>
            </w:r>
            <w:r w:rsidR="009E5BBE">
              <w:t>.</w:t>
            </w:r>
            <w:r w:rsidRPr="0004787D">
              <w:t>3</w:t>
            </w:r>
          </w:p>
        </w:tc>
      </w:tr>
      <w:tr w:rsidR="0004787D" w:rsidRPr="0004787D" w14:paraId="26D6A088" w14:textId="77777777" w:rsidTr="009C2377">
        <w:trPr>
          <w:trHeight w:val="300"/>
        </w:trPr>
        <w:tc>
          <w:tcPr>
            <w:tcW w:w="2073" w:type="pct"/>
            <w:noWrap/>
            <w:hideMark/>
          </w:tcPr>
          <w:p w14:paraId="6FAB7190" w14:textId="77777777" w:rsidR="0004787D" w:rsidRPr="0004787D" w:rsidRDefault="0004787D" w:rsidP="0004787D">
            <w:r w:rsidRPr="0004787D">
              <w:t>Difficulty in working or attending school/college</w:t>
            </w:r>
          </w:p>
        </w:tc>
        <w:tc>
          <w:tcPr>
            <w:tcW w:w="2927" w:type="pct"/>
            <w:noWrap/>
            <w:hideMark/>
          </w:tcPr>
          <w:p w14:paraId="1F309BD3" w14:textId="77777777" w:rsidR="0004787D" w:rsidRPr="0004787D" w:rsidRDefault="0004787D" w:rsidP="005458CE">
            <w:pPr>
              <w:jc w:val="right"/>
            </w:pPr>
            <w:r w:rsidRPr="0004787D">
              <w:t>60</w:t>
            </w:r>
            <w:r w:rsidR="009E5BBE">
              <w:t>.</w:t>
            </w:r>
            <w:r w:rsidRPr="0004787D">
              <w:t>9</w:t>
            </w:r>
          </w:p>
        </w:tc>
      </w:tr>
      <w:tr w:rsidR="0004787D" w:rsidRPr="0004787D" w14:paraId="0610A7A0" w14:textId="77777777" w:rsidTr="009C2377">
        <w:trPr>
          <w:trHeight w:val="300"/>
        </w:trPr>
        <w:tc>
          <w:tcPr>
            <w:tcW w:w="2073" w:type="pct"/>
            <w:noWrap/>
            <w:hideMark/>
          </w:tcPr>
          <w:p w14:paraId="12D941B3" w14:textId="77777777" w:rsidR="0004787D" w:rsidRPr="0004787D" w:rsidRDefault="0004787D" w:rsidP="0004787D">
            <w:r w:rsidRPr="0004787D">
              <w:t>Difficulty in dressing, bathing or getting around inside the home</w:t>
            </w:r>
          </w:p>
        </w:tc>
        <w:tc>
          <w:tcPr>
            <w:tcW w:w="2927" w:type="pct"/>
            <w:noWrap/>
            <w:hideMark/>
          </w:tcPr>
          <w:p w14:paraId="33BA1DA9" w14:textId="77777777" w:rsidR="0004787D" w:rsidRPr="0004787D" w:rsidRDefault="0004787D" w:rsidP="005458CE">
            <w:pPr>
              <w:jc w:val="right"/>
            </w:pPr>
            <w:r w:rsidRPr="0004787D">
              <w:t>65</w:t>
            </w:r>
            <w:r w:rsidR="009E5BBE">
              <w:t>.</w:t>
            </w:r>
            <w:r w:rsidRPr="0004787D">
              <w:t>4</w:t>
            </w:r>
          </w:p>
        </w:tc>
      </w:tr>
      <w:tr w:rsidR="0004787D" w:rsidRPr="0004787D" w14:paraId="0332933D" w14:textId="77777777" w:rsidTr="009C2377">
        <w:trPr>
          <w:trHeight w:val="300"/>
        </w:trPr>
        <w:tc>
          <w:tcPr>
            <w:tcW w:w="2073" w:type="pct"/>
            <w:noWrap/>
            <w:hideMark/>
          </w:tcPr>
          <w:p w14:paraId="47FB66B0" w14:textId="77777777" w:rsidR="0004787D" w:rsidRPr="0004787D" w:rsidRDefault="0004787D" w:rsidP="0004787D">
            <w:r w:rsidRPr="0004787D">
              <w:t>Difficulty in going outside home alone</w:t>
            </w:r>
          </w:p>
        </w:tc>
        <w:tc>
          <w:tcPr>
            <w:tcW w:w="2927" w:type="pct"/>
            <w:noWrap/>
            <w:hideMark/>
          </w:tcPr>
          <w:p w14:paraId="129F454F" w14:textId="77777777" w:rsidR="0004787D" w:rsidRPr="0004787D" w:rsidRDefault="0004787D" w:rsidP="005458CE">
            <w:pPr>
              <w:jc w:val="right"/>
            </w:pPr>
            <w:r w:rsidRPr="0004787D">
              <w:t>65</w:t>
            </w:r>
            <w:r w:rsidR="009E5BBE">
              <w:t>.</w:t>
            </w:r>
            <w:r w:rsidRPr="0004787D">
              <w:t>5</w:t>
            </w:r>
          </w:p>
        </w:tc>
      </w:tr>
      <w:tr w:rsidR="00342B01" w:rsidRPr="0004787D" w14:paraId="13E34CFE" w14:textId="77777777" w:rsidTr="009C2377">
        <w:trPr>
          <w:trHeight w:val="300"/>
        </w:trPr>
        <w:tc>
          <w:tcPr>
            <w:tcW w:w="2073" w:type="pct"/>
            <w:noWrap/>
            <w:hideMark/>
          </w:tcPr>
          <w:p w14:paraId="46472CBA" w14:textId="77777777" w:rsidR="00342B01" w:rsidRPr="0004787D" w:rsidRDefault="00342B01" w:rsidP="003C411A">
            <w:r w:rsidRPr="0004787D">
              <w:t>Difficulty in participating in other activities</w:t>
            </w:r>
          </w:p>
        </w:tc>
        <w:tc>
          <w:tcPr>
            <w:tcW w:w="2927" w:type="pct"/>
            <w:noWrap/>
            <w:hideMark/>
          </w:tcPr>
          <w:p w14:paraId="338BC3CD" w14:textId="77777777" w:rsidR="00342B01" w:rsidRPr="0004787D" w:rsidRDefault="00342B01" w:rsidP="003C411A">
            <w:pPr>
              <w:jc w:val="right"/>
            </w:pPr>
            <w:r w:rsidRPr="0004787D">
              <w:t>55</w:t>
            </w:r>
            <w:r>
              <w:t>.</w:t>
            </w:r>
            <w:r w:rsidRPr="0004787D">
              <w:t>6</w:t>
            </w:r>
          </w:p>
        </w:tc>
      </w:tr>
    </w:tbl>
    <w:p w14:paraId="120D649F" w14:textId="77777777" w:rsidR="0004787D" w:rsidRPr="00312A05" w:rsidRDefault="0004787D" w:rsidP="009F5859">
      <w:pPr>
        <w:jc w:val="center"/>
        <w:rPr>
          <w:sz w:val="20"/>
          <w:szCs w:val="20"/>
        </w:rPr>
      </w:pPr>
      <w:r w:rsidRPr="00312A05">
        <w:rPr>
          <w:sz w:val="20"/>
          <w:szCs w:val="20"/>
        </w:rPr>
        <w:t>Source: Census 2016</w:t>
      </w:r>
    </w:p>
    <w:p w14:paraId="26D9F204" w14:textId="77777777" w:rsidR="00870BFA" w:rsidRDefault="00870BFA" w:rsidP="00870BFA">
      <w:pPr>
        <w:pStyle w:val="Heading2"/>
      </w:pPr>
      <w:bookmarkStart w:id="11" w:name="_Toc65581160"/>
      <w:r w:rsidRPr="00870BFA">
        <w:t>Not in Education, Employment, or Training (NEETS)</w:t>
      </w:r>
      <w:bookmarkEnd w:id="11"/>
    </w:p>
    <w:p w14:paraId="12265D85" w14:textId="77777777" w:rsidR="008D7B00" w:rsidRPr="00D179A3" w:rsidRDefault="008D7B00" w:rsidP="008D7B00">
      <w:pPr>
        <w:rPr>
          <w:rFonts w:cs="Arial Bold"/>
          <w:b/>
          <w:bCs/>
          <w:iCs/>
          <w:sz w:val="28"/>
          <w:szCs w:val="28"/>
        </w:rPr>
      </w:pPr>
      <w:r w:rsidRPr="008D7B00">
        <w:t xml:space="preserve">A </w:t>
      </w:r>
      <w:r w:rsidR="00256546">
        <w:t xml:space="preserve">person who is </w:t>
      </w:r>
      <w:r w:rsidRPr="008D7B00">
        <w:t>“NEET” is a young person usually aged 16 to 24 who is "Not in Education, Employment, or Trai</w:t>
      </w:r>
      <w:r w:rsidR="00691A7A">
        <w:t>ning". According to Census 2016, t</w:t>
      </w:r>
      <w:r w:rsidRPr="008D7B00">
        <w:t xml:space="preserve">he NEET rate for young </w:t>
      </w:r>
      <w:r w:rsidR="000517D9">
        <w:t>persons</w:t>
      </w:r>
      <w:r w:rsidR="000517D9" w:rsidRPr="008D7B00">
        <w:t xml:space="preserve"> </w:t>
      </w:r>
      <w:r w:rsidRPr="008D7B00">
        <w:t xml:space="preserve">with a disability is 23%: 24.7% for men and 21.1% for women. This is over twice the rate of young </w:t>
      </w:r>
      <w:r w:rsidR="000517D9">
        <w:t>persons</w:t>
      </w:r>
      <w:r w:rsidR="000517D9" w:rsidRPr="008D7B00">
        <w:t xml:space="preserve"> </w:t>
      </w:r>
      <w:r w:rsidRPr="008D7B00">
        <w:t>without a disability at 10%.</w:t>
      </w:r>
      <w:r w:rsidR="001E2F4A">
        <w:t xml:space="preserve"> </w:t>
      </w:r>
      <w:r w:rsidRPr="008D7B00">
        <w:t>The percentage in education or training is very similar in both groups (62% and 65%). The difference in the NEET rate is driven by the difference in employment</w:t>
      </w:r>
      <w:r w:rsidR="00D179A3">
        <w:t xml:space="preserve"> levels</w:t>
      </w:r>
      <w:r w:rsidRPr="008D7B00">
        <w:t xml:space="preserve"> (15% versus 25%)</w:t>
      </w:r>
      <w:r w:rsidR="00D179A3">
        <w:t xml:space="preserve"> (Table 6)</w:t>
      </w:r>
      <w:r w:rsidRPr="008D7B00">
        <w:t>.</w:t>
      </w:r>
      <w:r w:rsidR="00407BD8">
        <w:rPr>
          <w:rStyle w:val="FootnoteReference"/>
        </w:rPr>
        <w:footnoteReference w:id="13"/>
      </w:r>
      <w:r w:rsidR="00D179A3">
        <w:rPr>
          <w:rFonts w:cs="Arial Bold"/>
          <w:b/>
          <w:bCs/>
          <w:iCs/>
          <w:sz w:val="28"/>
          <w:szCs w:val="28"/>
        </w:rPr>
        <w:t xml:space="preserve"> </w:t>
      </w:r>
      <w:r w:rsidRPr="008D7B00">
        <w:t xml:space="preserve">Young </w:t>
      </w:r>
      <w:r w:rsidR="000517D9">
        <w:t>persons</w:t>
      </w:r>
      <w:r w:rsidR="000517D9" w:rsidRPr="008D7B00">
        <w:t xml:space="preserve"> </w:t>
      </w:r>
      <w:r w:rsidRPr="008D7B00">
        <w:t xml:space="preserve">with functional and physical </w:t>
      </w:r>
      <w:r w:rsidR="00D179A3">
        <w:t>limitations are more likely to be</w:t>
      </w:r>
      <w:r w:rsidRPr="008D7B00">
        <w:t xml:space="preserve"> NEET: </w:t>
      </w:r>
    </w:p>
    <w:p w14:paraId="64DE7787" w14:textId="77777777" w:rsidR="008D7B00" w:rsidRPr="008D7B00" w:rsidRDefault="00691A7A" w:rsidP="00317848">
      <w:pPr>
        <w:pStyle w:val="ListBullet"/>
      </w:pPr>
      <w:r>
        <w:t>44% have d</w:t>
      </w:r>
      <w:r w:rsidR="008D7B00" w:rsidRPr="008D7B00">
        <w:t xml:space="preserve">ifficulty in going outside home alone </w:t>
      </w:r>
    </w:p>
    <w:p w14:paraId="459C696F" w14:textId="77777777" w:rsidR="008D7B00" w:rsidRPr="008D7B00" w:rsidRDefault="00691A7A" w:rsidP="00317848">
      <w:pPr>
        <w:pStyle w:val="ListBullet"/>
      </w:pPr>
      <w:r>
        <w:lastRenderedPageBreak/>
        <w:t>43% have d</w:t>
      </w:r>
      <w:r w:rsidR="008D7B00" w:rsidRPr="008D7B00">
        <w:t xml:space="preserve">ifficulty in dressing, bathing or getting around inside the home </w:t>
      </w:r>
    </w:p>
    <w:p w14:paraId="1C8596AD" w14:textId="77777777" w:rsidR="008D7B00" w:rsidRPr="008D7B00" w:rsidRDefault="00691A7A" w:rsidP="00317848">
      <w:pPr>
        <w:pStyle w:val="ListBullet"/>
      </w:pPr>
      <w:r>
        <w:t>37% have d</w:t>
      </w:r>
      <w:r w:rsidR="008D7B00" w:rsidRPr="008D7B00">
        <w:t xml:space="preserve">ifficulty in working or attending school/college </w:t>
      </w:r>
    </w:p>
    <w:p w14:paraId="4BF22C09" w14:textId="77777777" w:rsidR="008D7B00" w:rsidRPr="008D7B00" w:rsidRDefault="00691A7A" w:rsidP="00317848">
      <w:pPr>
        <w:pStyle w:val="ListBullet"/>
      </w:pPr>
      <w:r>
        <w:t>36% have d</w:t>
      </w:r>
      <w:r w:rsidR="008D7B00" w:rsidRPr="008D7B00">
        <w:t>ifficulty in participating in other activities</w:t>
      </w:r>
      <w:r w:rsidR="00407BD8">
        <w:rPr>
          <w:rStyle w:val="FootnoteReference"/>
        </w:rPr>
        <w:footnoteReference w:id="14"/>
      </w:r>
    </w:p>
    <w:p w14:paraId="24903029" w14:textId="77777777" w:rsidR="00736905" w:rsidRDefault="00D179A3" w:rsidP="00736905">
      <w:pPr>
        <w:pStyle w:val="TableTitle"/>
      </w:pPr>
      <w:r>
        <w:t>Table 6 – Rate of persons not in education, employment or training by d</w:t>
      </w:r>
      <w:r w:rsidR="00736905">
        <w:t>isability</w:t>
      </w:r>
      <w:r>
        <w:t xml:space="preserve"> status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6 – Rate of persons not in education, employment or training by disability status"/>
        <w:tblDescription w:val="Table showing the rate of persons not in education, employment or training by disability status"/>
      </w:tblPr>
      <w:tblGrid>
        <w:gridCol w:w="2880"/>
        <w:gridCol w:w="2880"/>
        <w:gridCol w:w="2880"/>
      </w:tblGrid>
      <w:tr w:rsidR="00736905" w:rsidRPr="00A64E5B" w14:paraId="6B4ACFB9" w14:textId="77777777" w:rsidTr="00A64E5B">
        <w:trPr>
          <w:tblHeader/>
        </w:trPr>
        <w:tc>
          <w:tcPr>
            <w:tcW w:w="2880" w:type="dxa"/>
            <w:shd w:val="clear" w:color="auto" w:fill="auto"/>
          </w:tcPr>
          <w:p w14:paraId="4A945508" w14:textId="77777777" w:rsidR="00736905" w:rsidRPr="00A64E5B" w:rsidRDefault="00736905" w:rsidP="00C23D2D">
            <w:pPr>
              <w:pStyle w:val="TableHead"/>
            </w:pPr>
          </w:p>
        </w:tc>
        <w:tc>
          <w:tcPr>
            <w:tcW w:w="2880" w:type="dxa"/>
            <w:shd w:val="clear" w:color="auto" w:fill="auto"/>
          </w:tcPr>
          <w:p w14:paraId="378F0054" w14:textId="77777777" w:rsidR="00736905" w:rsidRPr="00A64E5B" w:rsidRDefault="000517D9" w:rsidP="00C23D2D">
            <w:pPr>
              <w:pStyle w:val="TableHead"/>
            </w:pPr>
            <w:r w:rsidRPr="00A64E5B">
              <w:t xml:space="preserve">Persons </w:t>
            </w:r>
            <w:r w:rsidR="00736905" w:rsidRPr="00A64E5B">
              <w:t>with a disability</w:t>
            </w:r>
            <w:r w:rsidR="00E216B8" w:rsidRPr="00A64E5B">
              <w:t xml:space="preserve"> (%)</w:t>
            </w:r>
          </w:p>
        </w:tc>
        <w:tc>
          <w:tcPr>
            <w:tcW w:w="2880" w:type="dxa"/>
            <w:shd w:val="clear" w:color="auto" w:fill="auto"/>
          </w:tcPr>
          <w:p w14:paraId="040C69FD" w14:textId="77777777" w:rsidR="00736905" w:rsidRPr="00A64E5B" w:rsidRDefault="000517D9" w:rsidP="00C23D2D">
            <w:pPr>
              <w:pStyle w:val="TableHead"/>
            </w:pPr>
            <w:r w:rsidRPr="00A64E5B">
              <w:t xml:space="preserve">Persons </w:t>
            </w:r>
            <w:r w:rsidR="00736905" w:rsidRPr="00A64E5B">
              <w:t>without a disability</w:t>
            </w:r>
            <w:r w:rsidR="00E216B8" w:rsidRPr="00A64E5B">
              <w:t xml:space="preserve"> (%)</w:t>
            </w:r>
          </w:p>
        </w:tc>
      </w:tr>
      <w:tr w:rsidR="00736905" w:rsidRPr="00A64E5B" w14:paraId="2E489634" w14:textId="77777777" w:rsidTr="00A64E5B">
        <w:tc>
          <w:tcPr>
            <w:tcW w:w="2880" w:type="dxa"/>
            <w:shd w:val="clear" w:color="auto" w:fill="auto"/>
          </w:tcPr>
          <w:p w14:paraId="300FCA9E" w14:textId="77777777" w:rsidR="00736905" w:rsidRPr="00A64E5B" w:rsidRDefault="00736905" w:rsidP="00736905">
            <w:pPr>
              <w:pStyle w:val="TableRowHead"/>
              <w:rPr>
                <w:rFonts w:ascii="Gill Sans MT" w:hAnsi="Gill Sans MT"/>
              </w:rPr>
            </w:pPr>
            <w:r w:rsidRPr="00A64E5B">
              <w:rPr>
                <w:rFonts w:ascii="Gill Sans MT" w:hAnsi="Gill Sans MT"/>
              </w:rPr>
              <w:t>Total aged 15-24</w:t>
            </w:r>
          </w:p>
        </w:tc>
        <w:tc>
          <w:tcPr>
            <w:tcW w:w="2880" w:type="dxa"/>
            <w:shd w:val="clear" w:color="auto" w:fill="auto"/>
          </w:tcPr>
          <w:p w14:paraId="68DCE424" w14:textId="77777777" w:rsidR="00736905" w:rsidRPr="00A64E5B" w:rsidRDefault="00736905" w:rsidP="005458CE">
            <w:pPr>
              <w:pStyle w:val="TableCell"/>
              <w:jc w:val="right"/>
            </w:pPr>
            <w:r w:rsidRPr="00A64E5B">
              <w:t>53,465</w:t>
            </w:r>
          </w:p>
        </w:tc>
        <w:tc>
          <w:tcPr>
            <w:tcW w:w="2880" w:type="dxa"/>
            <w:shd w:val="clear" w:color="auto" w:fill="auto"/>
          </w:tcPr>
          <w:p w14:paraId="7D29239F" w14:textId="77777777" w:rsidR="00736905" w:rsidRPr="00A64E5B" w:rsidRDefault="00736905" w:rsidP="005458CE">
            <w:pPr>
              <w:pStyle w:val="TableCell"/>
              <w:jc w:val="right"/>
            </w:pPr>
            <w:r w:rsidRPr="00A64E5B">
              <w:t>522,987</w:t>
            </w:r>
          </w:p>
        </w:tc>
      </w:tr>
      <w:tr w:rsidR="00736905" w:rsidRPr="00A64E5B" w14:paraId="0161A4E8" w14:textId="77777777" w:rsidTr="00A64E5B">
        <w:tc>
          <w:tcPr>
            <w:tcW w:w="2880" w:type="dxa"/>
            <w:shd w:val="clear" w:color="auto" w:fill="auto"/>
          </w:tcPr>
          <w:p w14:paraId="31B72414" w14:textId="77777777" w:rsidR="00736905" w:rsidRPr="00A64E5B" w:rsidRDefault="00736905" w:rsidP="00736905">
            <w:pPr>
              <w:pStyle w:val="TableRowHead"/>
              <w:rPr>
                <w:rFonts w:ascii="Gill Sans MT" w:hAnsi="Gill Sans MT"/>
              </w:rPr>
            </w:pPr>
            <w:r w:rsidRPr="00A64E5B">
              <w:rPr>
                <w:rFonts w:ascii="Gill Sans MT" w:hAnsi="Gill Sans MT"/>
              </w:rPr>
              <w:t>Employment</w:t>
            </w:r>
          </w:p>
        </w:tc>
        <w:tc>
          <w:tcPr>
            <w:tcW w:w="2880" w:type="dxa"/>
            <w:shd w:val="clear" w:color="auto" w:fill="auto"/>
          </w:tcPr>
          <w:p w14:paraId="59EFEF47" w14:textId="77777777" w:rsidR="00736905" w:rsidRPr="00A64E5B" w:rsidRDefault="00736905" w:rsidP="005458CE">
            <w:pPr>
              <w:pStyle w:val="TableCell"/>
              <w:jc w:val="right"/>
            </w:pPr>
            <w:r w:rsidRPr="00A64E5B">
              <w:t>8,247</w:t>
            </w:r>
            <w:r w:rsidR="00E216B8" w:rsidRPr="00A64E5B">
              <w:t xml:space="preserve"> (15%)</w:t>
            </w:r>
          </w:p>
        </w:tc>
        <w:tc>
          <w:tcPr>
            <w:tcW w:w="2880" w:type="dxa"/>
            <w:shd w:val="clear" w:color="auto" w:fill="auto"/>
          </w:tcPr>
          <w:p w14:paraId="64BB52BA" w14:textId="77777777" w:rsidR="00736905" w:rsidRPr="00A64E5B" w:rsidRDefault="00736905" w:rsidP="005458CE">
            <w:pPr>
              <w:pStyle w:val="TableCell"/>
              <w:jc w:val="right"/>
            </w:pPr>
            <w:r w:rsidRPr="00A64E5B">
              <w:t>131,128</w:t>
            </w:r>
            <w:r w:rsidR="00E216B8" w:rsidRPr="00A64E5B">
              <w:t xml:space="preserve"> (25%)</w:t>
            </w:r>
          </w:p>
        </w:tc>
      </w:tr>
      <w:tr w:rsidR="00736905" w:rsidRPr="00A64E5B" w14:paraId="0B012083" w14:textId="77777777" w:rsidTr="00A64E5B">
        <w:tc>
          <w:tcPr>
            <w:tcW w:w="2880" w:type="dxa"/>
            <w:shd w:val="clear" w:color="auto" w:fill="auto"/>
          </w:tcPr>
          <w:p w14:paraId="1A000B03" w14:textId="77777777" w:rsidR="00736905" w:rsidRPr="00A64E5B" w:rsidRDefault="00736905" w:rsidP="00736905">
            <w:pPr>
              <w:pStyle w:val="TableRowHead"/>
              <w:rPr>
                <w:rFonts w:ascii="Gill Sans MT" w:hAnsi="Gill Sans MT"/>
              </w:rPr>
            </w:pPr>
            <w:r w:rsidRPr="00A64E5B">
              <w:rPr>
                <w:rFonts w:ascii="Gill Sans MT" w:hAnsi="Gill Sans MT"/>
              </w:rPr>
              <w:t>Student or pupil</w:t>
            </w:r>
          </w:p>
        </w:tc>
        <w:tc>
          <w:tcPr>
            <w:tcW w:w="2880" w:type="dxa"/>
            <w:shd w:val="clear" w:color="auto" w:fill="auto"/>
          </w:tcPr>
          <w:p w14:paraId="0EB32472" w14:textId="77777777" w:rsidR="00736905" w:rsidRPr="00A64E5B" w:rsidRDefault="00736905" w:rsidP="005458CE">
            <w:pPr>
              <w:pStyle w:val="TableCell"/>
              <w:jc w:val="right"/>
            </w:pPr>
            <w:r w:rsidRPr="00A64E5B">
              <w:t>32,930</w:t>
            </w:r>
            <w:r w:rsidR="00E216B8" w:rsidRPr="00A64E5B">
              <w:t xml:space="preserve"> (62%)</w:t>
            </w:r>
          </w:p>
        </w:tc>
        <w:tc>
          <w:tcPr>
            <w:tcW w:w="2880" w:type="dxa"/>
            <w:shd w:val="clear" w:color="auto" w:fill="auto"/>
          </w:tcPr>
          <w:p w14:paraId="0989EACB" w14:textId="77777777" w:rsidR="00736905" w:rsidRPr="00A64E5B" w:rsidRDefault="00736905" w:rsidP="005458CE">
            <w:pPr>
              <w:pStyle w:val="TableCell"/>
              <w:jc w:val="right"/>
            </w:pPr>
            <w:r w:rsidRPr="00A64E5B">
              <w:t>341,858</w:t>
            </w:r>
            <w:r w:rsidR="00E216B8" w:rsidRPr="00A64E5B">
              <w:t xml:space="preserve"> (65%)</w:t>
            </w:r>
          </w:p>
        </w:tc>
      </w:tr>
      <w:tr w:rsidR="00736905" w:rsidRPr="00A64E5B" w14:paraId="6D44EF4A" w14:textId="77777777" w:rsidTr="00A64E5B">
        <w:tc>
          <w:tcPr>
            <w:tcW w:w="2880" w:type="dxa"/>
            <w:shd w:val="clear" w:color="auto" w:fill="auto"/>
          </w:tcPr>
          <w:p w14:paraId="45490A9C" w14:textId="77777777" w:rsidR="00736905" w:rsidRPr="00A64E5B" w:rsidRDefault="00736905" w:rsidP="00736905">
            <w:pPr>
              <w:pStyle w:val="TableRowHead"/>
              <w:rPr>
                <w:rFonts w:ascii="Gill Sans MT" w:hAnsi="Gill Sans MT"/>
              </w:rPr>
            </w:pPr>
            <w:r w:rsidRPr="00A64E5B">
              <w:rPr>
                <w:rFonts w:ascii="Gill Sans MT" w:hAnsi="Gill Sans MT"/>
              </w:rPr>
              <w:t>NEET</w:t>
            </w:r>
          </w:p>
        </w:tc>
        <w:tc>
          <w:tcPr>
            <w:tcW w:w="2880" w:type="dxa"/>
            <w:shd w:val="clear" w:color="auto" w:fill="auto"/>
          </w:tcPr>
          <w:p w14:paraId="1E28C9AB" w14:textId="77777777" w:rsidR="00736905" w:rsidRPr="00A64E5B" w:rsidRDefault="00736905" w:rsidP="005458CE">
            <w:pPr>
              <w:pStyle w:val="TableCell"/>
              <w:jc w:val="right"/>
            </w:pPr>
            <w:r w:rsidRPr="00A64E5B">
              <w:t>12,288</w:t>
            </w:r>
            <w:r w:rsidR="00E216B8" w:rsidRPr="00A64E5B">
              <w:t xml:space="preserve"> (23%)</w:t>
            </w:r>
          </w:p>
        </w:tc>
        <w:tc>
          <w:tcPr>
            <w:tcW w:w="2880" w:type="dxa"/>
            <w:shd w:val="clear" w:color="auto" w:fill="auto"/>
          </w:tcPr>
          <w:p w14:paraId="1DCD6FC1" w14:textId="77777777" w:rsidR="00736905" w:rsidRPr="00A64E5B" w:rsidRDefault="00736905" w:rsidP="005458CE">
            <w:pPr>
              <w:pStyle w:val="TableCell"/>
              <w:jc w:val="right"/>
            </w:pPr>
            <w:r w:rsidRPr="00A64E5B">
              <w:t>50,001</w:t>
            </w:r>
            <w:r w:rsidR="00E216B8" w:rsidRPr="00A64E5B">
              <w:t xml:space="preserve"> (10%)</w:t>
            </w:r>
          </w:p>
        </w:tc>
      </w:tr>
    </w:tbl>
    <w:p w14:paraId="089CE239" w14:textId="77777777" w:rsidR="00736905" w:rsidRPr="00736905" w:rsidRDefault="00736905" w:rsidP="00736905">
      <w:pPr>
        <w:pStyle w:val="TableNote"/>
      </w:pPr>
      <w:r>
        <w:t>Source: Census 2016</w:t>
      </w:r>
    </w:p>
    <w:p w14:paraId="059F4D66" w14:textId="77777777" w:rsidR="00475BF7" w:rsidRDefault="00012702" w:rsidP="00475BF7">
      <w:pPr>
        <w:pStyle w:val="Heading2"/>
      </w:pPr>
      <w:bookmarkStart w:id="12" w:name="_Toc65581161"/>
      <w:r>
        <w:t>Occupations</w:t>
      </w:r>
      <w:r w:rsidR="00475BF7">
        <w:t xml:space="preserve"> and Disability</w:t>
      </w:r>
      <w:bookmarkEnd w:id="12"/>
    </w:p>
    <w:p w14:paraId="4B68E75E" w14:textId="77777777" w:rsidR="008D7B00" w:rsidRPr="00C94173" w:rsidRDefault="00E216B8" w:rsidP="00C94173">
      <w:r>
        <w:t xml:space="preserve">While 13.5% of the total population have a disability this varies by social class. Only 8.9% of those in the professional and managerial social class are persons with a disability compared to 23.3% in the unskilled / other / unknown group (Table 7). </w:t>
      </w:r>
    </w:p>
    <w:p w14:paraId="1280EC86" w14:textId="765AE333" w:rsidR="00C94173" w:rsidRPr="00C94173" w:rsidRDefault="00E216B8" w:rsidP="00317848">
      <w:pPr>
        <w:pStyle w:val="TableTitle"/>
      </w:pPr>
      <w:r>
        <w:t>Table</w:t>
      </w:r>
      <w:r w:rsidR="00736905">
        <w:t xml:space="preserve"> 7</w:t>
      </w:r>
      <w:r>
        <w:t>: Percentage</w:t>
      </w:r>
      <w:r w:rsidR="00C94173" w:rsidRPr="00C94173">
        <w:t xml:space="preserve"> of</w:t>
      </w:r>
      <w:r w:rsidR="008835E7">
        <w:t xml:space="preserve"> persons in</w:t>
      </w:r>
      <w:r w:rsidR="00C94173" w:rsidRPr="00C94173">
        <w:t xml:space="preserve"> each social class </w:t>
      </w:r>
      <w:r w:rsidR="008835E7">
        <w:t xml:space="preserve">group </w:t>
      </w:r>
      <w:r w:rsidR="00C94173" w:rsidRPr="00C94173">
        <w:t>who have a disability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Percentage of each social class who have a disability"/>
        <w:tblDescription w:val="This table shows the percentage of people with a disability by social class. As follows: All social classes 13.5%; Professional and managerial 8.9%; Non-manual 11.3%; Skilled manual 12.9%; Semi-skilled 13.7%; Unskilled/other/unknown 23.3%."/>
      </w:tblPr>
      <w:tblGrid>
        <w:gridCol w:w="2259"/>
        <w:gridCol w:w="1684"/>
        <w:gridCol w:w="1113"/>
        <w:gridCol w:w="1186"/>
        <w:gridCol w:w="975"/>
        <w:gridCol w:w="1413"/>
      </w:tblGrid>
      <w:tr w:rsidR="00E216B8" w:rsidRPr="00C94173" w14:paraId="488B1E89" w14:textId="77777777" w:rsidTr="00A64E5B">
        <w:trPr>
          <w:trHeight w:val="1200"/>
          <w:tblHeader/>
        </w:trPr>
        <w:tc>
          <w:tcPr>
            <w:tcW w:w="2263" w:type="dxa"/>
            <w:noWrap/>
            <w:hideMark/>
          </w:tcPr>
          <w:p w14:paraId="76FE8F51" w14:textId="77777777" w:rsidR="00E216B8" w:rsidRPr="00C94173" w:rsidRDefault="00E216B8" w:rsidP="00C23D2D">
            <w:pPr>
              <w:pStyle w:val="TableHead"/>
            </w:pPr>
          </w:p>
        </w:tc>
        <w:tc>
          <w:tcPr>
            <w:tcW w:w="761" w:type="dxa"/>
            <w:hideMark/>
          </w:tcPr>
          <w:p w14:paraId="1ECD10F0" w14:textId="77777777" w:rsidR="00E216B8" w:rsidRPr="00C94173" w:rsidRDefault="00E216B8" w:rsidP="00C23D2D">
            <w:pPr>
              <w:pStyle w:val="TableHead"/>
            </w:pPr>
            <w:r w:rsidRPr="00C94173">
              <w:t>Professional and managerial</w:t>
            </w:r>
          </w:p>
        </w:tc>
        <w:tc>
          <w:tcPr>
            <w:tcW w:w="1115" w:type="dxa"/>
            <w:hideMark/>
          </w:tcPr>
          <w:p w14:paraId="3C0F7A10" w14:textId="77777777" w:rsidR="00E216B8" w:rsidRPr="00C94173" w:rsidRDefault="00E216B8" w:rsidP="00C23D2D">
            <w:pPr>
              <w:pStyle w:val="TableHead"/>
            </w:pPr>
            <w:r w:rsidRPr="00C94173">
              <w:t>Non-manual</w:t>
            </w:r>
          </w:p>
        </w:tc>
        <w:tc>
          <w:tcPr>
            <w:tcW w:w="1188" w:type="dxa"/>
            <w:hideMark/>
          </w:tcPr>
          <w:p w14:paraId="38CA9E77" w14:textId="77777777" w:rsidR="00E216B8" w:rsidRPr="00C94173" w:rsidRDefault="00E216B8" w:rsidP="00C23D2D">
            <w:pPr>
              <w:pStyle w:val="TableHead"/>
            </w:pPr>
            <w:r w:rsidRPr="00C94173">
              <w:t>Skilled manual</w:t>
            </w:r>
          </w:p>
        </w:tc>
        <w:tc>
          <w:tcPr>
            <w:tcW w:w="977" w:type="dxa"/>
            <w:hideMark/>
          </w:tcPr>
          <w:p w14:paraId="502E0F39" w14:textId="77777777" w:rsidR="00E216B8" w:rsidRPr="00C94173" w:rsidRDefault="00E216B8" w:rsidP="00C23D2D">
            <w:pPr>
              <w:pStyle w:val="TableHead"/>
            </w:pPr>
            <w:r w:rsidRPr="00C94173">
              <w:t>Semi-skilled</w:t>
            </w:r>
          </w:p>
        </w:tc>
        <w:tc>
          <w:tcPr>
            <w:tcW w:w="1416" w:type="dxa"/>
            <w:hideMark/>
          </w:tcPr>
          <w:p w14:paraId="120AEF4D" w14:textId="77777777" w:rsidR="00E216B8" w:rsidRPr="00C94173" w:rsidRDefault="00E216B8" w:rsidP="00C23D2D">
            <w:pPr>
              <w:pStyle w:val="TableHead"/>
            </w:pPr>
            <w:r w:rsidRPr="00C94173">
              <w:t>Unskilled/</w:t>
            </w:r>
            <w:r>
              <w:t xml:space="preserve"> </w:t>
            </w:r>
            <w:r w:rsidRPr="00C94173">
              <w:t>other/</w:t>
            </w:r>
            <w:r>
              <w:t xml:space="preserve"> </w:t>
            </w:r>
            <w:r w:rsidRPr="00C94173">
              <w:t>unknown</w:t>
            </w:r>
          </w:p>
        </w:tc>
      </w:tr>
      <w:tr w:rsidR="00E216B8" w:rsidRPr="00C94173" w14:paraId="7B6F0161" w14:textId="77777777" w:rsidTr="00A64E5B">
        <w:trPr>
          <w:trHeight w:val="300"/>
        </w:trPr>
        <w:tc>
          <w:tcPr>
            <w:tcW w:w="2263" w:type="dxa"/>
            <w:noWrap/>
            <w:hideMark/>
          </w:tcPr>
          <w:p w14:paraId="1C1F4523" w14:textId="77777777" w:rsidR="00E216B8" w:rsidRPr="00C94173" w:rsidRDefault="00E216B8" w:rsidP="00C94173">
            <w:pPr>
              <w:rPr>
                <w:b/>
              </w:rPr>
            </w:pPr>
            <w:r w:rsidRPr="00C94173">
              <w:rPr>
                <w:b/>
              </w:rPr>
              <w:t xml:space="preserve">% of social class with a disability </w:t>
            </w:r>
          </w:p>
        </w:tc>
        <w:tc>
          <w:tcPr>
            <w:tcW w:w="761" w:type="dxa"/>
            <w:noWrap/>
            <w:hideMark/>
          </w:tcPr>
          <w:p w14:paraId="76AC219C" w14:textId="77777777" w:rsidR="00E216B8" w:rsidRPr="009E5BBE" w:rsidRDefault="00E216B8" w:rsidP="005458CE">
            <w:pPr>
              <w:jc w:val="right"/>
            </w:pPr>
            <w:r w:rsidRPr="009E5BBE">
              <w:t>8.9</w:t>
            </w:r>
          </w:p>
        </w:tc>
        <w:tc>
          <w:tcPr>
            <w:tcW w:w="1115" w:type="dxa"/>
            <w:noWrap/>
            <w:hideMark/>
          </w:tcPr>
          <w:p w14:paraId="44924BF7" w14:textId="77777777" w:rsidR="00E216B8" w:rsidRPr="009E5BBE" w:rsidRDefault="00E216B8" w:rsidP="005458CE">
            <w:pPr>
              <w:jc w:val="right"/>
            </w:pPr>
            <w:r w:rsidRPr="009E5BBE">
              <w:t>11.3</w:t>
            </w:r>
          </w:p>
        </w:tc>
        <w:tc>
          <w:tcPr>
            <w:tcW w:w="1188" w:type="dxa"/>
            <w:noWrap/>
            <w:hideMark/>
          </w:tcPr>
          <w:p w14:paraId="3B792AF5" w14:textId="77777777" w:rsidR="00E216B8" w:rsidRPr="009E5BBE" w:rsidRDefault="00E216B8" w:rsidP="005458CE">
            <w:pPr>
              <w:jc w:val="right"/>
            </w:pPr>
            <w:r w:rsidRPr="009E5BBE">
              <w:t>12.9</w:t>
            </w:r>
          </w:p>
        </w:tc>
        <w:tc>
          <w:tcPr>
            <w:tcW w:w="977" w:type="dxa"/>
            <w:noWrap/>
            <w:hideMark/>
          </w:tcPr>
          <w:p w14:paraId="3271C5E2" w14:textId="77777777" w:rsidR="00E216B8" w:rsidRPr="009E5BBE" w:rsidRDefault="00E216B8" w:rsidP="005458CE">
            <w:pPr>
              <w:jc w:val="right"/>
            </w:pPr>
            <w:r w:rsidRPr="009E5BBE">
              <w:t>13.7</w:t>
            </w:r>
          </w:p>
        </w:tc>
        <w:tc>
          <w:tcPr>
            <w:tcW w:w="1416" w:type="dxa"/>
            <w:noWrap/>
            <w:hideMark/>
          </w:tcPr>
          <w:p w14:paraId="51C13083" w14:textId="77777777" w:rsidR="00E216B8" w:rsidRPr="009E5BBE" w:rsidRDefault="00E216B8" w:rsidP="005458CE">
            <w:pPr>
              <w:jc w:val="right"/>
            </w:pPr>
            <w:r w:rsidRPr="009E5BBE">
              <w:t>23.3</w:t>
            </w:r>
          </w:p>
        </w:tc>
      </w:tr>
    </w:tbl>
    <w:p w14:paraId="6C94E6BD" w14:textId="77777777" w:rsidR="00C94173" w:rsidRDefault="00C94173" w:rsidP="00317848">
      <w:pPr>
        <w:pStyle w:val="TableNote"/>
      </w:pPr>
      <w:r w:rsidRPr="00B617F4">
        <w:t>Source: Census 2016 – note some categories are combined</w:t>
      </w:r>
    </w:p>
    <w:p w14:paraId="614A701A" w14:textId="7CBBDDBE" w:rsidR="00E216B8" w:rsidRPr="00317848" w:rsidRDefault="00553A8C" w:rsidP="00317848">
      <w:pPr>
        <w:spacing w:after="360"/>
      </w:pPr>
      <w:r>
        <w:lastRenderedPageBreak/>
        <w:t>This gap persists when comparing the percentage of all persons with a disability in each social class group with the percentage of all persons without a disability in each social class group. For example p</w:t>
      </w:r>
      <w:r w:rsidR="00E216B8">
        <w:t>ersons</w:t>
      </w:r>
      <w:r w:rsidR="00E216B8" w:rsidRPr="008D7B00">
        <w:t xml:space="preserve"> with</w:t>
      </w:r>
      <w:r w:rsidR="00E216B8">
        <w:t>out a disability are 50%</w:t>
      </w:r>
      <w:r w:rsidR="00E216B8" w:rsidRPr="008D7B00">
        <w:t xml:space="preserve"> more likely to be a professional or managerial worker than a person with a disability, and half as likely to be unskilled/other/unknown as a person with a disability</w:t>
      </w:r>
      <w:r>
        <w:t xml:space="preserve"> (Table 8</w:t>
      </w:r>
      <w:r w:rsidR="00E216B8">
        <w:t>)</w:t>
      </w:r>
      <w:r w:rsidR="00E216B8" w:rsidRPr="008D7B00">
        <w:t>.</w:t>
      </w:r>
      <w:r w:rsidR="00E216B8">
        <w:rPr>
          <w:rStyle w:val="FootnoteReference"/>
        </w:rPr>
        <w:footnoteReference w:id="15"/>
      </w:r>
    </w:p>
    <w:p w14:paraId="7FBB8E60" w14:textId="52DBF6E0" w:rsidR="00C94173" w:rsidRPr="00C94173" w:rsidRDefault="00B8762D" w:rsidP="00317848">
      <w:pPr>
        <w:pStyle w:val="TableTitle"/>
      </w:pPr>
      <w:r>
        <w:t>Table</w:t>
      </w:r>
      <w:r w:rsidR="00C94173" w:rsidRPr="00C94173">
        <w:t xml:space="preserve"> </w:t>
      </w:r>
      <w:r w:rsidR="00736905">
        <w:t>8</w:t>
      </w:r>
      <w:r w:rsidR="00C94173" w:rsidRPr="00C94173">
        <w:t xml:space="preserve">: </w:t>
      </w:r>
      <w:r w:rsidR="009C2377">
        <w:t>Percentage of all persons with and without a disability by social class</w:t>
      </w:r>
      <w:r w:rsidR="00C94173" w:rsidRPr="00C94173">
        <w:t xml:space="preserve"> %</w:t>
      </w:r>
    </w:p>
    <w:tbl>
      <w:tblPr>
        <w:tblStyle w:val="TableGrid"/>
        <w:tblW w:w="0" w:type="auto"/>
        <w:tblLook w:val="04A0" w:firstRow="1" w:lastRow="0" w:firstColumn="1" w:lastColumn="0" w:noHBand="0" w:noVBand="1"/>
        <w:tblCaption w:val="Table 8: Social class by disability %"/>
        <w:tblDescription w:val="This table shows the percentage of people with and without a disability by social class. People without a disabilty: Professional and Managerial 38%, Non-manual 18%, Skilled Manual 14%, Semi-skilled 10%, Unskilled/ other/ unknown 19%. People with a disability; Professional and Managerial 24%, Non-manual 15%, Skilled Manual 14%, Semi-skilled 11%, Unskilled/ other/ unknown 37%. "/>
      </w:tblPr>
      <w:tblGrid>
        <w:gridCol w:w="1652"/>
        <w:gridCol w:w="2000"/>
        <w:gridCol w:w="1214"/>
        <w:gridCol w:w="1257"/>
        <w:gridCol w:w="1091"/>
        <w:gridCol w:w="1416"/>
      </w:tblGrid>
      <w:tr w:rsidR="00C94173" w:rsidRPr="00C94173" w14:paraId="42FA299D" w14:textId="77777777" w:rsidTr="00736905">
        <w:trPr>
          <w:trHeight w:val="1200"/>
          <w:tblHeader/>
        </w:trPr>
        <w:tc>
          <w:tcPr>
            <w:tcW w:w="0" w:type="auto"/>
            <w:noWrap/>
            <w:hideMark/>
          </w:tcPr>
          <w:p w14:paraId="5951FF85" w14:textId="77777777" w:rsidR="00C94173" w:rsidRPr="00C94173" w:rsidRDefault="00C94173" w:rsidP="00C23D2D">
            <w:pPr>
              <w:pStyle w:val="TableHead"/>
            </w:pPr>
            <w:r w:rsidRPr="00C94173">
              <w:t> </w:t>
            </w:r>
          </w:p>
        </w:tc>
        <w:tc>
          <w:tcPr>
            <w:tcW w:w="0" w:type="auto"/>
            <w:hideMark/>
          </w:tcPr>
          <w:p w14:paraId="39C47AE4" w14:textId="77777777" w:rsidR="00C94173" w:rsidRPr="00C94173" w:rsidRDefault="00C94173" w:rsidP="00C23D2D">
            <w:pPr>
              <w:pStyle w:val="TableHead"/>
            </w:pPr>
            <w:r w:rsidRPr="00C94173">
              <w:t>Professional and managerial</w:t>
            </w:r>
          </w:p>
        </w:tc>
        <w:tc>
          <w:tcPr>
            <w:tcW w:w="0" w:type="auto"/>
            <w:hideMark/>
          </w:tcPr>
          <w:p w14:paraId="41AB540B" w14:textId="77777777" w:rsidR="00C94173" w:rsidRPr="00C94173" w:rsidRDefault="00C94173" w:rsidP="00C23D2D">
            <w:pPr>
              <w:pStyle w:val="TableHead"/>
            </w:pPr>
            <w:r w:rsidRPr="00C94173">
              <w:t>Non-manual</w:t>
            </w:r>
          </w:p>
        </w:tc>
        <w:tc>
          <w:tcPr>
            <w:tcW w:w="0" w:type="auto"/>
            <w:hideMark/>
          </w:tcPr>
          <w:p w14:paraId="64C41451" w14:textId="77777777" w:rsidR="00C94173" w:rsidRPr="00C94173" w:rsidRDefault="00C94173" w:rsidP="00C23D2D">
            <w:pPr>
              <w:pStyle w:val="TableHead"/>
            </w:pPr>
            <w:r w:rsidRPr="00C94173">
              <w:t>Skilled manual</w:t>
            </w:r>
          </w:p>
        </w:tc>
        <w:tc>
          <w:tcPr>
            <w:tcW w:w="0" w:type="auto"/>
            <w:hideMark/>
          </w:tcPr>
          <w:p w14:paraId="514C5DF6" w14:textId="77777777" w:rsidR="00C94173" w:rsidRPr="00C94173" w:rsidRDefault="00C94173" w:rsidP="00C23D2D">
            <w:pPr>
              <w:pStyle w:val="TableHead"/>
            </w:pPr>
            <w:r w:rsidRPr="00C94173">
              <w:t>Semi-skilled</w:t>
            </w:r>
          </w:p>
        </w:tc>
        <w:tc>
          <w:tcPr>
            <w:tcW w:w="0" w:type="auto"/>
            <w:hideMark/>
          </w:tcPr>
          <w:p w14:paraId="79BD8DD7" w14:textId="77777777" w:rsidR="00C94173" w:rsidRPr="00C94173" w:rsidRDefault="00C94173" w:rsidP="00C23D2D">
            <w:pPr>
              <w:pStyle w:val="TableHead"/>
            </w:pPr>
            <w:r w:rsidRPr="00C94173">
              <w:t>Unskilled/</w:t>
            </w:r>
          </w:p>
          <w:p w14:paraId="77F76B63" w14:textId="77777777" w:rsidR="00C94173" w:rsidRPr="00C94173" w:rsidRDefault="00C94173" w:rsidP="00C23D2D">
            <w:pPr>
              <w:pStyle w:val="TableHead"/>
            </w:pPr>
            <w:r w:rsidRPr="00C94173">
              <w:t>other/</w:t>
            </w:r>
          </w:p>
          <w:p w14:paraId="69DF9F96" w14:textId="77777777" w:rsidR="00C94173" w:rsidRPr="00C94173" w:rsidRDefault="00C94173" w:rsidP="00C23D2D">
            <w:pPr>
              <w:pStyle w:val="TableHead"/>
            </w:pPr>
            <w:r w:rsidRPr="00C94173">
              <w:t>unknown</w:t>
            </w:r>
          </w:p>
        </w:tc>
      </w:tr>
      <w:tr w:rsidR="00C94173" w:rsidRPr="00C94173" w14:paraId="581823B1" w14:textId="77777777" w:rsidTr="00736905">
        <w:trPr>
          <w:trHeight w:val="600"/>
        </w:trPr>
        <w:tc>
          <w:tcPr>
            <w:tcW w:w="0" w:type="auto"/>
            <w:hideMark/>
          </w:tcPr>
          <w:p w14:paraId="121B4A00" w14:textId="77777777" w:rsidR="00C94173" w:rsidRPr="00C94173" w:rsidRDefault="000517D9" w:rsidP="00C94173">
            <w:pPr>
              <w:rPr>
                <w:b/>
              </w:rPr>
            </w:pPr>
            <w:r w:rsidRPr="000517D9">
              <w:rPr>
                <w:b/>
              </w:rPr>
              <w:t>Persons</w:t>
            </w:r>
            <w:r w:rsidRPr="008D7B00">
              <w:t xml:space="preserve"> </w:t>
            </w:r>
            <w:r w:rsidR="00C94173" w:rsidRPr="00C94173">
              <w:rPr>
                <w:b/>
              </w:rPr>
              <w:t>without a disability</w:t>
            </w:r>
          </w:p>
        </w:tc>
        <w:tc>
          <w:tcPr>
            <w:tcW w:w="0" w:type="auto"/>
            <w:noWrap/>
            <w:hideMark/>
          </w:tcPr>
          <w:p w14:paraId="3BF28CEF" w14:textId="77777777" w:rsidR="00C94173" w:rsidRPr="009E5BBE" w:rsidRDefault="00C94173" w:rsidP="005458CE">
            <w:pPr>
              <w:jc w:val="right"/>
              <w:rPr>
                <w:bCs/>
              </w:rPr>
            </w:pPr>
            <w:r w:rsidRPr="009E5BBE">
              <w:rPr>
                <w:bCs/>
              </w:rPr>
              <w:t>38</w:t>
            </w:r>
          </w:p>
        </w:tc>
        <w:tc>
          <w:tcPr>
            <w:tcW w:w="0" w:type="auto"/>
            <w:noWrap/>
            <w:hideMark/>
          </w:tcPr>
          <w:p w14:paraId="631589BC" w14:textId="77777777" w:rsidR="00C94173" w:rsidRPr="009E5BBE" w:rsidRDefault="00C94173" w:rsidP="005458CE">
            <w:pPr>
              <w:jc w:val="right"/>
              <w:rPr>
                <w:bCs/>
              </w:rPr>
            </w:pPr>
            <w:r w:rsidRPr="009E5BBE">
              <w:rPr>
                <w:bCs/>
              </w:rPr>
              <w:t>18</w:t>
            </w:r>
          </w:p>
        </w:tc>
        <w:tc>
          <w:tcPr>
            <w:tcW w:w="0" w:type="auto"/>
            <w:noWrap/>
            <w:hideMark/>
          </w:tcPr>
          <w:p w14:paraId="4C51D420" w14:textId="77777777" w:rsidR="00C94173" w:rsidRPr="009E5BBE" w:rsidRDefault="00C94173" w:rsidP="005458CE">
            <w:pPr>
              <w:jc w:val="right"/>
              <w:rPr>
                <w:bCs/>
              </w:rPr>
            </w:pPr>
            <w:r w:rsidRPr="009E5BBE">
              <w:rPr>
                <w:bCs/>
              </w:rPr>
              <w:t>14</w:t>
            </w:r>
          </w:p>
        </w:tc>
        <w:tc>
          <w:tcPr>
            <w:tcW w:w="0" w:type="auto"/>
            <w:noWrap/>
            <w:hideMark/>
          </w:tcPr>
          <w:p w14:paraId="7A43BFDD" w14:textId="77777777" w:rsidR="00C94173" w:rsidRPr="009E5BBE" w:rsidRDefault="00C94173" w:rsidP="005458CE">
            <w:pPr>
              <w:jc w:val="right"/>
              <w:rPr>
                <w:bCs/>
              </w:rPr>
            </w:pPr>
            <w:r w:rsidRPr="009E5BBE">
              <w:rPr>
                <w:bCs/>
              </w:rPr>
              <w:t>10</w:t>
            </w:r>
          </w:p>
        </w:tc>
        <w:tc>
          <w:tcPr>
            <w:tcW w:w="0" w:type="auto"/>
            <w:noWrap/>
            <w:hideMark/>
          </w:tcPr>
          <w:p w14:paraId="1424853D" w14:textId="77777777" w:rsidR="00C94173" w:rsidRPr="009E5BBE" w:rsidRDefault="00C94173" w:rsidP="005458CE">
            <w:pPr>
              <w:jc w:val="right"/>
              <w:rPr>
                <w:bCs/>
              </w:rPr>
            </w:pPr>
            <w:r w:rsidRPr="009E5BBE">
              <w:rPr>
                <w:bCs/>
              </w:rPr>
              <w:t>19</w:t>
            </w:r>
          </w:p>
        </w:tc>
      </w:tr>
      <w:tr w:rsidR="00C94173" w:rsidRPr="00C94173" w14:paraId="1AEB3ADB" w14:textId="77777777" w:rsidTr="00736905">
        <w:trPr>
          <w:trHeight w:val="600"/>
        </w:trPr>
        <w:tc>
          <w:tcPr>
            <w:tcW w:w="0" w:type="auto"/>
            <w:hideMark/>
          </w:tcPr>
          <w:p w14:paraId="311E0F6C" w14:textId="77777777" w:rsidR="00C94173" w:rsidRPr="00C94173" w:rsidRDefault="000517D9" w:rsidP="00C94173">
            <w:pPr>
              <w:rPr>
                <w:b/>
              </w:rPr>
            </w:pPr>
            <w:r w:rsidRPr="000517D9">
              <w:rPr>
                <w:b/>
              </w:rPr>
              <w:t>Persons</w:t>
            </w:r>
            <w:r w:rsidRPr="008D7B00">
              <w:t xml:space="preserve"> </w:t>
            </w:r>
            <w:r w:rsidR="00C94173" w:rsidRPr="00C94173">
              <w:rPr>
                <w:b/>
              </w:rPr>
              <w:t xml:space="preserve">with a disability </w:t>
            </w:r>
          </w:p>
        </w:tc>
        <w:tc>
          <w:tcPr>
            <w:tcW w:w="0" w:type="auto"/>
            <w:noWrap/>
            <w:hideMark/>
          </w:tcPr>
          <w:p w14:paraId="69427F11" w14:textId="77777777" w:rsidR="00C94173" w:rsidRPr="009E5BBE" w:rsidRDefault="00C94173" w:rsidP="005458CE">
            <w:pPr>
              <w:jc w:val="right"/>
            </w:pPr>
            <w:r w:rsidRPr="009E5BBE">
              <w:t>24</w:t>
            </w:r>
          </w:p>
        </w:tc>
        <w:tc>
          <w:tcPr>
            <w:tcW w:w="0" w:type="auto"/>
            <w:noWrap/>
            <w:hideMark/>
          </w:tcPr>
          <w:p w14:paraId="3711B167" w14:textId="77777777" w:rsidR="00C94173" w:rsidRPr="009E5BBE" w:rsidRDefault="00C94173" w:rsidP="005458CE">
            <w:pPr>
              <w:jc w:val="right"/>
            </w:pPr>
            <w:r w:rsidRPr="009E5BBE">
              <w:t>15</w:t>
            </w:r>
          </w:p>
        </w:tc>
        <w:tc>
          <w:tcPr>
            <w:tcW w:w="0" w:type="auto"/>
            <w:noWrap/>
            <w:hideMark/>
          </w:tcPr>
          <w:p w14:paraId="3CCF8A6B" w14:textId="77777777" w:rsidR="00C94173" w:rsidRPr="009E5BBE" w:rsidRDefault="00C94173" w:rsidP="005458CE">
            <w:pPr>
              <w:jc w:val="right"/>
            </w:pPr>
            <w:r w:rsidRPr="009E5BBE">
              <w:t>14</w:t>
            </w:r>
          </w:p>
        </w:tc>
        <w:tc>
          <w:tcPr>
            <w:tcW w:w="0" w:type="auto"/>
            <w:noWrap/>
            <w:hideMark/>
          </w:tcPr>
          <w:p w14:paraId="00FE0816" w14:textId="77777777" w:rsidR="00C94173" w:rsidRPr="009E5BBE" w:rsidRDefault="00C94173" w:rsidP="005458CE">
            <w:pPr>
              <w:jc w:val="right"/>
            </w:pPr>
            <w:r w:rsidRPr="009E5BBE">
              <w:t>11</w:t>
            </w:r>
          </w:p>
        </w:tc>
        <w:tc>
          <w:tcPr>
            <w:tcW w:w="0" w:type="auto"/>
            <w:noWrap/>
            <w:hideMark/>
          </w:tcPr>
          <w:p w14:paraId="2C88E5F9" w14:textId="77777777" w:rsidR="00C94173" w:rsidRPr="009E5BBE" w:rsidRDefault="00C94173" w:rsidP="005458CE">
            <w:pPr>
              <w:jc w:val="right"/>
            </w:pPr>
            <w:r w:rsidRPr="009E5BBE">
              <w:t>37</w:t>
            </w:r>
          </w:p>
        </w:tc>
      </w:tr>
    </w:tbl>
    <w:p w14:paraId="4D3DA7C8" w14:textId="77777777" w:rsidR="00C94173" w:rsidRDefault="00C94173" w:rsidP="00EB0042">
      <w:pPr>
        <w:pStyle w:val="TableNote"/>
        <w:spacing w:after="480"/>
      </w:pPr>
      <w:r w:rsidRPr="00B617F4">
        <w:t>Source: Census 2016 – note some categories are combined</w:t>
      </w:r>
    </w:p>
    <w:p w14:paraId="515A7909" w14:textId="77777777" w:rsidR="005A128E" w:rsidRDefault="005A128E" w:rsidP="005A128E">
      <w:pPr>
        <w:pStyle w:val="Heading1"/>
      </w:pPr>
      <w:bookmarkStart w:id="13" w:name="_Toc65581162"/>
      <w:r>
        <w:t>Legislation</w:t>
      </w:r>
      <w:bookmarkEnd w:id="13"/>
    </w:p>
    <w:p w14:paraId="16E23A78" w14:textId="77777777" w:rsidR="00E15AAB" w:rsidRDefault="00E15AAB" w:rsidP="00E15AAB">
      <w:pPr>
        <w:pStyle w:val="Heading2"/>
      </w:pPr>
      <w:bookmarkStart w:id="14" w:name="_Toc65581163"/>
      <w:r>
        <w:t>Employment Equality Acts 1998-2015</w:t>
      </w:r>
      <w:bookmarkEnd w:id="14"/>
    </w:p>
    <w:p w14:paraId="7FE9CC28" w14:textId="77777777" w:rsidR="00C33357" w:rsidRDefault="00E15AAB" w:rsidP="00F2120E">
      <w:r w:rsidRPr="00E15AAB">
        <w:t>The Employment Equality Acts 1998-2015 (“the Employment Equality Acts”) prohibit discrimination</w:t>
      </w:r>
      <w:r w:rsidR="00C33357">
        <w:t>, harassment and sexual harassment</w:t>
      </w:r>
      <w:r w:rsidRPr="00E15AAB">
        <w:t xml:space="preserve"> in</w:t>
      </w:r>
      <w:r w:rsidR="00BB6CC5">
        <w:t xml:space="preserve"> both</w:t>
      </w:r>
      <w:r w:rsidRPr="00E15AAB">
        <w:t xml:space="preserve"> employment and in access to employment on nine different grounds, including </w:t>
      </w:r>
      <w:r w:rsidR="002927AD">
        <w:t>disability.</w:t>
      </w:r>
      <w:r w:rsidR="007A60F3">
        <w:rPr>
          <w:rStyle w:val="FootnoteReference"/>
        </w:rPr>
        <w:footnoteReference w:id="16"/>
      </w:r>
      <w:r w:rsidRPr="00E15AAB">
        <w:t xml:space="preserve"> Discrimination is defined as treating </w:t>
      </w:r>
      <w:r w:rsidRPr="00E15AAB">
        <w:lastRenderedPageBreak/>
        <w:t xml:space="preserve">one person in a less favourable way than another person in a comparable situation based on any </w:t>
      </w:r>
      <w:r w:rsidR="002927AD">
        <w:t>of the nine protected grounds.</w:t>
      </w:r>
      <w:r w:rsidRPr="00E15AAB">
        <w:t xml:space="preserve"> </w:t>
      </w:r>
      <w:r w:rsidR="00C33357" w:rsidRPr="00C33357">
        <w:t>Harassment is defined as any form of unwanted conduct related to any of the discriminatory grounds which has the purpose or effect of violating a person’s dignity and creating an intimidating, hostile, degrading, humiliating or offensive environment for the person.</w:t>
      </w:r>
      <w:r w:rsidR="00C33357" w:rsidRPr="00C33357">
        <w:rPr>
          <w:rFonts w:ascii="Lato" w:hAnsi="Lato"/>
          <w:color w:val="333333"/>
          <w:shd w:val="clear" w:color="auto" w:fill="FFFFFF"/>
        </w:rPr>
        <w:t xml:space="preserve"> </w:t>
      </w:r>
      <w:r w:rsidR="00C33357" w:rsidRPr="00C33357">
        <w:t>Sexual harassment is any form of unwanted verbal, non-verbal or physical conduct of a sexual nature.</w:t>
      </w:r>
    </w:p>
    <w:p w14:paraId="474A0E12" w14:textId="77777777" w:rsidR="00E15AAB" w:rsidRDefault="00E15AAB" w:rsidP="00F2120E">
      <w:r w:rsidRPr="00E15AAB">
        <w:t>The Employment Equality Acts cover all aspects of the working relationship, starting with the recruitment process, including selection arrangements, pre-employment medical screening and occupational health assessments, job adverts and the cond</w:t>
      </w:r>
      <w:r>
        <w:t>uct of interviews.</w:t>
      </w:r>
      <w:r w:rsidR="007A60F3">
        <w:rPr>
          <w:rStyle w:val="FootnoteReference"/>
        </w:rPr>
        <w:footnoteReference w:id="17"/>
      </w:r>
      <w:r w:rsidR="00C33357">
        <w:t xml:space="preserve"> </w:t>
      </w:r>
      <w:r w:rsidRPr="00E15AAB">
        <w:t>The Employment Equality Acts apply to employees and potential employees in both the public and private sectors in a wide range of employments including full-time, pa</w:t>
      </w:r>
      <w:r w:rsidR="002927AD">
        <w:t>rt-time and temporary employees</w:t>
      </w:r>
      <w:r>
        <w:t>.</w:t>
      </w:r>
    </w:p>
    <w:p w14:paraId="7F0AA5F9" w14:textId="77777777" w:rsidR="003368C1" w:rsidRDefault="002D41A9" w:rsidP="00F2120E">
      <w:r>
        <w:t>The Employment Equality Acts provide</w:t>
      </w:r>
      <w:r w:rsidR="003368C1" w:rsidRPr="003368C1">
        <w:t xml:space="preserve"> for equal pay for like work</w:t>
      </w:r>
      <w:r w:rsidR="003368C1">
        <w:t xml:space="preserve">, meaning that there is an entitlement to equal pay between </w:t>
      </w:r>
      <w:r w:rsidR="000517D9">
        <w:t>persons</w:t>
      </w:r>
      <w:r w:rsidR="000517D9" w:rsidRPr="008D7B00">
        <w:t xml:space="preserve"> </w:t>
      </w:r>
      <w:r w:rsidR="003368C1">
        <w:t xml:space="preserve">with disabilities and </w:t>
      </w:r>
      <w:r w:rsidR="000517D9">
        <w:t>persons</w:t>
      </w:r>
      <w:r w:rsidR="000517D9" w:rsidRPr="008D7B00">
        <w:t xml:space="preserve"> </w:t>
      </w:r>
      <w:r w:rsidR="003368C1">
        <w:t>without disabilities</w:t>
      </w:r>
      <w:r w:rsidR="003368C1" w:rsidRPr="003368C1">
        <w:t>.</w:t>
      </w:r>
      <w:r w:rsidR="00E01775">
        <w:t xml:space="preserve"> </w:t>
      </w:r>
      <w:r w:rsidR="003368C1" w:rsidRPr="003368C1">
        <w:rPr>
          <w:iCs/>
        </w:rPr>
        <w:t>Like work</w:t>
      </w:r>
      <w:r w:rsidR="00E01775">
        <w:t xml:space="preserve"> </w:t>
      </w:r>
      <w:r w:rsidR="003368C1" w:rsidRPr="003368C1">
        <w:t xml:space="preserve">is defined as work that is the same, similar or work of equal value. </w:t>
      </w:r>
      <w:r w:rsidR="003368C1">
        <w:t>However, employers are permitted to provide employees with a disability</w:t>
      </w:r>
      <w:r>
        <w:t xml:space="preserve"> with </w:t>
      </w:r>
      <w:r w:rsidR="003368C1" w:rsidRPr="003368C1">
        <w:t xml:space="preserve">a </w:t>
      </w:r>
      <w:r>
        <w:t>lower</w:t>
      </w:r>
      <w:r w:rsidR="003368C1" w:rsidRPr="003368C1">
        <w:t xml:space="preserve"> rate of remuneration for work of a particular description if, by reason of </w:t>
      </w:r>
      <w:r>
        <w:t xml:space="preserve">a disability, the amount of </w:t>
      </w:r>
      <w:r w:rsidR="003368C1" w:rsidRPr="003368C1">
        <w:t>work done by the employee during a particular period is less than the amount of similar work done, or which could reasonably be expected to be done, during that</w:t>
      </w:r>
      <w:r>
        <w:t xml:space="preserve"> period by an employee without a</w:t>
      </w:r>
      <w:r w:rsidR="003368C1" w:rsidRPr="003368C1">
        <w:t xml:space="preserve"> disability</w:t>
      </w:r>
      <w:r>
        <w:t>.</w:t>
      </w:r>
      <w:r>
        <w:rPr>
          <w:rStyle w:val="FootnoteReference"/>
        </w:rPr>
        <w:footnoteReference w:id="18"/>
      </w:r>
    </w:p>
    <w:p w14:paraId="568E2EB4" w14:textId="77777777" w:rsidR="00E15AAB" w:rsidRDefault="00E15AAB" w:rsidP="00F2120E">
      <w:r w:rsidRPr="00E15AAB">
        <w:t>In addition to prohibiting less favourable treatment, the Employment Equality Acts legally oblige employers to take reasonable steps to accommodate the</w:t>
      </w:r>
      <w:r>
        <w:t xml:space="preserve"> </w:t>
      </w:r>
      <w:r w:rsidRPr="00E15AAB">
        <w:t xml:space="preserve">needs of both employees and job applicants with disabilities, except where to do so would impose a disproportionate burden on them. Denial of reasonable accommodation can be a freestanding cause of action </w:t>
      </w:r>
      <w:r w:rsidRPr="00E15AAB">
        <w:lastRenderedPageBreak/>
        <w:t>under the Employment Equality Acts and amount to discrimination on the disability ground</w:t>
      </w:r>
      <w:r w:rsidR="00436418">
        <w:t xml:space="preserve"> (although this is not explicit in the legislation)</w:t>
      </w:r>
      <w:r w:rsidRPr="00E15AAB">
        <w:t>.</w:t>
      </w:r>
      <w:r w:rsidR="007A60F3">
        <w:rPr>
          <w:rStyle w:val="FootnoteReference"/>
        </w:rPr>
        <w:footnoteReference w:id="19"/>
      </w:r>
    </w:p>
    <w:p w14:paraId="27A282F0" w14:textId="77777777" w:rsidR="00E15AAB" w:rsidRDefault="00E15AAB" w:rsidP="00F2120E">
      <w:r w:rsidRPr="00E15AAB">
        <w:t>Employers are not obliged to provide anything that the person would no</w:t>
      </w:r>
      <w:r w:rsidR="00436418">
        <w:t>rmally provide for themselves.</w:t>
      </w:r>
      <w:r w:rsidRPr="00E15AAB">
        <w:t xml:space="preserve"> For example, an employer would not be expected to provide hearing aids for a per</w:t>
      </w:r>
      <w:r w:rsidR="00436418">
        <w:t>son with a hearing difficulty.</w:t>
      </w:r>
      <w:r w:rsidRPr="00E15AAB">
        <w:t xml:space="preserve"> Additionally, employers are not required to employ, retain or promote someone who will not undertake the duties or is not fully competent or capable of doing th</w:t>
      </w:r>
      <w:r w:rsidR="00436418">
        <w:t>e essential duties of the job.</w:t>
      </w:r>
      <w:r w:rsidRPr="00E15AAB">
        <w:t xml:space="preserve"> However, in law, a person with a disability is considered fully competent and capable of undertaking any duties, if the person would be fully competent and capable when reasonably accommodated by the employer. </w:t>
      </w:r>
    </w:p>
    <w:p w14:paraId="2085F8F9" w14:textId="77777777" w:rsidR="00BB6CC5" w:rsidRDefault="00BB6CC5" w:rsidP="00F2120E">
      <w:r w:rsidRPr="00E15AAB">
        <w:t>There are also specific exemptions for certain types of employment. A specific exemption is provided to the Defence Forces which precludes employment equality c</w:t>
      </w:r>
      <w:r>
        <w:t>ases on the disability ground.</w:t>
      </w:r>
      <w:r w:rsidRPr="00E15AAB">
        <w:t xml:space="preserve"> The Employment Equality Acts also provide that it is an occupational requirement for employment in an Garda Síochána, prison service or any emergency service that persons employed therein, are fully competent and available to undertake, and fully capable of undertaking, the range of functions that they may be called upon to perform so that the operational capacity of an Garda Síochána or the servic</w:t>
      </w:r>
      <w:r>
        <w:t>e concerned may be preserved.</w:t>
      </w:r>
    </w:p>
    <w:p w14:paraId="4EAD1C62" w14:textId="77777777" w:rsidR="00E15AAB" w:rsidRDefault="00E15AAB" w:rsidP="00F2120E">
      <w:r w:rsidRPr="00E15AAB">
        <w:t xml:space="preserve">In </w:t>
      </w:r>
      <w:r w:rsidR="0061301C">
        <w:rPr>
          <w:b/>
        </w:rPr>
        <w:t>Nano Nagle School v Marie Daly</w:t>
      </w:r>
      <w:r w:rsidR="00BB6CC5">
        <w:rPr>
          <w:rStyle w:val="FootnoteReference"/>
          <w:b/>
        </w:rPr>
        <w:footnoteReference w:id="20"/>
      </w:r>
      <w:r w:rsidRPr="00E15AAB">
        <w:t xml:space="preserve">, the Supreme Court determined that where a person is not fully competent or capable of doing the essential duties and functions of the job, an employer is obliged to consider whether these tasks or duties could be redistributed. However, this is subject to the proviso that the redistribution of tasks or duties does not impose a disproportionate burden on the employer. The Supreme Court noted that the test “is one of reasonableness and proportionality”; where the redistribution of tasks is such as </w:t>
      </w:r>
      <w:r w:rsidRPr="00E15AAB">
        <w:lastRenderedPageBreak/>
        <w:t xml:space="preserve">to effectively create a different job entirely, this would almost inevitably impose a disproportionate burden on an employer. </w:t>
      </w:r>
    </w:p>
    <w:p w14:paraId="6226B0B8" w14:textId="77777777" w:rsidR="00BB6CC5" w:rsidRDefault="00BB6CC5" w:rsidP="00F2120E">
      <w:pPr>
        <w:rPr>
          <w:bCs/>
        </w:rPr>
      </w:pPr>
      <w:r w:rsidRPr="00BB6CC5">
        <w:rPr>
          <w:bCs/>
        </w:rPr>
        <w:t>The Supreme Court</w:t>
      </w:r>
      <w:r>
        <w:rPr>
          <w:bCs/>
        </w:rPr>
        <w:t xml:space="preserve"> also</w:t>
      </w:r>
      <w:r w:rsidRPr="00BB6CC5">
        <w:rPr>
          <w:bCs/>
        </w:rPr>
        <w:t xml:space="preserve"> held that while there is no mandatory duty of consultation with an employee in each and every </w:t>
      </w:r>
      <w:r w:rsidR="00357DD5">
        <w:rPr>
          <w:bCs/>
        </w:rPr>
        <w:t xml:space="preserve">reasonable accommodation </w:t>
      </w:r>
      <w:r w:rsidRPr="00BB6CC5">
        <w:rPr>
          <w:bCs/>
        </w:rPr>
        <w:t xml:space="preserve">case, “a wise employer” will provide meaningful participation in vindication of their duty to provide reasonable accommodation. The IHREC, which intervened </w:t>
      </w:r>
      <w:r w:rsidR="00332C30">
        <w:rPr>
          <w:bCs/>
        </w:rPr>
        <w:t>as an amicus curiae in the case,</w:t>
      </w:r>
      <w:r w:rsidR="00332C30">
        <w:rPr>
          <w:rStyle w:val="FootnoteReference"/>
          <w:bCs/>
        </w:rPr>
        <w:footnoteReference w:id="21"/>
      </w:r>
      <w:r w:rsidRPr="00BB6CC5">
        <w:rPr>
          <w:bCs/>
        </w:rPr>
        <w:t xml:space="preserve"> has expressed the view that the judgment creates “an expectation of consultation of employees on reasonable accommodation”.</w:t>
      </w:r>
      <w:r w:rsidR="00332C30">
        <w:rPr>
          <w:rStyle w:val="FootnoteReference"/>
          <w:bCs/>
        </w:rPr>
        <w:footnoteReference w:id="22"/>
      </w:r>
    </w:p>
    <w:p w14:paraId="015669E0" w14:textId="77777777" w:rsidR="007361D9" w:rsidRDefault="00357DD5" w:rsidP="00237494">
      <w:pPr>
        <w:rPr>
          <w:bCs/>
        </w:rPr>
      </w:pPr>
      <w:r>
        <w:rPr>
          <w:bCs/>
        </w:rPr>
        <w:t xml:space="preserve">Additionally, </w:t>
      </w:r>
      <w:r w:rsidR="00F06F66">
        <w:rPr>
          <w:bCs/>
        </w:rPr>
        <w:t xml:space="preserve">the NDA is aware that </w:t>
      </w:r>
      <w:r>
        <w:rPr>
          <w:bCs/>
        </w:rPr>
        <w:t>c</w:t>
      </w:r>
      <w:r w:rsidR="007A60F3" w:rsidRPr="007A60F3">
        <w:rPr>
          <w:bCs/>
        </w:rPr>
        <w:t xml:space="preserve">oncerns have been raised about the need to amend the </w:t>
      </w:r>
      <w:r w:rsidR="007A60F3" w:rsidRPr="007A60F3">
        <w:rPr>
          <w:b/>
          <w:bCs/>
        </w:rPr>
        <w:t>Employment Equality Acts</w:t>
      </w:r>
      <w:r w:rsidR="007A60F3" w:rsidRPr="007A60F3">
        <w:rPr>
          <w:bCs/>
        </w:rPr>
        <w:t xml:space="preserve"> in light of the </w:t>
      </w:r>
      <w:r w:rsidR="007A60F3" w:rsidRPr="007A60F3">
        <w:rPr>
          <w:b/>
          <w:bCs/>
        </w:rPr>
        <w:t>Employment Equality Directive 2000/78/EC</w:t>
      </w:r>
      <w:r w:rsidR="007A60F3">
        <w:rPr>
          <w:bCs/>
        </w:rPr>
        <w:t>.</w:t>
      </w:r>
      <w:r w:rsidR="007A60F3">
        <w:rPr>
          <w:rStyle w:val="FootnoteReference"/>
          <w:bCs/>
        </w:rPr>
        <w:footnoteReference w:id="23"/>
      </w:r>
      <w:r w:rsidR="00237494">
        <w:rPr>
          <w:bCs/>
        </w:rPr>
        <w:t xml:space="preserve"> By way of a review of decisions related to reasonable accommodation, the NDA has determined that the number of </w:t>
      </w:r>
      <w:r w:rsidR="00237494" w:rsidRPr="00237494">
        <w:rPr>
          <w:bCs/>
        </w:rPr>
        <w:t>published cases concerning reasonable ac</w:t>
      </w:r>
      <w:r w:rsidR="00237494" w:rsidRPr="00237494">
        <w:rPr>
          <w:bCs/>
        </w:rPr>
        <w:lastRenderedPageBreak/>
        <w:t>commodation at the access stage</w:t>
      </w:r>
      <w:r w:rsidR="00237494">
        <w:rPr>
          <w:bCs/>
        </w:rPr>
        <w:t xml:space="preserve"> is low and the number of </w:t>
      </w:r>
      <w:r w:rsidR="00237494" w:rsidRPr="00237494">
        <w:rPr>
          <w:bCs/>
        </w:rPr>
        <w:t>persons with intellectual disabilities and autism</w:t>
      </w:r>
      <w:r w:rsidR="00237494">
        <w:rPr>
          <w:bCs/>
        </w:rPr>
        <w:t xml:space="preserve"> taking cases under employment equality legislation is </w:t>
      </w:r>
      <w:r w:rsidR="00332C30">
        <w:rPr>
          <w:bCs/>
        </w:rPr>
        <w:t xml:space="preserve">also </w:t>
      </w:r>
      <w:r w:rsidR="00237494">
        <w:rPr>
          <w:bCs/>
        </w:rPr>
        <w:t>low.</w:t>
      </w:r>
      <w:r w:rsidR="00237494">
        <w:rPr>
          <w:rStyle w:val="FootnoteReference"/>
          <w:bCs/>
        </w:rPr>
        <w:footnoteReference w:id="24"/>
      </w:r>
      <w:r w:rsidR="00237494">
        <w:rPr>
          <w:bCs/>
        </w:rPr>
        <w:t xml:space="preserve"> The NDA has called for further research in this regard.</w:t>
      </w:r>
    </w:p>
    <w:p w14:paraId="6B28607B" w14:textId="77777777" w:rsidR="007361D9" w:rsidRDefault="007361D9" w:rsidP="007361D9">
      <w:pPr>
        <w:rPr>
          <w:bCs/>
        </w:rPr>
      </w:pPr>
      <w:r>
        <w:rPr>
          <w:bCs/>
        </w:rPr>
        <w:t xml:space="preserve">A </w:t>
      </w:r>
      <w:r w:rsidR="00755CA3">
        <w:rPr>
          <w:bCs/>
        </w:rPr>
        <w:t>recently published</w:t>
      </w:r>
      <w:r>
        <w:rPr>
          <w:bCs/>
        </w:rPr>
        <w:t xml:space="preserve"> paper makes the case that the Employment Equality Acts are not fully compliant with the UNCRPD, and despite the existence of certain constitutional constraints, </w:t>
      </w:r>
      <w:r w:rsidR="00755CA3">
        <w:rPr>
          <w:bCs/>
        </w:rPr>
        <w:t>argues that existing</w:t>
      </w:r>
      <w:r w:rsidRPr="007361D9">
        <w:rPr>
          <w:bCs/>
        </w:rPr>
        <w:t xml:space="preserve"> </w:t>
      </w:r>
      <w:r>
        <w:rPr>
          <w:bCs/>
        </w:rPr>
        <w:t>legislation</w:t>
      </w:r>
      <w:r w:rsidR="00755CA3">
        <w:rPr>
          <w:bCs/>
        </w:rPr>
        <w:t xml:space="preserve"> could </w:t>
      </w:r>
      <w:r w:rsidRPr="007361D9">
        <w:rPr>
          <w:bCs/>
        </w:rPr>
        <w:t xml:space="preserve">be </w:t>
      </w:r>
      <w:r>
        <w:rPr>
          <w:bCs/>
        </w:rPr>
        <w:t>remodelled</w:t>
      </w:r>
      <w:r w:rsidRPr="007361D9">
        <w:rPr>
          <w:bCs/>
        </w:rPr>
        <w:t xml:space="preserve"> </w:t>
      </w:r>
      <w:r>
        <w:rPr>
          <w:bCs/>
        </w:rPr>
        <w:t xml:space="preserve">to </w:t>
      </w:r>
      <w:r w:rsidRPr="007361D9">
        <w:rPr>
          <w:bCs/>
        </w:rPr>
        <w:t xml:space="preserve">comply as far as constitutionally possible with the </w:t>
      </w:r>
      <w:r>
        <w:rPr>
          <w:bCs/>
        </w:rPr>
        <w:t>UNCRPD</w:t>
      </w:r>
      <w:r w:rsidRPr="007361D9">
        <w:rPr>
          <w:bCs/>
        </w:rPr>
        <w:t>.</w:t>
      </w:r>
      <w:r>
        <w:rPr>
          <w:rStyle w:val="FootnoteReference"/>
          <w:bCs/>
        </w:rPr>
        <w:footnoteReference w:id="25"/>
      </w:r>
    </w:p>
    <w:p w14:paraId="070A520A" w14:textId="77777777" w:rsidR="00E15AAB" w:rsidRDefault="00E15AAB" w:rsidP="00E15AAB">
      <w:pPr>
        <w:pStyle w:val="Heading2"/>
      </w:pPr>
      <w:bookmarkStart w:id="15" w:name="_Toc65581164"/>
      <w:r>
        <w:t>Disability Act 2005</w:t>
      </w:r>
      <w:bookmarkEnd w:id="15"/>
    </w:p>
    <w:p w14:paraId="31F9F252" w14:textId="77777777" w:rsidR="00E15AAB" w:rsidRDefault="00E15AAB" w:rsidP="00E15AAB">
      <w:r>
        <w:t>The</w:t>
      </w:r>
      <w:r w:rsidRPr="00E15AAB">
        <w:t xml:space="preserve"> Disability Act 2005 places</w:t>
      </w:r>
      <w:r w:rsidR="00794EC6">
        <w:t xml:space="preserve"> obligations on public bodies</w:t>
      </w:r>
      <w:r w:rsidR="00794EC6" w:rsidRPr="00794EC6">
        <w:t xml:space="preserve"> to meet compliance targets relating to the recruitment and employment of persons with disabilities</w:t>
      </w:r>
      <w:r w:rsidR="00907B1E">
        <w:t>, t</w:t>
      </w:r>
      <w:r w:rsidR="00907B1E" w:rsidRPr="00907B1E">
        <w:t xml:space="preserve">o report every year on the number and percentage of employees with disabilities </w:t>
      </w:r>
      <w:r w:rsidR="00794EC6">
        <w:t>and</w:t>
      </w:r>
      <w:r w:rsidR="00907B1E">
        <w:t xml:space="preserve"> to take</w:t>
      </w:r>
      <w:r w:rsidR="00794EC6">
        <w:t>,</w:t>
      </w:r>
      <w:r w:rsidRPr="00E15AAB">
        <w:t xml:space="preserve"> in so far as practicable,</w:t>
      </w:r>
      <w:r w:rsidR="00794EC6">
        <w:t xml:space="preserve"> </w:t>
      </w:r>
      <w:r w:rsidRPr="00E15AAB">
        <w:t>all reasonable measures to promote and suppo</w:t>
      </w:r>
      <w:r w:rsidR="0044562B">
        <w:t>rt the employment</w:t>
      </w:r>
      <w:r w:rsidRPr="00E15AAB">
        <w:t xml:space="preserve"> o</w:t>
      </w:r>
      <w:r w:rsidR="00794EC6">
        <w:t>f persons with disabilities</w:t>
      </w:r>
      <w:r>
        <w:t>.</w:t>
      </w:r>
      <w:r w:rsidR="00794EC6">
        <w:t xml:space="preserve"> To fulfil the latter, a</w:t>
      </w:r>
      <w:r w:rsidR="00907B1E">
        <w:t>ll government d</w:t>
      </w:r>
      <w:r w:rsidR="00794EC6">
        <w:t>epartments and o</w:t>
      </w:r>
      <w:r w:rsidR="00794EC6" w:rsidRPr="00794EC6">
        <w:t>ffices are required to appoint a D</w:t>
      </w:r>
      <w:r w:rsidR="00794EC6">
        <w:t xml:space="preserve">isability </w:t>
      </w:r>
      <w:r w:rsidR="00794EC6" w:rsidRPr="00794EC6">
        <w:t>L</w:t>
      </w:r>
      <w:r w:rsidR="00794EC6">
        <w:t xml:space="preserve">iaison </w:t>
      </w:r>
      <w:r w:rsidR="00794EC6" w:rsidRPr="00794EC6">
        <w:t>O</w:t>
      </w:r>
      <w:r w:rsidR="00794EC6">
        <w:t>fficer</w:t>
      </w:r>
      <w:r w:rsidR="00794EC6" w:rsidRPr="00794EC6">
        <w:t xml:space="preserve"> to assist and support staff with disabilities and their line managers </w:t>
      </w:r>
      <w:r w:rsidR="00D5295A">
        <w:t>through</w:t>
      </w:r>
      <w:r w:rsidR="00794EC6" w:rsidRPr="00794EC6">
        <w:t xml:space="preserve"> the provision of necessary information, appropriate contacts, guidance, suggestions and advice.</w:t>
      </w:r>
      <w:r w:rsidR="00907B1E">
        <w:rPr>
          <w:rStyle w:val="FootnoteReference"/>
        </w:rPr>
        <w:footnoteReference w:id="26"/>
      </w:r>
    </w:p>
    <w:p w14:paraId="5CD1FF77" w14:textId="77777777" w:rsidR="00396F05" w:rsidRDefault="00396F05" w:rsidP="00396F05">
      <w:pPr>
        <w:pStyle w:val="Heading2"/>
      </w:pPr>
      <w:bookmarkStart w:id="16" w:name="_Toc65581165"/>
      <w:r>
        <w:lastRenderedPageBreak/>
        <w:t>Codes of Practice</w:t>
      </w:r>
      <w:bookmarkEnd w:id="16"/>
    </w:p>
    <w:p w14:paraId="7F426399" w14:textId="668BD30D" w:rsidR="00396F05" w:rsidRDefault="00396F05" w:rsidP="00E15AAB">
      <w:r w:rsidRPr="00396F05">
        <w:t xml:space="preserve">There is a </w:t>
      </w:r>
      <w:r w:rsidRPr="009732A3">
        <w:rPr>
          <w:b/>
        </w:rPr>
        <w:t>Code of Practice for the Employment of People with a Disability in the Irish Civil Service</w:t>
      </w:r>
      <w:r>
        <w:t xml:space="preserve"> covering</w:t>
      </w:r>
      <w:r w:rsidRPr="00396F05">
        <w:t xml:space="preserve"> public and civil service employers.</w:t>
      </w:r>
      <w:r>
        <w:rPr>
          <w:rStyle w:val="FootnoteReference"/>
        </w:rPr>
        <w:footnoteReference w:id="27"/>
      </w:r>
      <w:r w:rsidRPr="00396F05">
        <w:t xml:space="preserve"> </w:t>
      </w:r>
      <w:r w:rsidR="00D5295A">
        <w:t xml:space="preserve">The </w:t>
      </w:r>
      <w:r w:rsidRPr="00396F05">
        <w:t>I</w:t>
      </w:r>
      <w:r w:rsidR="00D5295A">
        <w:t xml:space="preserve">rish </w:t>
      </w:r>
      <w:r w:rsidRPr="00396F05">
        <w:t>H</w:t>
      </w:r>
      <w:r w:rsidR="00D5295A">
        <w:t xml:space="preserve">uman </w:t>
      </w:r>
      <w:r w:rsidRPr="00396F05">
        <w:t>R</w:t>
      </w:r>
      <w:r w:rsidR="00D5295A">
        <w:t xml:space="preserve">ights and </w:t>
      </w:r>
      <w:r w:rsidRPr="00396F05">
        <w:t>E</w:t>
      </w:r>
      <w:r w:rsidR="00D5295A">
        <w:t xml:space="preserve">quality </w:t>
      </w:r>
      <w:r w:rsidRPr="00396F05">
        <w:t>C</w:t>
      </w:r>
      <w:r w:rsidR="00D5295A">
        <w:t>ommission is</w:t>
      </w:r>
      <w:r w:rsidR="00A37D16">
        <w:t xml:space="preserve"> preparing</w:t>
      </w:r>
      <w:r w:rsidR="009732A3">
        <w:t xml:space="preserve"> a new</w:t>
      </w:r>
      <w:r w:rsidRPr="00396F05">
        <w:t xml:space="preserve"> code of practice to promote greater employment of persons with disabilities, which will cover reasonable accommodatio</w:t>
      </w:r>
      <w:r>
        <w:t>ns.</w:t>
      </w:r>
      <w:r>
        <w:rPr>
          <w:rStyle w:val="FootnoteReference"/>
        </w:rPr>
        <w:footnoteReference w:id="28"/>
      </w:r>
      <w:r w:rsidR="00C33357">
        <w:t xml:space="preserve"> </w:t>
      </w:r>
      <w:r w:rsidR="00D5295A">
        <w:t>A</w:t>
      </w:r>
      <w:r w:rsidR="00E01775">
        <w:t xml:space="preserve"> </w:t>
      </w:r>
      <w:r w:rsidR="00C33357" w:rsidRPr="00355BA4">
        <w:rPr>
          <w:b/>
        </w:rPr>
        <w:t>Code of Practice on Sexual Harassment and Harassment at Work</w:t>
      </w:r>
      <w:r w:rsidR="00C33357">
        <w:t xml:space="preserve"> </w:t>
      </w:r>
      <w:r w:rsidR="00C33357" w:rsidRPr="00C33357">
        <w:t>give</w:t>
      </w:r>
      <w:r w:rsidR="00355BA4">
        <w:t>s</w:t>
      </w:r>
      <w:r w:rsidR="00C33357" w:rsidRPr="00C33357">
        <w:t xml:space="preserve"> practical guidance to employers and employees on how to prevent sexual harassment and harassment at work</w:t>
      </w:r>
      <w:r w:rsidR="00665669">
        <w:t>, including on grounds of disability,</w:t>
      </w:r>
      <w:r w:rsidR="00C33357" w:rsidRPr="00C33357">
        <w:t xml:space="preserve"> and how to put procedures in place to deal with it.</w:t>
      </w:r>
      <w:r w:rsidR="00EC5044">
        <w:rPr>
          <w:rStyle w:val="FootnoteReference"/>
        </w:rPr>
        <w:footnoteReference w:id="29"/>
      </w:r>
      <w:r w:rsidR="009732A3">
        <w:t xml:space="preserve"> </w:t>
      </w:r>
    </w:p>
    <w:p w14:paraId="30F3EFF3" w14:textId="77777777" w:rsidR="0088166B" w:rsidRPr="0088166B" w:rsidRDefault="00B82F41" w:rsidP="0088166B">
      <w:pPr>
        <w:pStyle w:val="Heading1"/>
      </w:pPr>
      <w:bookmarkStart w:id="17" w:name="_Toc65581166"/>
      <w:r>
        <w:t>Policies</w:t>
      </w:r>
      <w:bookmarkEnd w:id="17"/>
    </w:p>
    <w:p w14:paraId="1949116D" w14:textId="77777777" w:rsidR="00BD3038" w:rsidRDefault="00BD3038" w:rsidP="00BD3038">
      <w:pPr>
        <w:pStyle w:val="Heading2"/>
      </w:pPr>
      <w:bookmarkStart w:id="18" w:name="_Toc65581167"/>
      <w:r w:rsidRPr="00BD3038">
        <w:t>Comprehensive Employment Strategy for People with Disabilities 2015-2024</w:t>
      </w:r>
      <w:bookmarkEnd w:id="18"/>
    </w:p>
    <w:p w14:paraId="232E3567" w14:textId="77777777" w:rsidR="00931069" w:rsidRPr="00931069" w:rsidRDefault="00B82F41" w:rsidP="00931069">
      <w:r w:rsidRPr="00B82F41">
        <w:t xml:space="preserve">The </w:t>
      </w:r>
      <w:r w:rsidRPr="00B82F41">
        <w:rPr>
          <w:b/>
        </w:rPr>
        <w:t>Comprehensive Employment Strategy for People with Disabilities 2015-2024</w:t>
      </w:r>
      <w:r w:rsidRPr="00B82F41">
        <w:t xml:space="preserve"> is a response by government to maximise employment opportunities and address the obstacles that occur on the pathway to employment for those with</w:t>
      </w:r>
      <w:r>
        <w:t xml:space="preserve"> disabilities who wish to </w:t>
      </w:r>
      <w:r>
        <w:lastRenderedPageBreak/>
        <w:t>work.</w:t>
      </w:r>
      <w:r w:rsidR="00965000">
        <w:rPr>
          <w:rStyle w:val="FootnoteReference"/>
        </w:rPr>
        <w:footnoteReference w:id="30"/>
      </w:r>
      <w:r w:rsidRPr="00B82F41">
        <w:t xml:space="preserve"> This strategy sets out a ten-year approach, with a view to ensuring that persons with disabilities who are able to, and want to work, are s</w:t>
      </w:r>
      <w:r>
        <w:t xml:space="preserve">upported and enabled to do so. </w:t>
      </w:r>
      <w:r w:rsidR="00E01775">
        <w:t>The six</w:t>
      </w:r>
      <w:r w:rsidR="004E6EBA">
        <w:t xml:space="preserve"> strategic priorities </w:t>
      </w:r>
      <w:r w:rsidR="00931069" w:rsidRPr="00931069">
        <w:t>of the Comprehensive Employment Strategy for People with Disabilities are to:</w:t>
      </w:r>
    </w:p>
    <w:p w14:paraId="3EC369BD" w14:textId="77777777" w:rsidR="00931069" w:rsidRDefault="00931069" w:rsidP="00931069">
      <w:pPr>
        <w:pStyle w:val="ListBullet"/>
      </w:pPr>
      <w:r w:rsidRPr="00931069">
        <w:t>build skills, capacity and independence</w:t>
      </w:r>
    </w:p>
    <w:p w14:paraId="69BC4FC6" w14:textId="77777777" w:rsidR="00931069" w:rsidRDefault="00931069" w:rsidP="00931069">
      <w:pPr>
        <w:pStyle w:val="ListBullet"/>
      </w:pPr>
      <w:r w:rsidRPr="00931069">
        <w:t>provide bridges and supports into work</w:t>
      </w:r>
    </w:p>
    <w:p w14:paraId="784D5025" w14:textId="77777777" w:rsidR="00931069" w:rsidRDefault="00931069" w:rsidP="00931069">
      <w:pPr>
        <w:pStyle w:val="ListBullet"/>
      </w:pPr>
      <w:r w:rsidRPr="00931069">
        <w:t>make work pay</w:t>
      </w:r>
    </w:p>
    <w:p w14:paraId="490886E3" w14:textId="77777777" w:rsidR="00931069" w:rsidRDefault="00931069" w:rsidP="00931069">
      <w:pPr>
        <w:pStyle w:val="ListBullet"/>
      </w:pPr>
      <w:r w:rsidRPr="00931069">
        <w:t>promote job retention and re-entry to work</w:t>
      </w:r>
    </w:p>
    <w:p w14:paraId="672B9E96" w14:textId="77777777" w:rsidR="00931069" w:rsidRDefault="00931069" w:rsidP="00931069">
      <w:pPr>
        <w:pStyle w:val="ListBullet"/>
      </w:pPr>
      <w:r w:rsidRPr="00931069">
        <w:t>provide co-ordinated and seamless support</w:t>
      </w:r>
    </w:p>
    <w:p w14:paraId="0F6FBE75" w14:textId="77777777" w:rsidR="00931069" w:rsidRDefault="00931069" w:rsidP="00317848">
      <w:pPr>
        <w:pStyle w:val="ListBullet"/>
        <w:spacing w:after="240"/>
        <w:ind w:left="357" w:hanging="357"/>
      </w:pPr>
      <w:r w:rsidRPr="00931069">
        <w:t>engage employers</w:t>
      </w:r>
    </w:p>
    <w:p w14:paraId="4CEA3970" w14:textId="77777777" w:rsidR="00D474FD" w:rsidRPr="00525627" w:rsidRDefault="00616193" w:rsidP="00B82F41">
      <w:r>
        <w:t xml:space="preserve">The Strategy detailed </w:t>
      </w:r>
      <w:r w:rsidRPr="00616193">
        <w:t>the implementation plan for the first three y</w:t>
      </w:r>
      <w:r w:rsidR="00557CC1">
        <w:t>ears of the strategy 2015-</w:t>
      </w:r>
      <w:r w:rsidR="00525627">
        <w:t>2018</w:t>
      </w:r>
      <w:r>
        <w:t xml:space="preserve">, which was considered a foundation phase. </w:t>
      </w:r>
      <w:r w:rsidR="00E3733D">
        <w:t>The Comprehensive Employment Strategy Implementation Group oversees</w:t>
      </w:r>
      <w:r w:rsidR="00C83C7F">
        <w:t xml:space="preserve"> implementation of the Strategy</w:t>
      </w:r>
      <w:r w:rsidR="00557CC1">
        <w:t>,</w:t>
      </w:r>
      <w:r w:rsidR="00C83C7F">
        <w:t xml:space="preserve"> and has an independent chair. </w:t>
      </w:r>
      <w:r>
        <w:t xml:space="preserve">The NDA has developed a suite of indicators to monitor </w:t>
      </w:r>
      <w:r w:rsidRPr="00616193">
        <w:rPr>
          <w:lang w:val="en-GB"/>
        </w:rPr>
        <w:t>the</w:t>
      </w:r>
      <w:r w:rsidR="00C83C7F">
        <w:rPr>
          <w:lang w:val="en-GB"/>
        </w:rPr>
        <w:t xml:space="preserve"> implementation of the</w:t>
      </w:r>
      <w:r w:rsidRPr="00616193">
        <w:rPr>
          <w:lang w:val="en-GB"/>
        </w:rPr>
        <w:t xml:space="preserve"> Comprehensive Employment Strategy</w:t>
      </w:r>
      <w:r w:rsidR="00D474FD">
        <w:rPr>
          <w:lang w:val="en-GB"/>
        </w:rPr>
        <w:t xml:space="preserve"> and publishes an annual independent assessment of progress.</w:t>
      </w:r>
      <w:r w:rsidR="004A6CA2">
        <w:rPr>
          <w:rStyle w:val="FootnoteReference"/>
          <w:lang w:val="en-GB"/>
        </w:rPr>
        <w:footnoteReference w:id="31"/>
      </w:r>
    </w:p>
    <w:p w14:paraId="50AA5A99" w14:textId="77777777" w:rsidR="00F16AB1" w:rsidRDefault="00F16AB1" w:rsidP="00B82F41">
      <w:r w:rsidRPr="00F16AB1">
        <w:t>Overall, the NDA acknowledges the progress that has been made in implementing the actions committed for completion or advancement</w:t>
      </w:r>
      <w:r w:rsidR="00557CC1">
        <w:t xml:space="preserve"> under the Strategy</w:t>
      </w:r>
      <w:r w:rsidRPr="00F16AB1">
        <w:t xml:space="preserve"> by Departments and agencies </w:t>
      </w:r>
      <w:r w:rsidR="00525627">
        <w:t>to date</w:t>
      </w:r>
      <w:r>
        <w:t>.</w:t>
      </w:r>
      <w:r w:rsidR="00193598">
        <w:t xml:space="preserve"> Some key achievements have included the publication of the Make Work Pay report, the i</w:t>
      </w:r>
      <w:r w:rsidR="00193598" w:rsidRPr="00193598">
        <w:t>ntroduction by the Department of Employment Affairs and Social Protection of a new Youth Employment Support Scheme</w:t>
      </w:r>
      <w:r w:rsidR="00193598">
        <w:t xml:space="preserve">, </w:t>
      </w:r>
      <w:r w:rsidR="00193598" w:rsidRPr="00193598">
        <w:t xml:space="preserve">the rollout of the Individual Placement and </w:t>
      </w:r>
      <w:r w:rsidR="00193598" w:rsidRPr="00193598">
        <w:lastRenderedPageBreak/>
        <w:t xml:space="preserve">Support (IPS) model of supported employment for </w:t>
      </w:r>
      <w:r w:rsidR="000517D9">
        <w:t>persons</w:t>
      </w:r>
      <w:r w:rsidR="000517D9" w:rsidRPr="008D7B00">
        <w:t xml:space="preserve"> </w:t>
      </w:r>
      <w:r w:rsidR="00193598" w:rsidRPr="00193598">
        <w:t>with mental health difficulties wishing to work</w:t>
      </w:r>
      <w:r w:rsidR="00193598">
        <w:t xml:space="preserve"> and the allocation of additional funding to the Ability programme. </w:t>
      </w:r>
    </w:p>
    <w:p w14:paraId="3262826A" w14:textId="77777777" w:rsidR="0091297B" w:rsidRDefault="00193598" w:rsidP="00904251">
      <w:r>
        <w:t>However, progress in other areas has been slower.</w:t>
      </w:r>
      <w:r>
        <w:rPr>
          <w:lang w:val="en-GB"/>
        </w:rPr>
        <w:t xml:space="preserve"> </w:t>
      </w:r>
      <w:r w:rsidR="00BA6F15">
        <w:rPr>
          <w:lang w:val="en-GB"/>
        </w:rPr>
        <w:t xml:space="preserve">For instance, there is currently </w:t>
      </w:r>
      <w:r w:rsidR="00BA6F15" w:rsidRPr="00BA6F15">
        <w:t>a gap</w:t>
      </w:r>
      <w:r w:rsidR="0091297B">
        <w:t xml:space="preserve"> in provision</w:t>
      </w:r>
      <w:r w:rsidR="00BA6F15" w:rsidRPr="00BA6F15">
        <w:t xml:space="preserve"> for people with high support needs, who may require an individual level of support to access and remain in work. </w:t>
      </w:r>
      <w:r w:rsidR="00904251" w:rsidRPr="00904251">
        <w:t xml:space="preserve">Action 5.1 of the Comprehensive Employment Strategy </w:t>
      </w:r>
      <w:r w:rsidR="0091297B">
        <w:t xml:space="preserve">seeks </w:t>
      </w:r>
      <w:r w:rsidR="00904251" w:rsidRPr="00904251">
        <w:t xml:space="preserve">to achieve a ‘seamless and coordinated provision of supports’ for </w:t>
      </w:r>
      <w:r w:rsidR="000517D9">
        <w:t>persons</w:t>
      </w:r>
      <w:r w:rsidR="000517D9" w:rsidRPr="008D7B00">
        <w:t xml:space="preserve"> </w:t>
      </w:r>
      <w:r w:rsidR="00904251" w:rsidRPr="00904251">
        <w:t xml:space="preserve">with disabilities who wish to work, including those with high support needs. This in turn requires the provision of ‘in work’ supports for some in order to allow them participate in employment. </w:t>
      </w:r>
      <w:r w:rsidR="00071CE1">
        <w:t>Action 5.1 has been described as a “microcosm” of the Strategy as a whole.</w:t>
      </w:r>
      <w:r w:rsidR="00071CE1">
        <w:rPr>
          <w:rStyle w:val="FootnoteReference"/>
        </w:rPr>
        <w:footnoteReference w:id="32"/>
      </w:r>
    </w:p>
    <w:p w14:paraId="0831E664" w14:textId="77777777" w:rsidR="00904251" w:rsidRPr="0091297B" w:rsidRDefault="00904251" w:rsidP="00904251">
      <w:r w:rsidRPr="00904251">
        <w:t>A cross-departmental working group developed and agreed a policy for the provision of coordinated and comprehensive supports.</w:t>
      </w:r>
      <w:r w:rsidR="0091297B">
        <w:rPr>
          <w:rStyle w:val="FootnoteReference"/>
        </w:rPr>
        <w:footnoteReference w:id="33"/>
      </w:r>
      <w:r w:rsidRPr="00904251">
        <w:t xml:space="preserve"> However, agreement on how best to test and scale both coordination and provision of these supports has not yet been achieved, and </w:t>
      </w:r>
      <w:r w:rsidR="00D5295A">
        <w:t xml:space="preserve">the </w:t>
      </w:r>
      <w:r w:rsidRPr="00904251">
        <w:t>NDA advises the aims of the policy cannot be realised without same.</w:t>
      </w:r>
      <w:r w:rsidR="0091297B" w:rsidRPr="0091297B">
        <w:t xml:space="preserve"> If this policy can be effectively implemented, it will</w:t>
      </w:r>
      <w:r w:rsidR="0091297B">
        <w:t xml:space="preserve"> not only benefit those with high support needs, but</w:t>
      </w:r>
      <w:r w:rsidR="0091297B" w:rsidRPr="0091297B">
        <w:t xml:space="preserve"> also </w:t>
      </w:r>
      <w:r w:rsidR="000517D9">
        <w:t>persons</w:t>
      </w:r>
      <w:r w:rsidR="0091297B" w:rsidRPr="0091297B">
        <w:t xml:space="preserve"> with acquired disabilities and lifelong health conditions in the context of return to work.</w:t>
      </w:r>
      <w:r w:rsidR="0091297B">
        <w:rPr>
          <w:rStyle w:val="FootnoteReference"/>
        </w:rPr>
        <w:footnoteReference w:id="34"/>
      </w:r>
    </w:p>
    <w:p w14:paraId="7D60418C" w14:textId="77777777" w:rsidR="00880688" w:rsidRDefault="00880688" w:rsidP="00B82F41">
      <w:r w:rsidRPr="00880688">
        <w:t>A Phase Two Action Plan, covering the period 2019-2021, was published in December 2019.</w:t>
      </w:r>
      <w:r w:rsidR="00965000">
        <w:rPr>
          <w:rStyle w:val="FootnoteReference"/>
        </w:rPr>
        <w:footnoteReference w:id="35"/>
      </w:r>
      <w:r>
        <w:t xml:space="preserve"> Some of the main actions include:</w:t>
      </w:r>
    </w:p>
    <w:p w14:paraId="70BF930A" w14:textId="77777777" w:rsidR="00880688" w:rsidRDefault="00880688" w:rsidP="00880688">
      <w:pPr>
        <w:pStyle w:val="ListBullet"/>
      </w:pPr>
      <w:r>
        <w:lastRenderedPageBreak/>
        <w:t>Developing a multi-faceted programme, similar to SeeChange, to promote awareness among employers and other key stakeholders of the opportunities represented by employees with disabilities</w:t>
      </w:r>
    </w:p>
    <w:p w14:paraId="0078D827" w14:textId="77777777" w:rsidR="00880688" w:rsidRDefault="00880688" w:rsidP="00880688">
      <w:pPr>
        <w:pStyle w:val="ListBullet"/>
      </w:pPr>
      <w:r w:rsidRPr="00880688">
        <w:t>Develop</w:t>
      </w:r>
      <w:r>
        <w:t>ing</w:t>
      </w:r>
      <w:r w:rsidRPr="00880688">
        <w:t xml:space="preserve"> a pilot Civil Service internship for people with disabilities that could lead to permanent positions</w:t>
      </w:r>
    </w:p>
    <w:p w14:paraId="37090AD6" w14:textId="77777777" w:rsidR="00880688" w:rsidRDefault="00880688" w:rsidP="00880688">
      <w:pPr>
        <w:pStyle w:val="ListBullet"/>
      </w:pPr>
      <w:r>
        <w:t>Delivering</w:t>
      </w:r>
      <w:r w:rsidRPr="00880688">
        <w:t xml:space="preserve"> the agreed policy of the CES 5.1 report and the demonstration pilots identified by the interdepartmental implementation group</w:t>
      </w:r>
    </w:p>
    <w:p w14:paraId="70F19632" w14:textId="77777777" w:rsidR="00880688" w:rsidRDefault="00763752" w:rsidP="00880688">
      <w:pPr>
        <w:pStyle w:val="ListBullet"/>
      </w:pPr>
      <w:r>
        <w:t>Creating</w:t>
      </w:r>
      <w:r w:rsidRPr="00763752">
        <w:t xml:space="preserve"> a strategy that promotes and supports entrepreneurship and self</w:t>
      </w:r>
      <w:r>
        <w:t>-</w:t>
      </w:r>
      <w:r w:rsidRPr="00763752">
        <w:t>employment for people with a disability</w:t>
      </w:r>
    </w:p>
    <w:p w14:paraId="7F1BFB64" w14:textId="77777777" w:rsidR="00C56DF4" w:rsidRDefault="00C56DF4" w:rsidP="00880688">
      <w:pPr>
        <w:pStyle w:val="ListBullet"/>
      </w:pPr>
      <w:r>
        <w:t>Providing</w:t>
      </w:r>
      <w:r w:rsidRPr="00C56DF4">
        <w:t xml:space="preserve"> coordinated and seamless support through the introduction of an Ind</w:t>
      </w:r>
      <w:r>
        <w:t>ependent Placement Support</w:t>
      </w:r>
      <w:r w:rsidRPr="00C56DF4">
        <w:t xml:space="preserve"> into each of the nine Community</w:t>
      </w:r>
      <w:r>
        <w:t xml:space="preserve"> Healthcare Organisations</w:t>
      </w:r>
    </w:p>
    <w:p w14:paraId="6F8815A6" w14:textId="77777777" w:rsidR="00C56DF4" w:rsidRDefault="00C56DF4" w:rsidP="00880688">
      <w:pPr>
        <w:pStyle w:val="ListBullet"/>
      </w:pPr>
      <w:r>
        <w:t>Raising</w:t>
      </w:r>
      <w:r w:rsidRPr="00C56DF4">
        <w:t xml:space="preserve"> awareness among employers of services and supports for the recruitment and retention of persons with disabilities through the planning and implementation of an employer information campaign</w:t>
      </w:r>
    </w:p>
    <w:p w14:paraId="52B377EA" w14:textId="77777777" w:rsidR="00C56DF4" w:rsidRPr="00C83C7F" w:rsidRDefault="00C56DF4" w:rsidP="00317848">
      <w:pPr>
        <w:pStyle w:val="ListBullet"/>
        <w:spacing w:after="240"/>
        <w:ind w:left="357" w:hanging="357"/>
      </w:pPr>
      <w:r w:rsidRPr="00C56DF4">
        <w:t>Develop</w:t>
      </w:r>
      <w:r>
        <w:t>ing</w:t>
      </w:r>
      <w:r w:rsidRPr="00C56DF4">
        <w:t xml:space="preserve"> a defined programme of work on employer engagement, informed by cross-sectoral workshop outputs</w:t>
      </w:r>
    </w:p>
    <w:p w14:paraId="4A0C3A87" w14:textId="77777777" w:rsidR="00E3733D" w:rsidRDefault="00931069" w:rsidP="00C43CCF">
      <w:pPr>
        <w:pStyle w:val="Heading3"/>
      </w:pPr>
      <w:r>
        <w:t>Make Work Pay</w:t>
      </w:r>
      <w:r w:rsidR="00965000">
        <w:t xml:space="preserve"> report</w:t>
      </w:r>
      <w:r w:rsidR="00965000">
        <w:rPr>
          <w:rStyle w:val="FootnoteReference"/>
        </w:rPr>
        <w:footnoteReference w:id="36"/>
      </w:r>
    </w:p>
    <w:p w14:paraId="522E23CF" w14:textId="77777777" w:rsidR="00931069" w:rsidRDefault="00931069" w:rsidP="00931069">
      <w:r>
        <w:t>As part of the Comprehensive Employment Strategy,</w:t>
      </w:r>
      <w:r w:rsidR="00D5295A">
        <w:t xml:space="preserve"> the</w:t>
      </w:r>
      <w:r>
        <w:t xml:space="preserve"> </w:t>
      </w:r>
      <w:r w:rsidR="00A37D16">
        <w:t>D</w:t>
      </w:r>
      <w:r w:rsidR="00D5295A">
        <w:t xml:space="preserve">epartment of </w:t>
      </w:r>
      <w:r w:rsidR="00A37D16">
        <w:t>E</w:t>
      </w:r>
      <w:r w:rsidR="00D5295A">
        <w:t xml:space="preserve">mployment </w:t>
      </w:r>
      <w:r w:rsidR="00A37D16">
        <w:t>A</w:t>
      </w:r>
      <w:r w:rsidR="00D5295A">
        <w:t xml:space="preserve">ffairs and </w:t>
      </w:r>
      <w:r w:rsidR="00A37D16">
        <w:t>S</w:t>
      </w:r>
      <w:r w:rsidR="00D5295A">
        <w:t xml:space="preserve">ocial </w:t>
      </w:r>
      <w:r w:rsidR="00A37D16">
        <w:t>P</w:t>
      </w:r>
      <w:r w:rsidR="00D5295A">
        <w:t>rotection</w:t>
      </w:r>
      <w:r w:rsidR="00A37D16">
        <w:t xml:space="preserve"> </w:t>
      </w:r>
      <w:r w:rsidRPr="00931069">
        <w:t>was charged with establishing an interdepartmental expert group to examine the interactions between the benefit</w:t>
      </w:r>
      <w:r w:rsidR="00491101">
        <w:t>s</w:t>
      </w:r>
      <w:r w:rsidRPr="00931069">
        <w:t xml:space="preserve"> system, including the Medical Card, the additional costs of work associated with a disability, and the net income gains in employment. </w:t>
      </w:r>
      <w:r w:rsidR="00F85416">
        <w:t xml:space="preserve">The Make Work Pay report contains 24 recommendations, </w:t>
      </w:r>
      <w:r w:rsidR="00904251">
        <w:t xml:space="preserve">and </w:t>
      </w:r>
      <w:r w:rsidR="000D3A51">
        <w:t xml:space="preserve">a number of these have been implemented to date </w:t>
      </w:r>
      <w:r w:rsidR="00F85416">
        <w:t>including:</w:t>
      </w:r>
    </w:p>
    <w:p w14:paraId="4F20A313" w14:textId="77777777" w:rsidR="00F85416" w:rsidRDefault="00F85416" w:rsidP="00F85416">
      <w:pPr>
        <w:pStyle w:val="ListBullet"/>
      </w:pPr>
      <w:r w:rsidRPr="00F85416">
        <w:lastRenderedPageBreak/>
        <w:t xml:space="preserve">the earnings disregard for </w:t>
      </w:r>
      <w:r w:rsidR="00DA6E35">
        <w:t>persons</w:t>
      </w:r>
      <w:r w:rsidR="00DA6E35" w:rsidRPr="008D7B00">
        <w:t xml:space="preserve"> </w:t>
      </w:r>
      <w:r w:rsidR="008500CB">
        <w:t xml:space="preserve">on </w:t>
      </w:r>
      <w:r>
        <w:t>D</w:t>
      </w:r>
      <w:r w:rsidRPr="00F85416">
        <w:t>isability</w:t>
      </w:r>
      <w:r w:rsidR="008500CB">
        <w:t xml:space="preserve"> </w:t>
      </w:r>
      <w:r>
        <w:t>A</w:t>
      </w:r>
      <w:r w:rsidRPr="00F85416">
        <w:t xml:space="preserve">llowance </w:t>
      </w:r>
      <w:r>
        <w:t xml:space="preserve">was increased </w:t>
      </w:r>
      <w:r w:rsidRPr="00F85416">
        <w:t>from €120 to €427 per week</w:t>
      </w:r>
    </w:p>
    <w:p w14:paraId="321CF8CE" w14:textId="77777777" w:rsidR="00F85416" w:rsidRDefault="008500CB" w:rsidP="00F85416">
      <w:pPr>
        <w:pStyle w:val="ListBullet"/>
      </w:pPr>
      <w:r>
        <w:t xml:space="preserve">a 'fast-track return to </w:t>
      </w:r>
      <w:r w:rsidR="00F85416" w:rsidRPr="00F85416">
        <w:t>Disability</w:t>
      </w:r>
      <w:r>
        <w:t xml:space="preserve"> A</w:t>
      </w:r>
      <w:r w:rsidR="00F85416" w:rsidRPr="00F85416">
        <w:t xml:space="preserve">llowance' </w:t>
      </w:r>
      <w:r>
        <w:t xml:space="preserve">protocol has been put in place </w:t>
      </w:r>
      <w:r w:rsidR="00F85416" w:rsidRPr="00F85416">
        <w:t>should a particular employment opportunity prove unsuitable</w:t>
      </w:r>
    </w:p>
    <w:p w14:paraId="1C81B5B4" w14:textId="77777777" w:rsidR="00F85416" w:rsidRDefault="00F85416" w:rsidP="00F85416">
      <w:pPr>
        <w:pStyle w:val="ListBullet"/>
      </w:pPr>
      <w:r w:rsidRPr="00F85416">
        <w:t>the requirement that work be of a ‘rehabilitative’ natur</w:t>
      </w:r>
      <w:r w:rsidR="008500CB">
        <w:t xml:space="preserve">e, where a person in receipt of </w:t>
      </w:r>
      <w:r w:rsidRPr="00F85416">
        <w:t>Disa</w:t>
      </w:r>
      <w:r w:rsidR="008500CB">
        <w:t xml:space="preserve">bility </w:t>
      </w:r>
      <w:r w:rsidRPr="00F85416">
        <w:t>Allowance wishes to undertake employment, has been removed</w:t>
      </w:r>
    </w:p>
    <w:p w14:paraId="37247D14" w14:textId="77777777" w:rsidR="00F85416" w:rsidRDefault="00DA6E35" w:rsidP="00F85416">
      <w:pPr>
        <w:pStyle w:val="ListBullet"/>
      </w:pPr>
      <w:r>
        <w:t>persons</w:t>
      </w:r>
      <w:r w:rsidRPr="008D7B00">
        <w:t xml:space="preserve"> </w:t>
      </w:r>
      <w:r w:rsidR="00F85416">
        <w:t>with a long-term disability who take up employment will retain their Free Travel Pass for a period of five years</w:t>
      </w:r>
    </w:p>
    <w:p w14:paraId="0DDF3512" w14:textId="77777777" w:rsidR="00904251" w:rsidRDefault="00F85416" w:rsidP="00317848">
      <w:pPr>
        <w:pStyle w:val="ListBullet"/>
        <w:spacing w:after="240"/>
        <w:ind w:left="357" w:hanging="357"/>
      </w:pPr>
      <w:r>
        <w:t xml:space="preserve">a “Benefits of Work” calculator for persons with a disability is now available on </w:t>
      </w:r>
      <w:r w:rsidR="000D3A51">
        <w:t xml:space="preserve">the </w:t>
      </w:r>
      <w:r>
        <w:t>D</w:t>
      </w:r>
      <w:r w:rsidR="000D3A51">
        <w:t xml:space="preserve">epartment of </w:t>
      </w:r>
      <w:r>
        <w:t>E</w:t>
      </w:r>
      <w:r w:rsidR="000D3A51">
        <w:t xml:space="preserve">mployment </w:t>
      </w:r>
      <w:r>
        <w:t>A</w:t>
      </w:r>
      <w:r w:rsidR="000D3A51">
        <w:t xml:space="preserve">ffairs and </w:t>
      </w:r>
      <w:r>
        <w:t>S</w:t>
      </w:r>
      <w:r w:rsidR="000D3A51">
        <w:t xml:space="preserve">ocial </w:t>
      </w:r>
      <w:r>
        <w:t>P</w:t>
      </w:r>
      <w:r w:rsidR="000D3A51">
        <w:t>rotection</w:t>
      </w:r>
      <w:r>
        <w:t>’s website to help people calculate the net benefit of entering or returning to work</w:t>
      </w:r>
    </w:p>
    <w:p w14:paraId="4703ADFC" w14:textId="77777777" w:rsidR="00904251" w:rsidRDefault="00904251" w:rsidP="00317848">
      <w:r w:rsidRPr="00904251">
        <w:t>However,</w:t>
      </w:r>
      <w:r w:rsidR="0091297B">
        <w:t xml:space="preserve"> progress on </w:t>
      </w:r>
      <w:r w:rsidR="000D3A51">
        <w:t>other</w:t>
      </w:r>
      <w:r w:rsidR="00557CC1">
        <w:t xml:space="preserve"> Make Work Pay</w:t>
      </w:r>
      <w:r w:rsidR="0091297B">
        <w:t xml:space="preserve"> recommendations has been slow</w:t>
      </w:r>
      <w:r w:rsidR="000D3A51">
        <w:t>er</w:t>
      </w:r>
      <w:r w:rsidR="0091297B">
        <w:t xml:space="preserve">. For instance, </w:t>
      </w:r>
      <w:r w:rsidR="00147BB2">
        <w:t>R</w:t>
      </w:r>
      <w:r w:rsidRPr="00904251">
        <w:t>e</w:t>
      </w:r>
      <w:r w:rsidR="00147BB2">
        <w:t>commendations 9 and</w:t>
      </w:r>
      <w:r w:rsidRPr="00904251">
        <w:t xml:space="preserve"> 10 </w:t>
      </w:r>
      <w:r w:rsidR="00147BB2">
        <w:t>referenced the D</w:t>
      </w:r>
      <w:r w:rsidRPr="00904251">
        <w:t>epartment</w:t>
      </w:r>
      <w:r w:rsidR="00147BB2">
        <w:t xml:space="preserve"> of Employment Affairs and Social Protection</w:t>
      </w:r>
      <w:r w:rsidRPr="00904251">
        <w:t xml:space="preserve"> undertaking an exploration of a reconfiguration of the Disability Allowance schem</w:t>
      </w:r>
      <w:r w:rsidR="00147BB2">
        <w:t xml:space="preserve">e. </w:t>
      </w:r>
      <w:r w:rsidRPr="00904251">
        <w:t xml:space="preserve">New entrants into the payment were to be presented with a new process of engagement designed around the principle of early intervention. </w:t>
      </w:r>
      <w:r w:rsidR="00147BB2">
        <w:t>The Department</w:t>
      </w:r>
      <w:r w:rsidRPr="00904251">
        <w:t xml:space="preserve"> undertook a co-designed consultation on</w:t>
      </w:r>
      <w:r w:rsidR="00147BB2">
        <w:t xml:space="preserve"> these recommendations in 2018 and t</w:t>
      </w:r>
      <w:r w:rsidRPr="00904251">
        <w:t>he NDA understood that implementation of an early engagement</w:t>
      </w:r>
      <w:r w:rsidR="00147BB2">
        <w:t xml:space="preserve"> process would commence in 2019. However, </w:t>
      </w:r>
      <w:r w:rsidRPr="00904251">
        <w:t>as yet</w:t>
      </w:r>
      <w:r w:rsidR="00147BB2">
        <w:t>,</w:t>
      </w:r>
      <w:r w:rsidRPr="00904251">
        <w:t xml:space="preserve"> no details of the consultation report or eng</w:t>
      </w:r>
      <w:r w:rsidR="00147BB2">
        <w:t>agement process are available.</w:t>
      </w:r>
      <w:r w:rsidR="00147BB2">
        <w:rPr>
          <w:rStyle w:val="FootnoteReference"/>
        </w:rPr>
        <w:footnoteReference w:id="37"/>
      </w:r>
      <w:r w:rsidR="00147BB2">
        <w:t xml:space="preserve"> </w:t>
      </w:r>
    </w:p>
    <w:p w14:paraId="73366A18" w14:textId="77777777" w:rsidR="00147BB2" w:rsidRDefault="00147BB2" w:rsidP="00317848">
      <w:r>
        <w:rPr>
          <w:lang w:val="en-GB"/>
        </w:rPr>
        <w:lastRenderedPageBreak/>
        <w:t>The NDA ha</w:t>
      </w:r>
      <w:r w:rsidRPr="00147BB2">
        <w:rPr>
          <w:lang w:val="en-GB"/>
        </w:rPr>
        <w:t>s</w:t>
      </w:r>
      <w:r>
        <w:rPr>
          <w:lang w:val="en-GB"/>
        </w:rPr>
        <w:t xml:space="preserve"> advised</w:t>
      </w:r>
      <w:r w:rsidRPr="00147BB2">
        <w:rPr>
          <w:lang w:val="en-GB"/>
        </w:rPr>
        <w:t xml:space="preserve"> that a full update on the status of the recommendations of the Make Work Pay report would be timely, in order to consider progress since its publication in 2017, including those areas where progress has been delayed.</w:t>
      </w:r>
      <w:r>
        <w:rPr>
          <w:rStyle w:val="FootnoteReference"/>
          <w:lang w:val="en-GB"/>
        </w:rPr>
        <w:footnoteReference w:id="38"/>
      </w:r>
      <w:r w:rsidRPr="00147BB2">
        <w:rPr>
          <w:lang w:val="en-GB"/>
        </w:rPr>
        <w:t xml:space="preserve">  </w:t>
      </w:r>
    </w:p>
    <w:p w14:paraId="09911ADA" w14:textId="77777777" w:rsidR="00C43CCF" w:rsidRDefault="00C43CCF" w:rsidP="00C43CCF">
      <w:pPr>
        <w:pStyle w:val="Heading2"/>
      </w:pPr>
      <w:bookmarkStart w:id="19" w:name="_Toc65581168"/>
      <w:r>
        <w:t>Other policies</w:t>
      </w:r>
      <w:bookmarkEnd w:id="19"/>
    </w:p>
    <w:p w14:paraId="1EBFC1B0" w14:textId="77777777" w:rsidR="002705B0" w:rsidRDefault="002705B0" w:rsidP="00C43CCF">
      <w:pPr>
        <w:pStyle w:val="Heading3"/>
      </w:pPr>
      <w:r>
        <w:t>National Disability Inclusion Strategy 2017-2021</w:t>
      </w:r>
    </w:p>
    <w:p w14:paraId="3D764206" w14:textId="77777777" w:rsidR="002705B0" w:rsidRPr="002705B0" w:rsidRDefault="0093746C" w:rsidP="002705B0">
      <w:r w:rsidRPr="0093746C">
        <w:t>The </w:t>
      </w:r>
      <w:r w:rsidRPr="0093746C">
        <w:rPr>
          <w:bCs/>
        </w:rPr>
        <w:t>National Disability Inclusion Strategy</w:t>
      </w:r>
      <w:r w:rsidR="008500CB">
        <w:t xml:space="preserve"> </w:t>
      </w:r>
      <w:r w:rsidRPr="0093746C">
        <w:t>2017-2021 (</w:t>
      </w:r>
      <w:r w:rsidRPr="0093746C">
        <w:rPr>
          <w:bCs/>
        </w:rPr>
        <w:t>NDIS</w:t>
      </w:r>
      <w:r w:rsidR="008500CB">
        <w:t xml:space="preserve">) is a </w:t>
      </w:r>
      <w:r w:rsidRPr="0093746C">
        <w:rPr>
          <w:bCs/>
        </w:rPr>
        <w:t>whole</w:t>
      </w:r>
      <w:r w:rsidRPr="0093746C">
        <w:t>-of-</w:t>
      </w:r>
      <w:r w:rsidRPr="0093746C">
        <w:rPr>
          <w:bCs/>
        </w:rPr>
        <w:t>government</w:t>
      </w:r>
      <w:r w:rsidR="008500CB">
        <w:t xml:space="preserve"> </w:t>
      </w:r>
      <w:r w:rsidRPr="0093746C">
        <w:t>approach to impr</w:t>
      </w:r>
      <w:r w:rsidR="008500CB">
        <w:t xml:space="preserve">oving the lives of persons with </w:t>
      </w:r>
      <w:r w:rsidRPr="0093746C">
        <w:rPr>
          <w:bCs/>
        </w:rPr>
        <w:t>disabilities</w:t>
      </w:r>
      <w:r w:rsidR="002705B0" w:rsidRPr="0093746C">
        <w:t>.</w:t>
      </w:r>
      <w:r w:rsidR="00965000">
        <w:rPr>
          <w:rStyle w:val="FootnoteReference"/>
        </w:rPr>
        <w:footnoteReference w:id="39"/>
      </w:r>
      <w:r>
        <w:t xml:space="preserve"> One of the Strategy’s eight themes is employment. There are eleven actions under the “Employment” theme, which in large part mirror actions and commitments under the Comprehensive Employment Strategy and the Make Work Pay report.</w:t>
      </w:r>
      <w:r w:rsidR="002705B0">
        <w:t xml:space="preserve"> One of the new actions in the Mid-Term Review of the NDIS</w:t>
      </w:r>
      <w:r w:rsidR="00C05B99">
        <w:t xml:space="preserve"> (Action 128)</w:t>
      </w:r>
      <w:r w:rsidR="002705B0">
        <w:t xml:space="preserve"> is that the </w:t>
      </w:r>
      <w:r w:rsidR="002705B0" w:rsidRPr="002705B0">
        <w:t>Department of Rural and Community Develo</w:t>
      </w:r>
      <w:r w:rsidR="00AD7135">
        <w:t>pment</w:t>
      </w:r>
      <w:r w:rsidR="002705B0" w:rsidRPr="002705B0">
        <w:t xml:space="preserve"> will develop initiatives to improve employment opportunities for </w:t>
      </w:r>
      <w:r w:rsidR="00DA6E35">
        <w:t>persons</w:t>
      </w:r>
      <w:r w:rsidR="00DA6E35" w:rsidRPr="008D7B00">
        <w:t xml:space="preserve"> </w:t>
      </w:r>
      <w:r w:rsidR="002705B0" w:rsidRPr="002705B0">
        <w:t>with disabilities living in rural areas, including through remote working options.</w:t>
      </w:r>
      <w:r w:rsidR="00965000">
        <w:rPr>
          <w:rStyle w:val="FootnoteReference"/>
        </w:rPr>
        <w:footnoteReference w:id="40"/>
      </w:r>
    </w:p>
    <w:p w14:paraId="7CCFA5C9" w14:textId="77777777" w:rsidR="00274150" w:rsidRDefault="00274150" w:rsidP="00C43CCF">
      <w:pPr>
        <w:pStyle w:val="Heading3"/>
      </w:pPr>
      <w:r>
        <w:t>Pathways to Work</w:t>
      </w:r>
    </w:p>
    <w:p w14:paraId="45180668" w14:textId="77777777" w:rsidR="00274150" w:rsidRDefault="00274150" w:rsidP="00274150">
      <w:r w:rsidRPr="00274150">
        <w:rPr>
          <w:bCs/>
        </w:rPr>
        <w:t>Pathways to Work</w:t>
      </w:r>
      <w:r w:rsidRPr="00274150">
        <w:t> </w:t>
      </w:r>
      <w:r>
        <w:t xml:space="preserve">2016 – 2020 </w:t>
      </w:r>
      <w:r w:rsidRPr="00274150">
        <w:t>is the Government's overarching poli</w:t>
      </w:r>
      <w:r w:rsidR="008500CB">
        <w:t xml:space="preserve">cy framework for Activation and </w:t>
      </w:r>
      <w:r w:rsidRPr="00274150">
        <w:rPr>
          <w:bCs/>
        </w:rPr>
        <w:t>Employment</w:t>
      </w:r>
      <w:r w:rsidRPr="00274150">
        <w:t> Policy.</w:t>
      </w:r>
      <w:r w:rsidR="00F932FF">
        <w:rPr>
          <w:rStyle w:val="FootnoteReference"/>
        </w:rPr>
        <w:footnoteReference w:id="41"/>
      </w:r>
      <w:r w:rsidR="008500CB">
        <w:t xml:space="preserve"> </w:t>
      </w:r>
      <w:r>
        <w:t xml:space="preserve">It contains a number of disability-specific actions under Strand 1: </w:t>
      </w:r>
      <w:r w:rsidR="00F02F57" w:rsidRPr="00F02F57">
        <w:t>Enhanced engagement with unemployed people of working age</w:t>
      </w:r>
      <w:r w:rsidR="00F02F57">
        <w:t>. Actions include e</w:t>
      </w:r>
      <w:r w:rsidR="00F02F57" w:rsidRPr="00F02F57">
        <w:t>xpand</w:t>
      </w:r>
      <w:r w:rsidR="00F02F57">
        <w:t>ing</w:t>
      </w:r>
      <w:r w:rsidR="00F02F57" w:rsidRPr="00F02F57">
        <w:t xml:space="preserve"> the use of Intreo Centres</w:t>
      </w:r>
      <w:r w:rsidR="002C259E">
        <w:t>, which provide mainstream employment support services,</w:t>
      </w:r>
      <w:r w:rsidR="00F02F57" w:rsidRPr="00F02F57">
        <w:t xml:space="preserve"> </w:t>
      </w:r>
      <w:r w:rsidR="00F02F57" w:rsidRPr="00F02F57">
        <w:lastRenderedPageBreak/>
        <w:t xml:space="preserve">to engage with </w:t>
      </w:r>
      <w:r w:rsidR="00DA6E35">
        <w:t>persons</w:t>
      </w:r>
      <w:r w:rsidR="00DA6E35" w:rsidRPr="008D7B00">
        <w:t xml:space="preserve"> </w:t>
      </w:r>
      <w:r w:rsidR="00F02F57" w:rsidRPr="00F02F57">
        <w:t xml:space="preserve">with disabilities and increase the number of Intreo staff trained in the provision of employment supports to </w:t>
      </w:r>
      <w:r w:rsidR="00DA6E35">
        <w:t>persons</w:t>
      </w:r>
      <w:r w:rsidR="00DA6E35" w:rsidRPr="008D7B00">
        <w:t xml:space="preserve"> </w:t>
      </w:r>
      <w:r w:rsidR="00F02F57" w:rsidRPr="00F02F57">
        <w:t>with disabilities.</w:t>
      </w:r>
    </w:p>
    <w:p w14:paraId="45BA9D52" w14:textId="77777777" w:rsidR="00CD447C" w:rsidRDefault="00CD447C" w:rsidP="00C43CCF">
      <w:pPr>
        <w:pStyle w:val="Heading3"/>
      </w:pPr>
      <w:r>
        <w:t>Future Jobs Ireland</w:t>
      </w:r>
    </w:p>
    <w:p w14:paraId="23322EF4" w14:textId="77777777" w:rsidR="00991ECE" w:rsidRDefault="00CD447C" w:rsidP="00CD447C">
      <w:r>
        <w:t xml:space="preserve">Published in 2019, </w:t>
      </w:r>
      <w:r w:rsidRPr="00CD447C">
        <w:rPr>
          <w:b/>
        </w:rPr>
        <w:t>Future Jobs Ireland</w:t>
      </w:r>
      <w:r>
        <w:t xml:space="preserve"> is a whole-of-government framework which seeks </w:t>
      </w:r>
      <w:r w:rsidRPr="00CD447C">
        <w:t>to create a sustainable, resilient and</w:t>
      </w:r>
      <w:r>
        <w:t xml:space="preserve"> </w:t>
      </w:r>
      <w:r w:rsidRPr="00CD447C">
        <w:rPr>
          <w:bCs/>
        </w:rPr>
        <w:t>future</w:t>
      </w:r>
      <w:r w:rsidR="008500CB">
        <w:t xml:space="preserve">-oriented economy in </w:t>
      </w:r>
      <w:r w:rsidRPr="00CD447C">
        <w:rPr>
          <w:bCs/>
        </w:rPr>
        <w:t>Ireland</w:t>
      </w:r>
      <w:r w:rsidR="008500CB">
        <w:t xml:space="preserve"> </w:t>
      </w:r>
      <w:r w:rsidRPr="00CD447C">
        <w:t>over the years to 2025.</w:t>
      </w:r>
      <w:r w:rsidR="008C05F1">
        <w:rPr>
          <w:rStyle w:val="FootnoteReference"/>
        </w:rPr>
        <w:footnoteReference w:id="42"/>
      </w:r>
      <w:r>
        <w:t xml:space="preserve"> One of the deliverables under the framework is t</w:t>
      </w:r>
      <w:r w:rsidRPr="00CD447C">
        <w:t xml:space="preserve">o improve employment outcomes for </w:t>
      </w:r>
      <w:r w:rsidR="00DA6E35">
        <w:t>persons</w:t>
      </w:r>
      <w:r w:rsidR="00DA6E35" w:rsidRPr="008D7B00">
        <w:t xml:space="preserve"> </w:t>
      </w:r>
      <w:r w:rsidRPr="00CD447C">
        <w:t>with disabilities</w:t>
      </w:r>
      <w:r w:rsidR="002758CA">
        <w:t>, including</w:t>
      </w:r>
      <w:r w:rsidR="00991ECE">
        <w:t xml:space="preserve"> by:</w:t>
      </w:r>
    </w:p>
    <w:p w14:paraId="57400A26" w14:textId="77777777" w:rsidR="00991ECE" w:rsidRDefault="00CD447C" w:rsidP="00991ECE">
      <w:pPr>
        <w:pStyle w:val="ListBullet"/>
      </w:pPr>
      <w:r w:rsidRPr="00CD447C">
        <w:t>publish</w:t>
      </w:r>
      <w:r w:rsidR="00991ECE">
        <w:t>ing</w:t>
      </w:r>
      <w:r w:rsidRPr="00CD447C">
        <w:t xml:space="preserve"> the results of the consultation exercise around the recommendations on early engagemen</w:t>
      </w:r>
      <w:r w:rsidR="000D3A51">
        <w:t xml:space="preserve">t and Disability Allowance </w:t>
      </w:r>
      <w:r w:rsidRPr="00CD447C">
        <w:t>realignment fr</w:t>
      </w:r>
      <w:r w:rsidR="00D46F69">
        <w:t>om the Make Work Pay report</w:t>
      </w:r>
    </w:p>
    <w:p w14:paraId="4ED246E5" w14:textId="77777777" w:rsidR="00991ECE" w:rsidRDefault="00CD447C" w:rsidP="00991ECE">
      <w:pPr>
        <w:pStyle w:val="ListBullet"/>
      </w:pPr>
      <w:r w:rsidRPr="00CD447C">
        <w:t>develop</w:t>
      </w:r>
      <w:r w:rsidR="00991ECE">
        <w:t>ing</w:t>
      </w:r>
      <w:r w:rsidRPr="00CD447C">
        <w:t xml:space="preserve"> an implementation and communications plan around applying the ea</w:t>
      </w:r>
      <w:r w:rsidR="00D46F69">
        <w:t>rly engagement approach</w:t>
      </w:r>
    </w:p>
    <w:p w14:paraId="73F69907" w14:textId="77777777" w:rsidR="003B6A27" w:rsidRDefault="00CD447C" w:rsidP="003B6A27">
      <w:pPr>
        <w:pStyle w:val="ListBullet"/>
      </w:pPr>
      <w:r w:rsidRPr="00CD447C">
        <w:t>consult</w:t>
      </w:r>
      <w:r w:rsidR="00991ECE">
        <w:t>ing</w:t>
      </w:r>
      <w:r w:rsidRPr="00CD447C">
        <w:t xml:space="preserve"> with disability stakeholder</w:t>
      </w:r>
      <w:r w:rsidR="00D46F69">
        <w:t>s about the implementation plan</w:t>
      </w:r>
    </w:p>
    <w:p w14:paraId="56599994" w14:textId="77777777" w:rsidR="003B6A27" w:rsidRDefault="003B6A27" w:rsidP="003B6A27">
      <w:pPr>
        <w:pStyle w:val="Heading3"/>
      </w:pPr>
      <w:r w:rsidRPr="00A77E7E">
        <w:t>Action Plan for Jobless Households</w:t>
      </w:r>
    </w:p>
    <w:p w14:paraId="46659C4E" w14:textId="77777777" w:rsidR="003B6A27" w:rsidRDefault="003B6A27" w:rsidP="003B6A27">
      <w:r w:rsidRPr="00A77E7E">
        <w:t>This action plan sets out to extend activation services to people who are not working but are not defined as unemployed by traditional measures, and would benefit from closer attachment to the labour market</w:t>
      </w:r>
      <w:r w:rsidR="000D3A51">
        <w:t>.</w:t>
      </w:r>
      <w:r w:rsidR="008C05F1">
        <w:rPr>
          <w:rStyle w:val="FootnoteReference"/>
        </w:rPr>
        <w:footnoteReference w:id="43"/>
      </w:r>
      <w:r w:rsidRPr="00A77E7E">
        <w:t xml:space="preserve"> It focuses in particular on improving employment rates of households with children.</w:t>
      </w:r>
      <w:r>
        <w:t xml:space="preserve"> The Action Plan notes that p</w:t>
      </w:r>
      <w:r w:rsidRPr="00166FF3">
        <w:t>eople who identify themselves as unable to work because of disability account for about 56,000 of the working-age population in jobless households</w:t>
      </w:r>
      <w:r>
        <w:t>.</w:t>
      </w:r>
    </w:p>
    <w:p w14:paraId="432A387F" w14:textId="77777777" w:rsidR="003B6A27" w:rsidRDefault="000D3A51" w:rsidP="003B6A27">
      <w:r>
        <w:t>The</w:t>
      </w:r>
      <w:r w:rsidR="003B6A27">
        <w:t xml:space="preserve"> Action Plan refers to the recommendations of the Make Work Pay report and the expansion of Intreo services to cater for </w:t>
      </w:r>
      <w:r w:rsidR="00DA6E35">
        <w:t>persons</w:t>
      </w:r>
      <w:r w:rsidR="00DA6E35" w:rsidRPr="008D7B00">
        <w:t xml:space="preserve"> </w:t>
      </w:r>
      <w:r w:rsidR="003B6A27">
        <w:t>with a disability.</w:t>
      </w:r>
    </w:p>
    <w:p w14:paraId="45C64A03" w14:textId="77777777" w:rsidR="00991ECE" w:rsidRDefault="002758CA" w:rsidP="00C43CCF">
      <w:pPr>
        <w:pStyle w:val="Heading3"/>
      </w:pPr>
      <w:r>
        <w:lastRenderedPageBreak/>
        <w:t>National Skills Strategy 2025</w:t>
      </w:r>
    </w:p>
    <w:p w14:paraId="631221D1" w14:textId="77777777" w:rsidR="002758CA" w:rsidRDefault="002758CA" w:rsidP="002758CA">
      <w:r>
        <w:t xml:space="preserve">The </w:t>
      </w:r>
      <w:r w:rsidRPr="002758CA">
        <w:rPr>
          <w:b/>
        </w:rPr>
        <w:t>National Skills Strategy 2025 – Ireland’s Future</w:t>
      </w:r>
      <w:r>
        <w:t xml:space="preserve"> </w:t>
      </w:r>
      <w:r w:rsidRPr="002758CA">
        <w:t>identifies Ireland’s current skills profile, provides a strategic vision and specific objectives for Ireland’s future skills requirements, and sets out a road map for how the vision and objectives can be achieved.</w:t>
      </w:r>
      <w:r w:rsidR="00851946">
        <w:rPr>
          <w:rStyle w:val="FootnoteReference"/>
        </w:rPr>
        <w:footnoteReference w:id="44"/>
      </w:r>
      <w:r w:rsidR="00E723DE">
        <w:t xml:space="preserve"> The Strategy refers to the high number of </w:t>
      </w:r>
      <w:r w:rsidR="00DA6E35">
        <w:t>persons</w:t>
      </w:r>
      <w:r w:rsidR="00DA6E35" w:rsidRPr="008D7B00">
        <w:t xml:space="preserve"> </w:t>
      </w:r>
      <w:r w:rsidR="00E723DE">
        <w:t>with disabilities who are unemployed and economically inactive, and contains two disability-specific commitments: to implement the National Disability Inclusion Strategy and to p</w:t>
      </w:r>
      <w:r w:rsidR="00E723DE" w:rsidRPr="00E723DE">
        <w:t>hase in supports to enable children with disabilities to fully participate in pre-school care and education</w:t>
      </w:r>
      <w:r w:rsidR="00E723DE">
        <w:t>.</w:t>
      </w:r>
    </w:p>
    <w:p w14:paraId="49A828C4" w14:textId="77777777" w:rsidR="00145EE0" w:rsidRDefault="00145EE0" w:rsidP="00C43CCF">
      <w:pPr>
        <w:pStyle w:val="Heading3"/>
      </w:pPr>
      <w:r w:rsidRPr="00145EE0">
        <w:t>National Social Enterprise Policy for Ireland 2019-2022</w:t>
      </w:r>
      <w:r w:rsidR="00851946">
        <w:rPr>
          <w:rStyle w:val="FootnoteReference"/>
        </w:rPr>
        <w:footnoteReference w:id="45"/>
      </w:r>
    </w:p>
    <w:p w14:paraId="5330B8E0" w14:textId="77777777" w:rsidR="00145EE0" w:rsidRDefault="00145EE0" w:rsidP="00145EE0">
      <w:r w:rsidRPr="00145EE0">
        <w:t xml:space="preserve">The Policy sets out a series of commitments on the part of Government under </w:t>
      </w:r>
      <w:r>
        <w:t>three objectives</w:t>
      </w:r>
      <w:r w:rsidRPr="00145EE0">
        <w:t xml:space="preserve"> to support the development of social enterprise over the period 2019-2022</w:t>
      </w:r>
      <w:r>
        <w:t xml:space="preserve">. </w:t>
      </w:r>
      <w:r w:rsidRPr="00145EE0">
        <w:t>The</w:t>
      </w:r>
      <w:r>
        <w:t>se are as follows</w:t>
      </w:r>
      <w:r w:rsidRPr="00145EE0">
        <w:t xml:space="preserve">: (1) Building Awareness of Social Enterprise; (2) Growing and Strengthening Social Enterprise and (3) Achieving Better Policy Alignment. </w:t>
      </w:r>
      <w:r>
        <w:t>The policy document does not reference persons with a disability.</w:t>
      </w:r>
    </w:p>
    <w:p w14:paraId="0F3142C5" w14:textId="77777777" w:rsidR="00145EE0" w:rsidRDefault="00145EE0" w:rsidP="00C43CCF">
      <w:pPr>
        <w:pStyle w:val="Heading3"/>
      </w:pPr>
      <w:r>
        <w:t>Enterprise Ireland Strategy 2017-2020</w:t>
      </w:r>
    </w:p>
    <w:p w14:paraId="6FDB276D" w14:textId="77777777" w:rsidR="00145EE0" w:rsidRDefault="00B50DB7" w:rsidP="00145EE0">
      <w:r w:rsidRPr="00B50DB7">
        <w:rPr>
          <w:bCs/>
        </w:rPr>
        <w:t>Enterprise Ireland is the agency responsible for the development and growth of Irish enterprises in world markets.</w:t>
      </w:r>
      <w:r w:rsidR="008C05F1">
        <w:rPr>
          <w:rStyle w:val="FootnoteReference"/>
          <w:bCs/>
        </w:rPr>
        <w:footnoteReference w:id="46"/>
      </w:r>
      <w:r>
        <w:rPr>
          <w:b/>
          <w:bCs/>
        </w:rPr>
        <w:t xml:space="preserve"> </w:t>
      </w:r>
      <w:r>
        <w:t>Their 2017-2020</w:t>
      </w:r>
      <w:r w:rsidR="00145EE0" w:rsidRPr="00145EE0">
        <w:t xml:space="preserve"> strategy focuses </w:t>
      </w:r>
      <w:r w:rsidR="00145EE0">
        <w:t>“</w:t>
      </w:r>
      <w:r w:rsidR="00145EE0" w:rsidRPr="00145EE0">
        <w:t>on addressing the need for greater scale across Irish enterprise</w:t>
      </w:r>
      <w:r w:rsidR="00145EE0">
        <w:t>”. It does not ref</w:t>
      </w:r>
      <w:r w:rsidR="008C05F1">
        <w:t>er to persons with a disability, but does commit to i</w:t>
      </w:r>
      <w:r w:rsidR="008C05F1" w:rsidRPr="008C05F1">
        <w:t xml:space="preserve">mplement programmes to support participation in entrepreneurship </w:t>
      </w:r>
      <w:r w:rsidR="008C05F1">
        <w:t>from under-</w:t>
      </w:r>
      <w:r w:rsidR="008C05F1" w:rsidRPr="008C05F1">
        <w:t>represented groups</w:t>
      </w:r>
      <w:r w:rsidR="008C05F1">
        <w:t>.</w:t>
      </w:r>
    </w:p>
    <w:p w14:paraId="458472B7" w14:textId="77777777" w:rsidR="00C43CCF" w:rsidRDefault="008C05F1" w:rsidP="00C43CCF">
      <w:pPr>
        <w:pStyle w:val="Heading3"/>
      </w:pPr>
      <w:r w:rsidRPr="008C05F1">
        <w:lastRenderedPageBreak/>
        <w:t xml:space="preserve">Investment Development Agency </w:t>
      </w:r>
      <w:r>
        <w:t>(</w:t>
      </w:r>
      <w:r w:rsidR="00C43CCF">
        <w:t>IDA</w:t>
      </w:r>
      <w:r>
        <w:t>)</w:t>
      </w:r>
    </w:p>
    <w:p w14:paraId="0531A289" w14:textId="77777777" w:rsidR="00C43CCF" w:rsidRPr="00C43CCF" w:rsidRDefault="00B50DB7" w:rsidP="00C43CCF">
      <w:r w:rsidRPr="00B50DB7">
        <w:rPr>
          <w:bCs/>
        </w:rPr>
        <w:t>IDA</w:t>
      </w:r>
      <w:r w:rsidR="00B8762D">
        <w:t xml:space="preserve"> </w:t>
      </w:r>
      <w:r w:rsidRPr="00B50DB7">
        <w:t>Ireland (Investment Development Agency) is responsible for the attraction and development</w:t>
      </w:r>
      <w:r w:rsidRPr="00B50DB7">
        <w:rPr>
          <w:rFonts w:ascii="Segoe UI" w:hAnsi="Segoe UI" w:cs="Segoe UI"/>
          <w:shd w:val="clear" w:color="auto" w:fill="FFFFFF"/>
        </w:rPr>
        <w:t xml:space="preserve"> </w:t>
      </w:r>
      <w:r w:rsidRPr="00B50DB7">
        <w:t>o</w:t>
      </w:r>
      <w:r>
        <w:t>f foreign investment in Ireland.</w:t>
      </w:r>
      <w:r w:rsidRPr="00B50DB7">
        <w:t> </w:t>
      </w:r>
      <w:r>
        <w:t>The IDA is currently developing its strategy for the period 2020-2024.</w:t>
      </w:r>
    </w:p>
    <w:p w14:paraId="5C352341" w14:textId="77777777" w:rsidR="00DE622D" w:rsidRDefault="00C43CCF" w:rsidP="00C43CCF">
      <w:pPr>
        <w:pStyle w:val="Heading3"/>
      </w:pPr>
      <w:r>
        <w:t xml:space="preserve">Public </w:t>
      </w:r>
      <w:r w:rsidR="00DE622D">
        <w:t>A</w:t>
      </w:r>
      <w:r>
        <w:t xml:space="preserve">ppointments </w:t>
      </w:r>
      <w:r w:rsidR="00DE622D">
        <w:t>S</w:t>
      </w:r>
      <w:r>
        <w:t>ervice Diversity and Inclusion Strategy</w:t>
      </w:r>
    </w:p>
    <w:p w14:paraId="7D966B5F" w14:textId="77777777" w:rsidR="00AA40EF" w:rsidRDefault="00DE622D" w:rsidP="00DE622D">
      <w:r>
        <w:t>The Public Appointments Service</w:t>
      </w:r>
      <w:r w:rsidR="00B50DB7" w:rsidRPr="00B50DB7">
        <w:t xml:space="preserve"> is the centralised provider of recrui</w:t>
      </w:r>
      <w:r w:rsidR="00B8762D">
        <w:t xml:space="preserve">tment, assessment and selection </w:t>
      </w:r>
      <w:r w:rsidR="00B50DB7" w:rsidRPr="00B50DB7">
        <w:rPr>
          <w:bCs/>
        </w:rPr>
        <w:t>services</w:t>
      </w:r>
      <w:r w:rsidR="00B8762D">
        <w:t xml:space="preserve"> for the civil </w:t>
      </w:r>
      <w:r w:rsidR="00B50DB7" w:rsidRPr="00B50DB7">
        <w:rPr>
          <w:bCs/>
        </w:rPr>
        <w:t>service</w:t>
      </w:r>
      <w:r w:rsidR="00B50DB7">
        <w:rPr>
          <w:bCs/>
        </w:rPr>
        <w:t xml:space="preserve"> and</w:t>
      </w:r>
      <w:r>
        <w:t xml:space="preserve"> is currently developing </w:t>
      </w:r>
      <w:r w:rsidR="000D3A51">
        <w:t>its first</w:t>
      </w:r>
      <w:r>
        <w:t xml:space="preserve"> diversity and inclusion strategy following a consultation process.</w:t>
      </w:r>
      <w:r w:rsidR="00AC6B5B">
        <w:t xml:space="preserve"> </w:t>
      </w:r>
      <w:r w:rsidR="00AA40EF">
        <w:t>A</w:t>
      </w:r>
      <w:r w:rsidR="00AA40EF" w:rsidRPr="00AA40EF">
        <w:t xml:space="preserve"> </w:t>
      </w:r>
      <w:r w:rsidR="00470A71">
        <w:t xml:space="preserve">new </w:t>
      </w:r>
      <w:r w:rsidR="00AA40EF" w:rsidRPr="00AA40EF">
        <w:t>Diversity and Inclusion Lead was appointed to the Public Appointments Service in April 2019</w:t>
      </w:r>
      <w:r w:rsidR="00AA40EF">
        <w:t>.</w:t>
      </w:r>
    </w:p>
    <w:p w14:paraId="0EA217E5" w14:textId="77777777" w:rsidR="00B50DB7" w:rsidRPr="00B50DB7" w:rsidRDefault="00B50DB7" w:rsidP="00B50DB7">
      <w:pPr>
        <w:pStyle w:val="Heading3"/>
      </w:pPr>
      <w:r w:rsidRPr="00B50DB7">
        <w:t>National Policy and Strategy for the Provision of Neuro-rehabilita</w:t>
      </w:r>
      <w:r w:rsidR="00AC6B5B">
        <w:t>tion Services in Ireland 2011–</w:t>
      </w:r>
      <w:r w:rsidRPr="00B50DB7">
        <w:t>2015</w:t>
      </w:r>
    </w:p>
    <w:p w14:paraId="7B7B73BF" w14:textId="77777777" w:rsidR="00B46F02" w:rsidRDefault="00B46F02" w:rsidP="00DE622D">
      <w:r>
        <w:t>The</w:t>
      </w:r>
      <w:r w:rsidRPr="00B46F02">
        <w:t xml:space="preserve"> </w:t>
      </w:r>
      <w:r w:rsidRPr="00B46F02">
        <w:rPr>
          <w:b/>
        </w:rPr>
        <w:t>Neuro-Rehabilitation Strategy 2011-2015</w:t>
      </w:r>
      <w:r w:rsidR="008C05F1">
        <w:rPr>
          <w:rStyle w:val="FootnoteReference"/>
          <w:b/>
        </w:rPr>
        <w:footnoteReference w:id="47"/>
      </w:r>
      <w:r w:rsidRPr="00B46F02">
        <w:t xml:space="preserve"> acknowledges the importance of work as a valuable aspect of a person’s </w:t>
      </w:r>
      <w:r w:rsidR="00AC6B5B">
        <w:t>rehabilitation</w:t>
      </w:r>
      <w:r>
        <w:t>.</w:t>
      </w:r>
      <w:r w:rsidR="00AC6B5B" w:rsidRPr="00AC6B5B">
        <w:t xml:space="preserve"> Under the strategy, community neuro-rehabilitation teams will be </w:t>
      </w:r>
      <w:r w:rsidR="00AC6B5B">
        <w:t>formed</w:t>
      </w:r>
      <w:r w:rsidR="00AC6B5B" w:rsidRPr="00AC6B5B">
        <w:t xml:space="preserve"> and </w:t>
      </w:r>
      <w:r w:rsidR="00AC6B5B">
        <w:t>they will develop</w:t>
      </w:r>
      <w:r w:rsidR="00AC6B5B" w:rsidRPr="00AC6B5B">
        <w:t xml:space="preserve"> local area networks comprised of both mainstream agencies</w:t>
      </w:r>
      <w:r w:rsidR="00AC6B5B">
        <w:t xml:space="preserve">, </w:t>
      </w:r>
      <w:r w:rsidR="000D3A51">
        <w:t>for instance</w:t>
      </w:r>
      <w:r w:rsidR="00AC6B5B" w:rsidRPr="00AC6B5B">
        <w:t xml:space="preserve"> </w:t>
      </w:r>
      <w:r w:rsidR="00870A5C">
        <w:t>SOLAS</w:t>
      </w:r>
      <w:r w:rsidR="00AC6B5B">
        <w:t xml:space="preserve"> and</w:t>
      </w:r>
      <w:r w:rsidR="00AC6B5B" w:rsidRPr="00AC6B5B">
        <w:t xml:space="preserve"> Supported Employment Services</w:t>
      </w:r>
      <w:r w:rsidR="00AC6B5B">
        <w:t xml:space="preserve">, </w:t>
      </w:r>
      <w:r w:rsidR="00AC6B5B" w:rsidRPr="00AC6B5B">
        <w:t xml:space="preserve">and job facilitators in the Department of Social Protection in order to coordinate service delivery and service pathways, as well as coordinate vocational </w:t>
      </w:r>
      <w:r w:rsidR="000D3A51">
        <w:t>rehabilitation service delivery.</w:t>
      </w:r>
    </w:p>
    <w:p w14:paraId="4A145222" w14:textId="77777777" w:rsidR="00861CDB" w:rsidRDefault="00D92556" w:rsidP="00861CDB">
      <w:pPr>
        <w:pStyle w:val="Heading1"/>
      </w:pPr>
      <w:bookmarkStart w:id="20" w:name="_Toc65581169"/>
      <w:r>
        <w:t xml:space="preserve">Mainstream &amp; Specialist </w:t>
      </w:r>
      <w:r w:rsidR="00861CDB">
        <w:t>Programmes</w:t>
      </w:r>
      <w:r w:rsidR="00137D55">
        <w:t xml:space="preserve"> and Services</w:t>
      </w:r>
      <w:bookmarkEnd w:id="20"/>
    </w:p>
    <w:p w14:paraId="089FC3FD" w14:textId="77777777" w:rsidR="0088166B" w:rsidRDefault="00D274FD" w:rsidP="0088166B">
      <w:pPr>
        <w:pStyle w:val="Heading2"/>
      </w:pPr>
      <w:bookmarkStart w:id="21" w:name="_Toc65581170"/>
      <w:r>
        <w:t>Mainstream</w:t>
      </w:r>
      <w:r w:rsidR="00BA387C">
        <w:t xml:space="preserve"> employment </w:t>
      </w:r>
      <w:r w:rsidR="00D85DA7">
        <w:t>programmes</w:t>
      </w:r>
      <w:bookmarkEnd w:id="21"/>
    </w:p>
    <w:p w14:paraId="742E6805" w14:textId="77777777" w:rsidR="00AD192A" w:rsidRPr="006E3EE0" w:rsidRDefault="008F6381" w:rsidP="0088166B">
      <w:r>
        <w:rPr>
          <w:lang w:val="en"/>
        </w:rPr>
        <w:t>I</w:t>
      </w:r>
      <w:r w:rsidRPr="008F6381">
        <w:rPr>
          <w:lang w:val="en"/>
        </w:rPr>
        <w:t xml:space="preserve">n 2000, the principle that Government Departments </w:t>
      </w:r>
      <w:r w:rsidR="008F17D6">
        <w:rPr>
          <w:lang w:val="en"/>
        </w:rPr>
        <w:t xml:space="preserve">and agencies </w:t>
      </w:r>
      <w:r w:rsidRPr="008F6381">
        <w:rPr>
          <w:lang w:val="en"/>
        </w:rPr>
        <w:t xml:space="preserve">and public services should encompass </w:t>
      </w:r>
      <w:r w:rsidR="00DA6E35">
        <w:t>persons</w:t>
      </w:r>
      <w:r w:rsidR="00DA6E35" w:rsidRPr="008D7B00">
        <w:t xml:space="preserve"> </w:t>
      </w:r>
      <w:r w:rsidRPr="008F6381">
        <w:rPr>
          <w:lang w:val="en"/>
        </w:rPr>
        <w:t>with disabilities</w:t>
      </w:r>
      <w:r w:rsidR="008F17D6">
        <w:rPr>
          <w:lang w:val="en"/>
        </w:rPr>
        <w:t xml:space="preserve"> in their mainstream service delivery</w:t>
      </w:r>
      <w:r w:rsidRPr="008F6381">
        <w:rPr>
          <w:lang w:val="en"/>
        </w:rPr>
        <w:t xml:space="preserve"> was ad</w:t>
      </w:r>
      <w:r w:rsidR="006E3EE0">
        <w:rPr>
          <w:lang w:val="en"/>
        </w:rPr>
        <w:t xml:space="preserve">opted by Government, and given </w:t>
      </w:r>
      <w:r w:rsidR="00D14F55">
        <w:rPr>
          <w:lang w:val="en"/>
        </w:rPr>
        <w:t>statutory effect by section 26 of</w:t>
      </w:r>
      <w:r w:rsidRPr="008F6381">
        <w:rPr>
          <w:lang w:val="en"/>
        </w:rPr>
        <w:t xml:space="preserve"> the Disability Act 2005.</w:t>
      </w:r>
      <w:r w:rsidR="00BA387C">
        <w:rPr>
          <w:lang w:val="en"/>
        </w:rPr>
        <w:t xml:space="preserve"> </w:t>
      </w:r>
      <w:r w:rsidR="006E3EE0">
        <w:rPr>
          <w:lang w:val="en"/>
        </w:rPr>
        <w:t xml:space="preserve">However, in practice, </w:t>
      </w:r>
      <w:r w:rsidR="00DA6E35">
        <w:t>persons</w:t>
      </w:r>
      <w:r w:rsidR="00DA6E35" w:rsidRPr="008D7B00">
        <w:t xml:space="preserve"> </w:t>
      </w:r>
      <w:r w:rsidR="00BA387C">
        <w:rPr>
          <w:lang w:val="en"/>
        </w:rPr>
        <w:t xml:space="preserve">with disabilities </w:t>
      </w:r>
      <w:r w:rsidR="00FE68F2">
        <w:rPr>
          <w:lang w:val="en"/>
        </w:rPr>
        <w:t xml:space="preserve">seeking employment </w:t>
      </w:r>
      <w:r w:rsidR="00BA387C">
        <w:rPr>
          <w:lang w:val="en"/>
        </w:rPr>
        <w:t xml:space="preserve">are </w:t>
      </w:r>
      <w:r w:rsidR="006E3EE0">
        <w:rPr>
          <w:lang w:val="en"/>
        </w:rPr>
        <w:t>generally referred directly to a</w:t>
      </w:r>
      <w:r w:rsidR="00BA387C">
        <w:rPr>
          <w:lang w:val="en"/>
        </w:rPr>
        <w:t xml:space="preserve"> </w:t>
      </w:r>
      <w:r w:rsidR="00BA387C">
        <w:rPr>
          <w:lang w:val="en"/>
        </w:rPr>
        <w:lastRenderedPageBreak/>
        <w:t xml:space="preserve">specialist employment </w:t>
      </w:r>
      <w:r w:rsidR="006E3EE0">
        <w:rPr>
          <w:lang w:val="en"/>
        </w:rPr>
        <w:t>service</w:t>
      </w:r>
      <w:r w:rsidR="00D14F55">
        <w:rPr>
          <w:lang w:val="en"/>
        </w:rPr>
        <w:t xml:space="preserve"> or </w:t>
      </w:r>
      <w:r w:rsidR="006E3EE0">
        <w:t>programme,</w:t>
      </w:r>
      <w:r w:rsidR="00D14F55">
        <w:rPr>
          <w:lang w:val="en"/>
        </w:rPr>
        <w:t xml:space="preserve"> </w:t>
      </w:r>
      <w:r w:rsidR="00BA387C">
        <w:rPr>
          <w:lang w:val="en"/>
        </w:rPr>
        <w:t>as opposed to</w:t>
      </w:r>
      <w:r w:rsidR="006E3EE0">
        <w:rPr>
          <w:lang w:val="en"/>
        </w:rPr>
        <w:t xml:space="preserve"> being directed to a</w:t>
      </w:r>
      <w:r w:rsidR="00BA387C">
        <w:rPr>
          <w:lang w:val="en"/>
        </w:rPr>
        <w:t xml:space="preserve"> mainstream </w:t>
      </w:r>
      <w:r w:rsidR="006E3EE0">
        <w:rPr>
          <w:lang w:val="en"/>
        </w:rPr>
        <w:t xml:space="preserve">programme in the first instance and provided with </w:t>
      </w:r>
      <w:r w:rsidR="006E3EE0">
        <w:t xml:space="preserve">specialist employment support </w:t>
      </w:r>
      <w:r w:rsidR="00AB003B">
        <w:t>if</w:t>
      </w:r>
      <w:r w:rsidR="006E3EE0">
        <w:t xml:space="preserve"> required</w:t>
      </w:r>
      <w:r w:rsidR="00AD192A" w:rsidRPr="00AD192A">
        <w:t xml:space="preserve">. </w:t>
      </w:r>
    </w:p>
    <w:p w14:paraId="335980FA" w14:textId="77777777" w:rsidR="002C259E" w:rsidRDefault="002C259E" w:rsidP="002C259E">
      <w:pPr>
        <w:pStyle w:val="Heading3"/>
        <w:rPr>
          <w:lang w:val="en"/>
        </w:rPr>
      </w:pPr>
      <w:r>
        <w:rPr>
          <w:lang w:val="en"/>
        </w:rPr>
        <w:t>Intreo</w:t>
      </w:r>
    </w:p>
    <w:p w14:paraId="0BB5C5B9" w14:textId="23CE6909" w:rsidR="002C259E" w:rsidRPr="002C259E" w:rsidRDefault="00B8762D" w:rsidP="002C259E">
      <w:r>
        <w:t xml:space="preserve">Intreo is a service from the </w:t>
      </w:r>
      <w:r w:rsidR="002C259E" w:rsidRPr="002C259E">
        <w:t>Department of Employmen</w:t>
      </w:r>
      <w:r>
        <w:t xml:space="preserve">t Affairs and Social Protection </w:t>
      </w:r>
      <w:r w:rsidR="002C259E" w:rsidRPr="002C259E">
        <w:t xml:space="preserve">that provides a single point of contact for all employment and income supports. </w:t>
      </w:r>
      <w:r w:rsidR="00DA6E35">
        <w:t>Persons</w:t>
      </w:r>
      <w:r w:rsidR="00DA6E35" w:rsidRPr="008D7B00">
        <w:t xml:space="preserve"> </w:t>
      </w:r>
      <w:r w:rsidR="002C259E" w:rsidRPr="002C259E">
        <w:t>with disabilities who present at an Intreo Centre are offered an interview by a case officer who will agree suitable action plans with the individual and record the action plan for the person on the case management system. This service is being pr</w:t>
      </w:r>
      <w:r w:rsidR="00AB003B">
        <w:t>ovided across 60 Intreo Centres</w:t>
      </w:r>
      <w:r w:rsidR="00531FA0">
        <w:t>,</w:t>
      </w:r>
      <w:r w:rsidR="00AB003B">
        <w:rPr>
          <w:rStyle w:val="FootnoteReference"/>
        </w:rPr>
        <w:footnoteReference w:id="48"/>
      </w:r>
      <w:r w:rsidR="00531FA0">
        <w:t xml:space="preserve"> </w:t>
      </w:r>
      <w:r w:rsidR="00531FA0" w:rsidRPr="00531FA0">
        <w:t>with latest data indicating that there are 75 Intreo Centres nationwide</w:t>
      </w:r>
      <w:r w:rsidR="006C6827">
        <w:t>.</w:t>
      </w:r>
    </w:p>
    <w:p w14:paraId="576F07F2" w14:textId="77777777" w:rsidR="002C259E" w:rsidRDefault="002C259E" w:rsidP="002C259E">
      <w:r w:rsidRPr="002C259E">
        <w:t xml:space="preserve">The NDA </w:t>
      </w:r>
      <w:r w:rsidR="00F868FB">
        <w:t>recognises</w:t>
      </w:r>
      <w:r w:rsidRPr="002C259E">
        <w:t xml:space="preserve"> the progress achieved by the Department in engaging with persons with disabilities who are unemployed, including the provision of training to Intreo case officers to enable them respond to the needs of clients with disabilities. The NDA would welcome further work to expand the numbers of Intreo case officers who have this capacity, noting that some concerns have been articulated regarding experiences of some persons with disab</w:t>
      </w:r>
      <w:r w:rsidR="00AB003B">
        <w:t>ilities in local Intreo offices.</w:t>
      </w:r>
      <w:r w:rsidR="00AB003B">
        <w:rPr>
          <w:rStyle w:val="FootnoteReference"/>
        </w:rPr>
        <w:footnoteReference w:id="49"/>
      </w:r>
    </w:p>
    <w:p w14:paraId="5990C287" w14:textId="77777777" w:rsidR="00F9485E" w:rsidRPr="002C259E" w:rsidRDefault="00F9485E" w:rsidP="002C259E">
      <w:r>
        <w:t>The Department of Employment Affairs and Social Protection</w:t>
      </w:r>
      <w:r w:rsidRPr="00F9485E">
        <w:t xml:space="preserve"> use</w:t>
      </w:r>
      <w:r>
        <w:t>s</w:t>
      </w:r>
      <w:r w:rsidRPr="00F9485E">
        <w:t xml:space="preserve"> a number of contracted models to procure public employment services to supplement the service provided directly by case officers as </w:t>
      </w:r>
      <w:r>
        <w:t>part of Intreo, including l</w:t>
      </w:r>
      <w:r w:rsidRPr="00F9485E">
        <w:t>ocal employment services, job clubs and JobPath</w:t>
      </w:r>
      <w:r>
        <w:t xml:space="preserve"> providers</w:t>
      </w:r>
      <w:r w:rsidR="00B8762D">
        <w:t xml:space="preserve">. </w:t>
      </w:r>
      <w:r>
        <w:t xml:space="preserve">While </w:t>
      </w:r>
      <w:r w:rsidR="00DA6E35">
        <w:t>persons</w:t>
      </w:r>
      <w:r w:rsidR="00DA6E35" w:rsidRPr="008D7B00">
        <w:t xml:space="preserve"> </w:t>
      </w:r>
      <w:r>
        <w:t>with disabilities do avail of these schemes, it is unclear to what extent.</w:t>
      </w:r>
      <w:r w:rsidR="00104DD9">
        <w:t xml:space="preserve"> The NDA advises that this is an area which may require further exploration. </w:t>
      </w:r>
    </w:p>
    <w:p w14:paraId="2183994D" w14:textId="77777777" w:rsidR="00861CDB" w:rsidRDefault="00861CDB" w:rsidP="00861CDB">
      <w:pPr>
        <w:pStyle w:val="Heading2"/>
      </w:pPr>
      <w:bookmarkStart w:id="22" w:name="_Toc65581171"/>
      <w:r>
        <w:lastRenderedPageBreak/>
        <w:t>EmployAbility programme</w:t>
      </w:r>
      <w:bookmarkEnd w:id="22"/>
    </w:p>
    <w:p w14:paraId="509CD3CC" w14:textId="77777777" w:rsidR="00861CDB" w:rsidRDefault="00861CDB" w:rsidP="00861CDB">
      <w:r w:rsidRPr="00DB6296">
        <w:t xml:space="preserve">The EmployAbility programme is a national employment service dedicated to improving employment outcomes for job seekers with a disability. EmployAbility participants are </w:t>
      </w:r>
      <w:r w:rsidR="00DA6E35">
        <w:t>persons</w:t>
      </w:r>
      <w:r w:rsidR="00DA6E35" w:rsidRPr="008D7B00">
        <w:t xml:space="preserve"> </w:t>
      </w:r>
      <w:r w:rsidRPr="00DB6296">
        <w:t>with a disability, who are</w:t>
      </w:r>
      <w:r>
        <w:t xml:space="preserve"> “job ready”, who are</w:t>
      </w:r>
      <w:r w:rsidRPr="00DB6296">
        <w:t xml:space="preserve"> able to work a minimum of 8 hours per week and who need the support of a job coach to obtain employment in the open labour market.</w:t>
      </w:r>
      <w:r w:rsidRPr="0061301C">
        <w:t xml:space="preserve"> The service is not suitable for those that have limited ability or skills.</w:t>
      </w:r>
      <w:r w:rsidRPr="00DB6296">
        <w:t xml:space="preserve"> The duration of the service is 18 months. </w:t>
      </w:r>
    </w:p>
    <w:p w14:paraId="2B76151F" w14:textId="77777777" w:rsidR="00861CDB" w:rsidRDefault="00861CDB" w:rsidP="00861CDB">
      <w:r>
        <w:t>€9.8</w:t>
      </w:r>
      <w:r w:rsidRPr="00DB6296">
        <w:t xml:space="preserve"> million</w:t>
      </w:r>
      <w:r>
        <w:t xml:space="preserve"> was allocated</w:t>
      </w:r>
      <w:r w:rsidRPr="00DB6296">
        <w:t xml:space="preserve"> to run the service</w:t>
      </w:r>
      <w:r>
        <w:t xml:space="preserve"> in 2018</w:t>
      </w:r>
      <w:r w:rsidRPr="00DB6296">
        <w:t>.</w:t>
      </w:r>
      <w:r>
        <w:t xml:space="preserve"> </w:t>
      </w:r>
      <w:r w:rsidRPr="00736905">
        <w:t>Service contracts have been entered into with 24 organisations around the state, servicing some 3000 clients</w:t>
      </w:r>
      <w:r w:rsidR="00B8762D">
        <w:t xml:space="preserve"> (Table 9)</w:t>
      </w:r>
      <w:r w:rsidRPr="00736905">
        <w:t>.</w:t>
      </w:r>
      <w:r w:rsidRPr="009A2F7D">
        <w:rPr>
          <w:sz w:val="22"/>
          <w:szCs w:val="22"/>
          <w:vertAlign w:val="superscript"/>
        </w:rPr>
        <w:footnoteReference w:id="50"/>
      </w:r>
      <w:r>
        <w:t xml:space="preserve"> </w:t>
      </w:r>
      <w:r w:rsidR="009A2F7D">
        <w:t>The service seeks to maintain a caseload client to job coach ratio of 1:25.</w:t>
      </w:r>
      <w:r w:rsidR="009A2F7D">
        <w:rPr>
          <w:rStyle w:val="FootnoteReference"/>
        </w:rPr>
        <w:footnoteReference w:id="51"/>
      </w:r>
      <w:r w:rsidR="00C20C6C">
        <w:t xml:space="preserve"> Table 9 also presents the number of people who exit EmployAbility into employment each year. </w:t>
      </w:r>
    </w:p>
    <w:p w14:paraId="6C152232" w14:textId="77777777" w:rsidR="00861CDB" w:rsidRDefault="00B8762D" w:rsidP="00861CDB">
      <w:pPr>
        <w:pStyle w:val="TableTitle"/>
      </w:pPr>
      <w:r>
        <w:t xml:space="preserve">Table 9: </w:t>
      </w:r>
      <w:r w:rsidR="00861CDB">
        <w:t>Number of people availing of EmployAbility services</w:t>
      </w:r>
      <w:r w:rsidR="00C20C6C">
        <w:t xml:space="preserve"> and exiting into employment by year</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9: Number of people availing of EmployAbility services and exiting into employment by year"/>
        <w:tblDescription w:val="Table showing the number of people availing of EmployAbility services and exiting into employment by year"/>
      </w:tblPr>
      <w:tblGrid>
        <w:gridCol w:w="1418"/>
        <w:gridCol w:w="2693"/>
        <w:gridCol w:w="4372"/>
      </w:tblGrid>
      <w:tr w:rsidR="00C20C6C" w:rsidRPr="00867A05" w14:paraId="73E2730A" w14:textId="77777777" w:rsidTr="00867A05">
        <w:trPr>
          <w:tblHeader/>
        </w:trPr>
        <w:tc>
          <w:tcPr>
            <w:tcW w:w="1418" w:type="dxa"/>
            <w:shd w:val="clear" w:color="auto" w:fill="auto"/>
          </w:tcPr>
          <w:p w14:paraId="01CDD380" w14:textId="77777777" w:rsidR="00C20C6C" w:rsidRPr="00867A05" w:rsidRDefault="00C20C6C" w:rsidP="00C23D2D">
            <w:pPr>
              <w:pStyle w:val="TableHead"/>
            </w:pPr>
            <w:r w:rsidRPr="00867A05">
              <w:t>Year</w:t>
            </w:r>
          </w:p>
        </w:tc>
        <w:tc>
          <w:tcPr>
            <w:tcW w:w="2693" w:type="dxa"/>
            <w:shd w:val="clear" w:color="auto" w:fill="auto"/>
          </w:tcPr>
          <w:p w14:paraId="50378860" w14:textId="77777777" w:rsidR="00C20C6C" w:rsidRPr="00867A05" w:rsidRDefault="00C20C6C" w:rsidP="00C23D2D">
            <w:pPr>
              <w:pStyle w:val="TableHead"/>
            </w:pPr>
            <w:r w:rsidRPr="00867A05">
              <w:t>Number of people using service</w:t>
            </w:r>
          </w:p>
        </w:tc>
        <w:tc>
          <w:tcPr>
            <w:tcW w:w="4372" w:type="dxa"/>
          </w:tcPr>
          <w:p w14:paraId="7D77B187" w14:textId="77777777" w:rsidR="00C20C6C" w:rsidRPr="00867A05" w:rsidRDefault="00C20C6C" w:rsidP="00C23D2D">
            <w:pPr>
              <w:pStyle w:val="TableHead"/>
            </w:pPr>
            <w:r w:rsidRPr="00867A05">
              <w:t>Number of persons exiting into employment</w:t>
            </w:r>
          </w:p>
        </w:tc>
      </w:tr>
      <w:tr w:rsidR="00C20C6C" w:rsidRPr="00867A05" w14:paraId="0AEF379A" w14:textId="77777777" w:rsidTr="00867A05">
        <w:tc>
          <w:tcPr>
            <w:tcW w:w="1418" w:type="dxa"/>
            <w:shd w:val="clear" w:color="auto" w:fill="auto"/>
          </w:tcPr>
          <w:p w14:paraId="51642F28" w14:textId="77777777" w:rsidR="00C20C6C" w:rsidRPr="00867A05" w:rsidRDefault="00C20C6C" w:rsidP="00C20C6C">
            <w:pPr>
              <w:pStyle w:val="TableRowHead"/>
              <w:rPr>
                <w:rFonts w:ascii="Gill Sans MT" w:hAnsi="Gill Sans MT"/>
              </w:rPr>
            </w:pPr>
            <w:r w:rsidRPr="00867A05">
              <w:rPr>
                <w:rFonts w:ascii="Gill Sans MT" w:hAnsi="Gill Sans MT"/>
              </w:rPr>
              <w:t>2010</w:t>
            </w:r>
          </w:p>
        </w:tc>
        <w:tc>
          <w:tcPr>
            <w:tcW w:w="2693" w:type="dxa"/>
            <w:shd w:val="clear" w:color="auto" w:fill="auto"/>
          </w:tcPr>
          <w:p w14:paraId="0B71FA5C" w14:textId="77777777" w:rsidR="00C20C6C" w:rsidRPr="00867A05" w:rsidRDefault="00C20C6C" w:rsidP="00C20C6C">
            <w:pPr>
              <w:pStyle w:val="TableCell"/>
              <w:jc w:val="right"/>
            </w:pPr>
            <w:r w:rsidRPr="00867A05">
              <w:t>2,704</w:t>
            </w:r>
          </w:p>
        </w:tc>
        <w:tc>
          <w:tcPr>
            <w:tcW w:w="4372" w:type="dxa"/>
          </w:tcPr>
          <w:p w14:paraId="2E9E5352" w14:textId="77777777" w:rsidR="00C20C6C" w:rsidRPr="00867A05" w:rsidRDefault="00C20C6C" w:rsidP="00C20C6C">
            <w:pPr>
              <w:pStyle w:val="TableCell"/>
              <w:jc w:val="right"/>
            </w:pPr>
            <w:r w:rsidRPr="00867A05">
              <w:t>326</w:t>
            </w:r>
          </w:p>
        </w:tc>
      </w:tr>
      <w:tr w:rsidR="00C20C6C" w:rsidRPr="00867A05" w14:paraId="7DC15390" w14:textId="77777777" w:rsidTr="00867A05">
        <w:tc>
          <w:tcPr>
            <w:tcW w:w="1418" w:type="dxa"/>
            <w:shd w:val="clear" w:color="auto" w:fill="auto"/>
          </w:tcPr>
          <w:p w14:paraId="1634B503" w14:textId="77777777" w:rsidR="00C20C6C" w:rsidRPr="00867A05" w:rsidRDefault="00C20C6C" w:rsidP="00C20C6C">
            <w:pPr>
              <w:pStyle w:val="TableRowHead"/>
              <w:rPr>
                <w:rFonts w:ascii="Gill Sans MT" w:hAnsi="Gill Sans MT"/>
              </w:rPr>
            </w:pPr>
            <w:r w:rsidRPr="00867A05">
              <w:rPr>
                <w:rFonts w:ascii="Gill Sans MT" w:hAnsi="Gill Sans MT"/>
              </w:rPr>
              <w:t>2011</w:t>
            </w:r>
          </w:p>
        </w:tc>
        <w:tc>
          <w:tcPr>
            <w:tcW w:w="2693" w:type="dxa"/>
            <w:shd w:val="clear" w:color="auto" w:fill="auto"/>
          </w:tcPr>
          <w:p w14:paraId="7F10F20D" w14:textId="77777777" w:rsidR="00C20C6C" w:rsidRPr="00867A05" w:rsidRDefault="00C20C6C" w:rsidP="00C20C6C">
            <w:pPr>
              <w:pStyle w:val="TableCell"/>
              <w:jc w:val="right"/>
            </w:pPr>
            <w:r w:rsidRPr="00867A05">
              <w:t>2,903</w:t>
            </w:r>
          </w:p>
        </w:tc>
        <w:tc>
          <w:tcPr>
            <w:tcW w:w="4372" w:type="dxa"/>
          </w:tcPr>
          <w:p w14:paraId="4822E53E" w14:textId="77777777" w:rsidR="00C20C6C" w:rsidRPr="00867A05" w:rsidRDefault="00C20C6C" w:rsidP="00C20C6C">
            <w:pPr>
              <w:pStyle w:val="TableCell"/>
              <w:jc w:val="right"/>
            </w:pPr>
            <w:r w:rsidRPr="00867A05">
              <w:t>379</w:t>
            </w:r>
          </w:p>
        </w:tc>
      </w:tr>
      <w:tr w:rsidR="00C20C6C" w:rsidRPr="00867A05" w14:paraId="641EED7E" w14:textId="77777777" w:rsidTr="00867A05">
        <w:tc>
          <w:tcPr>
            <w:tcW w:w="1418" w:type="dxa"/>
            <w:shd w:val="clear" w:color="auto" w:fill="auto"/>
          </w:tcPr>
          <w:p w14:paraId="7CAFA58F" w14:textId="77777777" w:rsidR="00C20C6C" w:rsidRPr="00867A05" w:rsidRDefault="00C20C6C" w:rsidP="00C20C6C">
            <w:pPr>
              <w:pStyle w:val="TableRowHead"/>
              <w:rPr>
                <w:rFonts w:ascii="Gill Sans MT" w:hAnsi="Gill Sans MT"/>
              </w:rPr>
            </w:pPr>
            <w:r w:rsidRPr="00867A05">
              <w:rPr>
                <w:rFonts w:ascii="Gill Sans MT" w:hAnsi="Gill Sans MT"/>
              </w:rPr>
              <w:t>2012</w:t>
            </w:r>
          </w:p>
        </w:tc>
        <w:tc>
          <w:tcPr>
            <w:tcW w:w="2693" w:type="dxa"/>
            <w:shd w:val="clear" w:color="auto" w:fill="auto"/>
          </w:tcPr>
          <w:p w14:paraId="796F4EAA" w14:textId="77777777" w:rsidR="00C20C6C" w:rsidRPr="00867A05" w:rsidRDefault="00C20C6C" w:rsidP="00C20C6C">
            <w:pPr>
              <w:pStyle w:val="TableCell"/>
              <w:jc w:val="right"/>
            </w:pPr>
            <w:r w:rsidRPr="00867A05">
              <w:t>2,762</w:t>
            </w:r>
          </w:p>
        </w:tc>
        <w:tc>
          <w:tcPr>
            <w:tcW w:w="4372" w:type="dxa"/>
          </w:tcPr>
          <w:p w14:paraId="3E29C95E" w14:textId="77777777" w:rsidR="00C20C6C" w:rsidRPr="00867A05" w:rsidRDefault="00C20C6C" w:rsidP="00C20C6C">
            <w:pPr>
              <w:pStyle w:val="TableCell"/>
              <w:jc w:val="right"/>
            </w:pPr>
            <w:r w:rsidRPr="00867A05">
              <w:t>631</w:t>
            </w:r>
          </w:p>
        </w:tc>
      </w:tr>
      <w:tr w:rsidR="00C20C6C" w:rsidRPr="00867A05" w14:paraId="1177FB5A" w14:textId="77777777" w:rsidTr="00867A05">
        <w:tc>
          <w:tcPr>
            <w:tcW w:w="1418" w:type="dxa"/>
            <w:shd w:val="clear" w:color="auto" w:fill="auto"/>
          </w:tcPr>
          <w:p w14:paraId="1189EC85" w14:textId="77777777" w:rsidR="00C20C6C" w:rsidRPr="00867A05" w:rsidRDefault="00C20C6C" w:rsidP="00C20C6C">
            <w:pPr>
              <w:pStyle w:val="TableRowHead"/>
              <w:rPr>
                <w:rFonts w:ascii="Gill Sans MT" w:hAnsi="Gill Sans MT"/>
              </w:rPr>
            </w:pPr>
            <w:r w:rsidRPr="00867A05">
              <w:rPr>
                <w:rFonts w:ascii="Gill Sans MT" w:hAnsi="Gill Sans MT"/>
              </w:rPr>
              <w:t>2013</w:t>
            </w:r>
          </w:p>
        </w:tc>
        <w:tc>
          <w:tcPr>
            <w:tcW w:w="2693" w:type="dxa"/>
            <w:shd w:val="clear" w:color="auto" w:fill="auto"/>
          </w:tcPr>
          <w:p w14:paraId="73435373" w14:textId="77777777" w:rsidR="00C20C6C" w:rsidRPr="00867A05" w:rsidRDefault="00C20C6C" w:rsidP="00C20C6C">
            <w:pPr>
              <w:pStyle w:val="TableCell"/>
              <w:jc w:val="right"/>
            </w:pPr>
            <w:r w:rsidRPr="00867A05">
              <w:t>2,862</w:t>
            </w:r>
          </w:p>
        </w:tc>
        <w:tc>
          <w:tcPr>
            <w:tcW w:w="4372" w:type="dxa"/>
          </w:tcPr>
          <w:p w14:paraId="78E55843" w14:textId="77777777" w:rsidR="00C20C6C" w:rsidRPr="00867A05" w:rsidRDefault="00C20C6C" w:rsidP="00C20C6C">
            <w:pPr>
              <w:pStyle w:val="TableCell"/>
              <w:jc w:val="right"/>
            </w:pPr>
            <w:r w:rsidRPr="00867A05">
              <w:t>686</w:t>
            </w:r>
          </w:p>
        </w:tc>
      </w:tr>
      <w:tr w:rsidR="00C20C6C" w:rsidRPr="00867A05" w14:paraId="522FDBF5" w14:textId="77777777" w:rsidTr="00867A05">
        <w:tc>
          <w:tcPr>
            <w:tcW w:w="1418" w:type="dxa"/>
            <w:shd w:val="clear" w:color="auto" w:fill="auto"/>
          </w:tcPr>
          <w:p w14:paraId="42F26CA9" w14:textId="77777777" w:rsidR="00C20C6C" w:rsidRPr="00867A05" w:rsidRDefault="00C20C6C" w:rsidP="00C20C6C">
            <w:pPr>
              <w:pStyle w:val="TableRowHead"/>
              <w:rPr>
                <w:rFonts w:ascii="Gill Sans MT" w:hAnsi="Gill Sans MT"/>
              </w:rPr>
            </w:pPr>
            <w:r w:rsidRPr="00867A05">
              <w:rPr>
                <w:rFonts w:ascii="Gill Sans MT" w:hAnsi="Gill Sans MT"/>
              </w:rPr>
              <w:t>2014</w:t>
            </w:r>
          </w:p>
        </w:tc>
        <w:tc>
          <w:tcPr>
            <w:tcW w:w="2693" w:type="dxa"/>
            <w:shd w:val="clear" w:color="auto" w:fill="auto"/>
          </w:tcPr>
          <w:p w14:paraId="693F5560" w14:textId="77777777" w:rsidR="00C20C6C" w:rsidRPr="00867A05" w:rsidRDefault="00C20C6C" w:rsidP="00C20C6C">
            <w:pPr>
              <w:pStyle w:val="TableCell"/>
              <w:jc w:val="right"/>
            </w:pPr>
            <w:r w:rsidRPr="00867A05">
              <w:t>2,936</w:t>
            </w:r>
          </w:p>
        </w:tc>
        <w:tc>
          <w:tcPr>
            <w:tcW w:w="4372" w:type="dxa"/>
          </w:tcPr>
          <w:p w14:paraId="3DBB36BE" w14:textId="77777777" w:rsidR="00C20C6C" w:rsidRPr="00867A05" w:rsidRDefault="00C20C6C" w:rsidP="00C20C6C">
            <w:pPr>
              <w:pStyle w:val="TableCell"/>
              <w:jc w:val="right"/>
            </w:pPr>
            <w:r w:rsidRPr="00867A05">
              <w:t>891</w:t>
            </w:r>
          </w:p>
        </w:tc>
      </w:tr>
      <w:tr w:rsidR="00C20C6C" w:rsidRPr="00867A05" w14:paraId="0C36262D" w14:textId="77777777" w:rsidTr="00867A05">
        <w:tc>
          <w:tcPr>
            <w:tcW w:w="1418" w:type="dxa"/>
            <w:shd w:val="clear" w:color="auto" w:fill="auto"/>
          </w:tcPr>
          <w:p w14:paraId="1116240B" w14:textId="77777777" w:rsidR="00C20C6C" w:rsidRPr="00867A05" w:rsidRDefault="00C20C6C" w:rsidP="00C20C6C">
            <w:pPr>
              <w:pStyle w:val="TableRowHead"/>
              <w:rPr>
                <w:rFonts w:ascii="Gill Sans MT" w:hAnsi="Gill Sans MT"/>
              </w:rPr>
            </w:pPr>
            <w:r w:rsidRPr="00867A05">
              <w:rPr>
                <w:rFonts w:ascii="Gill Sans MT" w:hAnsi="Gill Sans MT"/>
              </w:rPr>
              <w:t>2015</w:t>
            </w:r>
          </w:p>
        </w:tc>
        <w:tc>
          <w:tcPr>
            <w:tcW w:w="2693" w:type="dxa"/>
            <w:shd w:val="clear" w:color="auto" w:fill="auto"/>
          </w:tcPr>
          <w:p w14:paraId="19716BE7" w14:textId="77777777" w:rsidR="00C20C6C" w:rsidRPr="00867A05" w:rsidRDefault="00C20C6C" w:rsidP="00C20C6C">
            <w:pPr>
              <w:pStyle w:val="TableCell"/>
              <w:jc w:val="right"/>
            </w:pPr>
            <w:r w:rsidRPr="00867A05">
              <w:t>3,000</w:t>
            </w:r>
          </w:p>
        </w:tc>
        <w:tc>
          <w:tcPr>
            <w:tcW w:w="4372" w:type="dxa"/>
          </w:tcPr>
          <w:p w14:paraId="2F452F59" w14:textId="77777777" w:rsidR="00C20C6C" w:rsidRPr="00867A05" w:rsidRDefault="00C20C6C" w:rsidP="00C20C6C">
            <w:pPr>
              <w:pStyle w:val="TableCell"/>
              <w:jc w:val="right"/>
            </w:pPr>
            <w:r w:rsidRPr="00867A05">
              <w:t>Not available</w:t>
            </w:r>
          </w:p>
        </w:tc>
      </w:tr>
      <w:tr w:rsidR="00C20C6C" w:rsidRPr="00867A05" w14:paraId="040245D3" w14:textId="77777777" w:rsidTr="00867A05">
        <w:tc>
          <w:tcPr>
            <w:tcW w:w="1418" w:type="dxa"/>
            <w:shd w:val="clear" w:color="auto" w:fill="auto"/>
          </w:tcPr>
          <w:p w14:paraId="146352B5" w14:textId="77777777" w:rsidR="00C20C6C" w:rsidRPr="00867A05" w:rsidRDefault="00C20C6C" w:rsidP="00C20C6C">
            <w:pPr>
              <w:pStyle w:val="TableRowHead"/>
              <w:rPr>
                <w:rFonts w:ascii="Gill Sans MT" w:hAnsi="Gill Sans MT"/>
              </w:rPr>
            </w:pPr>
            <w:r w:rsidRPr="00867A05">
              <w:rPr>
                <w:rFonts w:ascii="Gill Sans MT" w:hAnsi="Gill Sans MT"/>
              </w:rPr>
              <w:t>2016</w:t>
            </w:r>
          </w:p>
        </w:tc>
        <w:tc>
          <w:tcPr>
            <w:tcW w:w="2693" w:type="dxa"/>
            <w:shd w:val="clear" w:color="auto" w:fill="auto"/>
          </w:tcPr>
          <w:p w14:paraId="4168B2BC" w14:textId="77777777" w:rsidR="00C20C6C" w:rsidRPr="00867A05" w:rsidRDefault="00C20C6C" w:rsidP="00C20C6C">
            <w:pPr>
              <w:pStyle w:val="TableCell"/>
              <w:jc w:val="right"/>
            </w:pPr>
            <w:r w:rsidRPr="00867A05">
              <w:t>3,095</w:t>
            </w:r>
          </w:p>
        </w:tc>
        <w:tc>
          <w:tcPr>
            <w:tcW w:w="4372" w:type="dxa"/>
          </w:tcPr>
          <w:p w14:paraId="689DACFD" w14:textId="77777777" w:rsidR="00C20C6C" w:rsidRPr="00867A05" w:rsidRDefault="00C20C6C" w:rsidP="00C20C6C">
            <w:pPr>
              <w:pStyle w:val="TableCell"/>
              <w:jc w:val="right"/>
            </w:pPr>
            <w:r w:rsidRPr="00867A05">
              <w:t>920</w:t>
            </w:r>
          </w:p>
        </w:tc>
      </w:tr>
      <w:tr w:rsidR="00C20C6C" w:rsidRPr="00867A05" w14:paraId="3EB4BF56" w14:textId="77777777" w:rsidTr="00867A05">
        <w:tc>
          <w:tcPr>
            <w:tcW w:w="1418" w:type="dxa"/>
            <w:shd w:val="clear" w:color="auto" w:fill="auto"/>
          </w:tcPr>
          <w:p w14:paraId="663D4FF2" w14:textId="77777777" w:rsidR="00C20C6C" w:rsidRPr="00867A05" w:rsidRDefault="00C20C6C" w:rsidP="00C20C6C">
            <w:pPr>
              <w:pStyle w:val="TableRowHead"/>
              <w:rPr>
                <w:rFonts w:ascii="Gill Sans MT" w:hAnsi="Gill Sans MT"/>
              </w:rPr>
            </w:pPr>
            <w:r w:rsidRPr="00867A05">
              <w:rPr>
                <w:rFonts w:ascii="Gill Sans MT" w:hAnsi="Gill Sans MT"/>
              </w:rPr>
              <w:lastRenderedPageBreak/>
              <w:t>2017</w:t>
            </w:r>
          </w:p>
        </w:tc>
        <w:tc>
          <w:tcPr>
            <w:tcW w:w="2693" w:type="dxa"/>
            <w:shd w:val="clear" w:color="auto" w:fill="auto"/>
          </w:tcPr>
          <w:p w14:paraId="5930DBC4" w14:textId="77777777" w:rsidR="00C20C6C" w:rsidRPr="00867A05" w:rsidRDefault="00C20C6C" w:rsidP="00C20C6C">
            <w:pPr>
              <w:pStyle w:val="TableCell"/>
              <w:jc w:val="right"/>
            </w:pPr>
            <w:r w:rsidRPr="00867A05">
              <w:t>2,994</w:t>
            </w:r>
          </w:p>
        </w:tc>
        <w:tc>
          <w:tcPr>
            <w:tcW w:w="4372" w:type="dxa"/>
          </w:tcPr>
          <w:p w14:paraId="426BDAC6" w14:textId="77777777" w:rsidR="00C20C6C" w:rsidRPr="00867A05" w:rsidRDefault="00C20C6C" w:rsidP="00C20C6C">
            <w:pPr>
              <w:pStyle w:val="TableCell"/>
              <w:jc w:val="right"/>
            </w:pPr>
            <w:r w:rsidRPr="00867A05">
              <w:t>1,027</w:t>
            </w:r>
          </w:p>
        </w:tc>
      </w:tr>
    </w:tbl>
    <w:p w14:paraId="371D252D" w14:textId="77777777" w:rsidR="00861CDB" w:rsidRDefault="00861CDB" w:rsidP="00861CDB">
      <w:pPr>
        <w:pStyle w:val="TableNote"/>
      </w:pPr>
      <w:r>
        <w:t xml:space="preserve">Source: </w:t>
      </w:r>
      <w:r w:rsidR="004E6EBA" w:rsidRPr="004E6EBA">
        <w:t xml:space="preserve">Minister of State at the Department of Employment Affairs and Social Protection, the Department of Justice and Equality and the Department of Health with special responsibility for Disability Issues, Finian McGrath TD, </w:t>
      </w:r>
      <w:r w:rsidR="004E6EBA" w:rsidRPr="004E6EBA">
        <w:rPr>
          <w:b/>
        </w:rPr>
        <w:t>Parliamentary Question, 10 May 2018, 20678/18.</w:t>
      </w:r>
    </w:p>
    <w:p w14:paraId="74280E81" w14:textId="77777777" w:rsidR="00861CDB" w:rsidRDefault="00861CDB" w:rsidP="00861CDB">
      <w:r>
        <w:t>An independent review of the EmployAbility service by Indecon consultants was published in 2016.</w:t>
      </w:r>
      <w:r>
        <w:rPr>
          <w:rStyle w:val="FootnoteReference"/>
        </w:rPr>
        <w:footnoteReference w:id="52"/>
      </w:r>
      <w:r w:rsidRPr="006E2248">
        <w:t xml:space="preserve"> </w:t>
      </w:r>
      <w:r>
        <w:t>The Indecon review found that when allowance was made for clients who dropped out or did not otherwise complete the programme (due to factors including ill health), 46.9% of clients exited the programme while in employment</w:t>
      </w:r>
      <w:r w:rsidR="008556A2">
        <w:t>,</w:t>
      </w:r>
      <w:r>
        <w:t xml:space="preserve"> and 83.3% of total exits to employment were</w:t>
      </w:r>
      <w:r w:rsidR="00F94E9C">
        <w:t xml:space="preserve"> still</w:t>
      </w:r>
      <w:r>
        <w:t xml:space="preserve"> in employment six months after ending of support from the service</w:t>
      </w:r>
      <w:r w:rsidR="008556A2">
        <w:t xml:space="preserve"> (equating to 28% of total exits)</w:t>
      </w:r>
      <w:r>
        <w:t>.</w:t>
      </w:r>
      <w:r w:rsidR="00C20C6C">
        <w:t xml:space="preserve"> </w:t>
      </w:r>
    </w:p>
    <w:p w14:paraId="3FC15EED" w14:textId="77777777" w:rsidR="00861CDB" w:rsidRDefault="00861CDB" w:rsidP="00861CDB">
      <w:r>
        <w:t>Some of the key</w:t>
      </w:r>
      <w:r w:rsidRPr="006E2248">
        <w:t xml:space="preserve"> conclusions from the evaluation </w:t>
      </w:r>
      <w:r>
        <w:t xml:space="preserve">were as follows: </w:t>
      </w:r>
    </w:p>
    <w:p w14:paraId="786391DF" w14:textId="77777777" w:rsidR="00861CDB" w:rsidRDefault="00861CDB" w:rsidP="00861CDB">
      <w:pPr>
        <w:pStyle w:val="ListBullet"/>
      </w:pPr>
      <w:r w:rsidRPr="006E2248">
        <w:t>There is evidence of increas</w:t>
      </w:r>
      <w:r w:rsidR="008556A2">
        <w:t>ing demand for the service</w:t>
      </w:r>
      <w:r>
        <w:t xml:space="preserve"> </w:t>
      </w:r>
    </w:p>
    <w:p w14:paraId="1EE007CF" w14:textId="77777777" w:rsidR="00861CDB" w:rsidRDefault="00861CDB" w:rsidP="00861CDB">
      <w:pPr>
        <w:pStyle w:val="ListBullet"/>
      </w:pPr>
      <w:r>
        <w:t>T</w:t>
      </w:r>
      <w:r w:rsidRPr="006E2248">
        <w:t>he service has been well received by both clients</w:t>
      </w:r>
      <w:r w:rsidR="008556A2">
        <w:t xml:space="preserve"> and employer organisations</w:t>
      </w:r>
    </w:p>
    <w:p w14:paraId="139843FA" w14:textId="77777777" w:rsidR="00861CDB" w:rsidRDefault="00F868FB" w:rsidP="00861CDB">
      <w:pPr>
        <w:pStyle w:val="ListBullet"/>
      </w:pPr>
      <w:r>
        <w:t>The</w:t>
      </w:r>
      <w:r w:rsidR="00861CDB" w:rsidRPr="006E2248">
        <w:t xml:space="preserve"> service supports only a small cohort of clients (fewer than 3,000 at any one time) relative to the potential demand for supported employment services, while the geographical configuration of the service may not adequately ref</w:t>
      </w:r>
      <w:r w:rsidR="008556A2">
        <w:t>lect the location of demand</w:t>
      </w:r>
    </w:p>
    <w:p w14:paraId="53749500" w14:textId="77777777" w:rsidR="00861CDB" w:rsidRDefault="00861CDB" w:rsidP="00861CDB">
      <w:pPr>
        <w:pStyle w:val="ListBullet"/>
      </w:pPr>
      <w:r w:rsidRPr="006E2248">
        <w:t>There is a concern that inappropriate referral to the service could be contributing to increased non-completion rates and undermining po</w:t>
      </w:r>
      <w:r w:rsidR="008556A2">
        <w:t>tential progression outcomes</w:t>
      </w:r>
    </w:p>
    <w:p w14:paraId="3A851045" w14:textId="77777777" w:rsidR="00861CDB" w:rsidRDefault="00861CDB" w:rsidP="00861CDB">
      <w:pPr>
        <w:pStyle w:val="ListBullet"/>
      </w:pPr>
      <w:r w:rsidRPr="006E2248">
        <w:t>Programme expenditure remains high relative to the quantum and sustainability of e</w:t>
      </w:r>
      <w:r w:rsidR="008556A2">
        <w:t>mployment outcomes achieved</w:t>
      </w:r>
    </w:p>
    <w:p w14:paraId="1DCDF6CB" w14:textId="77777777" w:rsidR="00861CDB" w:rsidRDefault="00861CDB" w:rsidP="00861CDB">
      <w:pPr>
        <w:pStyle w:val="ListBullet"/>
      </w:pPr>
      <w:r w:rsidRPr="006E2248">
        <w:lastRenderedPageBreak/>
        <w:t>Some improvement is evident over the last 3-5 years in relation to the extent of positive employment outcomes achieved by the service. However, only a small number of EmployAbility companies have achieved the targets for the employment K</w:t>
      </w:r>
      <w:r>
        <w:t xml:space="preserve">ey </w:t>
      </w:r>
      <w:r w:rsidRPr="006E2248">
        <w:t>P</w:t>
      </w:r>
      <w:r>
        <w:t xml:space="preserve">erformance </w:t>
      </w:r>
      <w:r w:rsidRPr="006E2248">
        <w:t>I</w:t>
      </w:r>
      <w:r>
        <w:t>ndicator</w:t>
      </w:r>
      <w:r w:rsidRPr="006E2248">
        <w:t>s set ou</w:t>
      </w:r>
      <w:r w:rsidR="008556A2">
        <w:t>t in the service agreements</w:t>
      </w:r>
      <w:r>
        <w:t xml:space="preserve"> </w:t>
      </w:r>
    </w:p>
    <w:p w14:paraId="0181876B" w14:textId="77777777" w:rsidR="00861CDB" w:rsidRDefault="00861CDB" w:rsidP="00861CDB">
      <w:pPr>
        <w:pStyle w:val="ListBullet"/>
        <w:numPr>
          <w:ilvl w:val="0"/>
          <w:numId w:val="0"/>
        </w:numPr>
        <w:ind w:left="360" w:hanging="360"/>
      </w:pPr>
      <w:r>
        <w:t>Some of the key policy recommendations were as follows:</w:t>
      </w:r>
    </w:p>
    <w:p w14:paraId="6134B3CA" w14:textId="77777777" w:rsidR="00861CDB" w:rsidRDefault="00861CDB" w:rsidP="00861CDB">
      <w:pPr>
        <w:pStyle w:val="ListBullet"/>
      </w:pPr>
      <w:r>
        <w:t>Future funding of the EmployAbility service should be more rigorously linked to the delivery of programme performance, including the achievement of defined labour market activation outcomes, taking into account alternative procurement models</w:t>
      </w:r>
    </w:p>
    <w:p w14:paraId="3DE234C2" w14:textId="77777777" w:rsidR="00861CDB" w:rsidRDefault="00861CDB" w:rsidP="00861CDB">
      <w:pPr>
        <w:pStyle w:val="ListBullet"/>
      </w:pPr>
      <w:r>
        <w:t>The scope for streamlining of EmployAbility structures should be examined to maximise cost-effective delivery of services, to include possible amalgamation of companies which serve very low client numbers and maximisation of economies of scale in service provision</w:t>
      </w:r>
    </w:p>
    <w:p w14:paraId="2A0EDCC1" w14:textId="77777777" w:rsidR="00861CDB" w:rsidRDefault="00861CDB" w:rsidP="00861CDB">
      <w:pPr>
        <w:pStyle w:val="ListBullet"/>
      </w:pPr>
      <w:r>
        <w:t xml:space="preserve">Service funding and delivery should be informed by ongoing assessment of the geographic pattern of demand for supported employment services. The location of EmployAbility services should also take into account the distribution of </w:t>
      </w:r>
      <w:r w:rsidR="00051CA8">
        <w:t>Intreo</w:t>
      </w:r>
      <w:r>
        <w:t xml:space="preserve"> services</w:t>
      </w:r>
    </w:p>
    <w:p w14:paraId="1737AFA2" w14:textId="77777777" w:rsidR="00861CDB" w:rsidRDefault="00861CDB" w:rsidP="00AA27FA">
      <w:pPr>
        <w:pStyle w:val="ListBullet"/>
        <w:spacing w:after="240"/>
        <w:ind w:left="357" w:hanging="357"/>
      </w:pPr>
      <w:r>
        <w:t>The eligibility criteria for access to the service should be reviewed to ensure that EmployAbility is targeted only at individuals for whom the service is most appropriate in a labour market activation context, and maximise the sustainable impacts of the service. This should include reconsideration of the definition of the ‘job ready’ criterion, to ensure that the service can respond to demand while a</w:t>
      </w:r>
      <w:r w:rsidR="008556A2">
        <w:t>voiding inappropriate referrals</w:t>
      </w:r>
    </w:p>
    <w:p w14:paraId="4E599352" w14:textId="77777777" w:rsidR="00861CDB" w:rsidRDefault="00861CDB" w:rsidP="00861CDB">
      <w:pPr>
        <w:pStyle w:val="Heading2"/>
      </w:pPr>
      <w:bookmarkStart w:id="23" w:name="_Toc65581172"/>
      <w:r>
        <w:t>Ability programme</w:t>
      </w:r>
      <w:bookmarkEnd w:id="23"/>
    </w:p>
    <w:p w14:paraId="5D7596D7" w14:textId="77777777" w:rsidR="00861CDB" w:rsidRDefault="00861CDB" w:rsidP="00861CDB">
      <w:r>
        <w:t>The Ability p</w:t>
      </w:r>
      <w:r w:rsidRPr="00DB6296">
        <w:t xml:space="preserve">rogramme provides funding to local, regional and national projects that focus on bringing young </w:t>
      </w:r>
      <w:r w:rsidR="00DA6E35">
        <w:t>persons</w:t>
      </w:r>
      <w:r w:rsidR="00DA6E35" w:rsidRPr="008D7B00">
        <w:t xml:space="preserve"> </w:t>
      </w:r>
      <w:r w:rsidRPr="00DB6296">
        <w:t>with disabilities between the ages of 15 and 29 closer to the labour market.</w:t>
      </w:r>
      <w:r>
        <w:t xml:space="preserve"> The programme </w:t>
      </w:r>
      <w:r w:rsidRPr="00046B8D">
        <w:t>promote</w:t>
      </w:r>
      <w:r>
        <w:t>s</w:t>
      </w:r>
      <w:r w:rsidRPr="00046B8D">
        <w:t xml:space="preserve"> positive pathways into education, training and employment for participants</w:t>
      </w:r>
      <w:r>
        <w:t xml:space="preserve">. </w:t>
      </w:r>
      <w:r w:rsidRPr="00E5709C">
        <w:t xml:space="preserve">Ability </w:t>
      </w:r>
      <w:r w:rsidRPr="00EC17D9">
        <w:t>is co-financed by the Irish Government and the European Social Fund</w:t>
      </w:r>
      <w:r w:rsidR="00C20C6C">
        <w:t xml:space="preserve"> (ESF)</w:t>
      </w:r>
      <w:r w:rsidRPr="00EC17D9">
        <w:t xml:space="preserve"> as part of the ESF Programme for Employability, I</w:t>
      </w:r>
      <w:r>
        <w:t>nclusion and Learning 2014-</w:t>
      </w:r>
      <w:r>
        <w:lastRenderedPageBreak/>
        <w:t xml:space="preserve">2020 and </w:t>
      </w:r>
      <w:r w:rsidRPr="00E5709C">
        <w:t>has an overall budget of up to €16m from 2018 to 2021</w:t>
      </w:r>
      <w:r w:rsidR="00E372CC">
        <w:t>. 2,6</w:t>
      </w:r>
      <w:r>
        <w:t xml:space="preserve">00 young people </w:t>
      </w:r>
      <w:r w:rsidR="00E372CC">
        <w:t>will avail of</w:t>
      </w:r>
      <w:r>
        <w:t xml:space="preserve"> the programme</w:t>
      </w:r>
      <w:r w:rsidR="00E372CC">
        <w:t xml:space="preserve"> over the three year period</w:t>
      </w:r>
      <w:r>
        <w:t>.</w:t>
      </w:r>
      <w:r>
        <w:rPr>
          <w:rStyle w:val="FootnoteReference"/>
        </w:rPr>
        <w:footnoteReference w:id="53"/>
      </w:r>
    </w:p>
    <w:p w14:paraId="03289F16" w14:textId="77777777" w:rsidR="00E372CC" w:rsidRDefault="00E372CC" w:rsidP="000D6792">
      <w:r w:rsidRPr="00E372CC">
        <w:t xml:space="preserve">Ability supported 886 young </w:t>
      </w:r>
      <w:r w:rsidR="00DA6E35">
        <w:t>persons</w:t>
      </w:r>
      <w:r w:rsidR="00DA6E35" w:rsidRPr="008D7B00">
        <w:t xml:space="preserve"> </w:t>
      </w:r>
      <w:r w:rsidR="000D6792">
        <w:t xml:space="preserve">with disabilities over 2018-2019, </w:t>
      </w:r>
      <w:r w:rsidRPr="00E372CC">
        <w:t>reaching 33% of its overall participant target. In total, 27 organisations were funded under the programme, 26 of which commenced by end of the first year.</w:t>
      </w:r>
    </w:p>
    <w:p w14:paraId="486BAE76" w14:textId="77777777" w:rsidR="000D6792" w:rsidRPr="00E372CC" w:rsidRDefault="000D6792" w:rsidP="000D6792">
      <w:r>
        <w:t>Data provided by the Department of Employment Affairs and Social Protection reveals the following:</w:t>
      </w:r>
    </w:p>
    <w:p w14:paraId="6610C9CC" w14:textId="77777777" w:rsidR="000D6792" w:rsidRDefault="00E372CC" w:rsidP="000D6792">
      <w:pPr>
        <w:pStyle w:val="ListBullet"/>
      </w:pPr>
      <w:r w:rsidRPr="00E372CC">
        <w:t>The programme participants had a wide range of disabilities and 43% reported h</w:t>
      </w:r>
      <w:r>
        <w:t>aving more than one disabil</w:t>
      </w:r>
      <w:r w:rsidR="000D6792">
        <w:t xml:space="preserve">ity </w:t>
      </w:r>
    </w:p>
    <w:p w14:paraId="2D1A7B4A" w14:textId="77777777" w:rsidR="000D6792" w:rsidRDefault="00E372CC" w:rsidP="000D6792">
      <w:pPr>
        <w:pStyle w:val="ListBullet"/>
      </w:pPr>
      <w:r w:rsidRPr="00E372CC">
        <w:t>The majority of the participants o</w:t>
      </w:r>
      <w:r w:rsidR="000D6792">
        <w:t>n the programme were male (63%)</w:t>
      </w:r>
    </w:p>
    <w:p w14:paraId="6BF89A1A" w14:textId="77777777" w:rsidR="000D6792" w:rsidRDefault="00E372CC" w:rsidP="000D6792">
      <w:pPr>
        <w:pStyle w:val="ListBullet"/>
      </w:pPr>
      <w:r w:rsidRPr="00E372CC">
        <w:t>While there was a relatively wide diversity recorded when it comes to participants’ education levels, for the majority of participants (58%) the highest level of educational a</w:t>
      </w:r>
      <w:r w:rsidR="000D6792">
        <w:t>ttainment was primary schooling</w:t>
      </w:r>
    </w:p>
    <w:p w14:paraId="3B3CB794" w14:textId="77777777" w:rsidR="000D6792" w:rsidRDefault="00E372CC" w:rsidP="000D6792">
      <w:pPr>
        <w:pStyle w:val="ListBullet"/>
      </w:pPr>
      <w:r w:rsidRPr="00E372CC">
        <w:t xml:space="preserve">In total 426 participants were placed on vocational, living skills, personal development and ICT courses. The majority of the courses were completed during </w:t>
      </w:r>
      <w:r w:rsidR="000D6792">
        <w:t>the first year of the programme</w:t>
      </w:r>
      <w:r w:rsidRPr="00E372CC">
        <w:t xml:space="preserve"> </w:t>
      </w:r>
    </w:p>
    <w:p w14:paraId="235B8468" w14:textId="77777777" w:rsidR="00E372CC" w:rsidRDefault="00E372CC" w:rsidP="00AA27FA">
      <w:pPr>
        <w:pStyle w:val="ListBullet"/>
        <w:spacing w:after="240"/>
        <w:ind w:left="357" w:hanging="357"/>
      </w:pPr>
      <w:r w:rsidRPr="00E372CC">
        <w:t>During the first year, the programme worked with 754 employers and 278 service providers across multiple sectors and industries.</w:t>
      </w:r>
    </w:p>
    <w:p w14:paraId="08F342E1" w14:textId="77777777" w:rsidR="00861CDB" w:rsidRDefault="00861CDB" w:rsidP="00861CDB">
      <w:r w:rsidRPr="00486F41">
        <w:t>Pobal</w:t>
      </w:r>
      <w:r>
        <w:t>,</w:t>
      </w:r>
      <w:r w:rsidRPr="00486F41">
        <w:rPr>
          <w:rFonts w:ascii="Helvetica" w:hAnsi="Helvetica"/>
          <w:color w:val="464646"/>
          <w:szCs w:val="26"/>
          <w:shd w:val="clear" w:color="auto" w:fill="FEFEFE"/>
        </w:rPr>
        <w:t xml:space="preserve"> </w:t>
      </w:r>
      <w:r>
        <w:t>which w</w:t>
      </w:r>
      <w:r w:rsidRPr="00486F41">
        <w:t>orks on behalf of Government to support communities and local agencies toward achieving s</w:t>
      </w:r>
      <w:r>
        <w:t>ocial inclusion and development,</w:t>
      </w:r>
      <w:r w:rsidRPr="00486F41">
        <w:t xml:space="preserve"> will co-ordinate a programme level evaluation aimed at evaluating the extent to which the </w:t>
      </w:r>
      <w:r>
        <w:t xml:space="preserve">Ability </w:t>
      </w:r>
      <w:r w:rsidRPr="00486F41">
        <w:t xml:space="preserve">programme has met its stated key </w:t>
      </w:r>
      <w:r w:rsidRPr="00486F41">
        <w:lastRenderedPageBreak/>
        <w:t>objectives. This will be a long term, summative evaluation (i.e. aimed at demonstrating outcomes rather than processes) with the main research output being completed after the conclusion of the programme.</w:t>
      </w:r>
      <w:r>
        <w:rPr>
          <w:rStyle w:val="FootnoteReference"/>
        </w:rPr>
        <w:footnoteReference w:id="54"/>
      </w:r>
    </w:p>
    <w:p w14:paraId="775974F2" w14:textId="77777777" w:rsidR="00F074E0" w:rsidRDefault="00F074E0" w:rsidP="00861CDB">
      <w:r>
        <w:t>The NDA is aware of concerns in the disability sector that Ability</w:t>
      </w:r>
      <w:r w:rsidR="00F94E9C">
        <w:t xml:space="preserve">, like some other employment programmes for </w:t>
      </w:r>
      <w:r w:rsidR="00DA6E35">
        <w:t>persons</w:t>
      </w:r>
      <w:r w:rsidR="00DA6E35" w:rsidRPr="008D7B00">
        <w:t xml:space="preserve"> </w:t>
      </w:r>
      <w:r w:rsidR="00F94E9C">
        <w:t>with disabilities,</w:t>
      </w:r>
      <w:r>
        <w:t xml:space="preserve"> is a pilot </w:t>
      </w:r>
      <w:r w:rsidR="00F94E9C">
        <w:t>initiative</w:t>
      </w:r>
      <w:r>
        <w:t xml:space="preserve">, </w:t>
      </w:r>
      <w:r w:rsidRPr="00F074E0">
        <w:t xml:space="preserve">and </w:t>
      </w:r>
      <w:r>
        <w:t>the</w:t>
      </w:r>
      <w:r w:rsidR="00F94E9C">
        <w:t>re is a</w:t>
      </w:r>
      <w:r>
        <w:t xml:space="preserve"> </w:t>
      </w:r>
      <w:r w:rsidR="005339E2">
        <w:t>need for</w:t>
      </w:r>
      <w:r w:rsidR="007B4F66">
        <w:t xml:space="preserve"> </w:t>
      </w:r>
      <w:r w:rsidRPr="00F074E0">
        <w:t xml:space="preserve">planning </w:t>
      </w:r>
      <w:r w:rsidR="005339E2">
        <w:t>post</w:t>
      </w:r>
      <w:r w:rsidRPr="00F074E0">
        <w:t xml:space="preserve"> the lifetime of the pilot.</w:t>
      </w:r>
    </w:p>
    <w:p w14:paraId="3DE8657F" w14:textId="77777777" w:rsidR="00861CDB" w:rsidRDefault="00861CDB" w:rsidP="00861CDB">
      <w:pPr>
        <w:pStyle w:val="Heading2"/>
      </w:pPr>
      <w:bookmarkStart w:id="24" w:name="_Toc65581173"/>
      <w:r>
        <w:t>Willing Able Mentoring programme</w:t>
      </w:r>
      <w:bookmarkEnd w:id="24"/>
    </w:p>
    <w:p w14:paraId="178A7D19" w14:textId="77777777" w:rsidR="00861CDB" w:rsidRDefault="00861CDB" w:rsidP="00861CDB">
      <w:r w:rsidRPr="00C00B1A">
        <w:t>Willing Able Mentoring (WAM) is a work placement programme which aims to promote access to the labour market for graduates with disabilities and build the capacity of employers to integrate disability into the mainstream workplace</w:t>
      </w:r>
      <w:r>
        <w:t xml:space="preserve">. The WAM programme is run by AHEAD, the Association for Higher Education Access and Disability. </w:t>
      </w:r>
      <w:r w:rsidRPr="00675C6A">
        <w:t>Participating employers</w:t>
      </w:r>
      <w:r>
        <w:t>, including civil and public service employers,</w:t>
      </w:r>
      <w:r w:rsidR="00C20C6C">
        <w:t xml:space="preserve"> collaborate with </w:t>
      </w:r>
      <w:r w:rsidRPr="00675C6A">
        <w:rPr>
          <w:bCs/>
        </w:rPr>
        <w:t>WAM</w:t>
      </w:r>
      <w:r w:rsidR="00C20C6C">
        <w:t xml:space="preserve"> </w:t>
      </w:r>
      <w:r w:rsidRPr="00675C6A">
        <w:t>to offer graduates with disabilities a paid and mentored gradu</w:t>
      </w:r>
      <w:r w:rsidR="00C20C6C">
        <w:t xml:space="preserve">ate internship for a minimum of </w:t>
      </w:r>
      <w:r w:rsidRPr="00675C6A">
        <w:rPr>
          <w:bCs/>
        </w:rPr>
        <w:t>6 months</w:t>
      </w:r>
      <w:r>
        <w:t>. In 2018, WAM organised and supported 206 interviews.</w:t>
      </w:r>
      <w:r w:rsidR="003A2882">
        <w:rPr>
          <w:rStyle w:val="FootnoteReference"/>
        </w:rPr>
        <w:footnoteReference w:id="55"/>
      </w:r>
      <w:r>
        <w:t xml:space="preserve"> In addition, 73 placements were active and supported throughout the year. In 2016, AHEAD published “Including Graduates with a Disability in Your Workplace – Where to Start” which s</w:t>
      </w:r>
      <w:r w:rsidRPr="00410BB6">
        <w:t>hares the learning from the AHEAD WAM initiative.</w:t>
      </w:r>
      <w:r w:rsidR="003A2882">
        <w:rPr>
          <w:rStyle w:val="FootnoteReference"/>
        </w:rPr>
        <w:footnoteReference w:id="56"/>
      </w:r>
    </w:p>
    <w:p w14:paraId="36EDF842" w14:textId="77777777" w:rsidR="00861CDB" w:rsidRDefault="00861CDB" w:rsidP="00861CDB">
      <w:r>
        <w:t xml:space="preserve">AHEAD also runs another initiative, </w:t>
      </w:r>
      <w:r w:rsidRPr="00486F41">
        <w:t xml:space="preserve">GetAHEAD. It is a network of student </w:t>
      </w:r>
      <w:r>
        <w:t xml:space="preserve">and graduates with disabilities </w:t>
      </w:r>
      <w:r w:rsidRPr="00486F41">
        <w:t>currently making the transition from third-level education to full time employment.</w:t>
      </w:r>
      <w:r>
        <w:t xml:space="preserve"> </w:t>
      </w:r>
      <w:r w:rsidRPr="00486F41">
        <w:t xml:space="preserve">GetAHEAD works to up-skill graduates with disabilities by providing training </w:t>
      </w:r>
      <w:r w:rsidRPr="00486F41">
        <w:lastRenderedPageBreak/>
        <w:t>events and valuable information covering a wide range of</w:t>
      </w:r>
      <w:r>
        <w:t xml:space="preserve"> topics and resources including interview preparation and writing a CV.</w:t>
      </w:r>
    </w:p>
    <w:p w14:paraId="6259BD16" w14:textId="77777777" w:rsidR="00861CDB" w:rsidRDefault="00861CDB" w:rsidP="00861CDB">
      <w:r>
        <w:t>2018 expenditure on the WAM programme totalled €196,000, and €91,300 was spent on the GetAHEAD initiative.</w:t>
      </w:r>
      <w:r>
        <w:rPr>
          <w:rStyle w:val="FootnoteReference"/>
        </w:rPr>
        <w:footnoteReference w:id="57"/>
      </w:r>
    </w:p>
    <w:p w14:paraId="27B7EF47" w14:textId="77777777" w:rsidR="00D915CE" w:rsidRDefault="00D915CE" w:rsidP="00D915CE">
      <w:pPr>
        <w:pStyle w:val="Heading2"/>
      </w:pPr>
      <w:bookmarkStart w:id="25" w:name="_Toc65581174"/>
      <w:r>
        <w:t>OWL programme</w:t>
      </w:r>
      <w:bookmarkEnd w:id="25"/>
    </w:p>
    <w:p w14:paraId="56633B0D" w14:textId="77777777" w:rsidR="00D915CE" w:rsidRPr="00D915CE" w:rsidRDefault="00D915CE" w:rsidP="00D915CE">
      <w:r>
        <w:t>T</w:t>
      </w:r>
      <w:r w:rsidRPr="00D915CE">
        <w:t>he Oireachtas Work Learning</w:t>
      </w:r>
      <w:r>
        <w:t xml:space="preserve"> (OWL) programme is an applied learning, development and s</w:t>
      </w:r>
      <w:r w:rsidRPr="00D915CE">
        <w:t>ocialisation programme for young adults with an intellectual disability</w:t>
      </w:r>
      <w:r>
        <w:t>. T</w:t>
      </w:r>
      <w:r w:rsidRPr="00D915CE">
        <w:t>he programme is a four way partnership between the Houses of the Oireachtas, WALK, KARE and the Adult Education Service of City of Dublin Education and Training Board.</w:t>
      </w:r>
      <w:r>
        <w:t xml:space="preserve"> </w:t>
      </w:r>
      <w:r w:rsidRPr="00D915CE">
        <w:t xml:space="preserve">The HSE have provided funding for two full time on site co-ordinators to support the interns in their roles and </w:t>
      </w:r>
      <w:r>
        <w:t>work towards QQI qualifications.</w:t>
      </w:r>
      <w:r>
        <w:rPr>
          <w:rStyle w:val="FootnoteReference"/>
        </w:rPr>
        <w:footnoteReference w:id="58"/>
      </w:r>
    </w:p>
    <w:p w14:paraId="37DD4DC5" w14:textId="77777777" w:rsidR="00D915CE" w:rsidRPr="00D915CE" w:rsidRDefault="00D915CE" w:rsidP="00861CDB">
      <w:pPr>
        <w:rPr>
          <w:lang w:val="en-US"/>
        </w:rPr>
      </w:pPr>
      <w:r w:rsidRPr="00F16AB1">
        <w:rPr>
          <w:lang w:val="en-US"/>
        </w:rPr>
        <w:t>The D</w:t>
      </w:r>
      <w:r w:rsidR="00522EEF">
        <w:rPr>
          <w:lang w:val="en-US"/>
        </w:rPr>
        <w:t xml:space="preserve">epartment of </w:t>
      </w:r>
      <w:r w:rsidRPr="00F16AB1">
        <w:rPr>
          <w:lang w:val="en-US"/>
        </w:rPr>
        <w:t>P</w:t>
      </w:r>
      <w:r w:rsidR="00522EEF">
        <w:rPr>
          <w:lang w:val="en-US"/>
        </w:rPr>
        <w:t xml:space="preserve">ublic </w:t>
      </w:r>
      <w:r w:rsidRPr="00F16AB1">
        <w:rPr>
          <w:lang w:val="en-US"/>
        </w:rPr>
        <w:t>E</w:t>
      </w:r>
      <w:r w:rsidR="00522EEF">
        <w:rPr>
          <w:lang w:val="en-US"/>
        </w:rPr>
        <w:t xml:space="preserve">xpenditure and </w:t>
      </w:r>
      <w:r w:rsidRPr="00F16AB1">
        <w:rPr>
          <w:lang w:val="en-US"/>
        </w:rPr>
        <w:t>R</w:t>
      </w:r>
      <w:r w:rsidR="00522EEF">
        <w:rPr>
          <w:lang w:val="en-US"/>
        </w:rPr>
        <w:t>eform has committed</w:t>
      </w:r>
      <w:r w:rsidRPr="00F16AB1">
        <w:rPr>
          <w:lang w:val="en-US"/>
        </w:rPr>
        <w:t xml:space="preserve"> to develop</w:t>
      </w:r>
      <w:r w:rsidR="00522EEF">
        <w:rPr>
          <w:lang w:val="en-US"/>
        </w:rPr>
        <w:t>ing</w:t>
      </w:r>
      <w:r w:rsidRPr="00F16AB1">
        <w:rPr>
          <w:lang w:val="en-US"/>
        </w:rPr>
        <w:t xml:space="preserve"> a pilot Civil Service internship for </w:t>
      </w:r>
      <w:r w:rsidR="00DA6E35">
        <w:t>persons</w:t>
      </w:r>
      <w:r w:rsidR="00DA6E35" w:rsidRPr="008D7B00">
        <w:t xml:space="preserve"> </w:t>
      </w:r>
      <w:r w:rsidRPr="00F16AB1">
        <w:rPr>
          <w:lang w:val="en-US"/>
        </w:rPr>
        <w:t>with disabilities that could lead to permanent positions.</w:t>
      </w:r>
      <w:r w:rsidR="00522EEF">
        <w:rPr>
          <w:rStyle w:val="FootnoteReference"/>
          <w:lang w:val="en-US"/>
        </w:rPr>
        <w:footnoteReference w:id="59"/>
      </w:r>
      <w:r w:rsidRPr="00F16AB1">
        <w:rPr>
          <w:lang w:val="en-US"/>
        </w:rPr>
        <w:t xml:space="preserve"> </w:t>
      </w:r>
      <w:r w:rsidR="00522EEF">
        <w:rPr>
          <w:lang w:val="en-US"/>
        </w:rPr>
        <w:t xml:space="preserve">The </w:t>
      </w:r>
      <w:r w:rsidRPr="00F16AB1">
        <w:rPr>
          <w:lang w:val="en-US"/>
        </w:rPr>
        <w:t xml:space="preserve">NDA has advised </w:t>
      </w:r>
      <w:r w:rsidR="00522EEF">
        <w:rPr>
          <w:lang w:val="en-US"/>
        </w:rPr>
        <w:t>that the OWL model</w:t>
      </w:r>
      <w:r w:rsidRPr="00F16AB1">
        <w:rPr>
          <w:lang w:val="en-US"/>
        </w:rPr>
        <w:t xml:space="preserve"> could be applied across the wider civil and public service</w:t>
      </w:r>
      <w:r>
        <w:rPr>
          <w:lang w:val="en-US"/>
        </w:rPr>
        <w:t>.</w:t>
      </w:r>
      <w:r w:rsidR="00522EEF">
        <w:rPr>
          <w:rStyle w:val="FootnoteReference"/>
          <w:lang w:val="en-US"/>
        </w:rPr>
        <w:footnoteReference w:id="60"/>
      </w:r>
    </w:p>
    <w:p w14:paraId="3FFD558F" w14:textId="77777777" w:rsidR="00861CDB" w:rsidRDefault="00861CDB" w:rsidP="00861CDB">
      <w:pPr>
        <w:pStyle w:val="Heading2"/>
      </w:pPr>
      <w:bookmarkStart w:id="26" w:name="_Toc65581175"/>
      <w:r w:rsidRPr="00F85416">
        <w:t>Individual Placement Service</w:t>
      </w:r>
      <w:r w:rsidR="0042616C">
        <w:t xml:space="preserve"> (IPS)</w:t>
      </w:r>
      <w:bookmarkEnd w:id="26"/>
    </w:p>
    <w:p w14:paraId="74C8245D" w14:textId="77777777" w:rsidR="00861CDB" w:rsidRDefault="00861CDB" w:rsidP="00861CDB">
      <w:r>
        <w:t>Published in 2018, a</w:t>
      </w:r>
      <w:r w:rsidR="00C276E0">
        <w:t xml:space="preserve">n evaluation report, </w:t>
      </w:r>
      <w:r w:rsidRPr="00C83C7F">
        <w:rPr>
          <w:b/>
        </w:rPr>
        <w:t>Steps into Work</w:t>
      </w:r>
      <w:r w:rsidRPr="00C83C7F">
        <w:t xml:space="preserve">, found that through </w:t>
      </w:r>
      <w:r w:rsidR="00F868FB">
        <w:t>enhanced</w:t>
      </w:r>
      <w:r w:rsidRPr="00C83C7F">
        <w:t xml:space="preserve"> cooperation between mental health services and employment support services, improvements could be achieved in the health and employment outcomes of </w:t>
      </w:r>
      <w:r w:rsidR="00DA6E35">
        <w:t>persons</w:t>
      </w:r>
      <w:r w:rsidR="00DA6E35" w:rsidRPr="008D7B00">
        <w:t xml:space="preserve"> </w:t>
      </w:r>
      <w:r w:rsidRPr="00C83C7F">
        <w:t xml:space="preserve">with mental </w:t>
      </w:r>
      <w:r w:rsidRPr="00C83C7F">
        <w:lastRenderedPageBreak/>
        <w:t xml:space="preserve">health </w:t>
      </w:r>
      <w:r>
        <w:t>issue</w:t>
      </w:r>
      <w:r w:rsidRPr="00C83C7F">
        <w:t>s</w:t>
      </w:r>
      <w:r>
        <w:t>.</w:t>
      </w:r>
      <w:r w:rsidR="007C4DC8">
        <w:rPr>
          <w:rStyle w:val="FootnoteReference"/>
        </w:rPr>
        <w:footnoteReference w:id="61"/>
      </w:r>
      <w:r w:rsidRPr="00CA58F6">
        <w:t xml:space="preserve"> Individual Placement and Support (IPS), also known as ‘evidence-based supported employment’, is a model of supported employment for </w:t>
      </w:r>
      <w:r w:rsidR="00DA6E35">
        <w:t>persons</w:t>
      </w:r>
      <w:r w:rsidR="00DA6E35" w:rsidRPr="008D7B00">
        <w:t xml:space="preserve"> </w:t>
      </w:r>
      <w:r w:rsidRPr="00CA58F6">
        <w:t>with mental health issues wishing to work.</w:t>
      </w:r>
    </w:p>
    <w:p w14:paraId="3D2806AF" w14:textId="77777777" w:rsidR="00861CDB" w:rsidRDefault="00861CDB" w:rsidP="00861CDB">
      <w:r>
        <w:t xml:space="preserve">IPS Employment Specialists </w:t>
      </w:r>
      <w:r w:rsidRPr="00CA58F6">
        <w:t>are integrated into mental health teams to support service users to return to work</w:t>
      </w:r>
      <w:r>
        <w:t xml:space="preserve"> and they provide individualised, time-unlimited support to both the employer and the e</w:t>
      </w:r>
      <w:r w:rsidRPr="00CA58F6">
        <w:t>mployee.</w:t>
      </w:r>
      <w:r>
        <w:t xml:space="preserve"> In the initial pilot, an IPS employment specialist was integrated into four HSE multidisciplinary mental health teams. </w:t>
      </w:r>
    </w:p>
    <w:p w14:paraId="43954E00" w14:textId="77777777" w:rsidR="00861CDB" w:rsidRDefault="00861CDB" w:rsidP="00861CDB">
      <w:r>
        <w:t>T</w:t>
      </w:r>
      <w:r w:rsidRPr="007073B4">
        <w:t>he Department for Employment</w:t>
      </w:r>
      <w:r>
        <w:t xml:space="preserve"> Affairs and Social Protection </w:t>
      </w:r>
      <w:r w:rsidRPr="007073B4">
        <w:t xml:space="preserve">and the HSE are collaborating to roll out the IPS model. However, as yet sustainability </w:t>
      </w:r>
      <w:r w:rsidR="007664EB">
        <w:t xml:space="preserve">for the longer term </w:t>
      </w:r>
      <w:r w:rsidRPr="007073B4">
        <w:t>is to be established</w:t>
      </w:r>
      <w:r w:rsidR="007664EB">
        <w:t>,</w:t>
      </w:r>
      <w:r w:rsidRPr="007073B4">
        <w:t xml:space="preserve"> </w:t>
      </w:r>
      <w:r w:rsidR="007664EB">
        <w:t>including a</w:t>
      </w:r>
      <w:r w:rsidRPr="007073B4">
        <w:t xml:space="preserve"> sustainable funding model for this project. The</w:t>
      </w:r>
      <w:r w:rsidR="00F074E0">
        <w:t xml:space="preserve"> NDA </w:t>
      </w:r>
      <w:r w:rsidR="007664EB">
        <w:t xml:space="preserve">advises the importance of </w:t>
      </w:r>
      <w:r w:rsidR="00F074E0">
        <w:t>a concrete,</w:t>
      </w:r>
      <w:r w:rsidR="00E26358">
        <w:t xml:space="preserve"> long-</w:t>
      </w:r>
      <w:r w:rsidRPr="007073B4">
        <w:t xml:space="preserve">term plan for the continuation of this </w:t>
      </w:r>
      <w:r w:rsidR="007664EB">
        <w:t>scheme</w:t>
      </w:r>
      <w:r w:rsidRPr="007073B4">
        <w:t>.</w:t>
      </w:r>
      <w:r>
        <w:rPr>
          <w:rStyle w:val="FootnoteReference"/>
        </w:rPr>
        <w:footnoteReference w:id="62"/>
      </w:r>
      <w:r w:rsidRPr="007073B4">
        <w:t xml:space="preserve"> </w:t>
      </w:r>
    </w:p>
    <w:p w14:paraId="51DE3B74" w14:textId="77777777" w:rsidR="00861CDB" w:rsidRDefault="00861CDB" w:rsidP="00861CDB">
      <w:pPr>
        <w:pStyle w:val="Heading2"/>
      </w:pPr>
      <w:bookmarkStart w:id="27" w:name="_Toc65581176"/>
      <w:r>
        <w:t>Youth Employment Support Scheme</w:t>
      </w:r>
      <w:bookmarkEnd w:id="27"/>
    </w:p>
    <w:p w14:paraId="559BA8BB" w14:textId="77777777" w:rsidR="003C04A6" w:rsidRDefault="00861CDB" w:rsidP="003C04A6">
      <w:r w:rsidRPr="008934B1">
        <w:t>The Youth Employment Support Scheme is a work experience placement programme targeted at young jobseekers aged 18-24 who are long-term unemployed or face barriers to employment.</w:t>
      </w:r>
      <w:r>
        <w:t xml:space="preserve"> </w:t>
      </w:r>
      <w:r w:rsidR="003C04A6">
        <w:t xml:space="preserve">The scheme </w:t>
      </w:r>
      <w:r w:rsidR="003C04A6" w:rsidRPr="003C04A6">
        <w:t xml:space="preserve">provides a three month work experience programme for young people that is extendable to six months. There is no cost to employers as the participants are paid by Intreo. The NDA </w:t>
      </w:r>
      <w:r w:rsidR="007664EB">
        <w:t>has</w:t>
      </w:r>
      <w:r w:rsidR="007664EB" w:rsidRPr="003C04A6">
        <w:t xml:space="preserve"> </w:t>
      </w:r>
      <w:r w:rsidR="003C04A6" w:rsidRPr="003C04A6">
        <w:t>advised on potential barriers to uptake</w:t>
      </w:r>
      <w:r w:rsidR="003C04A6">
        <w:t xml:space="preserve"> of the scheme</w:t>
      </w:r>
      <w:r w:rsidR="003C04A6" w:rsidRPr="003C04A6">
        <w:t xml:space="preserve"> for persons with disabilities, such as the suitability of a 30 hour week and the time it may take for young people to settle into the scheme.</w:t>
      </w:r>
      <w:r w:rsidR="003C04A6">
        <w:rPr>
          <w:rStyle w:val="FootnoteReference"/>
        </w:rPr>
        <w:footnoteReference w:id="63"/>
      </w:r>
    </w:p>
    <w:p w14:paraId="4FA4F4BC" w14:textId="77777777" w:rsidR="00861CDB" w:rsidRDefault="008556A2" w:rsidP="00861CDB">
      <w:r w:rsidRPr="008556A2">
        <w:lastRenderedPageBreak/>
        <w:t xml:space="preserve">The budget allocated for 2019 was €800,000 </w:t>
      </w:r>
      <w:r>
        <w:t>and</w:t>
      </w:r>
      <w:r w:rsidRPr="008556A2">
        <w:t xml:space="preserve"> expenditure for 2019 to end October</w:t>
      </w:r>
      <w:r>
        <w:t xml:space="preserve"> 2019 was €539,954</w:t>
      </w:r>
      <w:r w:rsidRPr="008556A2">
        <w:t>.</w:t>
      </w:r>
      <w:r>
        <w:t xml:space="preserve"> According to the Department, the variance in</w:t>
      </w:r>
      <w:r w:rsidRPr="008556A2">
        <w:t xml:space="preserve"> allocation and expenditure reflects the lower than anticipated take up of opportunities among employers and young people.</w:t>
      </w:r>
      <w:r>
        <w:rPr>
          <w:rStyle w:val="FootnoteReference"/>
        </w:rPr>
        <w:footnoteReference w:id="64"/>
      </w:r>
      <w:r>
        <w:t xml:space="preserve"> </w:t>
      </w:r>
      <w:r w:rsidR="00861CDB" w:rsidRPr="008934B1">
        <w:t>713</w:t>
      </w:r>
      <w:r w:rsidR="00861CDB">
        <w:t xml:space="preserve"> young people have availed of the scheme since its launch</w:t>
      </w:r>
      <w:r w:rsidR="00861CDB" w:rsidRPr="008934B1">
        <w:t xml:space="preserve"> </w:t>
      </w:r>
      <w:r w:rsidR="00C276E0">
        <w:t xml:space="preserve">in October 2018, </w:t>
      </w:r>
      <w:r w:rsidR="00861CDB">
        <w:t>19 of which were</w:t>
      </w:r>
      <w:r w:rsidR="00861CDB" w:rsidRPr="008934B1">
        <w:t xml:space="preserve"> young people in receipt </w:t>
      </w:r>
      <w:r w:rsidR="00861CDB">
        <w:t>of a disability-related payment.</w:t>
      </w:r>
      <w:r w:rsidR="00D95496">
        <w:rPr>
          <w:rStyle w:val="FootnoteReference"/>
        </w:rPr>
        <w:footnoteReference w:id="65"/>
      </w:r>
      <w:r w:rsidR="00861CDB">
        <w:t xml:space="preserve"> 13 </w:t>
      </w:r>
      <w:r w:rsidR="00861CDB" w:rsidRPr="008934B1">
        <w:t xml:space="preserve">young people in receipt of a disability-related payment </w:t>
      </w:r>
      <w:r w:rsidR="00861CDB">
        <w:t>have completed</w:t>
      </w:r>
      <w:r w:rsidR="00861CDB" w:rsidRPr="008934B1">
        <w:t xml:space="preserve"> the programme</w:t>
      </w:r>
      <w:r w:rsidR="00861CDB">
        <w:t>, of whom five have</w:t>
      </w:r>
      <w:r w:rsidR="00861CDB" w:rsidRPr="008934B1">
        <w:t xml:space="preserve"> </w:t>
      </w:r>
      <w:r w:rsidR="00861CDB">
        <w:t>gained</w:t>
      </w:r>
      <w:r w:rsidR="00861CDB" w:rsidRPr="008934B1">
        <w:t xml:space="preserve"> employment with the host employer</w:t>
      </w:r>
      <w:r w:rsidR="00861CDB">
        <w:t>.</w:t>
      </w:r>
      <w:r w:rsidR="00D95496">
        <w:rPr>
          <w:rStyle w:val="FootnoteReference"/>
        </w:rPr>
        <w:footnoteReference w:id="66"/>
      </w:r>
    </w:p>
    <w:p w14:paraId="064DB23B" w14:textId="77777777" w:rsidR="00861CDB" w:rsidRDefault="00861CDB" w:rsidP="00861CDB">
      <w:pPr>
        <w:pStyle w:val="Heading2"/>
      </w:pPr>
      <w:bookmarkStart w:id="28" w:name="_Toc65581177"/>
      <w:r>
        <w:t>Rehabilitative Training programmes</w:t>
      </w:r>
      <w:bookmarkEnd w:id="28"/>
    </w:p>
    <w:p w14:paraId="6DBB446B" w14:textId="77777777" w:rsidR="00861CDB" w:rsidRDefault="00861CDB" w:rsidP="00861CDB">
      <w:r w:rsidRPr="00234868">
        <w:t>Rehabilitative T</w:t>
      </w:r>
      <w:r>
        <w:t>raining</w:t>
      </w:r>
      <w:r w:rsidRPr="00234868">
        <w:t xml:space="preserve"> is a training programme of</w:t>
      </w:r>
      <w:r w:rsidR="008556A2">
        <w:t xml:space="preserve"> typically two years and</w:t>
      </w:r>
      <w:r w:rsidRPr="00234868">
        <w:t xml:space="preserve"> </w:t>
      </w:r>
      <w:r w:rsidR="005679A5">
        <w:t>maximum</w:t>
      </w:r>
      <w:r w:rsidRPr="00234868">
        <w:t xml:space="preserve"> 4 years duration which focuses on the development of the participants’ life skills, social skills and basic work skills that will enable them to progress to greater levels of independence and integration in their own community. Rehabilitative Training is funded by the H</w:t>
      </w:r>
      <w:r w:rsidR="005679A5">
        <w:t xml:space="preserve">ealth </w:t>
      </w:r>
      <w:r w:rsidRPr="00234868">
        <w:t>S</w:t>
      </w:r>
      <w:r w:rsidR="005679A5">
        <w:t xml:space="preserve">ervice </w:t>
      </w:r>
      <w:r w:rsidRPr="00234868">
        <w:t>E</w:t>
      </w:r>
      <w:r w:rsidR="005679A5">
        <w:t>xecutive</w:t>
      </w:r>
      <w:r w:rsidRPr="00234868">
        <w:t xml:space="preserve"> but delivery is primarily via voluntary agencies throughout the country. </w:t>
      </w:r>
    </w:p>
    <w:p w14:paraId="443CA58C" w14:textId="77777777" w:rsidR="00861CDB" w:rsidRDefault="00861CDB" w:rsidP="00861CDB">
      <w:r w:rsidRPr="00234868">
        <w:t xml:space="preserve">Rehabilitative Training is available to people with varying profiles and support needs between the ages of 18-65 that are willing to engage and would benefit from the opportunities afforded through participation. </w:t>
      </w:r>
      <w:r>
        <w:t xml:space="preserve">The HSE anticipates that 2,290 </w:t>
      </w:r>
      <w:r w:rsidR="00DA6E35">
        <w:t>persons</w:t>
      </w:r>
      <w:r>
        <w:t xml:space="preserve"> with disabilities will avail of Rehabilitative Training in 2020.</w:t>
      </w:r>
      <w:r>
        <w:rPr>
          <w:rStyle w:val="FootnoteReference"/>
        </w:rPr>
        <w:footnoteReference w:id="67"/>
      </w:r>
    </w:p>
    <w:p w14:paraId="65A7BC41" w14:textId="77777777" w:rsidR="00861CDB" w:rsidRPr="00580D4C" w:rsidRDefault="00C276E0" w:rsidP="00861CDB">
      <w:r>
        <w:lastRenderedPageBreak/>
        <w:t xml:space="preserve">During 2018, </w:t>
      </w:r>
      <w:r w:rsidR="00861CDB" w:rsidRPr="00580D4C">
        <w:t>439 young people between the ages of 18-23 left R</w:t>
      </w:r>
      <w:r w:rsidR="00861CDB">
        <w:t xml:space="preserve">ehabilitative </w:t>
      </w:r>
      <w:r w:rsidR="00861CDB" w:rsidRPr="00580D4C">
        <w:t>T</w:t>
      </w:r>
      <w:r w:rsidR="00861CDB">
        <w:t>raining</w:t>
      </w:r>
      <w:r w:rsidR="00861CDB" w:rsidRPr="00580D4C">
        <w:t xml:space="preserve">. Of these: </w:t>
      </w:r>
    </w:p>
    <w:p w14:paraId="6EEE05FE" w14:textId="77777777" w:rsidR="00861CDB" w:rsidRPr="00580D4C" w:rsidRDefault="00861CDB" w:rsidP="00AA27FA">
      <w:pPr>
        <w:pStyle w:val="ListBullet"/>
      </w:pPr>
      <w:r w:rsidRPr="00580D4C">
        <w:t>217 accessed day services</w:t>
      </w:r>
    </w:p>
    <w:p w14:paraId="3C68CF32" w14:textId="77777777" w:rsidR="00861CDB" w:rsidRPr="00580D4C" w:rsidRDefault="00861CDB" w:rsidP="00AA27FA">
      <w:pPr>
        <w:pStyle w:val="ListBullet"/>
      </w:pPr>
      <w:r w:rsidRPr="00580D4C">
        <w:t xml:space="preserve">24 continued in education </w:t>
      </w:r>
    </w:p>
    <w:p w14:paraId="1BE176A0" w14:textId="77777777" w:rsidR="00861CDB" w:rsidRDefault="00861CDB" w:rsidP="00AA27FA">
      <w:pPr>
        <w:pStyle w:val="ListBullet"/>
      </w:pPr>
      <w:r w:rsidRPr="00580D4C">
        <w:t xml:space="preserve">102 accessed training opportunities </w:t>
      </w:r>
    </w:p>
    <w:p w14:paraId="33909A36" w14:textId="77777777" w:rsidR="00861CDB" w:rsidRDefault="00861CDB" w:rsidP="00AA27FA">
      <w:pPr>
        <w:pStyle w:val="ListBullet"/>
      </w:pPr>
      <w:r>
        <w:t>9 accessed employment</w:t>
      </w:r>
    </w:p>
    <w:p w14:paraId="4D78EB66" w14:textId="77777777" w:rsidR="00861CDB" w:rsidRPr="00580D4C" w:rsidRDefault="00861CDB" w:rsidP="00AA27FA">
      <w:pPr>
        <w:pStyle w:val="ListBullet"/>
      </w:pPr>
      <w:r>
        <w:t>10 accessed supported employment</w:t>
      </w:r>
    </w:p>
    <w:p w14:paraId="32EB8378" w14:textId="77777777" w:rsidR="00861CDB" w:rsidRDefault="00861CDB" w:rsidP="00AA27FA">
      <w:pPr>
        <w:pStyle w:val="ListBullet"/>
        <w:spacing w:after="240"/>
        <w:ind w:left="357" w:hanging="357"/>
      </w:pPr>
      <w:r w:rsidRPr="00580D4C">
        <w:t>2 commenced voluntary work / community activity</w:t>
      </w:r>
      <w:r w:rsidR="004845A4">
        <w:rPr>
          <w:rStyle w:val="FootnoteReference"/>
        </w:rPr>
        <w:footnoteReference w:id="68"/>
      </w:r>
    </w:p>
    <w:p w14:paraId="101F5D27" w14:textId="77777777" w:rsidR="00861CDB" w:rsidRDefault="00861CDB" w:rsidP="00861CDB">
      <w:r>
        <w:t xml:space="preserve">In 2019, </w:t>
      </w:r>
      <w:r w:rsidRPr="00A73124">
        <w:t>6.5%</w:t>
      </w:r>
      <w:r>
        <w:t xml:space="preserve"> of people leaving Rehabilitative Training</w:t>
      </w:r>
      <w:r w:rsidRPr="00A73124">
        <w:t xml:space="preserve"> exited directly to employment</w:t>
      </w:r>
      <w:r w:rsidR="007664EB">
        <w:t xml:space="preserve"> and NDA advises there may be scope to increase this proportion if a national programme of relevant employment supports is put in place</w:t>
      </w:r>
      <w:r w:rsidRPr="00A73124">
        <w:t>.</w:t>
      </w:r>
      <w:r w:rsidR="004845A4">
        <w:rPr>
          <w:rStyle w:val="FootnoteReference"/>
        </w:rPr>
        <w:footnoteReference w:id="69"/>
      </w:r>
    </w:p>
    <w:p w14:paraId="1E454A62" w14:textId="77777777" w:rsidR="00861CDB" w:rsidRDefault="00861CDB" w:rsidP="00861CDB">
      <w:pPr>
        <w:pStyle w:val="Heading2"/>
      </w:pPr>
      <w:bookmarkStart w:id="29" w:name="_Toc65581178"/>
      <w:r>
        <w:t>Work or work-like activity services</w:t>
      </w:r>
      <w:bookmarkEnd w:id="29"/>
    </w:p>
    <w:p w14:paraId="63434154" w14:textId="77777777" w:rsidR="00861CDB" w:rsidRDefault="00C276E0" w:rsidP="00861CDB">
      <w:r>
        <w:t xml:space="preserve">In 2020, </w:t>
      </w:r>
      <w:r w:rsidR="00861CDB">
        <w:t xml:space="preserve">2,513 </w:t>
      </w:r>
      <w:r w:rsidR="00DA6E35">
        <w:t>persons</w:t>
      </w:r>
      <w:r w:rsidR="00DA6E35" w:rsidRPr="008D7B00">
        <w:t xml:space="preserve"> </w:t>
      </w:r>
      <w:r w:rsidR="00861CDB">
        <w:t>with a disability are expected to receive work or work-like activity services from the HSE.</w:t>
      </w:r>
      <w:r w:rsidR="007A5B58">
        <w:rPr>
          <w:rStyle w:val="FootnoteReference"/>
        </w:rPr>
        <w:footnoteReference w:id="70"/>
      </w:r>
      <w:r w:rsidR="00861CDB">
        <w:t xml:space="preserve"> The CES Phase Two Action Plan contains an action which would s</w:t>
      </w:r>
      <w:r w:rsidR="00861CDB" w:rsidRPr="000A1BB0">
        <w:t xml:space="preserve">eek to regularise the status of current users of HSE-funded day services that are involved in elements </w:t>
      </w:r>
      <w:r w:rsidR="00861CDB">
        <w:t>of work that do not conform to employment and equality l</w:t>
      </w:r>
      <w:r w:rsidR="00861CDB" w:rsidRPr="000A1BB0">
        <w:t>egislation.</w:t>
      </w:r>
      <w:r w:rsidR="005679A5">
        <w:rPr>
          <w:rStyle w:val="FootnoteReference"/>
        </w:rPr>
        <w:footnoteReference w:id="71"/>
      </w:r>
    </w:p>
    <w:p w14:paraId="262E2868" w14:textId="77777777" w:rsidR="00861CDB" w:rsidRDefault="00861CDB" w:rsidP="00861CDB">
      <w:pPr>
        <w:pStyle w:val="Heading2"/>
      </w:pPr>
      <w:bookmarkStart w:id="30" w:name="_Toc65581179"/>
      <w:r>
        <w:lastRenderedPageBreak/>
        <w:t>Ability to Work Fund</w:t>
      </w:r>
      <w:bookmarkEnd w:id="30"/>
    </w:p>
    <w:p w14:paraId="53D0DF0B" w14:textId="77777777" w:rsidR="00861CDB" w:rsidRPr="00274150" w:rsidRDefault="00861CDB" w:rsidP="00861CDB">
      <w:r>
        <w:t>The Ability t</w:t>
      </w:r>
      <w:r w:rsidRPr="00274150">
        <w:t>o Work Fund is a €1.5 million</w:t>
      </w:r>
      <w:r>
        <w:t>, three-year</w:t>
      </w:r>
      <w:r w:rsidRPr="00274150">
        <w:t xml:space="preserve"> fund created by Social Innovation Fund Ireland (SIFI) in partnership with State Street and the Department of Employment Affairs and Social Protection via the Dormant Accounts Fund.</w:t>
      </w:r>
      <w:r>
        <w:t xml:space="preserve"> Launched in November 2019, it</w:t>
      </w:r>
      <w:r w:rsidRPr="00274150">
        <w:t xml:space="preserve"> will support not-for-profit organisations to provide training, upskilling, education and other services to </w:t>
      </w:r>
      <w:r>
        <w:t xml:space="preserve">250 </w:t>
      </w:r>
      <w:r w:rsidR="00DA6E35">
        <w:t>persons</w:t>
      </w:r>
      <w:r>
        <w:t xml:space="preserve"> with disabilities in order to progress them along the pathway to employment.</w:t>
      </w:r>
      <w:r w:rsidR="004845A4">
        <w:rPr>
          <w:rStyle w:val="FootnoteReference"/>
        </w:rPr>
        <w:footnoteReference w:id="72"/>
      </w:r>
    </w:p>
    <w:p w14:paraId="0F098ADB" w14:textId="77777777" w:rsidR="00861CDB" w:rsidRDefault="00861CDB" w:rsidP="00861CDB">
      <w:pPr>
        <w:pStyle w:val="Heading1"/>
      </w:pPr>
      <w:bookmarkStart w:id="31" w:name="_Toc65581180"/>
      <w:r>
        <w:t>Employer Supports</w:t>
      </w:r>
      <w:bookmarkEnd w:id="31"/>
    </w:p>
    <w:p w14:paraId="7C20AF93" w14:textId="77777777" w:rsidR="00861CDB" w:rsidRDefault="00861CDB" w:rsidP="00861CDB">
      <w:pPr>
        <w:pStyle w:val="Heading2"/>
      </w:pPr>
      <w:bookmarkStart w:id="32" w:name="_Toc65581181"/>
      <w:r>
        <w:t>Wage Subsidy Scheme</w:t>
      </w:r>
      <w:bookmarkEnd w:id="32"/>
    </w:p>
    <w:p w14:paraId="0CFC8734" w14:textId="77777777" w:rsidR="00861CDB" w:rsidRDefault="00C276E0" w:rsidP="00861CDB">
      <w:r>
        <w:t xml:space="preserve">The </w:t>
      </w:r>
      <w:r w:rsidR="00861CDB" w:rsidRPr="00844C77">
        <w:rPr>
          <w:b/>
          <w:bCs/>
        </w:rPr>
        <w:t>Wage Subsidy Scheme</w:t>
      </w:r>
      <w:r>
        <w:t xml:space="preserve"> </w:t>
      </w:r>
      <w:r w:rsidR="00861CDB">
        <w:t>provides an employer</w:t>
      </w:r>
      <w:r w:rsidR="00861CDB" w:rsidRPr="00844C77">
        <w:t xml:space="preserve"> with a general subsidy for any perceived productivity shortfall in excess of 20% for a person with a disability, in comparison to a colleague without a</w:t>
      </w:r>
      <w:r w:rsidR="00861CDB">
        <w:t xml:space="preserve"> disability.</w:t>
      </w:r>
      <w:r w:rsidR="00861CDB" w:rsidRPr="00844C77">
        <w:t xml:space="preserve"> The rate of subsidy is €5.30 per hour and the amount of the subsidy is based on the number of hours worked. The maximum annual subsidy payable is €10,748 per year based on a 39 hour week.</w:t>
      </w:r>
      <w:r>
        <w:t xml:space="preserve"> Table 10 below show the amount spent on this scheme annually.  </w:t>
      </w:r>
    </w:p>
    <w:p w14:paraId="4EDB7F7A" w14:textId="77777777" w:rsidR="00861CDB" w:rsidRDefault="00C276E0" w:rsidP="00861CDB">
      <w:pPr>
        <w:pStyle w:val="TableTitle"/>
      </w:pPr>
      <w:r>
        <w:t xml:space="preserve">Table 10: </w:t>
      </w:r>
      <w:r w:rsidR="00861CDB">
        <w:t>Expenditure on the Wage Subsidy Scheme, 2012-2018</w:t>
      </w:r>
    </w:p>
    <w:tbl>
      <w:tblPr>
        <w:tblW w:w="72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10: Expenditure on the Wage Subsidy Scheme, 2012-2018"/>
        <w:tblDescription w:val="Table showing the expenditure on the Wage Subsidy Scheme, 2012-2018"/>
      </w:tblPr>
      <w:tblGrid>
        <w:gridCol w:w="3469"/>
        <w:gridCol w:w="3760"/>
      </w:tblGrid>
      <w:tr w:rsidR="00861CDB" w:rsidRPr="00867A05" w14:paraId="50E8FFAC" w14:textId="77777777" w:rsidTr="0052453E">
        <w:trPr>
          <w:tblHeader/>
        </w:trPr>
        <w:tc>
          <w:tcPr>
            <w:tcW w:w="3469" w:type="dxa"/>
            <w:shd w:val="clear" w:color="auto" w:fill="auto"/>
          </w:tcPr>
          <w:p w14:paraId="55B63DE4" w14:textId="77777777" w:rsidR="00861CDB" w:rsidRPr="00867A05" w:rsidRDefault="00861CDB" w:rsidP="00C23D2D">
            <w:pPr>
              <w:pStyle w:val="TableHead"/>
            </w:pPr>
            <w:r w:rsidRPr="00867A05">
              <w:t>Year</w:t>
            </w:r>
          </w:p>
        </w:tc>
        <w:tc>
          <w:tcPr>
            <w:tcW w:w="3760" w:type="dxa"/>
            <w:shd w:val="clear" w:color="auto" w:fill="auto"/>
          </w:tcPr>
          <w:p w14:paraId="4B71341C" w14:textId="77777777" w:rsidR="00861CDB" w:rsidRPr="00867A05" w:rsidRDefault="00861CDB" w:rsidP="00C23D2D">
            <w:pPr>
              <w:pStyle w:val="TableHead"/>
            </w:pPr>
            <w:r w:rsidRPr="00867A05">
              <w:t>Expenditure (€ million)</w:t>
            </w:r>
          </w:p>
        </w:tc>
      </w:tr>
      <w:tr w:rsidR="00861CDB" w:rsidRPr="00867A05" w14:paraId="0E02BE0A" w14:textId="77777777" w:rsidTr="0052453E">
        <w:tc>
          <w:tcPr>
            <w:tcW w:w="3469" w:type="dxa"/>
            <w:shd w:val="clear" w:color="auto" w:fill="auto"/>
          </w:tcPr>
          <w:p w14:paraId="15A539BC" w14:textId="77777777" w:rsidR="00861CDB" w:rsidRPr="00867A05" w:rsidRDefault="00861CDB" w:rsidP="0016226F">
            <w:pPr>
              <w:pStyle w:val="TableRowHead"/>
              <w:rPr>
                <w:rFonts w:ascii="Gill Sans MT" w:hAnsi="Gill Sans MT"/>
              </w:rPr>
            </w:pPr>
            <w:r w:rsidRPr="00867A05">
              <w:rPr>
                <w:rFonts w:ascii="Gill Sans MT" w:hAnsi="Gill Sans MT"/>
              </w:rPr>
              <w:t>2012</w:t>
            </w:r>
          </w:p>
        </w:tc>
        <w:tc>
          <w:tcPr>
            <w:tcW w:w="3760" w:type="dxa"/>
            <w:shd w:val="clear" w:color="auto" w:fill="auto"/>
          </w:tcPr>
          <w:p w14:paraId="7EA4A960" w14:textId="77777777" w:rsidR="00861CDB" w:rsidRPr="00867A05" w:rsidRDefault="00861CDB" w:rsidP="00C276E0">
            <w:pPr>
              <w:pStyle w:val="TableCell"/>
              <w:jc w:val="right"/>
            </w:pPr>
            <w:r w:rsidRPr="00867A05">
              <w:t>10.57</w:t>
            </w:r>
          </w:p>
        </w:tc>
      </w:tr>
      <w:tr w:rsidR="00861CDB" w:rsidRPr="00867A05" w14:paraId="555B32B6" w14:textId="77777777" w:rsidTr="0052453E">
        <w:tc>
          <w:tcPr>
            <w:tcW w:w="3469" w:type="dxa"/>
            <w:shd w:val="clear" w:color="auto" w:fill="auto"/>
          </w:tcPr>
          <w:p w14:paraId="1A414A58" w14:textId="77777777" w:rsidR="00861CDB" w:rsidRPr="00867A05" w:rsidRDefault="00861CDB" w:rsidP="0016226F">
            <w:pPr>
              <w:pStyle w:val="TableRowHead"/>
              <w:rPr>
                <w:rFonts w:ascii="Gill Sans MT" w:hAnsi="Gill Sans MT"/>
              </w:rPr>
            </w:pPr>
            <w:r w:rsidRPr="00867A05">
              <w:rPr>
                <w:rFonts w:ascii="Gill Sans MT" w:hAnsi="Gill Sans MT"/>
              </w:rPr>
              <w:t>2013</w:t>
            </w:r>
          </w:p>
        </w:tc>
        <w:tc>
          <w:tcPr>
            <w:tcW w:w="3760" w:type="dxa"/>
            <w:shd w:val="clear" w:color="auto" w:fill="auto"/>
          </w:tcPr>
          <w:p w14:paraId="55CDDB19" w14:textId="77777777" w:rsidR="00861CDB" w:rsidRPr="00867A05" w:rsidRDefault="00861CDB" w:rsidP="00C276E0">
            <w:pPr>
              <w:pStyle w:val="TableCell"/>
              <w:jc w:val="right"/>
            </w:pPr>
            <w:r w:rsidRPr="00867A05">
              <w:t>11.04</w:t>
            </w:r>
          </w:p>
        </w:tc>
      </w:tr>
      <w:tr w:rsidR="00861CDB" w:rsidRPr="00867A05" w14:paraId="0A968069" w14:textId="77777777" w:rsidTr="0052453E">
        <w:tc>
          <w:tcPr>
            <w:tcW w:w="3469" w:type="dxa"/>
            <w:shd w:val="clear" w:color="auto" w:fill="auto"/>
          </w:tcPr>
          <w:p w14:paraId="26B547C9" w14:textId="77777777" w:rsidR="00861CDB" w:rsidRPr="00867A05" w:rsidRDefault="00861CDB" w:rsidP="0016226F">
            <w:pPr>
              <w:pStyle w:val="TableRowHead"/>
              <w:rPr>
                <w:rFonts w:ascii="Gill Sans MT" w:hAnsi="Gill Sans MT"/>
              </w:rPr>
            </w:pPr>
            <w:r w:rsidRPr="00867A05">
              <w:rPr>
                <w:rFonts w:ascii="Gill Sans MT" w:hAnsi="Gill Sans MT"/>
              </w:rPr>
              <w:t>2014</w:t>
            </w:r>
          </w:p>
        </w:tc>
        <w:tc>
          <w:tcPr>
            <w:tcW w:w="3760" w:type="dxa"/>
            <w:shd w:val="clear" w:color="auto" w:fill="auto"/>
          </w:tcPr>
          <w:p w14:paraId="138FB16E" w14:textId="77777777" w:rsidR="00861CDB" w:rsidRPr="00867A05" w:rsidRDefault="00861CDB" w:rsidP="00C276E0">
            <w:pPr>
              <w:pStyle w:val="TableCell"/>
              <w:jc w:val="right"/>
            </w:pPr>
            <w:r w:rsidRPr="00867A05">
              <w:t>12.59</w:t>
            </w:r>
          </w:p>
        </w:tc>
      </w:tr>
      <w:tr w:rsidR="00861CDB" w:rsidRPr="00867A05" w14:paraId="1B71C489" w14:textId="77777777" w:rsidTr="0052453E">
        <w:tc>
          <w:tcPr>
            <w:tcW w:w="3469" w:type="dxa"/>
            <w:shd w:val="clear" w:color="auto" w:fill="auto"/>
          </w:tcPr>
          <w:p w14:paraId="4AC8FF81" w14:textId="77777777" w:rsidR="00861CDB" w:rsidRPr="00867A05" w:rsidRDefault="00861CDB" w:rsidP="0016226F">
            <w:pPr>
              <w:pStyle w:val="TableRowHead"/>
              <w:rPr>
                <w:rFonts w:ascii="Gill Sans MT" w:hAnsi="Gill Sans MT"/>
              </w:rPr>
            </w:pPr>
            <w:r w:rsidRPr="00867A05">
              <w:rPr>
                <w:rFonts w:ascii="Gill Sans MT" w:hAnsi="Gill Sans MT"/>
              </w:rPr>
              <w:t>2015</w:t>
            </w:r>
          </w:p>
        </w:tc>
        <w:tc>
          <w:tcPr>
            <w:tcW w:w="3760" w:type="dxa"/>
            <w:shd w:val="clear" w:color="auto" w:fill="auto"/>
          </w:tcPr>
          <w:p w14:paraId="1BFEDD05" w14:textId="77777777" w:rsidR="00861CDB" w:rsidRPr="00867A05" w:rsidRDefault="00861CDB" w:rsidP="00C276E0">
            <w:pPr>
              <w:pStyle w:val="TableCell"/>
              <w:jc w:val="right"/>
            </w:pPr>
            <w:r w:rsidRPr="00867A05">
              <w:t>16.39</w:t>
            </w:r>
          </w:p>
        </w:tc>
      </w:tr>
      <w:tr w:rsidR="00861CDB" w:rsidRPr="00867A05" w14:paraId="5B1BF771" w14:textId="77777777" w:rsidTr="0052453E">
        <w:tc>
          <w:tcPr>
            <w:tcW w:w="3469" w:type="dxa"/>
            <w:shd w:val="clear" w:color="auto" w:fill="auto"/>
          </w:tcPr>
          <w:p w14:paraId="768D8CB0" w14:textId="77777777" w:rsidR="00861CDB" w:rsidRPr="00867A05" w:rsidRDefault="00861CDB" w:rsidP="0016226F">
            <w:pPr>
              <w:pStyle w:val="TableRowHead"/>
              <w:rPr>
                <w:rFonts w:ascii="Gill Sans MT" w:hAnsi="Gill Sans MT"/>
              </w:rPr>
            </w:pPr>
            <w:r w:rsidRPr="00867A05">
              <w:rPr>
                <w:rFonts w:ascii="Gill Sans MT" w:hAnsi="Gill Sans MT"/>
              </w:rPr>
              <w:t>2016</w:t>
            </w:r>
          </w:p>
        </w:tc>
        <w:tc>
          <w:tcPr>
            <w:tcW w:w="3760" w:type="dxa"/>
            <w:shd w:val="clear" w:color="auto" w:fill="auto"/>
          </w:tcPr>
          <w:p w14:paraId="2F5B42BC" w14:textId="77777777" w:rsidR="00861CDB" w:rsidRPr="00867A05" w:rsidRDefault="00861CDB" w:rsidP="00C276E0">
            <w:pPr>
              <w:pStyle w:val="TableCell"/>
              <w:jc w:val="right"/>
            </w:pPr>
            <w:r w:rsidRPr="00867A05">
              <w:t>19.40</w:t>
            </w:r>
          </w:p>
        </w:tc>
      </w:tr>
      <w:tr w:rsidR="00861CDB" w:rsidRPr="00867A05" w14:paraId="40193CC3" w14:textId="77777777" w:rsidTr="0052453E">
        <w:tc>
          <w:tcPr>
            <w:tcW w:w="3469" w:type="dxa"/>
            <w:shd w:val="clear" w:color="auto" w:fill="auto"/>
          </w:tcPr>
          <w:p w14:paraId="5AF09F63" w14:textId="77777777" w:rsidR="00861CDB" w:rsidRPr="00867A05" w:rsidRDefault="00861CDB" w:rsidP="0016226F">
            <w:pPr>
              <w:pStyle w:val="TableRowHead"/>
              <w:rPr>
                <w:rFonts w:ascii="Gill Sans MT" w:hAnsi="Gill Sans MT"/>
              </w:rPr>
            </w:pPr>
            <w:r w:rsidRPr="00867A05">
              <w:rPr>
                <w:rFonts w:ascii="Gill Sans MT" w:hAnsi="Gill Sans MT"/>
              </w:rPr>
              <w:t>2017</w:t>
            </w:r>
          </w:p>
        </w:tc>
        <w:tc>
          <w:tcPr>
            <w:tcW w:w="3760" w:type="dxa"/>
            <w:shd w:val="clear" w:color="auto" w:fill="auto"/>
          </w:tcPr>
          <w:p w14:paraId="5C1F8409" w14:textId="77777777" w:rsidR="00861CDB" w:rsidRPr="00867A05" w:rsidRDefault="00861CDB" w:rsidP="00C276E0">
            <w:pPr>
              <w:pStyle w:val="TableCell"/>
              <w:jc w:val="right"/>
            </w:pPr>
            <w:r w:rsidRPr="00867A05">
              <w:t>20.83</w:t>
            </w:r>
          </w:p>
        </w:tc>
      </w:tr>
      <w:tr w:rsidR="00861CDB" w:rsidRPr="00867A05" w14:paraId="027369C0" w14:textId="77777777" w:rsidTr="0052453E">
        <w:tc>
          <w:tcPr>
            <w:tcW w:w="3469" w:type="dxa"/>
            <w:shd w:val="clear" w:color="auto" w:fill="auto"/>
          </w:tcPr>
          <w:p w14:paraId="233CE978" w14:textId="77777777" w:rsidR="00861CDB" w:rsidRPr="00867A05" w:rsidRDefault="00861CDB" w:rsidP="0016226F">
            <w:pPr>
              <w:pStyle w:val="TableRowHead"/>
              <w:rPr>
                <w:rFonts w:ascii="Gill Sans MT" w:hAnsi="Gill Sans MT"/>
              </w:rPr>
            </w:pPr>
            <w:r w:rsidRPr="00867A05">
              <w:rPr>
                <w:rFonts w:ascii="Gill Sans MT" w:hAnsi="Gill Sans MT"/>
              </w:rPr>
              <w:lastRenderedPageBreak/>
              <w:t>2018 (to October)</w:t>
            </w:r>
          </w:p>
        </w:tc>
        <w:tc>
          <w:tcPr>
            <w:tcW w:w="3760" w:type="dxa"/>
            <w:shd w:val="clear" w:color="auto" w:fill="auto"/>
          </w:tcPr>
          <w:p w14:paraId="72D57842" w14:textId="77777777" w:rsidR="00861CDB" w:rsidRPr="00867A05" w:rsidRDefault="00861CDB" w:rsidP="00C276E0">
            <w:pPr>
              <w:pStyle w:val="TableCell"/>
              <w:jc w:val="right"/>
            </w:pPr>
            <w:r w:rsidRPr="00867A05">
              <w:t>18.55</w:t>
            </w:r>
          </w:p>
        </w:tc>
      </w:tr>
    </w:tbl>
    <w:p w14:paraId="20ACA246" w14:textId="77777777" w:rsidR="00861CDB" w:rsidRDefault="00861CDB" w:rsidP="00861CDB">
      <w:pPr>
        <w:pStyle w:val="TableNote"/>
      </w:pPr>
      <w:r>
        <w:t xml:space="preserve">Source: </w:t>
      </w:r>
      <w:r w:rsidRPr="007457D7">
        <w:t xml:space="preserve">Minister of State at the Department of Employment Affairs and Social Protection, the Department of Justice and Equality and the Department of Health with special responsibility for Disability Issues, Finian McGrath TD, </w:t>
      </w:r>
      <w:r w:rsidRPr="007457D7">
        <w:rPr>
          <w:b/>
        </w:rPr>
        <w:t>Parliamentary Question, 4 December 2018, 50427/18.</w:t>
      </w:r>
    </w:p>
    <w:p w14:paraId="19DA21C3" w14:textId="77777777" w:rsidR="00861CDB" w:rsidRDefault="00C276E0" w:rsidP="00861CDB">
      <w:r>
        <w:t xml:space="preserve">Table 11 shows the increase in numbers of people in employment who were supported through the scheme from 1,006 in 2012 to </w:t>
      </w:r>
      <w:r w:rsidR="005A28E9">
        <w:t>2,606 in October 2018. There was a corresponding increase in employers availing of the scheme from 663 in 2012 to</w:t>
      </w:r>
      <w:r w:rsidR="00861CDB" w:rsidRPr="007457D7">
        <w:t xml:space="preserve"> 1,663</w:t>
      </w:r>
      <w:r w:rsidR="00861CDB">
        <w:t xml:space="preserve"> </w:t>
      </w:r>
      <w:r w:rsidR="005A28E9">
        <w:t>at October 2018</w:t>
      </w:r>
      <w:r w:rsidR="00861CDB">
        <w:t>.</w:t>
      </w:r>
      <w:r w:rsidR="004845A4">
        <w:rPr>
          <w:rStyle w:val="FootnoteReference"/>
        </w:rPr>
        <w:footnoteReference w:id="73"/>
      </w:r>
    </w:p>
    <w:p w14:paraId="604E0783" w14:textId="77777777" w:rsidR="00861CDB" w:rsidRDefault="00C276E0" w:rsidP="00861CDB">
      <w:pPr>
        <w:pStyle w:val="TableTitle"/>
      </w:pPr>
      <w:r>
        <w:t xml:space="preserve">Table 11: </w:t>
      </w:r>
      <w:r w:rsidR="00861CDB">
        <w:t>Number of persons in employment supported through the Wage Subsidy Scheme, 2012-2018</w:t>
      </w:r>
    </w:p>
    <w:tbl>
      <w:tblPr>
        <w:tblW w:w="6804"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11: Number of persons in employment supported through the Wage Subsidy Scheme, 2012-2018"/>
        <w:tblDescription w:val="Table showing the number of persons in employment supported through the Wage Subsidy Scheme, 2012-2018"/>
      </w:tblPr>
      <w:tblGrid>
        <w:gridCol w:w="3186"/>
        <w:gridCol w:w="3618"/>
      </w:tblGrid>
      <w:tr w:rsidR="00861CDB" w:rsidRPr="0052453E" w14:paraId="60DF53E5" w14:textId="77777777" w:rsidTr="0052453E">
        <w:trPr>
          <w:tblHeader/>
        </w:trPr>
        <w:tc>
          <w:tcPr>
            <w:tcW w:w="3186" w:type="dxa"/>
            <w:shd w:val="clear" w:color="auto" w:fill="auto"/>
          </w:tcPr>
          <w:p w14:paraId="2C8305FB" w14:textId="77777777" w:rsidR="00861CDB" w:rsidRPr="0052453E" w:rsidRDefault="00861CDB" w:rsidP="0016226F">
            <w:pPr>
              <w:pStyle w:val="TableHead"/>
            </w:pPr>
            <w:r w:rsidRPr="0052453E">
              <w:t>Year</w:t>
            </w:r>
          </w:p>
        </w:tc>
        <w:tc>
          <w:tcPr>
            <w:tcW w:w="3618" w:type="dxa"/>
            <w:shd w:val="clear" w:color="auto" w:fill="auto"/>
          </w:tcPr>
          <w:p w14:paraId="39893C69" w14:textId="77777777" w:rsidR="00861CDB" w:rsidRPr="0052453E" w:rsidRDefault="00861CDB" w:rsidP="0016226F">
            <w:pPr>
              <w:pStyle w:val="TableHead"/>
            </w:pPr>
            <w:r w:rsidRPr="0052453E">
              <w:t>Number of people</w:t>
            </w:r>
          </w:p>
        </w:tc>
      </w:tr>
      <w:tr w:rsidR="00861CDB" w:rsidRPr="0052453E" w14:paraId="65C01F7A" w14:textId="77777777" w:rsidTr="0052453E">
        <w:tc>
          <w:tcPr>
            <w:tcW w:w="3186" w:type="dxa"/>
            <w:shd w:val="clear" w:color="auto" w:fill="auto"/>
          </w:tcPr>
          <w:p w14:paraId="72A26A87" w14:textId="77777777" w:rsidR="00861CDB" w:rsidRPr="0052453E" w:rsidRDefault="00861CDB" w:rsidP="0016226F">
            <w:pPr>
              <w:pStyle w:val="TableRowHead"/>
              <w:rPr>
                <w:rFonts w:ascii="Gill Sans MT" w:hAnsi="Gill Sans MT"/>
              </w:rPr>
            </w:pPr>
            <w:r w:rsidRPr="0052453E">
              <w:rPr>
                <w:rFonts w:ascii="Gill Sans MT" w:hAnsi="Gill Sans MT"/>
              </w:rPr>
              <w:t>2012</w:t>
            </w:r>
          </w:p>
        </w:tc>
        <w:tc>
          <w:tcPr>
            <w:tcW w:w="3618" w:type="dxa"/>
            <w:shd w:val="clear" w:color="auto" w:fill="auto"/>
          </w:tcPr>
          <w:p w14:paraId="5BDDC44A" w14:textId="77777777" w:rsidR="00861CDB" w:rsidRPr="0052453E" w:rsidRDefault="00861CDB" w:rsidP="00C276E0">
            <w:pPr>
              <w:pStyle w:val="TableCell"/>
              <w:jc w:val="right"/>
            </w:pPr>
            <w:r w:rsidRPr="0052453E">
              <w:t>1,006</w:t>
            </w:r>
          </w:p>
        </w:tc>
      </w:tr>
      <w:tr w:rsidR="00861CDB" w:rsidRPr="0052453E" w14:paraId="793B8D04" w14:textId="77777777" w:rsidTr="0052453E">
        <w:tc>
          <w:tcPr>
            <w:tcW w:w="3186" w:type="dxa"/>
            <w:shd w:val="clear" w:color="auto" w:fill="auto"/>
          </w:tcPr>
          <w:p w14:paraId="168467EF" w14:textId="77777777" w:rsidR="00861CDB" w:rsidRPr="0052453E" w:rsidRDefault="00861CDB" w:rsidP="0016226F">
            <w:pPr>
              <w:pStyle w:val="TableRowHead"/>
              <w:rPr>
                <w:rFonts w:ascii="Gill Sans MT" w:hAnsi="Gill Sans MT"/>
              </w:rPr>
            </w:pPr>
            <w:r w:rsidRPr="0052453E">
              <w:rPr>
                <w:rFonts w:ascii="Gill Sans MT" w:hAnsi="Gill Sans MT"/>
              </w:rPr>
              <w:t>2013</w:t>
            </w:r>
          </w:p>
        </w:tc>
        <w:tc>
          <w:tcPr>
            <w:tcW w:w="3618" w:type="dxa"/>
            <w:shd w:val="clear" w:color="auto" w:fill="auto"/>
          </w:tcPr>
          <w:p w14:paraId="709402C7" w14:textId="77777777" w:rsidR="00861CDB" w:rsidRPr="0052453E" w:rsidRDefault="00861CDB" w:rsidP="00C276E0">
            <w:pPr>
              <w:pStyle w:val="TableCell"/>
              <w:jc w:val="right"/>
            </w:pPr>
            <w:r w:rsidRPr="0052453E">
              <w:t>1,159</w:t>
            </w:r>
          </w:p>
        </w:tc>
      </w:tr>
      <w:tr w:rsidR="00861CDB" w:rsidRPr="0052453E" w14:paraId="6E6D1739" w14:textId="77777777" w:rsidTr="0052453E">
        <w:tc>
          <w:tcPr>
            <w:tcW w:w="3186" w:type="dxa"/>
            <w:shd w:val="clear" w:color="auto" w:fill="auto"/>
          </w:tcPr>
          <w:p w14:paraId="7C9DD50D" w14:textId="77777777" w:rsidR="00861CDB" w:rsidRPr="0052453E" w:rsidRDefault="00861CDB" w:rsidP="0016226F">
            <w:pPr>
              <w:pStyle w:val="TableRowHead"/>
              <w:rPr>
                <w:rFonts w:ascii="Gill Sans MT" w:hAnsi="Gill Sans MT"/>
              </w:rPr>
            </w:pPr>
            <w:r w:rsidRPr="0052453E">
              <w:rPr>
                <w:rFonts w:ascii="Gill Sans MT" w:hAnsi="Gill Sans MT"/>
              </w:rPr>
              <w:t>2014</w:t>
            </w:r>
          </w:p>
        </w:tc>
        <w:tc>
          <w:tcPr>
            <w:tcW w:w="3618" w:type="dxa"/>
            <w:shd w:val="clear" w:color="auto" w:fill="auto"/>
          </w:tcPr>
          <w:p w14:paraId="4E0344A4" w14:textId="77777777" w:rsidR="00861CDB" w:rsidRPr="0052453E" w:rsidRDefault="00861CDB" w:rsidP="00C276E0">
            <w:pPr>
              <w:pStyle w:val="TableCell"/>
              <w:jc w:val="right"/>
            </w:pPr>
            <w:r w:rsidRPr="0052453E">
              <w:t>1,548</w:t>
            </w:r>
          </w:p>
        </w:tc>
      </w:tr>
      <w:tr w:rsidR="00861CDB" w:rsidRPr="0052453E" w14:paraId="0F169EDC" w14:textId="77777777" w:rsidTr="0052453E">
        <w:tc>
          <w:tcPr>
            <w:tcW w:w="3186" w:type="dxa"/>
            <w:shd w:val="clear" w:color="auto" w:fill="auto"/>
          </w:tcPr>
          <w:p w14:paraId="6A20E921" w14:textId="77777777" w:rsidR="00861CDB" w:rsidRPr="0052453E" w:rsidRDefault="00861CDB" w:rsidP="0016226F">
            <w:pPr>
              <w:pStyle w:val="TableRowHead"/>
              <w:rPr>
                <w:rFonts w:ascii="Gill Sans MT" w:hAnsi="Gill Sans MT"/>
              </w:rPr>
            </w:pPr>
            <w:r w:rsidRPr="0052453E">
              <w:rPr>
                <w:rFonts w:ascii="Gill Sans MT" w:hAnsi="Gill Sans MT"/>
              </w:rPr>
              <w:t>2015</w:t>
            </w:r>
          </w:p>
        </w:tc>
        <w:tc>
          <w:tcPr>
            <w:tcW w:w="3618" w:type="dxa"/>
            <w:shd w:val="clear" w:color="auto" w:fill="auto"/>
          </w:tcPr>
          <w:p w14:paraId="0B9C87E9" w14:textId="77777777" w:rsidR="00861CDB" w:rsidRPr="0052453E" w:rsidRDefault="00861CDB" w:rsidP="00C276E0">
            <w:pPr>
              <w:pStyle w:val="TableCell"/>
              <w:jc w:val="right"/>
            </w:pPr>
            <w:r w:rsidRPr="0052453E">
              <w:t>2,144</w:t>
            </w:r>
          </w:p>
        </w:tc>
      </w:tr>
      <w:tr w:rsidR="00861CDB" w:rsidRPr="0052453E" w14:paraId="6A74D56D" w14:textId="77777777" w:rsidTr="0052453E">
        <w:tc>
          <w:tcPr>
            <w:tcW w:w="3186" w:type="dxa"/>
            <w:shd w:val="clear" w:color="auto" w:fill="auto"/>
          </w:tcPr>
          <w:p w14:paraId="71D90DA6" w14:textId="77777777" w:rsidR="00861CDB" w:rsidRPr="0052453E" w:rsidRDefault="00861CDB" w:rsidP="0016226F">
            <w:pPr>
              <w:pStyle w:val="TableRowHead"/>
              <w:rPr>
                <w:rFonts w:ascii="Gill Sans MT" w:hAnsi="Gill Sans MT"/>
              </w:rPr>
            </w:pPr>
            <w:r w:rsidRPr="0052453E">
              <w:rPr>
                <w:rFonts w:ascii="Gill Sans MT" w:hAnsi="Gill Sans MT"/>
              </w:rPr>
              <w:t>2016</w:t>
            </w:r>
          </w:p>
        </w:tc>
        <w:tc>
          <w:tcPr>
            <w:tcW w:w="3618" w:type="dxa"/>
            <w:shd w:val="clear" w:color="auto" w:fill="auto"/>
          </w:tcPr>
          <w:p w14:paraId="2EED8E32" w14:textId="77777777" w:rsidR="00861CDB" w:rsidRPr="0052453E" w:rsidRDefault="00861CDB" w:rsidP="00C276E0">
            <w:pPr>
              <w:pStyle w:val="TableCell"/>
              <w:jc w:val="right"/>
            </w:pPr>
            <w:r w:rsidRPr="0052453E">
              <w:t>2,482</w:t>
            </w:r>
          </w:p>
        </w:tc>
      </w:tr>
      <w:tr w:rsidR="00861CDB" w:rsidRPr="0052453E" w14:paraId="4172E71D" w14:textId="77777777" w:rsidTr="0052453E">
        <w:tc>
          <w:tcPr>
            <w:tcW w:w="3186" w:type="dxa"/>
            <w:shd w:val="clear" w:color="auto" w:fill="auto"/>
          </w:tcPr>
          <w:p w14:paraId="1F2C9875" w14:textId="77777777" w:rsidR="00861CDB" w:rsidRPr="0052453E" w:rsidRDefault="00861CDB" w:rsidP="0016226F">
            <w:pPr>
              <w:pStyle w:val="TableRowHead"/>
              <w:rPr>
                <w:rFonts w:ascii="Gill Sans MT" w:hAnsi="Gill Sans MT"/>
              </w:rPr>
            </w:pPr>
            <w:r w:rsidRPr="0052453E">
              <w:rPr>
                <w:rFonts w:ascii="Gill Sans MT" w:hAnsi="Gill Sans MT"/>
              </w:rPr>
              <w:t>2017</w:t>
            </w:r>
          </w:p>
        </w:tc>
        <w:tc>
          <w:tcPr>
            <w:tcW w:w="3618" w:type="dxa"/>
            <w:shd w:val="clear" w:color="auto" w:fill="auto"/>
          </w:tcPr>
          <w:p w14:paraId="0CE17C86" w14:textId="77777777" w:rsidR="00861CDB" w:rsidRPr="0052453E" w:rsidRDefault="00861CDB" w:rsidP="00C276E0">
            <w:pPr>
              <w:pStyle w:val="TableCell"/>
              <w:jc w:val="right"/>
            </w:pPr>
            <w:r w:rsidRPr="0052453E">
              <w:t>2,669</w:t>
            </w:r>
          </w:p>
        </w:tc>
      </w:tr>
      <w:tr w:rsidR="00861CDB" w:rsidRPr="0052453E" w14:paraId="528DE3D5" w14:textId="77777777" w:rsidTr="0052453E">
        <w:tc>
          <w:tcPr>
            <w:tcW w:w="3186" w:type="dxa"/>
            <w:shd w:val="clear" w:color="auto" w:fill="auto"/>
          </w:tcPr>
          <w:p w14:paraId="7019137B" w14:textId="77777777" w:rsidR="00861CDB" w:rsidRPr="0052453E" w:rsidRDefault="00861CDB" w:rsidP="0016226F">
            <w:pPr>
              <w:pStyle w:val="TableRowHead"/>
              <w:rPr>
                <w:rFonts w:ascii="Gill Sans MT" w:hAnsi="Gill Sans MT"/>
              </w:rPr>
            </w:pPr>
            <w:r w:rsidRPr="0052453E">
              <w:rPr>
                <w:rFonts w:ascii="Gill Sans MT" w:hAnsi="Gill Sans MT"/>
              </w:rPr>
              <w:t>2018 (to October)</w:t>
            </w:r>
          </w:p>
        </w:tc>
        <w:tc>
          <w:tcPr>
            <w:tcW w:w="3618" w:type="dxa"/>
            <w:shd w:val="clear" w:color="auto" w:fill="auto"/>
          </w:tcPr>
          <w:p w14:paraId="0D0D4E9F" w14:textId="77777777" w:rsidR="00861CDB" w:rsidRPr="0052453E" w:rsidRDefault="00861CDB" w:rsidP="00C276E0">
            <w:pPr>
              <w:pStyle w:val="TableCell"/>
              <w:jc w:val="right"/>
            </w:pPr>
            <w:r w:rsidRPr="0052453E">
              <w:t>2,606</w:t>
            </w:r>
          </w:p>
        </w:tc>
      </w:tr>
    </w:tbl>
    <w:p w14:paraId="286A3374" w14:textId="77777777" w:rsidR="00861CDB" w:rsidRPr="007457D7" w:rsidRDefault="00861CDB" w:rsidP="00861CDB">
      <w:pPr>
        <w:pStyle w:val="TableNote"/>
      </w:pPr>
      <w:r>
        <w:t xml:space="preserve">Source: </w:t>
      </w:r>
      <w:r w:rsidRPr="007457D7">
        <w:t xml:space="preserve">Minister of State at the Department of Employment Affairs and Social Protection, the Department of Justice and Equality and the Department of Health with special responsibility for Disability Issues, Finian McGrath TD, </w:t>
      </w:r>
      <w:r w:rsidRPr="007457D7">
        <w:rPr>
          <w:b/>
        </w:rPr>
        <w:t>Parliamentary Question, 4 December 2018, 50427/18.</w:t>
      </w:r>
    </w:p>
    <w:p w14:paraId="0D44B126" w14:textId="77777777" w:rsidR="00861CDB" w:rsidRDefault="0042616C" w:rsidP="00861CDB">
      <w:r>
        <w:t>Issues have</w:t>
      </w:r>
      <w:r w:rsidR="00861CDB" w:rsidRPr="00864491">
        <w:t xml:space="preserve"> been identified with certain conditions pertaining to the </w:t>
      </w:r>
      <w:r w:rsidR="00861CDB" w:rsidRPr="00864491">
        <w:rPr>
          <w:b/>
        </w:rPr>
        <w:t>Wage Subsidy Scheme</w:t>
      </w:r>
      <w:r w:rsidR="00861CDB" w:rsidRPr="00864491">
        <w:t>, which may dis</w:t>
      </w:r>
      <w:r w:rsidR="005A28E9">
        <w:t>-</w:t>
      </w:r>
      <w:r w:rsidR="00861CDB" w:rsidRPr="00864491">
        <w:t xml:space="preserve">incentivise employers from providing certain forms of reasonable </w:t>
      </w:r>
      <w:r w:rsidR="00861CDB" w:rsidRPr="00864491">
        <w:lastRenderedPageBreak/>
        <w:t>accommodations</w:t>
      </w:r>
      <w:r w:rsidR="00F868FB">
        <w:t xml:space="preserve"> to employees with disabilities</w:t>
      </w:r>
      <w:r w:rsidR="00861CDB" w:rsidRPr="00864491">
        <w:t>, such as part-time or reduced working hours. To avail of the Wage Subsidy Scheme, an employee must work for at least 21 hours per week.</w:t>
      </w:r>
      <w:r w:rsidR="00861CDB" w:rsidRPr="007C4DC8">
        <w:rPr>
          <w:sz w:val="22"/>
          <w:szCs w:val="22"/>
          <w:vertAlign w:val="superscript"/>
        </w:rPr>
        <w:footnoteReference w:id="74"/>
      </w:r>
      <w:r w:rsidR="00861CDB" w:rsidRPr="00864491">
        <w:t xml:space="preserve"> Concerns </w:t>
      </w:r>
      <w:r w:rsidR="00861CDB">
        <w:t>have been raised</w:t>
      </w:r>
      <w:r w:rsidR="00861CDB" w:rsidRPr="00864491">
        <w:t xml:space="preserve"> that this threshold is too high and employers cannot access the scheme in respect of employees who are working part-time below 21 hours.</w:t>
      </w:r>
      <w:r w:rsidR="007C4DC8">
        <w:rPr>
          <w:rStyle w:val="FootnoteReference"/>
        </w:rPr>
        <w:footnoteReference w:id="75"/>
      </w:r>
      <w:r w:rsidR="00861CDB" w:rsidRPr="00864491">
        <w:t xml:space="preserve"> </w:t>
      </w:r>
    </w:p>
    <w:p w14:paraId="1F4CC7A3" w14:textId="77777777" w:rsidR="00861CDB" w:rsidRDefault="00861CDB" w:rsidP="00861CDB">
      <w:r w:rsidRPr="00864491">
        <w:t xml:space="preserve">Additionally, employers are only provided with assistance under the Wage Subsidy Scheme where the employee is less than 12 months in that employment. </w:t>
      </w:r>
      <w:r w:rsidR="00310445">
        <w:t>The NDA is aware of calls that the</w:t>
      </w:r>
      <w:r w:rsidRPr="00864491">
        <w:t xml:space="preserve"> scheme should be available for those who acquire a disability after 12 months in order to provide the employer with a financial incentive to retain the employee.</w:t>
      </w:r>
      <w:r w:rsidR="007C4DC8">
        <w:rPr>
          <w:rStyle w:val="FootnoteReference"/>
        </w:rPr>
        <w:footnoteReference w:id="76"/>
      </w:r>
      <w:r w:rsidRPr="00864491">
        <w:t xml:space="preserve"> The NDA is concerned that the scheme, in its current form, may mitigate against employers retaining employees who have acquired a disability after one year of employment.</w:t>
      </w:r>
      <w:r w:rsidR="007C4DC8">
        <w:rPr>
          <w:rStyle w:val="FootnoteReference"/>
        </w:rPr>
        <w:footnoteReference w:id="77"/>
      </w:r>
    </w:p>
    <w:p w14:paraId="5F9380F8" w14:textId="77777777" w:rsidR="00861CDB" w:rsidRDefault="00861CDB" w:rsidP="00861CDB">
      <w:pPr>
        <w:pStyle w:val="Heading2"/>
      </w:pPr>
      <w:bookmarkStart w:id="35" w:name="_Toc65581182"/>
      <w:r>
        <w:t>Reasonable Accommodation Fund</w:t>
      </w:r>
      <w:bookmarkEnd w:id="35"/>
    </w:p>
    <w:p w14:paraId="38C7923F" w14:textId="77777777" w:rsidR="00861CDB" w:rsidRDefault="00861CDB" w:rsidP="00861CDB">
      <w:r>
        <w:t>T</w:t>
      </w:r>
      <w:r w:rsidRPr="00844C77">
        <w:t>he Reasonable Accommodation Fund assist</w:t>
      </w:r>
      <w:r>
        <w:t>s</w:t>
      </w:r>
      <w:r w:rsidRPr="00844C77">
        <w:t xml:space="preserve"> persons with disabilities to gain access to the open labour market by providing grants for reasonable accommodations in the private sector and to support private sector employers in the employment</w:t>
      </w:r>
      <w:r>
        <w:t xml:space="preserve"> of persons with disabilities.</w:t>
      </w:r>
      <w:r w:rsidRPr="00844C77">
        <w:t xml:space="preserve"> </w:t>
      </w:r>
    </w:p>
    <w:p w14:paraId="5B4240CB" w14:textId="77777777" w:rsidR="00861CDB" w:rsidRDefault="00385418" w:rsidP="00861CDB">
      <w:r w:rsidRPr="00844C77">
        <w:t>The following grants are available through the Re</w:t>
      </w:r>
      <w:r>
        <w:t>asonable Accommodation Fund:</w:t>
      </w:r>
    </w:p>
    <w:p w14:paraId="17BC97A5" w14:textId="77777777" w:rsidR="00861CDB" w:rsidRDefault="00861CDB" w:rsidP="00AA27FA">
      <w:pPr>
        <w:pStyle w:val="ListNumber"/>
        <w:numPr>
          <w:ilvl w:val="0"/>
          <w:numId w:val="33"/>
        </w:numPr>
      </w:pPr>
      <w:r w:rsidRPr="00AA27FA">
        <w:rPr>
          <w:b/>
        </w:rPr>
        <w:t>Workplace Equipment and Adaptation Grant:</w:t>
      </w:r>
      <w:r w:rsidRPr="00844C77">
        <w:t xml:space="preserve"> Grant assistance is available for employers of staff with disabilities who need an adapted or more accessible workplace or </w:t>
      </w:r>
      <w:r w:rsidRPr="00844C77">
        <w:lastRenderedPageBreak/>
        <w:t xml:space="preserve">the purchase of specialised equipment, in order to do their job. The grant can be applied for if the person with a disability is already employed or is about to be employed. A maximum grant of €6,350 is available towards the cost of adaptations </w:t>
      </w:r>
      <w:r>
        <w:t>to premises or equipment.</w:t>
      </w:r>
    </w:p>
    <w:p w14:paraId="39125DFF" w14:textId="77777777" w:rsidR="00861CDB" w:rsidRDefault="00861CDB" w:rsidP="00861CDB">
      <w:pPr>
        <w:pStyle w:val="ListNumber"/>
      </w:pPr>
      <w:r w:rsidRPr="00844C77">
        <w:rPr>
          <w:b/>
        </w:rPr>
        <w:t>Personal Reader Grant:</w:t>
      </w:r>
      <w:r w:rsidRPr="00844C77">
        <w:t xml:space="preserve"> If an employer hires a person who is blind or visually impaired and who needs assistance with job-related reading, they may</w:t>
      </w:r>
      <w:r>
        <w:t xml:space="preserve"> </w:t>
      </w:r>
      <w:r w:rsidRPr="00844C77">
        <w:t xml:space="preserve">be entitled to a grant to allow them employ a Personal Reader. Examples of situations for which the grant may be given are where: </w:t>
      </w:r>
    </w:p>
    <w:p w14:paraId="10ACDD4D" w14:textId="77777777" w:rsidR="00861CDB" w:rsidRDefault="00861CDB" w:rsidP="00861CDB">
      <w:pPr>
        <w:pStyle w:val="ListBullet2"/>
      </w:pPr>
      <w:r w:rsidRPr="00844C77">
        <w:t xml:space="preserve">The individual is employed in the private sector and needs assistance with work-related reading </w:t>
      </w:r>
    </w:p>
    <w:p w14:paraId="52B28865" w14:textId="77777777" w:rsidR="00861CDB" w:rsidRDefault="00861CDB" w:rsidP="00861CDB">
      <w:pPr>
        <w:pStyle w:val="ListBullet2"/>
      </w:pPr>
      <w:r w:rsidRPr="00844C77">
        <w:t>Their prospects for promotion are restricted because of reading difficulties due to visual impairment</w:t>
      </w:r>
    </w:p>
    <w:p w14:paraId="26277817" w14:textId="77777777" w:rsidR="00861CDB" w:rsidRDefault="00861CDB" w:rsidP="00AA27FA">
      <w:pPr>
        <w:pStyle w:val="ListNumber"/>
      </w:pPr>
      <w:r w:rsidRPr="00844C77">
        <w:rPr>
          <w:b/>
        </w:rPr>
        <w:t>Job Interview Interpreter Grant:</w:t>
      </w:r>
      <w:r w:rsidRPr="00844C77">
        <w:t xml:space="preserve"> Under the Job Interview Interpreter Grant Scheme, the Department of Employment Affairs and Social Protection will normally pay a set fee for a three hour period to provide for the services of an interpreter to support speech or hearing impaired persons who wish to attend job interviews. Travel costs for the interpreter </w:t>
      </w:r>
      <w:r>
        <w:t>are paid at a fixed rate.</w:t>
      </w:r>
    </w:p>
    <w:p w14:paraId="5336C553" w14:textId="77777777" w:rsidR="00861CDB" w:rsidRDefault="00861CDB" w:rsidP="00861CDB">
      <w:pPr>
        <w:pStyle w:val="ListNumber"/>
      </w:pPr>
      <w:r w:rsidRPr="00844C77">
        <w:rPr>
          <w:b/>
        </w:rPr>
        <w:t>Employee Retention Grant:</w:t>
      </w:r>
      <w:r w:rsidRPr="00844C77">
        <w:t xml:space="preserve"> The purpose of the Employee Retention Grant Scheme is to assist private sector employers to retain employees who acquire an illness, condition or impairment which impacts on their ability to carry out their job. This scheme assists in maintaining the employability of the employee when s/he acquires an illness, condition or impairment (occupational or otherwise) by providing funding to: </w:t>
      </w:r>
    </w:p>
    <w:p w14:paraId="773CD91D" w14:textId="77777777" w:rsidR="00861CDB" w:rsidRDefault="00861CDB" w:rsidP="00861CDB">
      <w:pPr>
        <w:pStyle w:val="ListBullet2"/>
      </w:pPr>
      <w:r w:rsidRPr="00844C77">
        <w:t xml:space="preserve">Identify accommodation and/or training to enable the employee to remain in his/her current position (maximum funding is €2,500) </w:t>
      </w:r>
    </w:p>
    <w:p w14:paraId="7462372D" w14:textId="77777777" w:rsidR="00861CDB" w:rsidRDefault="00861CDB" w:rsidP="00385418">
      <w:pPr>
        <w:pStyle w:val="ListBullet2"/>
        <w:spacing w:after="240"/>
        <w:ind w:left="714" w:hanging="357"/>
      </w:pPr>
      <w:r w:rsidRPr="00844C77">
        <w:t>Re-train the employee so that s/he can take up another position within the comp</w:t>
      </w:r>
      <w:r w:rsidR="00470A71">
        <w:t>a</w:t>
      </w:r>
      <w:r w:rsidR="005A28E9">
        <w:t>ny (maximum funding is €12,500)</w:t>
      </w:r>
    </w:p>
    <w:p w14:paraId="76EBAD1C" w14:textId="77777777" w:rsidR="00385418" w:rsidRDefault="00385418" w:rsidP="00B323C3">
      <w:r>
        <w:t>The total spend on the fund annually and the total number of persons with disabilities accommodated through the fund are presented in Tables 12 and 13 below.</w:t>
      </w:r>
    </w:p>
    <w:p w14:paraId="4A5CFD70" w14:textId="77777777" w:rsidR="00861CDB" w:rsidRDefault="00385418" w:rsidP="00B323C3">
      <w:pPr>
        <w:pStyle w:val="TableTitle"/>
        <w:rPr>
          <w:rFonts w:eastAsia="Calibri"/>
        </w:rPr>
      </w:pPr>
      <w:r>
        <w:rPr>
          <w:rFonts w:eastAsia="Calibri"/>
        </w:rPr>
        <w:lastRenderedPageBreak/>
        <w:t xml:space="preserve">Table 12: </w:t>
      </w:r>
      <w:r w:rsidR="00861CDB" w:rsidRPr="00536B99">
        <w:rPr>
          <w:rFonts w:eastAsia="Calibri"/>
        </w:rPr>
        <w:t>Expenditure on the Reasonable Accommodation Fund for People with Disabilities, 2012-2018</w:t>
      </w:r>
    </w:p>
    <w:tbl>
      <w:tblPr>
        <w:tblStyle w:val="TableGrid"/>
        <w:tblW w:w="0" w:type="auto"/>
        <w:tblLook w:val="04A0" w:firstRow="1" w:lastRow="0" w:firstColumn="1" w:lastColumn="0" w:noHBand="0" w:noVBand="1"/>
        <w:tblCaption w:val="Table 12: Expenditure on the Reasonable Accommodation Fund for People with Disabilities, 2012-2018"/>
        <w:tblDescription w:val="Table showing the expenditure on the Reasonable Accommodation Fund for People with Disabilities, 2012-2018"/>
      </w:tblPr>
      <w:tblGrid>
        <w:gridCol w:w="1274"/>
        <w:gridCol w:w="1586"/>
        <w:gridCol w:w="1396"/>
        <w:gridCol w:w="1597"/>
        <w:gridCol w:w="1436"/>
        <w:gridCol w:w="1341"/>
      </w:tblGrid>
      <w:tr w:rsidR="005A28E9" w:rsidRPr="0052453E" w14:paraId="2BC5D8BD" w14:textId="77777777" w:rsidTr="0052453E">
        <w:trPr>
          <w:tblHeader/>
        </w:trPr>
        <w:tc>
          <w:tcPr>
            <w:tcW w:w="1438" w:type="dxa"/>
          </w:tcPr>
          <w:p w14:paraId="6C738BAD" w14:textId="77777777" w:rsidR="005A28E9" w:rsidRPr="0052453E" w:rsidRDefault="005A28E9" w:rsidP="00C23D2D">
            <w:pPr>
              <w:pStyle w:val="TableHead"/>
              <w:rPr>
                <w:rFonts w:eastAsia="Calibri"/>
              </w:rPr>
            </w:pPr>
            <w:r w:rsidRPr="0052453E">
              <w:rPr>
                <w:rFonts w:eastAsia="Calibri"/>
              </w:rPr>
              <w:t>Year</w:t>
            </w:r>
          </w:p>
        </w:tc>
        <w:tc>
          <w:tcPr>
            <w:tcW w:w="1438" w:type="dxa"/>
          </w:tcPr>
          <w:p w14:paraId="27C24B75" w14:textId="77777777" w:rsidR="005A28E9" w:rsidRPr="0052453E" w:rsidRDefault="005A28E9" w:rsidP="00C23D2D">
            <w:pPr>
              <w:pStyle w:val="TableHead"/>
              <w:rPr>
                <w:rFonts w:eastAsia="Calibri"/>
              </w:rPr>
            </w:pPr>
            <w:r w:rsidRPr="0052453E">
              <w:rPr>
                <w:rFonts w:eastAsia="Calibri"/>
              </w:rPr>
              <w:t>Workplace Equipment and Adaptation Grant</w:t>
            </w:r>
          </w:p>
        </w:tc>
        <w:tc>
          <w:tcPr>
            <w:tcW w:w="1438" w:type="dxa"/>
          </w:tcPr>
          <w:p w14:paraId="63D598A6" w14:textId="77777777" w:rsidR="005A28E9" w:rsidRPr="0052453E" w:rsidRDefault="0090120A" w:rsidP="00C23D2D">
            <w:pPr>
              <w:pStyle w:val="TableHead"/>
              <w:rPr>
                <w:rFonts w:eastAsia="Calibri"/>
              </w:rPr>
            </w:pPr>
            <w:r w:rsidRPr="0052453E">
              <w:rPr>
                <w:rFonts w:eastAsia="Calibri"/>
              </w:rPr>
              <w:t>Personal Reader Grant</w:t>
            </w:r>
          </w:p>
        </w:tc>
        <w:tc>
          <w:tcPr>
            <w:tcW w:w="1438" w:type="dxa"/>
          </w:tcPr>
          <w:p w14:paraId="144E0DA5" w14:textId="77777777" w:rsidR="005A28E9" w:rsidRPr="0052453E" w:rsidRDefault="0090120A" w:rsidP="00C23D2D">
            <w:pPr>
              <w:pStyle w:val="TableHead"/>
              <w:rPr>
                <w:rFonts w:eastAsia="Calibri"/>
              </w:rPr>
            </w:pPr>
            <w:r w:rsidRPr="0052453E">
              <w:rPr>
                <w:rFonts w:eastAsia="Calibri"/>
              </w:rPr>
              <w:t>Job Interview Interpreter Grant</w:t>
            </w:r>
          </w:p>
        </w:tc>
        <w:tc>
          <w:tcPr>
            <w:tcW w:w="1439" w:type="dxa"/>
          </w:tcPr>
          <w:p w14:paraId="116E37A7" w14:textId="77777777" w:rsidR="005A28E9" w:rsidRPr="0052453E" w:rsidRDefault="0090120A" w:rsidP="00C23D2D">
            <w:pPr>
              <w:pStyle w:val="TableHead"/>
              <w:rPr>
                <w:rFonts w:eastAsia="Calibri"/>
              </w:rPr>
            </w:pPr>
            <w:r w:rsidRPr="0052453E">
              <w:rPr>
                <w:rFonts w:eastAsia="Calibri"/>
              </w:rPr>
              <w:t>Employee Retention Grant</w:t>
            </w:r>
          </w:p>
        </w:tc>
        <w:tc>
          <w:tcPr>
            <w:tcW w:w="1439" w:type="dxa"/>
          </w:tcPr>
          <w:p w14:paraId="4C59CACC" w14:textId="77777777" w:rsidR="005A28E9" w:rsidRPr="0052453E" w:rsidRDefault="0090120A" w:rsidP="00C23D2D">
            <w:pPr>
              <w:pStyle w:val="TableHead"/>
              <w:rPr>
                <w:rFonts w:eastAsia="Calibri"/>
              </w:rPr>
            </w:pPr>
            <w:r w:rsidRPr="0052453E">
              <w:rPr>
                <w:rFonts w:eastAsia="Calibri"/>
              </w:rPr>
              <w:t>Total</w:t>
            </w:r>
          </w:p>
        </w:tc>
      </w:tr>
      <w:tr w:rsidR="005A28E9" w:rsidRPr="0052453E" w14:paraId="19095445" w14:textId="77777777" w:rsidTr="003C411A">
        <w:tc>
          <w:tcPr>
            <w:tcW w:w="1438" w:type="dxa"/>
          </w:tcPr>
          <w:p w14:paraId="6018A253" w14:textId="77777777" w:rsidR="005A28E9" w:rsidRPr="0052453E" w:rsidRDefault="005A28E9" w:rsidP="005A28E9">
            <w:pPr>
              <w:spacing w:after="200" w:line="23" w:lineRule="atLeast"/>
              <w:rPr>
                <w:rFonts w:eastAsia="Calibri"/>
                <w:b/>
                <w:szCs w:val="26"/>
              </w:rPr>
            </w:pPr>
            <w:r w:rsidRPr="0052453E">
              <w:rPr>
                <w:rFonts w:eastAsia="Calibri"/>
                <w:b/>
                <w:szCs w:val="26"/>
              </w:rPr>
              <w:t>2012</w:t>
            </w:r>
          </w:p>
        </w:tc>
        <w:tc>
          <w:tcPr>
            <w:tcW w:w="1438" w:type="dxa"/>
          </w:tcPr>
          <w:p w14:paraId="2C1837ED" w14:textId="77777777" w:rsidR="005A28E9" w:rsidRPr="0052453E" w:rsidRDefault="005A28E9" w:rsidP="0090120A">
            <w:pPr>
              <w:spacing w:after="200" w:line="23" w:lineRule="atLeast"/>
              <w:jc w:val="right"/>
              <w:rPr>
                <w:rFonts w:eastAsia="Calibri"/>
                <w:b/>
                <w:szCs w:val="26"/>
              </w:rPr>
            </w:pPr>
            <w:r w:rsidRPr="0052453E">
              <w:rPr>
                <w:rFonts w:eastAsia="Calibri"/>
                <w:szCs w:val="26"/>
              </w:rPr>
              <w:t>71,176</w:t>
            </w:r>
          </w:p>
        </w:tc>
        <w:tc>
          <w:tcPr>
            <w:tcW w:w="1438" w:type="dxa"/>
            <w:vAlign w:val="center"/>
          </w:tcPr>
          <w:p w14:paraId="3826368C"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27,274</w:t>
            </w:r>
          </w:p>
        </w:tc>
        <w:tc>
          <w:tcPr>
            <w:tcW w:w="1438" w:type="dxa"/>
            <w:vAlign w:val="center"/>
          </w:tcPr>
          <w:p w14:paraId="2D075C39"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6,355</w:t>
            </w:r>
          </w:p>
        </w:tc>
        <w:tc>
          <w:tcPr>
            <w:tcW w:w="1439" w:type="dxa"/>
            <w:vAlign w:val="center"/>
          </w:tcPr>
          <w:p w14:paraId="0E69B580"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4,320</w:t>
            </w:r>
          </w:p>
        </w:tc>
        <w:tc>
          <w:tcPr>
            <w:tcW w:w="1439" w:type="dxa"/>
            <w:vAlign w:val="center"/>
          </w:tcPr>
          <w:p w14:paraId="0864AB39"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109,125</w:t>
            </w:r>
          </w:p>
        </w:tc>
      </w:tr>
      <w:tr w:rsidR="005A28E9" w:rsidRPr="0052453E" w14:paraId="05ACF16A" w14:textId="77777777" w:rsidTr="003C411A">
        <w:tc>
          <w:tcPr>
            <w:tcW w:w="1438" w:type="dxa"/>
          </w:tcPr>
          <w:p w14:paraId="15F29524" w14:textId="77777777" w:rsidR="005A28E9" w:rsidRPr="0052453E" w:rsidRDefault="005A28E9" w:rsidP="005A28E9">
            <w:pPr>
              <w:spacing w:after="200" w:line="23" w:lineRule="atLeast"/>
              <w:rPr>
                <w:rFonts w:eastAsia="Calibri"/>
                <w:b/>
                <w:szCs w:val="26"/>
              </w:rPr>
            </w:pPr>
            <w:r w:rsidRPr="0052453E">
              <w:rPr>
                <w:rFonts w:eastAsia="Calibri"/>
                <w:b/>
                <w:szCs w:val="26"/>
              </w:rPr>
              <w:t>2013</w:t>
            </w:r>
          </w:p>
        </w:tc>
        <w:tc>
          <w:tcPr>
            <w:tcW w:w="1438" w:type="dxa"/>
          </w:tcPr>
          <w:p w14:paraId="165030CA" w14:textId="77777777" w:rsidR="005A28E9" w:rsidRPr="0052453E" w:rsidRDefault="005A28E9" w:rsidP="0090120A">
            <w:pPr>
              <w:spacing w:after="200" w:line="23" w:lineRule="atLeast"/>
              <w:jc w:val="right"/>
              <w:rPr>
                <w:rFonts w:eastAsia="Calibri"/>
                <w:b/>
                <w:szCs w:val="26"/>
              </w:rPr>
            </w:pPr>
            <w:r w:rsidRPr="0052453E">
              <w:rPr>
                <w:rFonts w:eastAsia="Calibri"/>
                <w:szCs w:val="26"/>
              </w:rPr>
              <w:t>81,724</w:t>
            </w:r>
          </w:p>
        </w:tc>
        <w:tc>
          <w:tcPr>
            <w:tcW w:w="1438" w:type="dxa"/>
            <w:vAlign w:val="center"/>
          </w:tcPr>
          <w:p w14:paraId="1D6C7D64"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27,526</w:t>
            </w:r>
          </w:p>
        </w:tc>
        <w:tc>
          <w:tcPr>
            <w:tcW w:w="1438" w:type="dxa"/>
            <w:vAlign w:val="center"/>
          </w:tcPr>
          <w:p w14:paraId="66132E28"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2,767</w:t>
            </w:r>
          </w:p>
        </w:tc>
        <w:tc>
          <w:tcPr>
            <w:tcW w:w="1439" w:type="dxa"/>
            <w:vAlign w:val="center"/>
          </w:tcPr>
          <w:p w14:paraId="08DEA3A7"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0</w:t>
            </w:r>
          </w:p>
        </w:tc>
        <w:tc>
          <w:tcPr>
            <w:tcW w:w="1439" w:type="dxa"/>
            <w:vAlign w:val="center"/>
          </w:tcPr>
          <w:p w14:paraId="6038FF74"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112,017</w:t>
            </w:r>
          </w:p>
        </w:tc>
      </w:tr>
      <w:tr w:rsidR="005A28E9" w:rsidRPr="0052453E" w14:paraId="7B7E1827" w14:textId="77777777" w:rsidTr="003C411A">
        <w:tc>
          <w:tcPr>
            <w:tcW w:w="1438" w:type="dxa"/>
          </w:tcPr>
          <w:p w14:paraId="56B6350A" w14:textId="77777777" w:rsidR="005A28E9" w:rsidRPr="0052453E" w:rsidRDefault="005A28E9" w:rsidP="005A28E9">
            <w:pPr>
              <w:spacing w:after="200" w:line="23" w:lineRule="atLeast"/>
              <w:rPr>
                <w:rFonts w:eastAsia="Calibri"/>
                <w:b/>
                <w:szCs w:val="26"/>
              </w:rPr>
            </w:pPr>
            <w:r w:rsidRPr="0052453E">
              <w:rPr>
                <w:rFonts w:eastAsia="Calibri"/>
                <w:b/>
                <w:szCs w:val="26"/>
              </w:rPr>
              <w:t>2014</w:t>
            </w:r>
          </w:p>
        </w:tc>
        <w:tc>
          <w:tcPr>
            <w:tcW w:w="1438" w:type="dxa"/>
          </w:tcPr>
          <w:p w14:paraId="271DB00E" w14:textId="77777777" w:rsidR="005A28E9" w:rsidRPr="0052453E" w:rsidRDefault="005A28E9" w:rsidP="0090120A">
            <w:pPr>
              <w:spacing w:after="200" w:line="23" w:lineRule="atLeast"/>
              <w:jc w:val="right"/>
              <w:rPr>
                <w:rFonts w:eastAsia="Calibri"/>
                <w:b/>
                <w:szCs w:val="26"/>
              </w:rPr>
            </w:pPr>
            <w:r w:rsidRPr="0052453E">
              <w:rPr>
                <w:rFonts w:eastAsia="Calibri"/>
                <w:szCs w:val="26"/>
              </w:rPr>
              <w:t>61,776</w:t>
            </w:r>
          </w:p>
        </w:tc>
        <w:tc>
          <w:tcPr>
            <w:tcW w:w="1438" w:type="dxa"/>
            <w:vAlign w:val="center"/>
          </w:tcPr>
          <w:p w14:paraId="38F7C062"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14,499</w:t>
            </w:r>
          </w:p>
        </w:tc>
        <w:tc>
          <w:tcPr>
            <w:tcW w:w="1438" w:type="dxa"/>
            <w:vAlign w:val="center"/>
          </w:tcPr>
          <w:p w14:paraId="139C4B64"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1,589</w:t>
            </w:r>
          </w:p>
        </w:tc>
        <w:tc>
          <w:tcPr>
            <w:tcW w:w="1439" w:type="dxa"/>
            <w:vAlign w:val="center"/>
          </w:tcPr>
          <w:p w14:paraId="6E05025C"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0</w:t>
            </w:r>
          </w:p>
        </w:tc>
        <w:tc>
          <w:tcPr>
            <w:tcW w:w="1439" w:type="dxa"/>
            <w:vAlign w:val="center"/>
          </w:tcPr>
          <w:p w14:paraId="513864C1"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77,864</w:t>
            </w:r>
          </w:p>
        </w:tc>
      </w:tr>
      <w:tr w:rsidR="005A28E9" w:rsidRPr="0052453E" w14:paraId="7A9EEA14" w14:textId="77777777" w:rsidTr="003C411A">
        <w:tc>
          <w:tcPr>
            <w:tcW w:w="1438" w:type="dxa"/>
          </w:tcPr>
          <w:p w14:paraId="2F717A6B" w14:textId="77777777" w:rsidR="005A28E9" w:rsidRPr="0052453E" w:rsidRDefault="005A28E9" w:rsidP="005A28E9">
            <w:pPr>
              <w:spacing w:after="200" w:line="23" w:lineRule="atLeast"/>
              <w:rPr>
                <w:rFonts w:eastAsia="Calibri"/>
                <w:b/>
                <w:szCs w:val="26"/>
              </w:rPr>
            </w:pPr>
            <w:r w:rsidRPr="0052453E">
              <w:rPr>
                <w:rFonts w:eastAsia="Calibri"/>
                <w:b/>
                <w:szCs w:val="26"/>
              </w:rPr>
              <w:t>2015</w:t>
            </w:r>
          </w:p>
        </w:tc>
        <w:tc>
          <w:tcPr>
            <w:tcW w:w="1438" w:type="dxa"/>
          </w:tcPr>
          <w:p w14:paraId="2F72243A" w14:textId="77777777" w:rsidR="005A28E9" w:rsidRPr="0052453E" w:rsidRDefault="005A28E9" w:rsidP="0090120A">
            <w:pPr>
              <w:spacing w:after="200" w:line="23" w:lineRule="atLeast"/>
              <w:jc w:val="right"/>
              <w:rPr>
                <w:rFonts w:eastAsia="Calibri"/>
                <w:b/>
                <w:szCs w:val="26"/>
              </w:rPr>
            </w:pPr>
            <w:r w:rsidRPr="0052453E">
              <w:rPr>
                <w:rFonts w:eastAsia="Calibri"/>
                <w:szCs w:val="26"/>
              </w:rPr>
              <w:t>58,108</w:t>
            </w:r>
          </w:p>
        </w:tc>
        <w:tc>
          <w:tcPr>
            <w:tcW w:w="1438" w:type="dxa"/>
            <w:vAlign w:val="center"/>
          </w:tcPr>
          <w:p w14:paraId="48E4983E"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11,866</w:t>
            </w:r>
          </w:p>
        </w:tc>
        <w:tc>
          <w:tcPr>
            <w:tcW w:w="1438" w:type="dxa"/>
            <w:vAlign w:val="center"/>
          </w:tcPr>
          <w:p w14:paraId="04B14DD5"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3,950</w:t>
            </w:r>
          </w:p>
        </w:tc>
        <w:tc>
          <w:tcPr>
            <w:tcW w:w="1439" w:type="dxa"/>
            <w:vAlign w:val="center"/>
          </w:tcPr>
          <w:p w14:paraId="2103868C"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0</w:t>
            </w:r>
          </w:p>
        </w:tc>
        <w:tc>
          <w:tcPr>
            <w:tcW w:w="1439" w:type="dxa"/>
            <w:vAlign w:val="center"/>
          </w:tcPr>
          <w:p w14:paraId="1F4D7C1B"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73,925</w:t>
            </w:r>
          </w:p>
        </w:tc>
      </w:tr>
      <w:tr w:rsidR="005A28E9" w:rsidRPr="0052453E" w14:paraId="09C343C6" w14:textId="77777777" w:rsidTr="003C411A">
        <w:tc>
          <w:tcPr>
            <w:tcW w:w="1438" w:type="dxa"/>
          </w:tcPr>
          <w:p w14:paraId="3D86EC0A" w14:textId="77777777" w:rsidR="005A28E9" w:rsidRPr="0052453E" w:rsidRDefault="005A28E9" w:rsidP="005A28E9">
            <w:pPr>
              <w:spacing w:after="200" w:line="23" w:lineRule="atLeast"/>
              <w:rPr>
                <w:rFonts w:eastAsia="Calibri"/>
                <w:b/>
                <w:szCs w:val="26"/>
              </w:rPr>
            </w:pPr>
            <w:r w:rsidRPr="0052453E">
              <w:rPr>
                <w:rFonts w:eastAsia="Calibri"/>
                <w:b/>
                <w:szCs w:val="26"/>
              </w:rPr>
              <w:t>2016</w:t>
            </w:r>
          </w:p>
        </w:tc>
        <w:tc>
          <w:tcPr>
            <w:tcW w:w="1438" w:type="dxa"/>
          </w:tcPr>
          <w:p w14:paraId="7C1A0F53" w14:textId="77777777" w:rsidR="005A28E9" w:rsidRPr="0052453E" w:rsidRDefault="005A28E9" w:rsidP="0090120A">
            <w:pPr>
              <w:spacing w:after="200" w:line="23" w:lineRule="atLeast"/>
              <w:jc w:val="right"/>
              <w:rPr>
                <w:rFonts w:eastAsia="Calibri"/>
                <w:b/>
                <w:szCs w:val="26"/>
              </w:rPr>
            </w:pPr>
            <w:r w:rsidRPr="0052453E">
              <w:rPr>
                <w:rFonts w:eastAsia="Calibri"/>
                <w:szCs w:val="26"/>
              </w:rPr>
              <w:t>54,041</w:t>
            </w:r>
          </w:p>
        </w:tc>
        <w:tc>
          <w:tcPr>
            <w:tcW w:w="1438" w:type="dxa"/>
            <w:vAlign w:val="center"/>
          </w:tcPr>
          <w:p w14:paraId="0ECADF3D"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16,537</w:t>
            </w:r>
          </w:p>
        </w:tc>
        <w:tc>
          <w:tcPr>
            <w:tcW w:w="1438" w:type="dxa"/>
            <w:vAlign w:val="center"/>
          </w:tcPr>
          <w:p w14:paraId="17E2D2D9"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7,244</w:t>
            </w:r>
          </w:p>
        </w:tc>
        <w:tc>
          <w:tcPr>
            <w:tcW w:w="1439" w:type="dxa"/>
            <w:vAlign w:val="center"/>
          </w:tcPr>
          <w:p w14:paraId="73BF7E55"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0</w:t>
            </w:r>
          </w:p>
        </w:tc>
        <w:tc>
          <w:tcPr>
            <w:tcW w:w="1439" w:type="dxa"/>
            <w:vAlign w:val="center"/>
          </w:tcPr>
          <w:p w14:paraId="145E893A"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77,822</w:t>
            </w:r>
          </w:p>
        </w:tc>
      </w:tr>
      <w:tr w:rsidR="005A28E9" w:rsidRPr="0052453E" w14:paraId="3233350D" w14:textId="77777777" w:rsidTr="003C411A">
        <w:tc>
          <w:tcPr>
            <w:tcW w:w="1438" w:type="dxa"/>
          </w:tcPr>
          <w:p w14:paraId="230BC445" w14:textId="77777777" w:rsidR="005A28E9" w:rsidRPr="0052453E" w:rsidRDefault="005A28E9" w:rsidP="005A28E9">
            <w:pPr>
              <w:spacing w:after="200" w:line="23" w:lineRule="atLeast"/>
              <w:rPr>
                <w:rFonts w:eastAsia="Calibri"/>
                <w:b/>
                <w:szCs w:val="26"/>
              </w:rPr>
            </w:pPr>
            <w:r w:rsidRPr="0052453E">
              <w:rPr>
                <w:rFonts w:eastAsia="Calibri"/>
                <w:b/>
                <w:szCs w:val="26"/>
              </w:rPr>
              <w:t>2017</w:t>
            </w:r>
          </w:p>
        </w:tc>
        <w:tc>
          <w:tcPr>
            <w:tcW w:w="1438" w:type="dxa"/>
          </w:tcPr>
          <w:p w14:paraId="15754D88" w14:textId="77777777" w:rsidR="005A28E9" w:rsidRPr="0052453E" w:rsidRDefault="005A28E9" w:rsidP="0090120A">
            <w:pPr>
              <w:spacing w:after="200" w:line="23" w:lineRule="atLeast"/>
              <w:jc w:val="right"/>
              <w:rPr>
                <w:rFonts w:eastAsia="Calibri"/>
                <w:b/>
                <w:szCs w:val="26"/>
              </w:rPr>
            </w:pPr>
            <w:r w:rsidRPr="0052453E">
              <w:rPr>
                <w:rFonts w:eastAsia="Calibri"/>
                <w:szCs w:val="26"/>
              </w:rPr>
              <w:t>69,254</w:t>
            </w:r>
          </w:p>
        </w:tc>
        <w:tc>
          <w:tcPr>
            <w:tcW w:w="1438" w:type="dxa"/>
            <w:vAlign w:val="center"/>
          </w:tcPr>
          <w:p w14:paraId="502C124D"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31,619</w:t>
            </w:r>
          </w:p>
        </w:tc>
        <w:tc>
          <w:tcPr>
            <w:tcW w:w="1438" w:type="dxa"/>
            <w:vAlign w:val="center"/>
          </w:tcPr>
          <w:p w14:paraId="45C70125"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5,714</w:t>
            </w:r>
          </w:p>
        </w:tc>
        <w:tc>
          <w:tcPr>
            <w:tcW w:w="1439" w:type="dxa"/>
            <w:vAlign w:val="center"/>
          </w:tcPr>
          <w:p w14:paraId="7E83B4DD"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0</w:t>
            </w:r>
          </w:p>
        </w:tc>
        <w:tc>
          <w:tcPr>
            <w:tcW w:w="1439" w:type="dxa"/>
            <w:vAlign w:val="center"/>
          </w:tcPr>
          <w:p w14:paraId="1DBE8CFB"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106,587</w:t>
            </w:r>
          </w:p>
        </w:tc>
      </w:tr>
      <w:tr w:rsidR="005A28E9" w:rsidRPr="0052453E" w14:paraId="05E77D08" w14:textId="77777777" w:rsidTr="003C411A">
        <w:tc>
          <w:tcPr>
            <w:tcW w:w="1438" w:type="dxa"/>
          </w:tcPr>
          <w:p w14:paraId="71871294" w14:textId="77777777" w:rsidR="005A28E9" w:rsidRPr="0052453E" w:rsidRDefault="005A28E9" w:rsidP="005A28E9">
            <w:pPr>
              <w:spacing w:after="200" w:line="23" w:lineRule="atLeast"/>
              <w:rPr>
                <w:rFonts w:eastAsia="Calibri"/>
                <w:b/>
                <w:szCs w:val="26"/>
              </w:rPr>
            </w:pPr>
            <w:r w:rsidRPr="0052453E">
              <w:rPr>
                <w:rFonts w:eastAsia="Calibri"/>
                <w:b/>
                <w:szCs w:val="26"/>
              </w:rPr>
              <w:t>2018</w:t>
            </w:r>
          </w:p>
        </w:tc>
        <w:tc>
          <w:tcPr>
            <w:tcW w:w="1438" w:type="dxa"/>
          </w:tcPr>
          <w:p w14:paraId="65E0B651" w14:textId="77777777" w:rsidR="005A28E9" w:rsidRPr="0052453E" w:rsidRDefault="0090120A" w:rsidP="0090120A">
            <w:pPr>
              <w:spacing w:after="200" w:line="23" w:lineRule="atLeast"/>
              <w:jc w:val="right"/>
              <w:rPr>
                <w:rFonts w:eastAsia="Calibri"/>
                <w:b/>
                <w:szCs w:val="26"/>
              </w:rPr>
            </w:pPr>
            <w:r w:rsidRPr="0052453E">
              <w:rPr>
                <w:rFonts w:eastAsia="Calibri"/>
                <w:szCs w:val="26"/>
              </w:rPr>
              <w:t>100,023</w:t>
            </w:r>
          </w:p>
        </w:tc>
        <w:tc>
          <w:tcPr>
            <w:tcW w:w="1438" w:type="dxa"/>
            <w:vAlign w:val="center"/>
          </w:tcPr>
          <w:p w14:paraId="78BF39AF"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12,338</w:t>
            </w:r>
          </w:p>
        </w:tc>
        <w:tc>
          <w:tcPr>
            <w:tcW w:w="1438" w:type="dxa"/>
            <w:vAlign w:val="center"/>
          </w:tcPr>
          <w:p w14:paraId="5B14DCDE"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6,361</w:t>
            </w:r>
          </w:p>
        </w:tc>
        <w:tc>
          <w:tcPr>
            <w:tcW w:w="1439" w:type="dxa"/>
            <w:vAlign w:val="center"/>
          </w:tcPr>
          <w:p w14:paraId="4A6A18E0"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1,900</w:t>
            </w:r>
          </w:p>
        </w:tc>
        <w:tc>
          <w:tcPr>
            <w:tcW w:w="1439" w:type="dxa"/>
            <w:vAlign w:val="center"/>
          </w:tcPr>
          <w:p w14:paraId="63491640" w14:textId="77777777" w:rsidR="005A28E9" w:rsidRPr="0052453E" w:rsidRDefault="005A28E9" w:rsidP="0090120A">
            <w:pPr>
              <w:spacing w:after="200" w:line="23" w:lineRule="atLeast"/>
              <w:jc w:val="right"/>
              <w:rPr>
                <w:rFonts w:eastAsia="Calibri"/>
                <w:b/>
                <w:szCs w:val="26"/>
              </w:rPr>
            </w:pPr>
            <w:r w:rsidRPr="0052453E">
              <w:rPr>
                <w:rFonts w:eastAsia="Calibri" w:cs="Calibri"/>
                <w:color w:val="000000"/>
                <w:szCs w:val="26"/>
              </w:rPr>
              <w:t>120,622</w:t>
            </w:r>
          </w:p>
        </w:tc>
      </w:tr>
    </w:tbl>
    <w:p w14:paraId="1CB43EFA" w14:textId="77777777" w:rsidR="00861CDB" w:rsidRDefault="00861CDB" w:rsidP="00B323C3">
      <w:pPr>
        <w:pStyle w:val="TableNote"/>
        <w:rPr>
          <w:rFonts w:eastAsia="Calibri"/>
        </w:rPr>
      </w:pPr>
      <w:r w:rsidRPr="00536B99">
        <w:rPr>
          <w:rFonts w:eastAsia="Calibri"/>
        </w:rPr>
        <w:t>Source:</w:t>
      </w:r>
      <w:r w:rsidRPr="00E51619">
        <w:rPr>
          <w:rFonts w:ascii="Arial" w:hAnsi="Arial" w:cs="Arial"/>
          <w:color w:val="444444"/>
          <w:shd w:val="clear" w:color="auto" w:fill="F4F2EA"/>
        </w:rPr>
        <w:t xml:space="preserve"> </w:t>
      </w:r>
      <w:r w:rsidRPr="00E51619">
        <w:rPr>
          <w:rFonts w:eastAsia="Calibri"/>
        </w:rPr>
        <w:t>Minister of State at the Department of Employment Affairs and Social Protection, the Department of Justice and Equality and the Department of Health with special responsibility for Disability Issues</w:t>
      </w:r>
      <w:r>
        <w:rPr>
          <w:rFonts w:eastAsia="Calibri"/>
        </w:rPr>
        <w:t>,</w:t>
      </w:r>
      <w:r w:rsidRPr="00536B99">
        <w:rPr>
          <w:rFonts w:eastAsia="Calibri"/>
        </w:rPr>
        <w:t xml:space="preserve"> Finian McGrath TD, </w:t>
      </w:r>
      <w:r w:rsidRPr="00536B99">
        <w:rPr>
          <w:rFonts w:eastAsia="Calibri"/>
          <w:b/>
        </w:rPr>
        <w:t>Parliamentary Question, 4 December 2018, 50434/18</w:t>
      </w:r>
      <w:r w:rsidRPr="00536B99">
        <w:rPr>
          <w:rFonts w:eastAsia="Calibri"/>
        </w:rPr>
        <w:t xml:space="preserve"> and Finian McGrath TD, </w:t>
      </w:r>
      <w:r w:rsidRPr="00536B99">
        <w:rPr>
          <w:rFonts w:eastAsia="Calibri"/>
          <w:b/>
        </w:rPr>
        <w:t>Parliamentary Question, 15 January 2019, 1167/19</w:t>
      </w:r>
      <w:r w:rsidRPr="00536B99">
        <w:rPr>
          <w:rFonts w:eastAsia="Calibri"/>
        </w:rPr>
        <w:t>.</w:t>
      </w:r>
    </w:p>
    <w:p w14:paraId="49E0B098" w14:textId="77777777" w:rsidR="00385418" w:rsidRDefault="00385418" w:rsidP="00B323C3">
      <w:pPr>
        <w:pStyle w:val="TableTitle"/>
        <w:rPr>
          <w:rFonts w:eastAsia="Calibri"/>
        </w:rPr>
      </w:pPr>
      <w:r>
        <w:rPr>
          <w:rFonts w:eastAsia="Calibri"/>
        </w:rPr>
        <w:t xml:space="preserve">Table 13: Total </w:t>
      </w:r>
      <w:r w:rsidRPr="00385418">
        <w:rPr>
          <w:rFonts w:eastAsia="Calibri"/>
        </w:rPr>
        <w:t>applications granted under the Reasonable Accommodation Fund for People with Disabilities, 2012-2018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3: Total applications granted under the Table 13: Total applications granted under the Reasonable Accommodation Fund for People with Disabilities, 2012-2018"/>
        <w:tblDescription w:val="Table showing the total applications granted under the Reasonable Accommodation Fund for People with Disabilities, 2012-2018"/>
      </w:tblPr>
      <w:tblGrid>
        <w:gridCol w:w="1361"/>
        <w:gridCol w:w="1586"/>
        <w:gridCol w:w="1362"/>
        <w:gridCol w:w="1597"/>
        <w:gridCol w:w="1427"/>
        <w:gridCol w:w="1297"/>
      </w:tblGrid>
      <w:tr w:rsidR="00385418" w:rsidRPr="0052453E" w14:paraId="3E04CB55" w14:textId="77777777" w:rsidTr="0052453E">
        <w:trPr>
          <w:tblHeader/>
        </w:trPr>
        <w:tc>
          <w:tcPr>
            <w:tcW w:w="833" w:type="pct"/>
            <w:shd w:val="clear" w:color="auto" w:fill="auto"/>
          </w:tcPr>
          <w:p w14:paraId="4BE3A4C3" w14:textId="77777777" w:rsidR="00385418" w:rsidRPr="0052453E" w:rsidRDefault="00385418" w:rsidP="00C23D2D">
            <w:pPr>
              <w:pStyle w:val="TableHead"/>
              <w:rPr>
                <w:rFonts w:eastAsia="Calibri"/>
              </w:rPr>
            </w:pPr>
            <w:r w:rsidRPr="0052453E">
              <w:rPr>
                <w:rFonts w:eastAsia="Calibri"/>
              </w:rPr>
              <w:t>Year</w:t>
            </w:r>
          </w:p>
        </w:tc>
        <w:tc>
          <w:tcPr>
            <w:tcW w:w="833" w:type="pct"/>
            <w:shd w:val="clear" w:color="auto" w:fill="auto"/>
          </w:tcPr>
          <w:p w14:paraId="7734BC1B" w14:textId="77777777" w:rsidR="00385418" w:rsidRPr="0052453E" w:rsidRDefault="00385418" w:rsidP="00C23D2D">
            <w:pPr>
              <w:pStyle w:val="TableHead"/>
              <w:rPr>
                <w:rFonts w:eastAsia="Calibri"/>
              </w:rPr>
            </w:pPr>
            <w:r w:rsidRPr="0052453E">
              <w:rPr>
                <w:rFonts w:eastAsia="Calibri"/>
              </w:rPr>
              <w:t>Workplace Equipment and Adaptation Grant</w:t>
            </w:r>
          </w:p>
        </w:tc>
        <w:tc>
          <w:tcPr>
            <w:tcW w:w="833" w:type="pct"/>
            <w:shd w:val="clear" w:color="auto" w:fill="auto"/>
          </w:tcPr>
          <w:p w14:paraId="3D214DE5" w14:textId="77777777" w:rsidR="00385418" w:rsidRPr="0052453E" w:rsidRDefault="00385418" w:rsidP="00C23D2D">
            <w:pPr>
              <w:pStyle w:val="TableHead"/>
              <w:rPr>
                <w:rFonts w:eastAsia="Calibri"/>
              </w:rPr>
            </w:pPr>
            <w:r w:rsidRPr="0052453E">
              <w:rPr>
                <w:rFonts w:eastAsia="Calibri"/>
              </w:rPr>
              <w:t>Personal Reader Grant</w:t>
            </w:r>
          </w:p>
        </w:tc>
        <w:tc>
          <w:tcPr>
            <w:tcW w:w="833" w:type="pct"/>
            <w:shd w:val="clear" w:color="auto" w:fill="auto"/>
          </w:tcPr>
          <w:p w14:paraId="41B62E39" w14:textId="77777777" w:rsidR="00385418" w:rsidRPr="0052453E" w:rsidRDefault="00385418" w:rsidP="00C23D2D">
            <w:pPr>
              <w:pStyle w:val="TableHead"/>
              <w:rPr>
                <w:rFonts w:eastAsia="Calibri"/>
              </w:rPr>
            </w:pPr>
            <w:r w:rsidRPr="0052453E">
              <w:rPr>
                <w:rFonts w:eastAsia="Calibri"/>
              </w:rPr>
              <w:t>Job Interview Interpreter Grant</w:t>
            </w:r>
          </w:p>
        </w:tc>
        <w:tc>
          <w:tcPr>
            <w:tcW w:w="833" w:type="pct"/>
            <w:shd w:val="clear" w:color="auto" w:fill="auto"/>
          </w:tcPr>
          <w:p w14:paraId="051806FE" w14:textId="77777777" w:rsidR="00385418" w:rsidRPr="0052453E" w:rsidRDefault="00385418" w:rsidP="00C23D2D">
            <w:pPr>
              <w:pStyle w:val="TableHead"/>
              <w:rPr>
                <w:rFonts w:eastAsia="Calibri"/>
              </w:rPr>
            </w:pPr>
            <w:r w:rsidRPr="0052453E">
              <w:rPr>
                <w:rFonts w:eastAsia="Calibri"/>
              </w:rPr>
              <w:t>Employee Retention Grant</w:t>
            </w:r>
          </w:p>
        </w:tc>
        <w:tc>
          <w:tcPr>
            <w:tcW w:w="833" w:type="pct"/>
            <w:shd w:val="clear" w:color="auto" w:fill="auto"/>
          </w:tcPr>
          <w:p w14:paraId="05D1004A" w14:textId="77777777" w:rsidR="00385418" w:rsidRPr="0052453E" w:rsidRDefault="00385418" w:rsidP="00C23D2D">
            <w:pPr>
              <w:pStyle w:val="TableHead"/>
              <w:rPr>
                <w:rFonts w:eastAsia="Calibri"/>
              </w:rPr>
            </w:pPr>
            <w:r w:rsidRPr="0052453E">
              <w:rPr>
                <w:rFonts w:eastAsia="Calibri"/>
              </w:rPr>
              <w:t>Total</w:t>
            </w:r>
          </w:p>
        </w:tc>
      </w:tr>
      <w:tr w:rsidR="00385418" w:rsidRPr="0052453E" w14:paraId="27DF4328" w14:textId="77777777" w:rsidTr="0052453E">
        <w:tc>
          <w:tcPr>
            <w:tcW w:w="833" w:type="pct"/>
            <w:shd w:val="clear" w:color="auto" w:fill="auto"/>
            <w:vAlign w:val="center"/>
          </w:tcPr>
          <w:p w14:paraId="58F95B69"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2012</w:t>
            </w:r>
          </w:p>
        </w:tc>
        <w:tc>
          <w:tcPr>
            <w:tcW w:w="833" w:type="pct"/>
            <w:shd w:val="clear" w:color="auto" w:fill="auto"/>
            <w:vAlign w:val="center"/>
          </w:tcPr>
          <w:p w14:paraId="7134BBAF"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33</w:t>
            </w:r>
          </w:p>
        </w:tc>
        <w:tc>
          <w:tcPr>
            <w:tcW w:w="833" w:type="pct"/>
            <w:shd w:val="clear" w:color="auto" w:fill="auto"/>
            <w:vAlign w:val="center"/>
          </w:tcPr>
          <w:p w14:paraId="0F11220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49</w:t>
            </w:r>
          </w:p>
        </w:tc>
        <w:tc>
          <w:tcPr>
            <w:tcW w:w="833" w:type="pct"/>
            <w:shd w:val="clear" w:color="auto" w:fill="auto"/>
            <w:vAlign w:val="center"/>
          </w:tcPr>
          <w:p w14:paraId="1F5377AE"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42</w:t>
            </w:r>
          </w:p>
        </w:tc>
        <w:tc>
          <w:tcPr>
            <w:tcW w:w="833" w:type="pct"/>
            <w:shd w:val="clear" w:color="auto" w:fill="auto"/>
            <w:vAlign w:val="center"/>
          </w:tcPr>
          <w:p w14:paraId="602321D4"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2</w:t>
            </w:r>
          </w:p>
        </w:tc>
        <w:tc>
          <w:tcPr>
            <w:tcW w:w="833" w:type="pct"/>
            <w:shd w:val="clear" w:color="auto" w:fill="auto"/>
            <w:vAlign w:val="center"/>
          </w:tcPr>
          <w:p w14:paraId="3ED5B721"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1,26</w:t>
            </w:r>
          </w:p>
        </w:tc>
      </w:tr>
      <w:tr w:rsidR="00385418" w:rsidRPr="0052453E" w14:paraId="061C4F91" w14:textId="77777777" w:rsidTr="0052453E">
        <w:tc>
          <w:tcPr>
            <w:tcW w:w="833" w:type="pct"/>
            <w:shd w:val="clear" w:color="auto" w:fill="auto"/>
            <w:vAlign w:val="center"/>
          </w:tcPr>
          <w:p w14:paraId="3B202B06"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2013</w:t>
            </w:r>
          </w:p>
        </w:tc>
        <w:tc>
          <w:tcPr>
            <w:tcW w:w="833" w:type="pct"/>
            <w:shd w:val="clear" w:color="auto" w:fill="auto"/>
            <w:vAlign w:val="center"/>
          </w:tcPr>
          <w:p w14:paraId="5C1F68AF"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44</w:t>
            </w:r>
          </w:p>
        </w:tc>
        <w:tc>
          <w:tcPr>
            <w:tcW w:w="833" w:type="pct"/>
            <w:shd w:val="clear" w:color="auto" w:fill="auto"/>
            <w:vAlign w:val="center"/>
          </w:tcPr>
          <w:p w14:paraId="3BFFE3CE"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71</w:t>
            </w:r>
          </w:p>
        </w:tc>
        <w:tc>
          <w:tcPr>
            <w:tcW w:w="833" w:type="pct"/>
            <w:shd w:val="clear" w:color="auto" w:fill="auto"/>
            <w:vAlign w:val="center"/>
          </w:tcPr>
          <w:p w14:paraId="62D334B1"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29</w:t>
            </w:r>
          </w:p>
        </w:tc>
        <w:tc>
          <w:tcPr>
            <w:tcW w:w="833" w:type="pct"/>
            <w:shd w:val="clear" w:color="auto" w:fill="auto"/>
            <w:vAlign w:val="center"/>
          </w:tcPr>
          <w:p w14:paraId="5B9968DA"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6</w:t>
            </w:r>
          </w:p>
        </w:tc>
        <w:tc>
          <w:tcPr>
            <w:tcW w:w="833" w:type="pct"/>
            <w:shd w:val="clear" w:color="auto" w:fill="auto"/>
            <w:vAlign w:val="center"/>
          </w:tcPr>
          <w:p w14:paraId="27586B62"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1,50</w:t>
            </w:r>
          </w:p>
        </w:tc>
      </w:tr>
      <w:tr w:rsidR="00385418" w:rsidRPr="0052453E" w14:paraId="17AB5B35" w14:textId="77777777" w:rsidTr="0052453E">
        <w:tc>
          <w:tcPr>
            <w:tcW w:w="833" w:type="pct"/>
            <w:shd w:val="clear" w:color="auto" w:fill="auto"/>
            <w:vAlign w:val="center"/>
          </w:tcPr>
          <w:p w14:paraId="072533AA"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lastRenderedPageBreak/>
              <w:t>2014</w:t>
            </w:r>
          </w:p>
        </w:tc>
        <w:tc>
          <w:tcPr>
            <w:tcW w:w="833" w:type="pct"/>
            <w:shd w:val="clear" w:color="auto" w:fill="auto"/>
            <w:vAlign w:val="center"/>
          </w:tcPr>
          <w:p w14:paraId="393BA6E6"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36</w:t>
            </w:r>
          </w:p>
        </w:tc>
        <w:tc>
          <w:tcPr>
            <w:tcW w:w="833" w:type="pct"/>
            <w:shd w:val="clear" w:color="auto" w:fill="auto"/>
            <w:vAlign w:val="center"/>
          </w:tcPr>
          <w:p w14:paraId="407E8A7D"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49</w:t>
            </w:r>
          </w:p>
        </w:tc>
        <w:tc>
          <w:tcPr>
            <w:tcW w:w="833" w:type="pct"/>
            <w:shd w:val="clear" w:color="auto" w:fill="auto"/>
            <w:vAlign w:val="center"/>
          </w:tcPr>
          <w:p w14:paraId="5193BB72"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18</w:t>
            </w:r>
          </w:p>
        </w:tc>
        <w:tc>
          <w:tcPr>
            <w:tcW w:w="833" w:type="pct"/>
            <w:shd w:val="clear" w:color="auto" w:fill="auto"/>
            <w:vAlign w:val="center"/>
          </w:tcPr>
          <w:p w14:paraId="2B8ADCAE"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8</w:t>
            </w:r>
          </w:p>
        </w:tc>
        <w:tc>
          <w:tcPr>
            <w:tcW w:w="833" w:type="pct"/>
            <w:shd w:val="clear" w:color="auto" w:fill="auto"/>
            <w:vAlign w:val="center"/>
          </w:tcPr>
          <w:p w14:paraId="0940D801"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1,11</w:t>
            </w:r>
          </w:p>
        </w:tc>
      </w:tr>
      <w:tr w:rsidR="00385418" w:rsidRPr="0052453E" w14:paraId="127BF5B4" w14:textId="77777777" w:rsidTr="0052453E">
        <w:tc>
          <w:tcPr>
            <w:tcW w:w="833" w:type="pct"/>
            <w:shd w:val="clear" w:color="auto" w:fill="auto"/>
            <w:vAlign w:val="center"/>
          </w:tcPr>
          <w:p w14:paraId="23D6C69D"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2015</w:t>
            </w:r>
          </w:p>
        </w:tc>
        <w:tc>
          <w:tcPr>
            <w:tcW w:w="833" w:type="pct"/>
            <w:shd w:val="clear" w:color="auto" w:fill="auto"/>
            <w:vAlign w:val="center"/>
          </w:tcPr>
          <w:p w14:paraId="018E3E05"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64</w:t>
            </w:r>
          </w:p>
        </w:tc>
        <w:tc>
          <w:tcPr>
            <w:tcW w:w="833" w:type="pct"/>
            <w:shd w:val="clear" w:color="auto" w:fill="auto"/>
            <w:vAlign w:val="center"/>
          </w:tcPr>
          <w:p w14:paraId="48EDF625"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71</w:t>
            </w:r>
          </w:p>
        </w:tc>
        <w:tc>
          <w:tcPr>
            <w:tcW w:w="833" w:type="pct"/>
            <w:shd w:val="clear" w:color="auto" w:fill="auto"/>
            <w:vAlign w:val="center"/>
          </w:tcPr>
          <w:p w14:paraId="6C08C95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63</w:t>
            </w:r>
          </w:p>
        </w:tc>
        <w:tc>
          <w:tcPr>
            <w:tcW w:w="833" w:type="pct"/>
            <w:shd w:val="clear" w:color="auto" w:fill="auto"/>
            <w:vAlign w:val="center"/>
          </w:tcPr>
          <w:p w14:paraId="282153D2"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0</w:t>
            </w:r>
          </w:p>
        </w:tc>
        <w:tc>
          <w:tcPr>
            <w:tcW w:w="833" w:type="pct"/>
            <w:shd w:val="clear" w:color="auto" w:fill="auto"/>
            <w:vAlign w:val="center"/>
          </w:tcPr>
          <w:p w14:paraId="219955C4"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1,98</w:t>
            </w:r>
          </w:p>
        </w:tc>
      </w:tr>
      <w:tr w:rsidR="00385418" w:rsidRPr="0052453E" w14:paraId="3DF5199B" w14:textId="77777777" w:rsidTr="0052453E">
        <w:tc>
          <w:tcPr>
            <w:tcW w:w="833" w:type="pct"/>
            <w:shd w:val="clear" w:color="auto" w:fill="auto"/>
            <w:vAlign w:val="center"/>
          </w:tcPr>
          <w:p w14:paraId="388DC864"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2016</w:t>
            </w:r>
          </w:p>
        </w:tc>
        <w:tc>
          <w:tcPr>
            <w:tcW w:w="833" w:type="pct"/>
            <w:shd w:val="clear" w:color="auto" w:fill="auto"/>
            <w:vAlign w:val="center"/>
          </w:tcPr>
          <w:p w14:paraId="324D818A"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39</w:t>
            </w:r>
          </w:p>
        </w:tc>
        <w:tc>
          <w:tcPr>
            <w:tcW w:w="833" w:type="pct"/>
            <w:shd w:val="clear" w:color="auto" w:fill="auto"/>
            <w:vAlign w:val="center"/>
          </w:tcPr>
          <w:p w14:paraId="626F637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49</w:t>
            </w:r>
          </w:p>
        </w:tc>
        <w:tc>
          <w:tcPr>
            <w:tcW w:w="833" w:type="pct"/>
            <w:shd w:val="clear" w:color="auto" w:fill="auto"/>
            <w:vAlign w:val="center"/>
          </w:tcPr>
          <w:p w14:paraId="6647F8B7"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26</w:t>
            </w:r>
          </w:p>
        </w:tc>
        <w:tc>
          <w:tcPr>
            <w:tcW w:w="833" w:type="pct"/>
            <w:shd w:val="clear" w:color="auto" w:fill="auto"/>
            <w:vAlign w:val="center"/>
          </w:tcPr>
          <w:p w14:paraId="721D6390"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0</w:t>
            </w:r>
          </w:p>
        </w:tc>
        <w:tc>
          <w:tcPr>
            <w:tcW w:w="833" w:type="pct"/>
            <w:shd w:val="clear" w:color="auto" w:fill="auto"/>
            <w:vAlign w:val="center"/>
          </w:tcPr>
          <w:p w14:paraId="6C817868"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1,14</w:t>
            </w:r>
          </w:p>
        </w:tc>
      </w:tr>
      <w:tr w:rsidR="00385418" w:rsidRPr="0052453E" w14:paraId="39EC6AE3" w14:textId="77777777" w:rsidTr="0052453E">
        <w:tc>
          <w:tcPr>
            <w:tcW w:w="833" w:type="pct"/>
            <w:shd w:val="clear" w:color="auto" w:fill="auto"/>
            <w:vAlign w:val="center"/>
          </w:tcPr>
          <w:p w14:paraId="7EE41177"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2017</w:t>
            </w:r>
          </w:p>
        </w:tc>
        <w:tc>
          <w:tcPr>
            <w:tcW w:w="833" w:type="pct"/>
            <w:shd w:val="clear" w:color="auto" w:fill="auto"/>
            <w:vAlign w:val="center"/>
          </w:tcPr>
          <w:p w14:paraId="0E7F115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39</w:t>
            </w:r>
          </w:p>
        </w:tc>
        <w:tc>
          <w:tcPr>
            <w:tcW w:w="833" w:type="pct"/>
            <w:shd w:val="clear" w:color="auto" w:fill="auto"/>
            <w:vAlign w:val="center"/>
          </w:tcPr>
          <w:p w14:paraId="3BC9346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56</w:t>
            </w:r>
          </w:p>
        </w:tc>
        <w:tc>
          <w:tcPr>
            <w:tcW w:w="833" w:type="pct"/>
            <w:shd w:val="clear" w:color="auto" w:fill="auto"/>
            <w:vAlign w:val="center"/>
          </w:tcPr>
          <w:p w14:paraId="30EC7903"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28</w:t>
            </w:r>
          </w:p>
        </w:tc>
        <w:tc>
          <w:tcPr>
            <w:tcW w:w="833" w:type="pct"/>
            <w:shd w:val="clear" w:color="auto" w:fill="auto"/>
            <w:vAlign w:val="center"/>
          </w:tcPr>
          <w:p w14:paraId="7AEB2BE6"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0</w:t>
            </w:r>
          </w:p>
        </w:tc>
        <w:tc>
          <w:tcPr>
            <w:tcW w:w="833" w:type="pct"/>
            <w:shd w:val="clear" w:color="auto" w:fill="auto"/>
            <w:vAlign w:val="center"/>
          </w:tcPr>
          <w:p w14:paraId="2AFFFF28"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1,23</w:t>
            </w:r>
          </w:p>
        </w:tc>
      </w:tr>
      <w:tr w:rsidR="00385418" w:rsidRPr="0052453E" w14:paraId="7970021D" w14:textId="77777777" w:rsidTr="0052453E">
        <w:tc>
          <w:tcPr>
            <w:tcW w:w="833" w:type="pct"/>
            <w:shd w:val="clear" w:color="auto" w:fill="auto"/>
            <w:vAlign w:val="center"/>
          </w:tcPr>
          <w:p w14:paraId="3DCD59A3" w14:textId="77777777" w:rsidR="00385418" w:rsidRPr="0052453E" w:rsidRDefault="00385418" w:rsidP="00385418">
            <w:pPr>
              <w:pStyle w:val="TableRowHead"/>
              <w:rPr>
                <w:rFonts w:ascii="Gill Sans MT" w:eastAsia="Calibri" w:hAnsi="Gill Sans MT"/>
                <w:szCs w:val="26"/>
              </w:rPr>
            </w:pPr>
            <w:r w:rsidRPr="0052453E">
              <w:rPr>
                <w:rFonts w:ascii="Gill Sans MT" w:eastAsia="Calibri" w:hAnsi="Gill Sans MT" w:cs="Calibri"/>
                <w:color w:val="000000"/>
                <w:szCs w:val="26"/>
                <w:lang w:eastAsia="en-IE"/>
              </w:rPr>
              <w:t>2018 (to Oct.)</w:t>
            </w:r>
          </w:p>
        </w:tc>
        <w:tc>
          <w:tcPr>
            <w:tcW w:w="833" w:type="pct"/>
            <w:shd w:val="clear" w:color="auto" w:fill="auto"/>
            <w:vAlign w:val="center"/>
          </w:tcPr>
          <w:p w14:paraId="09F48D85"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39</w:t>
            </w:r>
          </w:p>
        </w:tc>
        <w:tc>
          <w:tcPr>
            <w:tcW w:w="833" w:type="pct"/>
            <w:shd w:val="clear" w:color="auto" w:fill="auto"/>
            <w:vAlign w:val="center"/>
          </w:tcPr>
          <w:p w14:paraId="05E5EFDA"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32</w:t>
            </w:r>
          </w:p>
        </w:tc>
        <w:tc>
          <w:tcPr>
            <w:tcW w:w="833" w:type="pct"/>
            <w:shd w:val="clear" w:color="auto" w:fill="auto"/>
            <w:vAlign w:val="center"/>
          </w:tcPr>
          <w:p w14:paraId="612F2B13"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34</w:t>
            </w:r>
          </w:p>
        </w:tc>
        <w:tc>
          <w:tcPr>
            <w:tcW w:w="833" w:type="pct"/>
            <w:shd w:val="clear" w:color="auto" w:fill="auto"/>
            <w:vAlign w:val="center"/>
          </w:tcPr>
          <w:p w14:paraId="69947089"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w:t>
            </w:r>
          </w:p>
        </w:tc>
        <w:tc>
          <w:tcPr>
            <w:tcW w:w="833" w:type="pct"/>
            <w:shd w:val="clear" w:color="auto" w:fill="auto"/>
            <w:vAlign w:val="center"/>
          </w:tcPr>
          <w:p w14:paraId="7EAE228A" w14:textId="77777777" w:rsidR="00385418" w:rsidRPr="0052453E" w:rsidRDefault="00385418" w:rsidP="00385418">
            <w:pPr>
              <w:pStyle w:val="TableCell"/>
              <w:jc w:val="right"/>
              <w:rPr>
                <w:rFonts w:eastAsia="Calibri"/>
                <w:szCs w:val="26"/>
              </w:rPr>
            </w:pPr>
            <w:r w:rsidRPr="0052453E">
              <w:rPr>
                <w:rFonts w:eastAsia="Calibri" w:cs="Calibri"/>
                <w:color w:val="000000"/>
                <w:szCs w:val="26"/>
                <w:lang w:eastAsia="en-IE"/>
              </w:rPr>
              <w:t>1,06</w:t>
            </w:r>
          </w:p>
        </w:tc>
      </w:tr>
    </w:tbl>
    <w:p w14:paraId="590E07A6" w14:textId="77777777" w:rsidR="00861CDB" w:rsidRPr="00536B99" w:rsidRDefault="00385418" w:rsidP="0052453E">
      <w:pPr>
        <w:pStyle w:val="TableNote"/>
        <w:rPr>
          <w:rFonts w:eastAsia="Calibri"/>
          <w:b/>
        </w:rPr>
      </w:pPr>
      <w:r>
        <w:rPr>
          <w:rFonts w:eastAsia="Calibri"/>
        </w:rPr>
        <w:t xml:space="preserve">Source: </w:t>
      </w:r>
      <w:r w:rsidR="00861CDB" w:rsidRPr="00536B99">
        <w:rPr>
          <w:rFonts w:eastAsia="Calibri"/>
        </w:rPr>
        <w:t>Source:</w:t>
      </w:r>
      <w:r w:rsidR="00861CDB" w:rsidRPr="00E51619">
        <w:rPr>
          <w:rFonts w:ascii="Arial" w:hAnsi="Arial" w:cs="Arial"/>
          <w:color w:val="444444"/>
          <w:shd w:val="clear" w:color="auto" w:fill="F4F2EA"/>
        </w:rPr>
        <w:t xml:space="preserve"> </w:t>
      </w:r>
      <w:r w:rsidR="00861CDB" w:rsidRPr="00E51619">
        <w:rPr>
          <w:rFonts w:eastAsia="Calibri"/>
        </w:rPr>
        <w:t>Minister of State at the Department of Employment Affairs and Social Protection, the Department of Justice and Equality and the Department of Health with special responsibility for Disability Issues</w:t>
      </w:r>
      <w:r w:rsidR="00861CDB">
        <w:rPr>
          <w:rFonts w:eastAsia="Calibri"/>
        </w:rPr>
        <w:t>,</w:t>
      </w:r>
      <w:r w:rsidR="00861CDB" w:rsidRPr="00536B99">
        <w:rPr>
          <w:rFonts w:eastAsia="Calibri"/>
        </w:rPr>
        <w:t xml:space="preserve"> Finian McGrath TD, </w:t>
      </w:r>
      <w:r w:rsidR="00861CDB" w:rsidRPr="00536B99">
        <w:rPr>
          <w:rFonts w:eastAsia="Calibri"/>
          <w:b/>
        </w:rPr>
        <w:t>Parliamentary Question, 4 December 2018, 50434/18.</w:t>
      </w:r>
    </w:p>
    <w:p w14:paraId="0A48418D" w14:textId="77777777" w:rsidR="00861CDB" w:rsidRDefault="00861CDB" w:rsidP="00AA27FA">
      <w:r>
        <w:t>Research undertaken by the NDA found that t</w:t>
      </w:r>
      <w:r w:rsidRPr="00A17446">
        <w:t>here is low awareness amongst some private sector employers of the financial supports provided by the Department of Employment Affairs and Social Protection to assist in accommodating the needs of prospective and current employees with disabilities.</w:t>
      </w:r>
      <w:r w:rsidR="0073399C">
        <w:rPr>
          <w:rStyle w:val="FootnoteReference"/>
        </w:rPr>
        <w:footnoteReference w:id="78"/>
      </w:r>
      <w:r w:rsidRPr="00A17446">
        <w:t xml:space="preserve"> </w:t>
      </w:r>
      <w:r w:rsidR="001D4639">
        <w:t>T</w:t>
      </w:r>
      <w:r w:rsidR="001D4639" w:rsidRPr="001D4639">
        <w:t>he number of applications for and expenditure on the existing grants suggest that more could be done to publicise these financial supports and encourage their take-up</w:t>
      </w:r>
      <w:r w:rsidR="001D4639">
        <w:t>.</w:t>
      </w:r>
      <w:r w:rsidR="001D4639">
        <w:rPr>
          <w:rStyle w:val="FootnoteReference"/>
        </w:rPr>
        <w:footnoteReference w:id="79"/>
      </w:r>
    </w:p>
    <w:p w14:paraId="11077453" w14:textId="77777777" w:rsidR="00861CDB" w:rsidRPr="00536B99" w:rsidRDefault="00861CDB" w:rsidP="008A6043">
      <w:pPr>
        <w:rPr>
          <w:bCs/>
        </w:rPr>
      </w:pPr>
      <w:r w:rsidRPr="00536B99">
        <w:rPr>
          <w:bCs/>
        </w:rPr>
        <w:t xml:space="preserve">The </w:t>
      </w:r>
      <w:r w:rsidRPr="00536B99">
        <w:t>Employer Disability Information</w:t>
      </w:r>
      <w:r w:rsidRPr="00536B99">
        <w:rPr>
          <w:bCs/>
        </w:rPr>
        <w:t xml:space="preserve"> service </w:t>
      </w:r>
      <w:r w:rsidRPr="00536B99">
        <w:t>have identified a number of specific issues with the individual financial supports available through the Department of Employment Affairs and Social Protection, and have</w:t>
      </w:r>
      <w:r>
        <w:t xml:space="preserve"> also</w:t>
      </w:r>
      <w:r w:rsidRPr="00536B99">
        <w:t xml:space="preserve"> raised concerns about the overall structure of the supports. These include:</w:t>
      </w:r>
    </w:p>
    <w:p w14:paraId="66064D2C" w14:textId="77777777" w:rsidR="00861CDB" w:rsidRPr="00536B99" w:rsidRDefault="00861CDB" w:rsidP="00861CDB">
      <w:pPr>
        <w:pStyle w:val="ListBullet"/>
        <w:numPr>
          <w:ilvl w:val="0"/>
          <w:numId w:val="1"/>
        </w:numPr>
      </w:pPr>
      <w:r w:rsidRPr="00536B99">
        <w:lastRenderedPageBreak/>
        <w:t xml:space="preserve">The </w:t>
      </w:r>
      <w:r w:rsidRPr="00536B99">
        <w:rPr>
          <w:b/>
        </w:rPr>
        <w:t>Workplace Equipment and Adaptation Grant</w:t>
      </w:r>
      <w:r w:rsidRPr="00536B99">
        <w:t xml:space="preserve"> works on a refund basis</w:t>
      </w:r>
      <w:r>
        <w:t>,</w:t>
      </w:r>
      <w:r w:rsidRPr="00536B99">
        <w:t xml:space="preserve"> therefore employers must invest in the equipment prior to receiving the money. This financial outlay can present difficulties for employers, especially smaller and medium sized private enterprises</w:t>
      </w:r>
    </w:p>
    <w:p w14:paraId="1ACB7398" w14:textId="77777777" w:rsidR="00861CDB" w:rsidRPr="00536B99" w:rsidRDefault="00861CDB" w:rsidP="00861CDB">
      <w:pPr>
        <w:pStyle w:val="ListBullet"/>
        <w:numPr>
          <w:ilvl w:val="0"/>
          <w:numId w:val="1"/>
        </w:numPr>
      </w:pPr>
      <w:r w:rsidRPr="00536B99">
        <w:t xml:space="preserve">The </w:t>
      </w:r>
      <w:r w:rsidRPr="00536B99">
        <w:rPr>
          <w:b/>
        </w:rPr>
        <w:t>Job Interview Interpreter Grant</w:t>
      </w:r>
      <w:r>
        <w:t xml:space="preserve"> </w:t>
      </w:r>
      <w:r w:rsidRPr="00536B99">
        <w:t xml:space="preserve">provides funding for an Irish Sign Language (ISL) interpreter at interview and induction stages </w:t>
      </w:r>
      <w:r w:rsidR="007664EB">
        <w:t>but</w:t>
      </w:r>
      <w:r w:rsidR="007664EB" w:rsidRPr="00536B99">
        <w:t xml:space="preserve"> </w:t>
      </w:r>
      <w:r w:rsidRPr="00536B99">
        <w:t>at no other time dur</w:t>
      </w:r>
      <w:r>
        <w:t>ing the employment relationship</w:t>
      </w:r>
      <w:r>
        <w:rPr>
          <w:rStyle w:val="FootnoteReference"/>
        </w:rPr>
        <w:footnoteReference w:id="80"/>
      </w:r>
    </w:p>
    <w:p w14:paraId="0A1E4332" w14:textId="77777777" w:rsidR="00861CDB" w:rsidRDefault="00861CDB" w:rsidP="00861CDB">
      <w:pPr>
        <w:pStyle w:val="ListBullet"/>
        <w:numPr>
          <w:ilvl w:val="0"/>
          <w:numId w:val="1"/>
        </w:numPr>
      </w:pPr>
      <w:r w:rsidRPr="00536B99">
        <w:t xml:space="preserve">The </w:t>
      </w:r>
      <w:r w:rsidRPr="00536B99">
        <w:rPr>
          <w:b/>
        </w:rPr>
        <w:t>Employee Retention Grant</w:t>
      </w:r>
      <w:r>
        <w:t xml:space="preserve"> scheme </w:t>
      </w:r>
      <w:r w:rsidRPr="00536B99">
        <w:t xml:space="preserve">assists employers to </w:t>
      </w:r>
      <w:r>
        <w:t>support</w:t>
      </w:r>
      <w:r w:rsidRPr="00536B99">
        <w:t xml:space="preserve"> </w:t>
      </w:r>
      <w:r>
        <w:t>the re-training of an employee</w:t>
      </w:r>
      <w:r w:rsidRPr="00536B99">
        <w:t xml:space="preserve"> </w:t>
      </w:r>
      <w:r>
        <w:t xml:space="preserve">who has acquired a disability </w:t>
      </w:r>
      <w:r w:rsidRPr="00536B99">
        <w:t>but doesn’t support productivity shortfalls</w:t>
      </w:r>
      <w:r w:rsidRPr="008074C4">
        <w:rPr>
          <w:sz w:val="22"/>
          <w:szCs w:val="22"/>
          <w:vertAlign w:val="superscript"/>
        </w:rPr>
        <w:footnoteReference w:id="81"/>
      </w:r>
    </w:p>
    <w:p w14:paraId="460498C0" w14:textId="77777777" w:rsidR="00310445" w:rsidRDefault="00861CDB" w:rsidP="00AA27FA">
      <w:r>
        <w:t>Additionally</w:t>
      </w:r>
      <w:r w:rsidRPr="00025783">
        <w:t>, the supports are only available to private sector employers. As a result, public sector employers, as well as state-funded community and voluntary organisations, are ineligible for such grant assistance.</w:t>
      </w:r>
      <w:r w:rsidR="0043704D">
        <w:rPr>
          <w:rStyle w:val="FootnoteReference"/>
        </w:rPr>
        <w:footnoteReference w:id="82"/>
      </w:r>
    </w:p>
    <w:p w14:paraId="3964D172" w14:textId="77777777" w:rsidR="00310445" w:rsidRDefault="00310445" w:rsidP="00AA27FA">
      <w:r w:rsidRPr="00310445">
        <w:t>The</w:t>
      </w:r>
      <w:r w:rsidR="008A6043">
        <w:t xml:space="preserve"> NDA has recommended that the</w:t>
      </w:r>
      <w:r w:rsidRPr="00310445">
        <w:t xml:space="preserve"> Department of Employment Aff</w:t>
      </w:r>
      <w:r w:rsidR="008A6043">
        <w:t>airs and Social Protection</w:t>
      </w:r>
      <w:r w:rsidRPr="00310445">
        <w:t xml:space="preserve"> consider a review of the adequacy and effectiveness of the training and financial supports available for employers to provide reasonable accommodations, including th</w:t>
      </w:r>
      <w:r w:rsidR="008A6043">
        <w:t>e Reasonable Accommodation Fund and</w:t>
      </w:r>
      <w:r w:rsidRPr="00310445">
        <w:t xml:space="preserve"> the Wage Subsidy Scheme</w:t>
      </w:r>
      <w:r w:rsidR="008A6043">
        <w:t>.</w:t>
      </w:r>
      <w:r w:rsidR="008A6043">
        <w:rPr>
          <w:rStyle w:val="FootnoteReference"/>
        </w:rPr>
        <w:footnoteReference w:id="83"/>
      </w:r>
      <w:r w:rsidR="008A6043">
        <w:t xml:space="preserve"> The NDA has advised that c</w:t>
      </w:r>
      <w:r w:rsidRPr="00310445">
        <w:t>onsultation with employers, employer representative groups, persons with disabilities and disability organisations shou</w:t>
      </w:r>
      <w:r w:rsidR="008A6043">
        <w:t>ld form part of these reviews, and that t</w:t>
      </w:r>
      <w:r w:rsidRPr="00310445">
        <w:t>he adequacy of existing levels of grant assistance should also be examined.</w:t>
      </w:r>
    </w:p>
    <w:p w14:paraId="6BC3D821" w14:textId="77777777" w:rsidR="007664EB" w:rsidRDefault="007664EB" w:rsidP="00AA27FA">
      <w:r>
        <w:lastRenderedPageBreak/>
        <w:t>As part of the Phase Two Action Plan under the Comprehensive Employment Strategy for Persons with Disabilities, t</w:t>
      </w:r>
      <w:r w:rsidRPr="00844C77">
        <w:t>he Department</w:t>
      </w:r>
      <w:r>
        <w:t xml:space="preserve"> of Employment Affairs and Social Protection has committed to</w:t>
      </w:r>
      <w:r w:rsidRPr="00844C77">
        <w:t xml:space="preserve"> </w:t>
      </w:r>
      <w:r>
        <w:t>undertaking</w:t>
      </w:r>
      <w:r w:rsidRPr="00844C77">
        <w:t xml:space="preserve"> a review of the Reasonable Accommodation Fund with a view to assessing how its operations could be more effective.</w:t>
      </w:r>
      <w:r>
        <w:rPr>
          <w:rStyle w:val="FootnoteReference"/>
        </w:rPr>
        <w:footnoteReference w:id="84"/>
      </w:r>
      <w:r>
        <w:t xml:space="preserve"> The Phase Two Action Plan</w:t>
      </w:r>
      <w:r w:rsidRPr="008A6043">
        <w:t xml:space="preserve"> </w:t>
      </w:r>
      <w:r>
        <w:t xml:space="preserve">also requires the Department to raise </w:t>
      </w:r>
      <w:r w:rsidRPr="008A6043">
        <w:t>awareness among employers of services and supports for the recruitment and retention of persons with disabilities through the planning and implementation of an employer information campaign</w:t>
      </w:r>
      <w:r>
        <w:t>.</w:t>
      </w:r>
      <w:r>
        <w:rPr>
          <w:rStyle w:val="FootnoteReference"/>
        </w:rPr>
        <w:footnoteReference w:id="85"/>
      </w:r>
    </w:p>
    <w:p w14:paraId="53476266" w14:textId="77777777" w:rsidR="008A6043" w:rsidRPr="00536B99" w:rsidRDefault="008A6043" w:rsidP="00AA27FA">
      <w:r w:rsidRPr="008A6043">
        <w:t>Notwithstanding the outcome of the</w:t>
      </w:r>
      <w:r>
        <w:t>se</w:t>
      </w:r>
      <w:r w:rsidRPr="008A6043">
        <w:t xml:space="preserve"> reviews, the</w:t>
      </w:r>
      <w:r>
        <w:t xml:space="preserve"> NDA has suggested that the</w:t>
      </w:r>
      <w:r w:rsidRPr="008A6043">
        <w:t xml:space="preserve"> Department of Employment Affa</w:t>
      </w:r>
      <w:r>
        <w:t xml:space="preserve">irs and Social Protection </w:t>
      </w:r>
      <w:r w:rsidRPr="008A6043">
        <w:t>consider</w:t>
      </w:r>
      <w:r w:rsidR="007664EB">
        <w:t>s</w:t>
      </w:r>
      <w:r w:rsidRPr="008A6043">
        <w:t xml:space="preserve"> </w:t>
      </w:r>
      <w:r>
        <w:t xml:space="preserve">developing </w:t>
      </w:r>
      <w:r w:rsidRPr="008A6043">
        <w:t>an information campaign to build awareness amongst employers of the financial and training supports available to provide reasonable accommodations.</w:t>
      </w:r>
      <w:r>
        <w:rPr>
          <w:rStyle w:val="FootnoteReference"/>
        </w:rPr>
        <w:footnoteReference w:id="86"/>
      </w:r>
      <w:r w:rsidRPr="008A6043">
        <w:t xml:space="preserve"> Such a campaign could be useful in addressing the information deficit which exists amongst some employers of the various financial supports and incentives available to them to assist in reasonably accommodating employees and employment candidates with a disability</w:t>
      </w:r>
    </w:p>
    <w:p w14:paraId="7496B8FF" w14:textId="77777777" w:rsidR="00861CDB" w:rsidRDefault="00342BF5" w:rsidP="00AA27FA">
      <w:r>
        <w:t>Additionally, both t</w:t>
      </w:r>
      <w:r w:rsidR="00861CDB">
        <w:t>he Make Work Pay report and the National Disability Inclusion Strategy require the Department of Justice and Equality, with the support of the NDA, to d</w:t>
      </w:r>
      <w:r w:rsidR="00861CDB" w:rsidRPr="00B32A93">
        <w:t xml:space="preserve">evelop and bring forward proposals to address access to or affordability of necessary aids/ appliances/ assistive technology required for everyday living for those </w:t>
      </w:r>
      <w:r w:rsidR="00DA6E35">
        <w:t>persons</w:t>
      </w:r>
      <w:r w:rsidR="00861CDB" w:rsidRPr="00B32A93">
        <w:t xml:space="preserve"> with disabilities whose entry, retention or return to work could be jeopardised by being unable to afford these items, given the level of employment income, and whose needs are not met by other schemes of assistance</w:t>
      </w:r>
      <w:r w:rsidR="00E034B9">
        <w:t>. The Department of Justice and Equality has convened a</w:t>
      </w:r>
      <w:r w:rsidR="00861CDB">
        <w:t xml:space="preserve"> Working Group</w:t>
      </w:r>
      <w:r w:rsidR="003A0C5C">
        <w:t>, which includes the NDA and persons with a disability,</w:t>
      </w:r>
      <w:r w:rsidR="00861CDB">
        <w:t xml:space="preserve"> to develop proposals and is due to report by Q1 2021.</w:t>
      </w:r>
    </w:p>
    <w:p w14:paraId="5543F596" w14:textId="77777777" w:rsidR="00861CDB" w:rsidRDefault="00861CDB" w:rsidP="008A6043">
      <w:pPr>
        <w:pStyle w:val="Heading2"/>
        <w:spacing w:after="240"/>
      </w:pPr>
      <w:bookmarkStart w:id="36" w:name="_Toc65581183"/>
      <w:r>
        <w:t>Disability Awareness Support Scheme</w:t>
      </w:r>
      <w:bookmarkEnd w:id="36"/>
    </w:p>
    <w:p w14:paraId="2B316B83" w14:textId="77777777" w:rsidR="00861CDB" w:rsidRDefault="00861CDB" w:rsidP="008A6043">
      <w:r w:rsidRPr="00E31268">
        <w:t>The Disability Awareness Support Scheme, administered by the Department of Employment Affairs and Social Protection, provides funding so that private sector employers can buy in disability awareness training for staff who work with a co</w:t>
      </w:r>
      <w:r>
        <w:t>lleague who has a disability.</w:t>
      </w:r>
      <w:r>
        <w:rPr>
          <w:rStyle w:val="FootnoteReference"/>
        </w:rPr>
        <w:footnoteReference w:id="87"/>
      </w:r>
      <w:r w:rsidRPr="00E31268">
        <w:t xml:space="preserve"> The purpose of the training is to deliver clear and accurate information about disability and to address questions or concerns that employers and employees may have about working with persons with disabilities.</w:t>
      </w:r>
      <w:r w:rsidR="007F0656">
        <w:t xml:space="preserve"> As can be seen from Table 14 the scheme is not widely used although its use has increased in recent years. </w:t>
      </w:r>
    </w:p>
    <w:p w14:paraId="21F64946" w14:textId="77777777" w:rsidR="00471E17" w:rsidRDefault="00471E17" w:rsidP="00471E17">
      <w:pPr>
        <w:pStyle w:val="TableTitle"/>
        <w:rPr>
          <w:rFonts w:eastAsia="Calibri"/>
        </w:rPr>
      </w:pPr>
      <w:r>
        <w:rPr>
          <w:rFonts w:eastAsia="Calibri"/>
        </w:rPr>
        <w:t xml:space="preserve">Table 14: </w:t>
      </w:r>
      <w:r w:rsidR="007F0656">
        <w:rPr>
          <w:rFonts w:eastAsia="Calibri"/>
        </w:rPr>
        <w:t>Total applications granted and e</w:t>
      </w:r>
      <w:r>
        <w:rPr>
          <w:rFonts w:eastAsia="Calibri"/>
        </w:rPr>
        <w:t>xpenditure on the Disability Awareness Support Scheme 2012-2018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14: Total applications granted and expenditure on the Disability Awareness Support Scheme 2012-2018"/>
        <w:tblDescription w:val="Table showing the total applications granted and expenditure on the Disability Awareness Support Scheme 2012-2018"/>
      </w:tblPr>
      <w:tblGrid>
        <w:gridCol w:w="2526"/>
        <w:gridCol w:w="3052"/>
        <w:gridCol w:w="3052"/>
      </w:tblGrid>
      <w:tr w:rsidR="007F0656" w:rsidRPr="0052453E" w14:paraId="5FB5CB63" w14:textId="77777777" w:rsidTr="0052453E">
        <w:trPr>
          <w:tblHeader/>
        </w:trPr>
        <w:tc>
          <w:tcPr>
            <w:tcW w:w="1463" w:type="pct"/>
            <w:shd w:val="clear" w:color="auto" w:fill="auto"/>
          </w:tcPr>
          <w:p w14:paraId="0065BD41" w14:textId="77777777" w:rsidR="007F0656" w:rsidRPr="0052453E" w:rsidRDefault="007F0656" w:rsidP="00C23D2D">
            <w:pPr>
              <w:pStyle w:val="TableHead"/>
              <w:rPr>
                <w:rFonts w:eastAsia="Calibri"/>
              </w:rPr>
            </w:pPr>
            <w:r w:rsidRPr="0052453E">
              <w:rPr>
                <w:rFonts w:eastAsia="Calibri"/>
              </w:rPr>
              <w:t>Year</w:t>
            </w:r>
          </w:p>
        </w:tc>
        <w:tc>
          <w:tcPr>
            <w:tcW w:w="1768" w:type="pct"/>
          </w:tcPr>
          <w:p w14:paraId="5A1A0A47" w14:textId="77777777" w:rsidR="007F0656" w:rsidRPr="0052453E" w:rsidRDefault="007F0656" w:rsidP="00C23D2D">
            <w:pPr>
              <w:pStyle w:val="TableHead"/>
              <w:rPr>
                <w:rFonts w:eastAsia="Calibri"/>
              </w:rPr>
            </w:pPr>
            <w:r w:rsidRPr="0052453E">
              <w:rPr>
                <w:rFonts w:eastAsia="Calibri"/>
              </w:rPr>
              <w:t>Total applications granted</w:t>
            </w:r>
          </w:p>
        </w:tc>
        <w:tc>
          <w:tcPr>
            <w:tcW w:w="1768" w:type="pct"/>
            <w:shd w:val="clear" w:color="auto" w:fill="auto"/>
          </w:tcPr>
          <w:p w14:paraId="34093151" w14:textId="77777777" w:rsidR="007F0656" w:rsidRPr="0052453E" w:rsidRDefault="007F0656" w:rsidP="00C23D2D">
            <w:pPr>
              <w:pStyle w:val="TableHead"/>
              <w:rPr>
                <w:rFonts w:eastAsia="Calibri"/>
              </w:rPr>
            </w:pPr>
            <w:r w:rsidRPr="0052453E">
              <w:rPr>
                <w:rFonts w:eastAsia="Calibri"/>
              </w:rPr>
              <w:t>Total expenditure €</w:t>
            </w:r>
          </w:p>
        </w:tc>
      </w:tr>
      <w:tr w:rsidR="007F0656" w:rsidRPr="0052453E" w14:paraId="160C6AC0" w14:textId="77777777" w:rsidTr="0052453E">
        <w:tc>
          <w:tcPr>
            <w:tcW w:w="1463" w:type="pct"/>
            <w:shd w:val="clear" w:color="auto" w:fill="auto"/>
          </w:tcPr>
          <w:p w14:paraId="5C48826F"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2012</w:t>
            </w:r>
          </w:p>
        </w:tc>
        <w:tc>
          <w:tcPr>
            <w:tcW w:w="1768" w:type="pct"/>
          </w:tcPr>
          <w:p w14:paraId="64C0C49F" w14:textId="77777777" w:rsidR="007F0656" w:rsidRPr="0052453E" w:rsidRDefault="007F0656" w:rsidP="007F0656">
            <w:pPr>
              <w:pStyle w:val="TableCell"/>
              <w:jc w:val="right"/>
              <w:rPr>
                <w:rFonts w:eastAsia="Calibri"/>
                <w:szCs w:val="26"/>
              </w:rPr>
            </w:pPr>
            <w:r w:rsidRPr="0052453E">
              <w:rPr>
                <w:rFonts w:eastAsia="Calibri"/>
                <w:szCs w:val="26"/>
              </w:rPr>
              <w:t>1</w:t>
            </w:r>
          </w:p>
        </w:tc>
        <w:tc>
          <w:tcPr>
            <w:tcW w:w="1768" w:type="pct"/>
            <w:shd w:val="clear" w:color="auto" w:fill="auto"/>
          </w:tcPr>
          <w:p w14:paraId="524401F8" w14:textId="77777777" w:rsidR="007F0656" w:rsidRPr="0052453E" w:rsidRDefault="007F0656" w:rsidP="007F0656">
            <w:pPr>
              <w:pStyle w:val="TableCell"/>
              <w:jc w:val="right"/>
              <w:rPr>
                <w:rFonts w:eastAsia="Calibri"/>
                <w:szCs w:val="26"/>
              </w:rPr>
            </w:pPr>
            <w:r w:rsidRPr="0052453E">
              <w:rPr>
                <w:rFonts w:eastAsia="Calibri"/>
                <w:szCs w:val="26"/>
              </w:rPr>
              <w:t>2,430</w:t>
            </w:r>
          </w:p>
        </w:tc>
      </w:tr>
      <w:tr w:rsidR="007F0656" w:rsidRPr="0052453E" w14:paraId="7D1DD027" w14:textId="77777777" w:rsidTr="0052453E">
        <w:tc>
          <w:tcPr>
            <w:tcW w:w="1463" w:type="pct"/>
            <w:shd w:val="clear" w:color="auto" w:fill="auto"/>
          </w:tcPr>
          <w:p w14:paraId="7568118D"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2013</w:t>
            </w:r>
          </w:p>
        </w:tc>
        <w:tc>
          <w:tcPr>
            <w:tcW w:w="1768" w:type="pct"/>
          </w:tcPr>
          <w:p w14:paraId="34764B34" w14:textId="77777777" w:rsidR="007F0656" w:rsidRPr="0052453E" w:rsidRDefault="007F0656" w:rsidP="007F0656">
            <w:pPr>
              <w:pStyle w:val="TableCell"/>
              <w:jc w:val="right"/>
              <w:rPr>
                <w:rFonts w:eastAsia="Calibri"/>
                <w:szCs w:val="26"/>
              </w:rPr>
            </w:pPr>
            <w:r w:rsidRPr="0052453E">
              <w:rPr>
                <w:rFonts w:eastAsia="Calibri"/>
                <w:szCs w:val="26"/>
              </w:rPr>
              <w:t>1</w:t>
            </w:r>
          </w:p>
        </w:tc>
        <w:tc>
          <w:tcPr>
            <w:tcW w:w="1768" w:type="pct"/>
            <w:shd w:val="clear" w:color="auto" w:fill="auto"/>
          </w:tcPr>
          <w:p w14:paraId="392FE2D5" w14:textId="77777777" w:rsidR="007F0656" w:rsidRPr="0052453E" w:rsidRDefault="007F0656" w:rsidP="007F0656">
            <w:pPr>
              <w:pStyle w:val="TableCell"/>
              <w:jc w:val="right"/>
              <w:rPr>
                <w:rFonts w:eastAsia="Calibri"/>
                <w:szCs w:val="26"/>
              </w:rPr>
            </w:pPr>
            <w:r w:rsidRPr="0052453E">
              <w:rPr>
                <w:rFonts w:eastAsia="Calibri"/>
                <w:szCs w:val="26"/>
              </w:rPr>
              <w:t>834</w:t>
            </w:r>
          </w:p>
        </w:tc>
      </w:tr>
      <w:tr w:rsidR="007F0656" w:rsidRPr="0052453E" w14:paraId="47874402" w14:textId="77777777" w:rsidTr="0052453E">
        <w:tc>
          <w:tcPr>
            <w:tcW w:w="1463" w:type="pct"/>
            <w:shd w:val="clear" w:color="auto" w:fill="auto"/>
          </w:tcPr>
          <w:p w14:paraId="7BC77302"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2014</w:t>
            </w:r>
          </w:p>
        </w:tc>
        <w:tc>
          <w:tcPr>
            <w:tcW w:w="1768" w:type="pct"/>
          </w:tcPr>
          <w:p w14:paraId="2D9403E5" w14:textId="77777777" w:rsidR="007F0656" w:rsidRPr="0052453E" w:rsidRDefault="007F0656" w:rsidP="007F0656">
            <w:pPr>
              <w:pStyle w:val="TableCell"/>
              <w:jc w:val="right"/>
              <w:rPr>
                <w:rFonts w:eastAsia="Calibri"/>
                <w:szCs w:val="26"/>
              </w:rPr>
            </w:pPr>
            <w:r w:rsidRPr="0052453E">
              <w:rPr>
                <w:rFonts w:eastAsia="Calibri"/>
                <w:szCs w:val="26"/>
              </w:rPr>
              <w:t>3</w:t>
            </w:r>
          </w:p>
        </w:tc>
        <w:tc>
          <w:tcPr>
            <w:tcW w:w="1768" w:type="pct"/>
            <w:shd w:val="clear" w:color="auto" w:fill="auto"/>
          </w:tcPr>
          <w:p w14:paraId="22663EE3" w14:textId="77777777" w:rsidR="007F0656" w:rsidRPr="0052453E" w:rsidRDefault="007F0656" w:rsidP="007F0656">
            <w:pPr>
              <w:pStyle w:val="TableCell"/>
              <w:jc w:val="right"/>
              <w:rPr>
                <w:rFonts w:eastAsia="Calibri"/>
                <w:szCs w:val="26"/>
              </w:rPr>
            </w:pPr>
            <w:r w:rsidRPr="0052453E">
              <w:rPr>
                <w:rFonts w:eastAsia="Calibri"/>
                <w:szCs w:val="26"/>
              </w:rPr>
              <w:t>3,760</w:t>
            </w:r>
          </w:p>
        </w:tc>
      </w:tr>
      <w:tr w:rsidR="007F0656" w:rsidRPr="0052453E" w14:paraId="572DFC57" w14:textId="77777777" w:rsidTr="0052453E">
        <w:tc>
          <w:tcPr>
            <w:tcW w:w="1463" w:type="pct"/>
            <w:shd w:val="clear" w:color="auto" w:fill="auto"/>
          </w:tcPr>
          <w:p w14:paraId="2B48EDC0"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2015</w:t>
            </w:r>
          </w:p>
        </w:tc>
        <w:tc>
          <w:tcPr>
            <w:tcW w:w="1768" w:type="pct"/>
          </w:tcPr>
          <w:p w14:paraId="27D59D3E" w14:textId="77777777" w:rsidR="007F0656" w:rsidRPr="0052453E" w:rsidRDefault="007F0656" w:rsidP="007F0656">
            <w:pPr>
              <w:pStyle w:val="TableCell"/>
              <w:jc w:val="right"/>
              <w:rPr>
                <w:rFonts w:eastAsia="Calibri"/>
                <w:szCs w:val="26"/>
              </w:rPr>
            </w:pPr>
            <w:r w:rsidRPr="0052453E">
              <w:rPr>
                <w:rFonts w:eastAsia="Calibri"/>
                <w:szCs w:val="26"/>
              </w:rPr>
              <w:t>5</w:t>
            </w:r>
          </w:p>
        </w:tc>
        <w:tc>
          <w:tcPr>
            <w:tcW w:w="1768" w:type="pct"/>
            <w:shd w:val="clear" w:color="auto" w:fill="auto"/>
          </w:tcPr>
          <w:p w14:paraId="48FE19BB" w14:textId="77777777" w:rsidR="007F0656" w:rsidRPr="0052453E" w:rsidRDefault="007F0656" w:rsidP="007F0656">
            <w:pPr>
              <w:pStyle w:val="TableCell"/>
              <w:jc w:val="right"/>
              <w:rPr>
                <w:rFonts w:eastAsia="Calibri"/>
                <w:szCs w:val="26"/>
              </w:rPr>
            </w:pPr>
            <w:r w:rsidRPr="0052453E">
              <w:rPr>
                <w:rFonts w:eastAsia="Calibri"/>
                <w:szCs w:val="26"/>
              </w:rPr>
              <w:t>12,967</w:t>
            </w:r>
          </w:p>
        </w:tc>
      </w:tr>
      <w:tr w:rsidR="007F0656" w:rsidRPr="0052453E" w14:paraId="7389C69D" w14:textId="77777777" w:rsidTr="0052453E">
        <w:tc>
          <w:tcPr>
            <w:tcW w:w="1463" w:type="pct"/>
            <w:shd w:val="clear" w:color="auto" w:fill="auto"/>
          </w:tcPr>
          <w:p w14:paraId="1A36748B"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2016</w:t>
            </w:r>
          </w:p>
        </w:tc>
        <w:tc>
          <w:tcPr>
            <w:tcW w:w="1768" w:type="pct"/>
          </w:tcPr>
          <w:p w14:paraId="3621B14B" w14:textId="77777777" w:rsidR="007F0656" w:rsidRPr="0052453E" w:rsidRDefault="007F0656" w:rsidP="007F0656">
            <w:pPr>
              <w:pStyle w:val="TableCell"/>
              <w:jc w:val="right"/>
              <w:rPr>
                <w:rFonts w:eastAsia="Calibri"/>
                <w:szCs w:val="26"/>
              </w:rPr>
            </w:pPr>
            <w:r w:rsidRPr="0052453E">
              <w:rPr>
                <w:rFonts w:eastAsia="Calibri"/>
                <w:szCs w:val="26"/>
              </w:rPr>
              <w:t>2</w:t>
            </w:r>
          </w:p>
        </w:tc>
        <w:tc>
          <w:tcPr>
            <w:tcW w:w="1768" w:type="pct"/>
            <w:shd w:val="clear" w:color="auto" w:fill="auto"/>
          </w:tcPr>
          <w:p w14:paraId="459B57F2" w14:textId="77777777" w:rsidR="007F0656" w:rsidRPr="0052453E" w:rsidRDefault="007F0656" w:rsidP="007F0656">
            <w:pPr>
              <w:pStyle w:val="TableCell"/>
              <w:jc w:val="right"/>
              <w:rPr>
                <w:rFonts w:eastAsia="Calibri"/>
                <w:szCs w:val="26"/>
              </w:rPr>
            </w:pPr>
            <w:r w:rsidRPr="0052453E">
              <w:rPr>
                <w:rFonts w:eastAsia="Calibri"/>
                <w:szCs w:val="26"/>
              </w:rPr>
              <w:t>9,270</w:t>
            </w:r>
          </w:p>
        </w:tc>
      </w:tr>
      <w:tr w:rsidR="007F0656" w:rsidRPr="0052453E" w14:paraId="263BD86C" w14:textId="77777777" w:rsidTr="0052453E">
        <w:tc>
          <w:tcPr>
            <w:tcW w:w="1463" w:type="pct"/>
            <w:shd w:val="clear" w:color="auto" w:fill="auto"/>
          </w:tcPr>
          <w:p w14:paraId="07955DDD"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2017</w:t>
            </w:r>
          </w:p>
        </w:tc>
        <w:tc>
          <w:tcPr>
            <w:tcW w:w="1768" w:type="pct"/>
          </w:tcPr>
          <w:p w14:paraId="083E9F43" w14:textId="77777777" w:rsidR="007F0656" w:rsidRPr="0052453E" w:rsidRDefault="007F0656" w:rsidP="007F0656">
            <w:pPr>
              <w:pStyle w:val="TableCell"/>
              <w:jc w:val="right"/>
              <w:rPr>
                <w:rFonts w:eastAsia="Calibri"/>
                <w:szCs w:val="26"/>
              </w:rPr>
            </w:pPr>
            <w:r w:rsidRPr="0052453E">
              <w:rPr>
                <w:rFonts w:eastAsia="Calibri"/>
                <w:szCs w:val="26"/>
              </w:rPr>
              <w:t>11</w:t>
            </w:r>
          </w:p>
        </w:tc>
        <w:tc>
          <w:tcPr>
            <w:tcW w:w="1768" w:type="pct"/>
            <w:shd w:val="clear" w:color="auto" w:fill="auto"/>
          </w:tcPr>
          <w:p w14:paraId="657074C0" w14:textId="77777777" w:rsidR="007F0656" w:rsidRPr="0052453E" w:rsidRDefault="007F0656" w:rsidP="007F0656">
            <w:pPr>
              <w:pStyle w:val="TableCell"/>
              <w:jc w:val="right"/>
              <w:rPr>
                <w:rFonts w:eastAsia="Calibri"/>
                <w:szCs w:val="26"/>
              </w:rPr>
            </w:pPr>
            <w:r w:rsidRPr="0052453E">
              <w:rPr>
                <w:rFonts w:eastAsia="Calibri"/>
                <w:szCs w:val="26"/>
              </w:rPr>
              <w:t>62,275</w:t>
            </w:r>
          </w:p>
        </w:tc>
      </w:tr>
      <w:tr w:rsidR="007F0656" w:rsidRPr="0052453E" w14:paraId="7BDA9E8D" w14:textId="77777777" w:rsidTr="0052453E">
        <w:tc>
          <w:tcPr>
            <w:tcW w:w="1463" w:type="pct"/>
            <w:shd w:val="clear" w:color="auto" w:fill="auto"/>
          </w:tcPr>
          <w:p w14:paraId="60EA6593" w14:textId="77777777" w:rsidR="007F0656" w:rsidRPr="0052453E" w:rsidRDefault="007F0656" w:rsidP="007F0656">
            <w:pPr>
              <w:pStyle w:val="TableRowHead"/>
              <w:rPr>
                <w:rFonts w:ascii="Gill Sans MT" w:eastAsia="Calibri" w:hAnsi="Gill Sans MT"/>
              </w:rPr>
            </w:pPr>
            <w:r w:rsidRPr="0052453E">
              <w:rPr>
                <w:rFonts w:ascii="Gill Sans MT" w:eastAsia="Calibri" w:hAnsi="Gill Sans MT"/>
              </w:rPr>
              <w:t>2018</w:t>
            </w:r>
          </w:p>
        </w:tc>
        <w:tc>
          <w:tcPr>
            <w:tcW w:w="1768" w:type="pct"/>
          </w:tcPr>
          <w:p w14:paraId="1B47970A" w14:textId="77777777" w:rsidR="007F0656" w:rsidRPr="0052453E" w:rsidRDefault="007F0656" w:rsidP="007F0656">
            <w:pPr>
              <w:pStyle w:val="TableCell"/>
              <w:jc w:val="right"/>
              <w:rPr>
                <w:rFonts w:eastAsia="Calibri"/>
                <w:szCs w:val="26"/>
              </w:rPr>
            </w:pPr>
            <w:r w:rsidRPr="0052453E">
              <w:rPr>
                <w:rFonts w:eastAsia="Calibri"/>
                <w:szCs w:val="26"/>
              </w:rPr>
              <w:t>5</w:t>
            </w:r>
          </w:p>
        </w:tc>
        <w:tc>
          <w:tcPr>
            <w:tcW w:w="1768" w:type="pct"/>
            <w:shd w:val="clear" w:color="auto" w:fill="auto"/>
          </w:tcPr>
          <w:p w14:paraId="247A1DEC" w14:textId="77777777" w:rsidR="007F0656" w:rsidRPr="0052453E" w:rsidRDefault="007F0656" w:rsidP="007F0656">
            <w:pPr>
              <w:pStyle w:val="TableCell"/>
              <w:jc w:val="right"/>
              <w:rPr>
                <w:rFonts w:eastAsia="Calibri"/>
                <w:szCs w:val="26"/>
              </w:rPr>
            </w:pPr>
            <w:r w:rsidRPr="0052453E">
              <w:rPr>
                <w:rFonts w:eastAsia="Calibri"/>
                <w:szCs w:val="26"/>
              </w:rPr>
              <w:t xml:space="preserve">20,214 </w:t>
            </w:r>
          </w:p>
        </w:tc>
      </w:tr>
    </w:tbl>
    <w:p w14:paraId="0D0193CB" w14:textId="77777777" w:rsidR="00861CDB" w:rsidRPr="00471E17" w:rsidRDefault="00861CDB" w:rsidP="0052453E">
      <w:pPr>
        <w:pStyle w:val="TableNote"/>
        <w:rPr>
          <w:rFonts w:eastAsia="Calibri"/>
        </w:rPr>
      </w:pPr>
      <w:r w:rsidRPr="00536B99">
        <w:rPr>
          <w:rFonts w:eastAsia="Calibri"/>
        </w:rPr>
        <w:t xml:space="preserve">Source: </w:t>
      </w:r>
      <w:r w:rsidR="00CE3F76">
        <w:rPr>
          <w:rFonts w:eastAsia="Calibri"/>
        </w:rPr>
        <w:t xml:space="preserve">Minister for Employment Affairs and Social Protection, </w:t>
      </w:r>
      <w:r>
        <w:rPr>
          <w:rFonts w:eastAsia="Calibri"/>
        </w:rPr>
        <w:t>Regina Doherty</w:t>
      </w:r>
      <w:r w:rsidRPr="00536B99">
        <w:rPr>
          <w:rFonts w:eastAsia="Calibri"/>
        </w:rPr>
        <w:t xml:space="preserve"> TD, </w:t>
      </w:r>
      <w:r w:rsidRPr="00536B99">
        <w:rPr>
          <w:rFonts w:eastAsia="Calibri"/>
          <w:b/>
        </w:rPr>
        <w:t xml:space="preserve">Parliamentary Question, </w:t>
      </w:r>
      <w:r>
        <w:rPr>
          <w:rFonts w:eastAsia="Calibri"/>
          <w:b/>
        </w:rPr>
        <w:t>11 June 2019</w:t>
      </w:r>
      <w:r w:rsidRPr="00536B99">
        <w:rPr>
          <w:rFonts w:eastAsia="Calibri"/>
          <w:b/>
        </w:rPr>
        <w:t xml:space="preserve">, </w:t>
      </w:r>
      <w:r>
        <w:rPr>
          <w:rFonts w:eastAsia="Calibri"/>
          <w:b/>
        </w:rPr>
        <w:t>23589/19</w:t>
      </w:r>
      <w:r w:rsidRPr="00536B99">
        <w:rPr>
          <w:rFonts w:eastAsia="Calibri"/>
          <w:b/>
        </w:rPr>
        <w:t>.</w:t>
      </w:r>
    </w:p>
    <w:p w14:paraId="108F7CEF" w14:textId="77777777" w:rsidR="00861CDB" w:rsidRDefault="00861CDB" w:rsidP="00861CDB">
      <w:r w:rsidRPr="00FE2467">
        <w:t>There is no pre-approved list of Disability Awareness Supp</w:t>
      </w:r>
      <w:r>
        <w:t>ort Scheme training providers.</w:t>
      </w:r>
      <w:r>
        <w:rPr>
          <w:rStyle w:val="FootnoteReference"/>
        </w:rPr>
        <w:footnoteReference w:id="88"/>
      </w:r>
      <w:r w:rsidRPr="00BE0B63">
        <w:t xml:space="preserve"> </w:t>
      </w:r>
      <w:r>
        <w:t>However, the NDA has developed</w:t>
      </w:r>
      <w:r w:rsidRPr="00BE0B63">
        <w:t xml:space="preserve"> guidelines for purchasers of Disability Equality Training to assist organisations with the development of their Disability Equality Training programme.</w:t>
      </w:r>
      <w:r>
        <w:rPr>
          <w:rStyle w:val="FootnoteReference"/>
        </w:rPr>
        <w:footnoteReference w:id="89"/>
      </w:r>
    </w:p>
    <w:p w14:paraId="6BB89A6A" w14:textId="77777777" w:rsidR="00861CDB" w:rsidRDefault="00861CDB" w:rsidP="00861CDB">
      <w:r w:rsidRPr="00FE2467">
        <w:t>The Department has noted that the uptake of this grant has been low and intends to commence a focu</w:t>
      </w:r>
      <w:r>
        <w:t>sed policy review of the scheme.</w:t>
      </w:r>
      <w:r>
        <w:rPr>
          <w:rStyle w:val="FootnoteReference"/>
        </w:rPr>
        <w:footnoteReference w:id="90"/>
      </w:r>
      <w:r w:rsidR="003A0C5C">
        <w:t xml:space="preserve"> The NDA has also called for such a review.</w:t>
      </w:r>
      <w:r w:rsidR="003A0C5C">
        <w:rPr>
          <w:rStyle w:val="FootnoteReference"/>
        </w:rPr>
        <w:footnoteReference w:id="91"/>
      </w:r>
    </w:p>
    <w:p w14:paraId="2408BA30" w14:textId="77777777" w:rsidR="00861CDB" w:rsidRDefault="00861CDB" w:rsidP="00861CDB">
      <w:r w:rsidRPr="00A73170">
        <w:t>The</w:t>
      </w:r>
      <w:r>
        <w:t xml:space="preserve"> Employer Disability Information service raised concern that the</w:t>
      </w:r>
      <w:r w:rsidRPr="00A73170">
        <w:t xml:space="preserve"> </w:t>
      </w:r>
      <w:r w:rsidRPr="00A73170">
        <w:rPr>
          <w:b/>
        </w:rPr>
        <w:t>Disability Awareness Support Scheme</w:t>
      </w:r>
      <w:r w:rsidRPr="00A73170">
        <w:t xml:space="preserve"> is advertised as</w:t>
      </w:r>
      <w:r w:rsidR="007F0656">
        <w:t xml:space="preserve"> offering funding to </w:t>
      </w:r>
      <w:r w:rsidRPr="00A73170">
        <w:t>private sector employers to provide Disability Awareness Training for staff who work with a</w:t>
      </w:r>
      <w:r w:rsidR="00342BF5">
        <w:t xml:space="preserve"> colleague who has a disability.</w:t>
      </w:r>
      <w:r w:rsidR="00342BF5">
        <w:rPr>
          <w:rStyle w:val="FootnoteReference"/>
        </w:rPr>
        <w:footnoteReference w:id="92"/>
      </w:r>
      <w:r w:rsidR="007F0656">
        <w:t xml:space="preserve"> </w:t>
      </w:r>
      <w:r w:rsidR="007664EB">
        <w:t xml:space="preserve">The supports are also only available to private sector employers. </w:t>
      </w:r>
      <w:r w:rsidR="00863BC9">
        <w:t>T</w:t>
      </w:r>
      <w:r w:rsidR="00342BF5">
        <w:t xml:space="preserve">he NDA is of the view that </w:t>
      </w:r>
      <w:r w:rsidRPr="00A73170">
        <w:t>such training is beneficial for all staff whether they have a colleague who has disclosed a disability or not</w:t>
      </w:r>
      <w:r w:rsidR="007664EB">
        <w:t>, and would have equal relevance to the public sector</w:t>
      </w:r>
      <w:r>
        <w:t>.</w:t>
      </w:r>
      <w:r w:rsidR="00342BF5">
        <w:rPr>
          <w:rStyle w:val="FootnoteReference"/>
        </w:rPr>
        <w:footnoteReference w:id="93"/>
      </w:r>
      <w:r>
        <w:t xml:space="preserve"> </w:t>
      </w:r>
    </w:p>
    <w:p w14:paraId="7DDB89A4" w14:textId="77777777" w:rsidR="00861CDB" w:rsidRDefault="00861CDB" w:rsidP="00861CDB">
      <w:pPr>
        <w:pStyle w:val="Heading2"/>
      </w:pPr>
      <w:bookmarkStart w:id="37" w:name="_Toc65581184"/>
      <w:r>
        <w:t>Employer Disability Information service</w:t>
      </w:r>
      <w:bookmarkEnd w:id="37"/>
    </w:p>
    <w:p w14:paraId="6A3C6059" w14:textId="1F1FCC1F" w:rsidR="00861CDB" w:rsidRDefault="00861CDB" w:rsidP="00861CDB">
      <w:r w:rsidRPr="006C306D">
        <w:t>The Employer Disability Information</w:t>
      </w:r>
      <w:r w:rsidR="002257A9">
        <w:t xml:space="preserve"> (EDI)</w:t>
      </w:r>
      <w:r w:rsidRPr="006C306D">
        <w:t xml:space="preserve"> service operated as a pilot initiative</w:t>
      </w:r>
      <w:r w:rsidR="00863BC9">
        <w:t xml:space="preserve"> from February 2016</w:t>
      </w:r>
      <w:r w:rsidRPr="006C306D">
        <w:t xml:space="preserve"> until January 2019. Its purpose was to provide employers with an expert peer source of advice and information on employing staff with disabilities, with a view to enhancing the confidence and competence of individual employers to employ, manage and retain staff with disabilities. The service was managed by a consortium of employer organisations - Chambers Ireland, Ibec and ISME - and was funded through the National Disability Authority</w:t>
      </w:r>
      <w:r>
        <w:t xml:space="preserve">. </w:t>
      </w:r>
    </w:p>
    <w:p w14:paraId="29491545" w14:textId="77777777" w:rsidR="00861CDB" w:rsidRDefault="00861CDB" w:rsidP="00861CDB">
      <w:r>
        <w:t xml:space="preserve">In October 2018, the Employer Disability Information service published the results of a survey with 250 respondents, the purpose of which was to </w:t>
      </w:r>
      <w:r w:rsidRPr="00584AF5">
        <w:t xml:space="preserve">assess employers’ attitudes to employing </w:t>
      </w:r>
      <w:r w:rsidR="00DA6E35">
        <w:t>persons</w:t>
      </w:r>
      <w:r w:rsidRPr="00584AF5">
        <w:t xml:space="preserve"> with disabilities, measure the impact of the EDI project over the last two years of operation and compare results to </w:t>
      </w:r>
      <w:r>
        <w:t>a</w:t>
      </w:r>
      <w:r w:rsidRPr="00584AF5">
        <w:t xml:space="preserve"> previous 2016 survey</w:t>
      </w:r>
      <w:r>
        <w:t>.</w:t>
      </w:r>
      <w:r>
        <w:rPr>
          <w:rStyle w:val="FootnoteReference"/>
        </w:rPr>
        <w:footnoteReference w:id="94"/>
      </w:r>
      <w:r w:rsidRPr="00584AF5">
        <w:t xml:space="preserve"> </w:t>
      </w:r>
      <w:r>
        <w:t>The survey</w:t>
      </w:r>
      <w:r w:rsidRPr="00584AF5">
        <w:t xml:space="preserve"> showed that 48% of the 250 respondents were aware of the EDI Service</w:t>
      </w:r>
      <w:r>
        <w:t>, which represented a 21% increase in awareness compared to 2016 results</w:t>
      </w:r>
      <w:r w:rsidRPr="00584AF5">
        <w:t xml:space="preserve">. </w:t>
      </w:r>
    </w:p>
    <w:p w14:paraId="57A14E0E" w14:textId="3569AE23" w:rsidR="00665669" w:rsidRDefault="00665669" w:rsidP="00861CDB">
      <w:r>
        <w:t>Recently, a</w:t>
      </w:r>
      <w:r w:rsidRPr="00665669">
        <w:t xml:space="preserve"> grant agreement </w:t>
      </w:r>
      <w:r w:rsidR="00C82706">
        <w:t>was</w:t>
      </w:r>
      <w:r w:rsidRPr="00665669">
        <w:t xml:space="preserve"> put in place</w:t>
      </w:r>
      <w:r w:rsidR="00DA73B2">
        <w:t xml:space="preserve"> by the Department of Children, Equality, Disability, Integration and Youth</w:t>
      </w:r>
      <w:r w:rsidRPr="00665669">
        <w:t xml:space="preserve"> with the Open Doors Initiative to implement an employer information service that will occupy the space </w:t>
      </w:r>
      <w:r w:rsidR="00C82706">
        <w:t>previously filled by the</w:t>
      </w:r>
      <w:r w:rsidRPr="00665669">
        <w:t xml:space="preserve"> EDI pilot service. €150,000 has been </w:t>
      </w:r>
      <w:r>
        <w:t>allocated to the service for an</w:t>
      </w:r>
      <w:r w:rsidRPr="00665669">
        <w:t xml:space="preserve"> initial 12 month operation. </w:t>
      </w:r>
      <w:r>
        <w:t xml:space="preserve">The </w:t>
      </w:r>
      <w:r w:rsidRPr="00665669">
        <w:t xml:space="preserve">Open Doors </w:t>
      </w:r>
      <w:r>
        <w:t xml:space="preserve">Initiative </w:t>
      </w:r>
      <w:r w:rsidRPr="00665669">
        <w:t xml:space="preserve">are currently in the process of hiring a project manager for this project and will immediately begin the initial tasks of establishing an up-to-date, informative website and phone service for employers. </w:t>
      </w:r>
    </w:p>
    <w:p w14:paraId="68AADBFC" w14:textId="77777777" w:rsidR="00861CDB" w:rsidRPr="00396F05" w:rsidRDefault="00861CDB" w:rsidP="00861CDB">
      <w:r>
        <w:t xml:space="preserve">The </w:t>
      </w:r>
      <w:r w:rsidRPr="000C53C1">
        <w:t>NDA is working</w:t>
      </w:r>
      <w:r>
        <w:t xml:space="preserve"> with the </w:t>
      </w:r>
      <w:r w:rsidRPr="008D4527">
        <w:t>Organisation for Economic Co-operation and Development</w:t>
      </w:r>
      <w:r>
        <w:t xml:space="preserve"> (OECD)</w:t>
      </w:r>
      <w:r w:rsidRPr="000C53C1">
        <w:t xml:space="preserve"> to progress international research on effective approaches to employer engagement in order to guide future developments in this space.</w:t>
      </w:r>
      <w:r w:rsidR="004B5D81">
        <w:rPr>
          <w:rStyle w:val="FootnoteReference"/>
        </w:rPr>
        <w:footnoteReference w:id="95"/>
      </w:r>
    </w:p>
    <w:p w14:paraId="7DC63A52" w14:textId="62B24021" w:rsidR="00861CDB" w:rsidRDefault="00861CDB" w:rsidP="00861CDB">
      <w:r>
        <w:t>T</w:t>
      </w:r>
      <w:r w:rsidRPr="00396F05">
        <w:t xml:space="preserve">he NDA </w:t>
      </w:r>
      <w:r>
        <w:t xml:space="preserve">also </w:t>
      </w:r>
      <w:r w:rsidRPr="00396F05">
        <w:t>grant fund</w:t>
      </w:r>
      <w:r w:rsidR="00665669">
        <w:t>ed</w:t>
      </w:r>
      <w:r w:rsidRPr="00396F05">
        <w:t xml:space="preserve"> four organisations</w:t>
      </w:r>
      <w:r w:rsidR="00CB6C61">
        <w:t xml:space="preserve"> (AsIAm, Not So Different, WALK and Rehab Group)</w:t>
      </w:r>
      <w:r w:rsidRPr="00396F05">
        <w:t xml:space="preserve"> to develop employer awareness-raising materials that aim to promote disability confidence</w:t>
      </w:r>
      <w:r w:rsidR="002257A9">
        <w:t xml:space="preserve"> for employers</w:t>
      </w:r>
      <w:r w:rsidRPr="00396F05">
        <w:t xml:space="preserve"> across the public and private sectors.</w:t>
      </w:r>
      <w:r w:rsidR="004B5D81">
        <w:rPr>
          <w:rStyle w:val="FootnoteReference"/>
        </w:rPr>
        <w:footnoteReference w:id="96"/>
      </w:r>
      <w:r w:rsidRPr="00396F05">
        <w:t xml:space="preserve"> The training materials</w:t>
      </w:r>
      <w:r w:rsidR="00C82706" w:rsidRPr="00C82706">
        <w:rPr>
          <w:rFonts w:ascii="Arial" w:hAnsi="Arial" w:cs="Arial"/>
          <w:color w:val="333333"/>
          <w:szCs w:val="26"/>
          <w:shd w:val="clear" w:color="auto" w:fill="FFFFFF"/>
        </w:rPr>
        <w:t xml:space="preserve"> </w:t>
      </w:r>
      <w:r w:rsidR="00C82706">
        <w:t>on ‘</w:t>
      </w:r>
      <w:r w:rsidR="00C82706" w:rsidRPr="00C82706">
        <w:t>Inclusive Recruitment and Retention Practices’</w:t>
      </w:r>
      <w:r w:rsidRPr="00396F05">
        <w:t xml:space="preserve"> </w:t>
      </w:r>
      <w:r w:rsidR="00CB6C61">
        <w:t>are</w:t>
      </w:r>
      <w:r w:rsidRPr="00396F05">
        <w:t xml:space="preserve"> available to employers as interconnected modules via an eLearning portal</w:t>
      </w:r>
      <w:r w:rsidR="00CB6C61">
        <w:t>, on each of the websites of the four partner organisations</w:t>
      </w:r>
      <w:r w:rsidRPr="00396F05">
        <w:t>. The content cover</w:t>
      </w:r>
      <w:r w:rsidR="00CB6C61">
        <w:t>s</w:t>
      </w:r>
      <w:r w:rsidRPr="00396F05">
        <w:t xml:space="preserve"> </w:t>
      </w:r>
      <w:r w:rsidR="00CB6C61">
        <w:t>the following topics</w:t>
      </w:r>
      <w:r w:rsidRPr="00396F05">
        <w:t xml:space="preserve">: </w:t>
      </w:r>
    </w:p>
    <w:p w14:paraId="6D317E9F" w14:textId="77777777" w:rsidR="009C114E" w:rsidRPr="009C114E" w:rsidRDefault="009C114E" w:rsidP="009C114E">
      <w:pPr>
        <w:pStyle w:val="ListBullet"/>
      </w:pPr>
      <w:r w:rsidRPr="009C114E">
        <w:t>Unit 0 - Disability Awareness</w:t>
      </w:r>
    </w:p>
    <w:p w14:paraId="1ED38EBA" w14:textId="77777777" w:rsidR="009C114E" w:rsidRPr="009C114E" w:rsidRDefault="009C114E" w:rsidP="009C114E">
      <w:pPr>
        <w:pStyle w:val="ListBullet"/>
      </w:pPr>
      <w:r w:rsidRPr="009C114E">
        <w:t>Unit 1 - Engagement</w:t>
      </w:r>
    </w:p>
    <w:p w14:paraId="35173DE1" w14:textId="77777777" w:rsidR="009C114E" w:rsidRPr="009C114E" w:rsidRDefault="009C114E" w:rsidP="009C114E">
      <w:pPr>
        <w:pStyle w:val="ListBullet"/>
      </w:pPr>
      <w:r w:rsidRPr="009C114E">
        <w:t>Unit 2 - Interviews And Recruitment</w:t>
      </w:r>
    </w:p>
    <w:p w14:paraId="57AD9F14" w14:textId="77777777" w:rsidR="009C114E" w:rsidRPr="009C114E" w:rsidRDefault="009C114E" w:rsidP="009C114E">
      <w:pPr>
        <w:pStyle w:val="ListBullet"/>
      </w:pPr>
      <w:r w:rsidRPr="009C114E">
        <w:t>Unit 3 - Induction And Onboarding</w:t>
      </w:r>
    </w:p>
    <w:p w14:paraId="3ABCA0E7" w14:textId="77777777" w:rsidR="009C114E" w:rsidRPr="009C114E" w:rsidRDefault="009C114E" w:rsidP="00AA27FA">
      <w:pPr>
        <w:pStyle w:val="ListBullet"/>
        <w:spacing w:after="240"/>
        <w:ind w:left="357" w:hanging="357"/>
      </w:pPr>
      <w:r w:rsidRPr="009C114E">
        <w:t>Unit 4 - In Work Supports</w:t>
      </w:r>
    </w:p>
    <w:p w14:paraId="68C80239" w14:textId="77777777" w:rsidR="00B82F41" w:rsidRDefault="00B82F41" w:rsidP="00C43CCF">
      <w:pPr>
        <w:pStyle w:val="Heading1"/>
      </w:pPr>
      <w:bookmarkStart w:id="38" w:name="_Toc65581185"/>
      <w:r>
        <w:t>Public and Private Sector Employment</w:t>
      </w:r>
      <w:bookmarkEnd w:id="38"/>
    </w:p>
    <w:p w14:paraId="5C0A2D15" w14:textId="77777777" w:rsidR="002B423B" w:rsidRPr="002B423B" w:rsidRDefault="002B423B" w:rsidP="002B423B">
      <w:pPr>
        <w:pStyle w:val="Heading2"/>
      </w:pPr>
      <w:bookmarkStart w:id="39" w:name="_Toc65581186"/>
      <w:r>
        <w:t>Part 5 process</w:t>
      </w:r>
      <w:bookmarkEnd w:id="39"/>
    </w:p>
    <w:p w14:paraId="0D705972" w14:textId="77777777" w:rsidR="00177097" w:rsidRDefault="00B82F41" w:rsidP="00B82F41">
      <w:r w:rsidRPr="00B82F41">
        <w:t>Under Part 5 of the Disability Act 2005, public bodies are expected to achieve a</w:t>
      </w:r>
      <w:r w:rsidR="00E97715">
        <w:t xml:space="preserve"> statutory target of 3% for the</w:t>
      </w:r>
      <w:r w:rsidR="00E97715" w:rsidRPr="00E97715">
        <w:t xml:space="preserve"> employment of </w:t>
      </w:r>
      <w:r w:rsidR="00DA6E35">
        <w:t>persons</w:t>
      </w:r>
      <w:r w:rsidR="00E97715" w:rsidRPr="00E97715">
        <w:t xml:space="preserve"> with disabilities in the public service</w:t>
      </w:r>
      <w:r w:rsidRPr="00B82F41">
        <w:t>.</w:t>
      </w:r>
      <w:r w:rsidR="00A316FF">
        <w:t xml:space="preserve"> </w:t>
      </w:r>
      <w:r w:rsidR="00177097" w:rsidRPr="00177097">
        <w:t>Under Part 5, each government department has a Departmental Monitoring Committee</w:t>
      </w:r>
      <w:r w:rsidR="007D3BEA">
        <w:t>, comprising</w:t>
      </w:r>
      <w:r w:rsidR="00177097" w:rsidRPr="00177097">
        <w:t xml:space="preserve"> of representatives from the Department. The purpose of each of these Committees is to monitor the progress that public bodies under the aegis of their Department are making to meet their obligations under Part 5. </w:t>
      </w:r>
    </w:p>
    <w:p w14:paraId="2A242396" w14:textId="77777777" w:rsidR="002B423B" w:rsidRDefault="002B423B" w:rsidP="00B82F41">
      <w:r w:rsidRPr="002B423B">
        <w:t xml:space="preserve">The </w:t>
      </w:r>
      <w:r>
        <w:t xml:space="preserve">2005 </w:t>
      </w:r>
      <w:r w:rsidRPr="002B423B">
        <w:t>Act does not set out any particular methods of counting or identifying employees with disabilities, although the NDA has previously advised public bodies about various methods that may be used. Each public body is responsible for choosing the appropriate method for counting employees with disabilities in their organisation each year. The NDA has asked public bodies to maintain consistent approaches over time where possible, to avoid any major va</w:t>
      </w:r>
      <w:r w:rsidR="008E30FF">
        <w:t>riations in the reported data and has advised that a</w:t>
      </w:r>
      <w:r w:rsidRPr="002B423B">
        <w:t xml:space="preserve"> census of all employees, where each employee is invited to identify themselves as having a disability or not, is an important measure in identifying employees with disabilities. </w:t>
      </w:r>
    </w:p>
    <w:p w14:paraId="4775FBAC" w14:textId="77777777" w:rsidR="00177097" w:rsidRPr="00B82F41" w:rsidRDefault="00177097" w:rsidP="00B82F41">
      <w:r w:rsidRPr="00177097">
        <w:t>Every year, public bodies complete qualitative and quantitative Part 5 forms detailing the measures they are taking to meet their obligations under the Disability Act 2005</w:t>
      </w:r>
      <w:r w:rsidR="007D3BEA">
        <w:t xml:space="preserve">. </w:t>
      </w:r>
      <w:r w:rsidRPr="00177097">
        <w:t>Implementation of Part 5 is monitored on an ongoing basis by the NDA. The NDA reports each year on progress made towards the statutory target for employment in the public sector.</w:t>
      </w:r>
    </w:p>
    <w:p w14:paraId="1444C895" w14:textId="77777777" w:rsidR="00B82F41" w:rsidRDefault="007073B4" w:rsidP="00B82F41">
      <w:r>
        <w:t>In 2018</w:t>
      </w:r>
      <w:r w:rsidR="00B82F41">
        <w:t>,</w:t>
      </w:r>
      <w:r>
        <w:t xml:space="preserve"> 7,585 or 3.3</w:t>
      </w:r>
      <w:r w:rsidR="00B82F41" w:rsidRPr="00B82F41">
        <w:t xml:space="preserve">% of </w:t>
      </w:r>
      <w:r w:rsidR="00A316FF">
        <w:t xml:space="preserve">all </w:t>
      </w:r>
      <w:r w:rsidR="00B82F41" w:rsidRPr="00B82F41">
        <w:t xml:space="preserve">employees employed in the public sector </w:t>
      </w:r>
      <w:r w:rsidR="00A316FF">
        <w:t>disclosed that they are</w:t>
      </w:r>
      <w:r w:rsidR="00B82F41" w:rsidRPr="00B82F41">
        <w:t xml:space="preserve"> </w:t>
      </w:r>
      <w:r w:rsidR="00DA6E35">
        <w:t>persons</w:t>
      </w:r>
      <w:r>
        <w:t xml:space="preserve"> with disabilities.</w:t>
      </w:r>
      <w:r w:rsidR="004B5D81">
        <w:rPr>
          <w:rStyle w:val="FootnoteReference"/>
        </w:rPr>
        <w:footnoteReference w:id="97"/>
      </w:r>
      <w:r>
        <w:t xml:space="preserve"> 84.3% of</w:t>
      </w:r>
      <w:r w:rsidR="00B82F41" w:rsidRPr="00B82F41">
        <w:t xml:space="preserve"> public bodies achieved or exceeded the 3% target.</w:t>
      </w:r>
      <w:r>
        <w:t xml:space="preserve"> 2018 was the first year</w:t>
      </w:r>
      <w:r w:rsidRPr="007073B4">
        <w:t xml:space="preserve"> that the overall number of employees reporting a disability </w:t>
      </w:r>
      <w:r>
        <w:t>for the entire public sector had</w:t>
      </w:r>
      <w:r w:rsidRPr="007073B4">
        <w:t xml:space="preserve"> decreased since 2013</w:t>
      </w:r>
      <w:r>
        <w:t xml:space="preserve"> and showed</w:t>
      </w:r>
      <w:r w:rsidRPr="007073B4">
        <w:t xml:space="preserve"> a decline in the percentage of “reported” employees with a disability since the peak in 2015 of 3.6%</w:t>
      </w:r>
      <w:r>
        <w:t>.</w:t>
      </w:r>
      <w:r>
        <w:rPr>
          <w:rStyle w:val="FootnoteReference"/>
        </w:rPr>
        <w:footnoteReference w:id="98"/>
      </w:r>
    </w:p>
    <w:p w14:paraId="2DCFC077" w14:textId="77777777" w:rsidR="00B82F41" w:rsidRDefault="00B82F41" w:rsidP="00B82F41">
      <w:r w:rsidRPr="00B82F41">
        <w:t>Under the Comprehensive Employment Strategy for People with Disabilities 2015 – 2024, the Government has committed to incrementally increasing the statutory employment target, so that by 2024, a minimum of 6% of employees in the public sector will be persons with disabilities</w:t>
      </w:r>
      <w:r>
        <w:t>.</w:t>
      </w:r>
    </w:p>
    <w:p w14:paraId="161761E3" w14:textId="414BDFEB" w:rsidR="002B423B" w:rsidRPr="00EE68B3" w:rsidRDefault="00291AB9" w:rsidP="00B82F41">
      <w:pPr>
        <w:rPr>
          <w:bCs/>
        </w:rPr>
      </w:pPr>
      <w:r>
        <w:rPr>
          <w:bCs/>
        </w:rPr>
        <w:t>T</w:t>
      </w:r>
      <w:r w:rsidR="00EE68B3">
        <w:rPr>
          <w:bCs/>
        </w:rPr>
        <w:t xml:space="preserve">he NDA is aware that some </w:t>
      </w:r>
      <w:r w:rsidR="00DA6E35">
        <w:t>persons</w:t>
      </w:r>
      <w:r w:rsidR="00EE68B3">
        <w:rPr>
          <w:bCs/>
        </w:rPr>
        <w:t xml:space="preserve"> with disabilities have highlighted the challenge</w:t>
      </w:r>
      <w:r w:rsidRPr="00291AB9">
        <w:rPr>
          <w:bCs/>
        </w:rPr>
        <w:t xml:space="preserve"> of driving change </w:t>
      </w:r>
      <w:r w:rsidR="00EE68B3">
        <w:rPr>
          <w:bCs/>
        </w:rPr>
        <w:t xml:space="preserve">in this area </w:t>
      </w:r>
      <w:r w:rsidRPr="00291AB9">
        <w:rPr>
          <w:bCs/>
        </w:rPr>
        <w:t xml:space="preserve">when there </w:t>
      </w:r>
      <w:r w:rsidR="00EE68B3">
        <w:rPr>
          <w:bCs/>
        </w:rPr>
        <w:t>a</w:t>
      </w:r>
      <w:r w:rsidRPr="00291AB9">
        <w:rPr>
          <w:bCs/>
        </w:rPr>
        <w:t>re no real sanct</w:t>
      </w:r>
      <w:r w:rsidR="00EE68B3">
        <w:rPr>
          <w:bCs/>
        </w:rPr>
        <w:t>ions for failure to achieve the</w:t>
      </w:r>
      <w:r w:rsidRPr="00291AB9">
        <w:rPr>
          <w:bCs/>
        </w:rPr>
        <w:t xml:space="preserve"> minimum target</w:t>
      </w:r>
      <w:r w:rsidR="00EE68B3">
        <w:rPr>
          <w:bCs/>
        </w:rPr>
        <w:t xml:space="preserve"> provided for under Part 5</w:t>
      </w:r>
      <w:r>
        <w:rPr>
          <w:bCs/>
        </w:rPr>
        <w:t xml:space="preserve">. </w:t>
      </w:r>
      <w:r w:rsidR="002B423B">
        <w:t xml:space="preserve">The CES </w:t>
      </w:r>
      <w:r w:rsidR="002B423B" w:rsidRPr="006E2831">
        <w:t>Phase Two Action Plan</w:t>
      </w:r>
      <w:r w:rsidR="002B423B">
        <w:t xml:space="preserve"> </w:t>
      </w:r>
      <w:r w:rsidR="00C47409">
        <w:t>committed</w:t>
      </w:r>
      <w:r w:rsidR="002B423B">
        <w:t xml:space="preserve"> to review</w:t>
      </w:r>
      <w:r w:rsidR="002A6370">
        <w:t>ing</w:t>
      </w:r>
      <w:r w:rsidR="002B423B">
        <w:t xml:space="preserve"> the Part 5 process </w:t>
      </w:r>
      <w:r w:rsidR="002B423B" w:rsidRPr="006E2831">
        <w:t>to improve levels of engagement and accuracy</w:t>
      </w:r>
      <w:r w:rsidR="00C47409">
        <w:t>, which the NDA has completed</w:t>
      </w:r>
      <w:r w:rsidR="002B423B">
        <w:t>.</w:t>
      </w:r>
      <w:r w:rsidR="002B423B">
        <w:rPr>
          <w:rStyle w:val="FootnoteReference"/>
        </w:rPr>
        <w:footnoteReference w:id="99"/>
      </w:r>
      <w:r w:rsidR="00C47409">
        <w:t xml:space="preserve"> The </w:t>
      </w:r>
      <w:r w:rsidR="009C114E">
        <w:t xml:space="preserve">review </w:t>
      </w:r>
      <w:r w:rsidR="00C47409">
        <w:t xml:space="preserve">identifies </w:t>
      </w:r>
      <w:r w:rsidR="009C114E">
        <w:t xml:space="preserve">a series of </w:t>
      </w:r>
      <w:r w:rsidR="002A6370">
        <w:t>ac</w:t>
      </w:r>
      <w:r w:rsidR="009C114E">
        <w:t>tions for the next three years.</w:t>
      </w:r>
    </w:p>
    <w:p w14:paraId="1A12EDFA" w14:textId="77777777" w:rsidR="00BF6A92" w:rsidRDefault="00BF6A92" w:rsidP="00BF6A92">
      <w:pPr>
        <w:pStyle w:val="Heading2"/>
      </w:pPr>
      <w:bookmarkStart w:id="40" w:name="_Toc65581187"/>
      <w:r>
        <w:t xml:space="preserve">Good practices </w:t>
      </w:r>
      <w:r w:rsidRPr="00BF6A92">
        <w:t xml:space="preserve">in the employment of </w:t>
      </w:r>
      <w:r w:rsidR="00DA6E35">
        <w:t>persons</w:t>
      </w:r>
      <w:r w:rsidRPr="00BF6A92">
        <w:t xml:space="preserve"> with disabilities in the public sector</w:t>
      </w:r>
      <w:bookmarkEnd w:id="40"/>
    </w:p>
    <w:p w14:paraId="63403F40" w14:textId="77777777" w:rsidR="00BF6A92" w:rsidRDefault="001F1058" w:rsidP="00B82F41">
      <w:r>
        <w:t>In 2018, the NDA published commissioned</w:t>
      </w:r>
      <w:r w:rsidR="00A77E7E">
        <w:t xml:space="preserve"> research entitled</w:t>
      </w:r>
      <w:r>
        <w:t xml:space="preserve"> </w:t>
      </w:r>
      <w:r w:rsidRPr="001F1058">
        <w:rPr>
          <w:b/>
        </w:rPr>
        <w:t>Research on good practice in the employment of people with disabilities in the public sector</w:t>
      </w:r>
      <w:r>
        <w:t>.</w:t>
      </w:r>
      <w:r w:rsidR="004B5D81">
        <w:rPr>
          <w:rStyle w:val="FootnoteReference"/>
        </w:rPr>
        <w:footnoteReference w:id="100"/>
      </w:r>
      <w:r>
        <w:t xml:space="preserve"> </w:t>
      </w:r>
      <w:r w:rsidRPr="001F1058">
        <w:t>The research concludes that the public sector implement</w:t>
      </w:r>
      <w:r w:rsidR="00A27D80">
        <w:t>s</w:t>
      </w:r>
      <w:r w:rsidRPr="001F1058">
        <w:t xml:space="preserve"> a number of models of good practice in the employment of </w:t>
      </w:r>
      <w:r w:rsidR="00DA6E35">
        <w:t>persons</w:t>
      </w:r>
      <w:r w:rsidRPr="001F1058">
        <w:t xml:space="preserve"> with disabilities.</w:t>
      </w:r>
      <w:r w:rsidR="00DA6514">
        <w:t xml:space="preserve"> The report also states that there</w:t>
      </w:r>
      <w:r w:rsidR="00DA6514" w:rsidRPr="00DA6514">
        <w:t xml:space="preserve"> a number of cross cutting measur</w:t>
      </w:r>
      <w:r w:rsidR="00DA6514">
        <w:t xml:space="preserve">es which could be reflected on, including consistency of approach, and identifies issues </w:t>
      </w:r>
      <w:r w:rsidR="00DA6514" w:rsidRPr="00DA6514">
        <w:t xml:space="preserve">that may require further research and exploration to support better employment outcomes for </w:t>
      </w:r>
      <w:r w:rsidR="00DA6E35">
        <w:t>persons</w:t>
      </w:r>
      <w:r w:rsidR="00DA6514" w:rsidRPr="00DA6514">
        <w:t xml:space="preserve"> with disabilities</w:t>
      </w:r>
      <w:r w:rsidR="00A77E7E">
        <w:t>. This</w:t>
      </w:r>
      <w:r w:rsidR="00DA6514">
        <w:t xml:space="preserve"> includes identifying t</w:t>
      </w:r>
      <w:r w:rsidR="00DA6514" w:rsidRPr="00DA6514">
        <w:t>he type of supports public bodies will need, and the actions they could take in the coming years to reach and exceed the new target of a minimum of 6% of employees with disabilities in the public sector</w:t>
      </w:r>
      <w:r w:rsidR="00DA6514">
        <w:t>.</w:t>
      </w:r>
    </w:p>
    <w:p w14:paraId="32C75344" w14:textId="77777777" w:rsidR="00BF6A92" w:rsidRDefault="00BF6A92" w:rsidP="00BF6A92">
      <w:pPr>
        <w:pStyle w:val="Heading2"/>
      </w:pPr>
      <w:bookmarkStart w:id="41" w:name="_Toc65581188"/>
      <w:r>
        <w:t>Private sector</w:t>
      </w:r>
      <w:bookmarkEnd w:id="41"/>
    </w:p>
    <w:p w14:paraId="23D22974" w14:textId="77777777" w:rsidR="00A316FF" w:rsidRDefault="00291AB9" w:rsidP="00B82F41">
      <w:pPr>
        <w:rPr>
          <w:bCs/>
        </w:rPr>
      </w:pPr>
      <w:r>
        <w:t>While the NDA is aware of calls for a minimum employment target akin to Part 5 be introduced in the private sector, at present t</w:t>
      </w:r>
      <w:r w:rsidR="00A316FF">
        <w:t>here is no legislation mandating</w:t>
      </w:r>
      <w:r w:rsidR="003C411A">
        <w:t xml:space="preserve"> a </w:t>
      </w:r>
      <w:r w:rsidR="00A316FF" w:rsidRPr="00A316FF">
        <w:rPr>
          <w:bCs/>
        </w:rPr>
        <w:t>quota</w:t>
      </w:r>
      <w:r w:rsidR="003C411A">
        <w:t xml:space="preserve"> for hiring persons with </w:t>
      </w:r>
      <w:r w:rsidR="00A316FF" w:rsidRPr="00A316FF">
        <w:rPr>
          <w:bCs/>
        </w:rPr>
        <w:t>disabilities</w:t>
      </w:r>
      <w:r w:rsidR="003C411A">
        <w:t xml:space="preserve"> for the </w:t>
      </w:r>
      <w:r w:rsidR="00A316FF" w:rsidRPr="00A316FF">
        <w:rPr>
          <w:bCs/>
        </w:rPr>
        <w:t>private sector.</w:t>
      </w:r>
      <w:r w:rsidR="00A316FF">
        <w:rPr>
          <w:bCs/>
        </w:rPr>
        <w:t xml:space="preserve"> The</w:t>
      </w:r>
      <w:r w:rsidR="00A27D80">
        <w:rPr>
          <w:bCs/>
        </w:rPr>
        <w:t xml:space="preserve"> total</w:t>
      </w:r>
      <w:r w:rsidR="00A316FF">
        <w:rPr>
          <w:bCs/>
        </w:rPr>
        <w:t xml:space="preserve"> number of persons with a disability working in the private sector is not clear.</w:t>
      </w:r>
    </w:p>
    <w:p w14:paraId="508D0122" w14:textId="77777777" w:rsidR="00E71660" w:rsidRPr="00C02B28" w:rsidRDefault="0076186C" w:rsidP="00E71660">
      <w:pPr>
        <w:rPr>
          <w:bCs/>
        </w:rPr>
      </w:pPr>
      <w:r>
        <w:rPr>
          <w:bCs/>
        </w:rPr>
        <w:t xml:space="preserve">A </w:t>
      </w:r>
      <w:r w:rsidR="00E71660">
        <w:rPr>
          <w:bCs/>
        </w:rPr>
        <w:t xml:space="preserve">2018 </w:t>
      </w:r>
      <w:r>
        <w:rPr>
          <w:bCs/>
        </w:rPr>
        <w:t>survey</w:t>
      </w:r>
      <w:r w:rsidR="00E71660">
        <w:rPr>
          <w:bCs/>
        </w:rPr>
        <w:t>, carried out by the Employer Disability Information service,</w:t>
      </w:r>
      <w:r>
        <w:rPr>
          <w:bCs/>
        </w:rPr>
        <w:t xml:space="preserve"> of 250 employers </w:t>
      </w:r>
      <w:r w:rsidR="00E71660">
        <w:rPr>
          <w:bCs/>
        </w:rPr>
        <w:t xml:space="preserve">who are members of Ibec, Chambers Ireland and ISME, </w:t>
      </w:r>
      <w:r w:rsidR="00C02B28">
        <w:rPr>
          <w:bCs/>
        </w:rPr>
        <w:t xml:space="preserve">found </w:t>
      </w:r>
      <w:r w:rsidR="008E30FF">
        <w:t>that 52</w:t>
      </w:r>
      <w:r w:rsidR="00E71660">
        <w:t>% of respondents had employed someone with</w:t>
      </w:r>
      <w:r w:rsidR="00C02B28">
        <w:rPr>
          <w:bCs/>
        </w:rPr>
        <w:t xml:space="preserve"> </w:t>
      </w:r>
      <w:r w:rsidR="00E71660">
        <w:t>a disability</w:t>
      </w:r>
      <w:r w:rsidR="00C02B28">
        <w:t>, representing</w:t>
      </w:r>
      <w:r w:rsidR="008E30FF">
        <w:t xml:space="preserve"> a 14</w:t>
      </w:r>
      <w:r w:rsidR="00E71660">
        <w:t>% increase on 2016</w:t>
      </w:r>
      <w:r w:rsidR="00E26358">
        <w:t xml:space="preserve">. </w:t>
      </w:r>
      <w:r w:rsidR="00C02B28">
        <w:t>The survey found that</w:t>
      </w:r>
      <w:r w:rsidR="00E71660">
        <w:t xml:space="preserve"> the larger the enterprise</w:t>
      </w:r>
      <w:r w:rsidR="00C02B28">
        <w:t>,</w:t>
      </w:r>
      <w:r w:rsidR="00E71660">
        <w:t xml:space="preserve"> the</w:t>
      </w:r>
      <w:r w:rsidR="00C02B28">
        <w:rPr>
          <w:bCs/>
        </w:rPr>
        <w:t xml:space="preserve"> </w:t>
      </w:r>
      <w:r w:rsidR="00E71660">
        <w:t>greater the likelihood that they e</w:t>
      </w:r>
      <w:r w:rsidR="00E26358">
        <w:t>mploy someone with a disability:</w:t>
      </w:r>
    </w:p>
    <w:p w14:paraId="4C7165D2" w14:textId="77777777" w:rsidR="00E71660" w:rsidRDefault="00C02B28" w:rsidP="00C02B28">
      <w:pPr>
        <w:pStyle w:val="ListBullet"/>
      </w:pPr>
      <w:r>
        <w:t>1</w:t>
      </w:r>
      <w:r w:rsidR="00DD0A3E">
        <w:t>-9 employees: 38</w:t>
      </w:r>
      <w:r w:rsidR="00E71660">
        <w:t>% had employed someone with a disability</w:t>
      </w:r>
    </w:p>
    <w:p w14:paraId="355BF56B" w14:textId="77777777" w:rsidR="00E71660" w:rsidRDefault="00C02B28" w:rsidP="00C02B28">
      <w:pPr>
        <w:pStyle w:val="ListBullet"/>
      </w:pPr>
      <w:r>
        <w:t>10–</w:t>
      </w:r>
      <w:r w:rsidR="00DD0A3E">
        <w:t>49 employees: 45</w:t>
      </w:r>
      <w:r w:rsidR="00E71660">
        <w:t>% had employed someone with a disability</w:t>
      </w:r>
    </w:p>
    <w:p w14:paraId="23E2D254" w14:textId="77777777" w:rsidR="00E71660" w:rsidRDefault="00C02B28" w:rsidP="00C02B28">
      <w:pPr>
        <w:pStyle w:val="ListBullet"/>
      </w:pPr>
      <w:r>
        <w:t>50</w:t>
      </w:r>
      <w:r w:rsidR="00DD0A3E">
        <w:t>-249 employees: 52</w:t>
      </w:r>
      <w:r w:rsidR="00E71660">
        <w:t>% had employed someone with a disability</w:t>
      </w:r>
    </w:p>
    <w:p w14:paraId="4FABACCB" w14:textId="77777777" w:rsidR="00E71660" w:rsidRDefault="00C02B28" w:rsidP="00C02B28">
      <w:pPr>
        <w:pStyle w:val="ListBullet"/>
      </w:pPr>
      <w:r>
        <w:t>250</w:t>
      </w:r>
      <w:r w:rsidR="00DD0A3E">
        <w:t>+ Employees: 8</w:t>
      </w:r>
      <w:r w:rsidR="00E71660">
        <w:t>8% had employed someone with a disability</w:t>
      </w:r>
    </w:p>
    <w:p w14:paraId="0810BE24" w14:textId="77777777" w:rsidR="002A7431" w:rsidRDefault="00DD2BCD" w:rsidP="00AA73AB">
      <w:r>
        <w:t>While the 2018 survey revealed improvements in a number of areas when compared to 2016 results, some</w:t>
      </w:r>
      <w:r w:rsidR="004950B5">
        <w:t xml:space="preserve"> issues of concern remain</w:t>
      </w:r>
      <w:r>
        <w:t xml:space="preserve">. For instance, </w:t>
      </w:r>
      <w:r w:rsidR="008E30FF">
        <w:t>66</w:t>
      </w:r>
      <w:r w:rsidR="002A7431" w:rsidRPr="002A7431">
        <w:t xml:space="preserve">% of respondents were unsure whether employing someone with a disability would </w:t>
      </w:r>
      <w:r>
        <w:t>make</w:t>
      </w:r>
      <w:r w:rsidR="002A7431" w:rsidRPr="002A7431">
        <w:t xml:space="preserve"> the</w:t>
      </w:r>
      <w:r>
        <w:t>ir or</w:t>
      </w:r>
      <w:r w:rsidR="008E30FF">
        <w:t>ganisation more productive, 61</w:t>
      </w:r>
      <w:r>
        <w:t>% lacked</w:t>
      </w:r>
      <w:r w:rsidR="002A7431" w:rsidRPr="002A7431">
        <w:t xml:space="preserve"> understanding about supporting differ</w:t>
      </w:r>
      <w:r w:rsidR="004950B5">
        <w:t>ent disabilities at work</w:t>
      </w:r>
      <w:r w:rsidR="002A7431" w:rsidRPr="002A7431">
        <w:t xml:space="preserve"> </w:t>
      </w:r>
      <w:r w:rsidR="008E30FF">
        <w:t>and 47</w:t>
      </w:r>
      <w:r w:rsidR="004950B5">
        <w:t xml:space="preserve">% were concerned about the </w:t>
      </w:r>
      <w:r w:rsidR="002A7431" w:rsidRPr="002A7431">
        <w:t xml:space="preserve">perceived potential legal consequences if the employment </w:t>
      </w:r>
      <w:r w:rsidR="004950B5">
        <w:t xml:space="preserve">of a person with a disability did </w:t>
      </w:r>
      <w:r w:rsidR="002A7431" w:rsidRPr="002A7431">
        <w:t>not work out</w:t>
      </w:r>
      <w:r w:rsidR="004950B5">
        <w:t>.</w:t>
      </w:r>
    </w:p>
    <w:p w14:paraId="055B2F1E" w14:textId="77777777" w:rsidR="00BB0F03" w:rsidRPr="00A316FF" w:rsidRDefault="00BB0F03" w:rsidP="00AA73AB">
      <w:r>
        <w:t xml:space="preserve">There are a number of positive initiatives </w:t>
      </w:r>
      <w:r w:rsidR="00E26358">
        <w:t xml:space="preserve">currently ongoing which are </w:t>
      </w:r>
      <w:r>
        <w:t>designed to increase the employment of persons with disabilities in the private sector. For instance, the Open Doors Initiative</w:t>
      </w:r>
      <w:r w:rsidRPr="00BB0F03">
        <w:rPr>
          <w:i/>
          <w:iCs/>
        </w:rPr>
        <w:t xml:space="preserve"> </w:t>
      </w:r>
      <w:r w:rsidRPr="00BB0F03">
        <w:rPr>
          <w:iCs/>
        </w:rPr>
        <w:t>provide</w:t>
      </w:r>
      <w:r>
        <w:rPr>
          <w:iCs/>
        </w:rPr>
        <w:t>s</w:t>
      </w:r>
      <w:r w:rsidRPr="00BB0F03">
        <w:rPr>
          <w:iCs/>
        </w:rPr>
        <w:t xml:space="preserve"> opportunities</w:t>
      </w:r>
      <w:r>
        <w:rPr>
          <w:iCs/>
        </w:rPr>
        <w:t xml:space="preserve"> to marginalised groups, including persons with a disability,</w:t>
      </w:r>
      <w:r w:rsidRPr="00BB0F03">
        <w:rPr>
          <w:iCs/>
        </w:rPr>
        <w:t xml:space="preserve"> into the workplace including: training, placements, apprenticeships, community supports and employment opportunities</w:t>
      </w:r>
      <w:r>
        <w:rPr>
          <w:iCs/>
        </w:rPr>
        <w:t>.</w:t>
      </w:r>
      <w:r>
        <w:rPr>
          <w:rStyle w:val="FootnoteReference"/>
          <w:iCs/>
        </w:rPr>
        <w:footnoteReference w:id="101"/>
      </w:r>
    </w:p>
    <w:p w14:paraId="162B42AE" w14:textId="77777777" w:rsidR="00B82F41" w:rsidRDefault="00B82F41" w:rsidP="00B82F41">
      <w:pPr>
        <w:pStyle w:val="Heading1"/>
      </w:pPr>
      <w:bookmarkStart w:id="42" w:name="_Toc65581189"/>
      <w:r>
        <w:t>Reasonable Accommodations</w:t>
      </w:r>
      <w:bookmarkEnd w:id="42"/>
    </w:p>
    <w:p w14:paraId="14A9CA35" w14:textId="77777777" w:rsidR="00AE2CC3" w:rsidRDefault="00B82F41" w:rsidP="00AE2CC3">
      <w:pPr>
        <w:rPr>
          <w:bCs/>
        </w:rPr>
      </w:pPr>
      <w:r>
        <w:t xml:space="preserve">The </w:t>
      </w:r>
      <w:r w:rsidR="00F2120E">
        <w:t>Public Appointments Services</w:t>
      </w:r>
      <w:r w:rsidR="00AE2CC3">
        <w:t xml:space="preserve"> (PAS) is</w:t>
      </w:r>
      <w:r w:rsidR="00E3733D">
        <w:t xml:space="preserve"> </w:t>
      </w:r>
      <w:r w:rsidR="00E3733D" w:rsidRPr="00E3733D">
        <w:t>the centralised provider of recrui</w:t>
      </w:r>
      <w:r w:rsidR="003C411A">
        <w:t xml:space="preserve">tment, assessment and selection </w:t>
      </w:r>
      <w:r w:rsidR="00E3733D" w:rsidRPr="00E3733D">
        <w:rPr>
          <w:bCs/>
        </w:rPr>
        <w:t>services</w:t>
      </w:r>
      <w:r w:rsidR="003C411A">
        <w:t xml:space="preserve"> for the civil </w:t>
      </w:r>
      <w:r w:rsidR="00E3733D" w:rsidRPr="00E3733D">
        <w:rPr>
          <w:bCs/>
        </w:rPr>
        <w:t>service</w:t>
      </w:r>
      <w:r w:rsidR="00AE2CC3">
        <w:rPr>
          <w:bCs/>
        </w:rPr>
        <w:t xml:space="preserve">. It </w:t>
      </w:r>
      <w:r w:rsidR="00AE2CC3" w:rsidRPr="00AE2CC3">
        <w:rPr>
          <w:bCs/>
        </w:rPr>
        <w:t xml:space="preserve">provides a range of </w:t>
      </w:r>
      <w:r w:rsidR="00AE2CC3">
        <w:rPr>
          <w:bCs/>
        </w:rPr>
        <w:t xml:space="preserve">reasonable </w:t>
      </w:r>
      <w:r w:rsidR="00AE2CC3" w:rsidRPr="00AE2CC3">
        <w:rPr>
          <w:bCs/>
        </w:rPr>
        <w:t>accommodations to</w:t>
      </w:r>
      <w:r w:rsidR="00AE2CC3">
        <w:rPr>
          <w:bCs/>
        </w:rPr>
        <w:t xml:space="preserve"> candidates for test/interview, ranging</w:t>
      </w:r>
      <w:r w:rsidR="00AE2CC3" w:rsidRPr="00AE2CC3">
        <w:rPr>
          <w:bCs/>
        </w:rPr>
        <w:t xml:space="preserve"> from extra time,</w:t>
      </w:r>
      <w:r w:rsidR="00AE2CC3">
        <w:rPr>
          <w:bCs/>
        </w:rPr>
        <w:t xml:space="preserve"> reader/scribe, small group or one-to-one</w:t>
      </w:r>
      <w:r w:rsidR="00AE2CC3" w:rsidRPr="00AE2CC3">
        <w:rPr>
          <w:bCs/>
        </w:rPr>
        <w:t xml:space="preserve"> supervised test sessions, sign </w:t>
      </w:r>
      <w:r w:rsidR="00AE2CC3">
        <w:rPr>
          <w:bCs/>
        </w:rPr>
        <w:t xml:space="preserve">language </w:t>
      </w:r>
      <w:r w:rsidR="00AE2CC3" w:rsidRPr="00AE2CC3">
        <w:rPr>
          <w:bCs/>
        </w:rPr>
        <w:t>interpreters, large print, paper-based tests with paper and colour contrast and screen</w:t>
      </w:r>
      <w:r w:rsidR="00AE2CC3">
        <w:rPr>
          <w:bCs/>
        </w:rPr>
        <w:t>-</w:t>
      </w:r>
      <w:r w:rsidR="00AE2CC3" w:rsidRPr="00AE2CC3">
        <w:rPr>
          <w:bCs/>
        </w:rPr>
        <w:t>reader softwa</w:t>
      </w:r>
      <w:r w:rsidR="00AE2CC3">
        <w:rPr>
          <w:bCs/>
        </w:rPr>
        <w:t>re such as JAWS or zoom-text. PAS also has</w:t>
      </w:r>
      <w:r w:rsidR="00AE2CC3" w:rsidRPr="00AE2CC3">
        <w:rPr>
          <w:bCs/>
        </w:rPr>
        <w:t xml:space="preserve"> a sensory room and autism-friendly interview room.</w:t>
      </w:r>
    </w:p>
    <w:p w14:paraId="50BF012F" w14:textId="77777777" w:rsidR="00AE2CC3" w:rsidRDefault="00AE2CC3" w:rsidP="00AE2CC3">
      <w:pPr>
        <w:rPr>
          <w:bCs/>
        </w:rPr>
      </w:pPr>
      <w:r>
        <w:rPr>
          <w:bCs/>
        </w:rPr>
        <w:t xml:space="preserve">An analysis of Clerical Officer and Executive Officer grade competitions held between 2016 and 2018 shows that 604 candidates with a disability requested reasonable accommodations from PAS. The most common disabilities disclosed </w:t>
      </w:r>
      <w:r w:rsidR="00712C92">
        <w:rPr>
          <w:bCs/>
        </w:rPr>
        <w:t>are outlined in Table 15 below</w:t>
      </w:r>
      <w:r>
        <w:rPr>
          <w:bCs/>
        </w:rPr>
        <w:t>:</w:t>
      </w:r>
    </w:p>
    <w:p w14:paraId="4A9D4F2D" w14:textId="77777777" w:rsidR="00712C92" w:rsidRDefault="00712C92" w:rsidP="00712C92">
      <w:pPr>
        <w:pStyle w:val="TableTitle"/>
      </w:pPr>
      <w:r>
        <w:t xml:space="preserve">Table 15: Most common disabilities disclosed by candidates in </w:t>
      </w:r>
      <w:r>
        <w:rPr>
          <w:bCs/>
        </w:rPr>
        <w:t>Clerical Officer and Executive Officer grade competitions held between 2016 and 2018</w:t>
      </w:r>
    </w:p>
    <w:tbl>
      <w:tblPr>
        <w:tblW w:w="86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le 15: Most common disabilities disclosed by candidates in Clerical Officer and Executive Officer grade competitions held between 2016 and 2018"/>
        <w:tblDescription w:val="Table showing the most common disabilities disclosed by candidates in Clerical Officer and Executive Officer grade competitions held between 2016 and 2018"/>
      </w:tblPr>
      <w:tblGrid>
        <w:gridCol w:w="2880"/>
        <w:gridCol w:w="2880"/>
        <w:gridCol w:w="2880"/>
      </w:tblGrid>
      <w:tr w:rsidR="00712C92" w:rsidRPr="00A21732" w14:paraId="07B12D0E" w14:textId="77777777" w:rsidTr="00A21732">
        <w:trPr>
          <w:tblHeader/>
        </w:trPr>
        <w:tc>
          <w:tcPr>
            <w:tcW w:w="2880" w:type="dxa"/>
            <w:shd w:val="clear" w:color="auto" w:fill="auto"/>
          </w:tcPr>
          <w:p w14:paraId="0FF348CB" w14:textId="77777777" w:rsidR="00712C92" w:rsidRPr="00A21732" w:rsidRDefault="00712C92" w:rsidP="00C23D2D">
            <w:pPr>
              <w:pStyle w:val="TableHead"/>
            </w:pPr>
            <w:r w:rsidRPr="00A21732">
              <w:t>Disability / Learning Difficulty</w:t>
            </w:r>
          </w:p>
        </w:tc>
        <w:tc>
          <w:tcPr>
            <w:tcW w:w="2880" w:type="dxa"/>
            <w:shd w:val="clear" w:color="auto" w:fill="auto"/>
          </w:tcPr>
          <w:p w14:paraId="033C4640" w14:textId="77777777" w:rsidR="00712C92" w:rsidRPr="00A21732" w:rsidRDefault="00712C92" w:rsidP="00C23D2D">
            <w:pPr>
              <w:pStyle w:val="TableHead"/>
            </w:pPr>
            <w:r w:rsidRPr="00A21732">
              <w:t>Number</w:t>
            </w:r>
          </w:p>
        </w:tc>
        <w:tc>
          <w:tcPr>
            <w:tcW w:w="2880" w:type="dxa"/>
            <w:shd w:val="clear" w:color="auto" w:fill="auto"/>
          </w:tcPr>
          <w:p w14:paraId="3A5FC910" w14:textId="77777777" w:rsidR="00712C92" w:rsidRPr="00A21732" w:rsidRDefault="00712C92" w:rsidP="00C23D2D">
            <w:pPr>
              <w:pStyle w:val="TableHead"/>
            </w:pPr>
            <w:r w:rsidRPr="00A21732">
              <w:t>% of candidates who shared information</w:t>
            </w:r>
          </w:p>
        </w:tc>
      </w:tr>
      <w:tr w:rsidR="00712C92" w:rsidRPr="00A21732" w14:paraId="17A7B90E" w14:textId="77777777" w:rsidTr="00A21732">
        <w:tc>
          <w:tcPr>
            <w:tcW w:w="2880" w:type="dxa"/>
            <w:shd w:val="clear" w:color="auto" w:fill="auto"/>
          </w:tcPr>
          <w:p w14:paraId="331A2C15" w14:textId="77777777" w:rsidR="00712C92" w:rsidRPr="00A21732" w:rsidRDefault="00712C92" w:rsidP="00712C92">
            <w:pPr>
              <w:pStyle w:val="TableRowHead"/>
              <w:rPr>
                <w:rFonts w:ascii="Gill Sans MT" w:hAnsi="Gill Sans MT"/>
              </w:rPr>
            </w:pPr>
            <w:r w:rsidRPr="00A21732">
              <w:rPr>
                <w:rFonts w:ascii="Gill Sans MT" w:hAnsi="Gill Sans MT"/>
                <w:bCs/>
              </w:rPr>
              <w:t>Specific Learning Difficulty (e.g. Dyslexia)</w:t>
            </w:r>
          </w:p>
        </w:tc>
        <w:tc>
          <w:tcPr>
            <w:tcW w:w="2880" w:type="dxa"/>
            <w:shd w:val="clear" w:color="auto" w:fill="auto"/>
          </w:tcPr>
          <w:p w14:paraId="0E19EBBD" w14:textId="77777777" w:rsidR="00712C92" w:rsidRPr="00A21732" w:rsidRDefault="00712C92" w:rsidP="00712C92">
            <w:pPr>
              <w:pStyle w:val="TableCell"/>
              <w:jc w:val="right"/>
            </w:pPr>
            <w:r w:rsidRPr="00A21732">
              <w:rPr>
                <w:bCs/>
              </w:rPr>
              <w:t>197</w:t>
            </w:r>
          </w:p>
        </w:tc>
        <w:tc>
          <w:tcPr>
            <w:tcW w:w="2880" w:type="dxa"/>
            <w:shd w:val="clear" w:color="auto" w:fill="auto"/>
          </w:tcPr>
          <w:p w14:paraId="1375576D" w14:textId="77777777" w:rsidR="00712C92" w:rsidRPr="00A21732" w:rsidRDefault="00712C92" w:rsidP="00712C92">
            <w:pPr>
              <w:pStyle w:val="TableCell"/>
              <w:jc w:val="right"/>
            </w:pPr>
            <w:r w:rsidRPr="00A21732">
              <w:rPr>
                <w:bCs/>
              </w:rPr>
              <w:t>33%</w:t>
            </w:r>
          </w:p>
        </w:tc>
      </w:tr>
      <w:tr w:rsidR="00712C92" w:rsidRPr="00A21732" w14:paraId="77007686" w14:textId="77777777" w:rsidTr="00A21732">
        <w:tc>
          <w:tcPr>
            <w:tcW w:w="2880" w:type="dxa"/>
            <w:shd w:val="clear" w:color="auto" w:fill="auto"/>
          </w:tcPr>
          <w:p w14:paraId="18731A5E" w14:textId="77777777" w:rsidR="00712C92" w:rsidRPr="00A21732" w:rsidRDefault="00712C92" w:rsidP="00712C92">
            <w:pPr>
              <w:pStyle w:val="TableRowHead"/>
              <w:rPr>
                <w:rFonts w:ascii="Gill Sans MT" w:hAnsi="Gill Sans MT"/>
              </w:rPr>
            </w:pPr>
            <w:r w:rsidRPr="00A21732">
              <w:rPr>
                <w:rFonts w:ascii="Gill Sans MT" w:hAnsi="Gill Sans MT"/>
                <w:bCs/>
              </w:rPr>
              <w:t>Other</w:t>
            </w:r>
          </w:p>
        </w:tc>
        <w:tc>
          <w:tcPr>
            <w:tcW w:w="2880" w:type="dxa"/>
            <w:shd w:val="clear" w:color="auto" w:fill="auto"/>
          </w:tcPr>
          <w:p w14:paraId="12C7382E" w14:textId="77777777" w:rsidR="00712C92" w:rsidRPr="00A21732" w:rsidRDefault="00712C92" w:rsidP="00712C92">
            <w:pPr>
              <w:pStyle w:val="TableCell"/>
              <w:jc w:val="right"/>
            </w:pPr>
            <w:r w:rsidRPr="00A21732">
              <w:rPr>
                <w:bCs/>
              </w:rPr>
              <w:t>136</w:t>
            </w:r>
          </w:p>
        </w:tc>
        <w:tc>
          <w:tcPr>
            <w:tcW w:w="2880" w:type="dxa"/>
            <w:shd w:val="clear" w:color="auto" w:fill="auto"/>
          </w:tcPr>
          <w:p w14:paraId="7FC300BE" w14:textId="77777777" w:rsidR="00712C92" w:rsidRPr="00A21732" w:rsidRDefault="00712C92" w:rsidP="00712C92">
            <w:pPr>
              <w:pStyle w:val="TableCell"/>
              <w:jc w:val="right"/>
            </w:pPr>
            <w:r w:rsidRPr="00A21732">
              <w:rPr>
                <w:bCs/>
              </w:rPr>
              <w:t>23%</w:t>
            </w:r>
          </w:p>
        </w:tc>
      </w:tr>
      <w:tr w:rsidR="00712C92" w:rsidRPr="00A21732" w14:paraId="2FB20DDC" w14:textId="77777777" w:rsidTr="00A21732">
        <w:tc>
          <w:tcPr>
            <w:tcW w:w="2880" w:type="dxa"/>
            <w:shd w:val="clear" w:color="auto" w:fill="auto"/>
          </w:tcPr>
          <w:p w14:paraId="67CFFC79" w14:textId="77777777" w:rsidR="00712C92" w:rsidRPr="00A21732" w:rsidRDefault="00712C92" w:rsidP="00712C92">
            <w:pPr>
              <w:pStyle w:val="TableRowHead"/>
              <w:rPr>
                <w:rFonts w:ascii="Gill Sans MT" w:hAnsi="Gill Sans MT"/>
              </w:rPr>
            </w:pPr>
            <w:r w:rsidRPr="00A21732">
              <w:rPr>
                <w:rFonts w:ascii="Gill Sans MT" w:hAnsi="Gill Sans MT"/>
                <w:bCs/>
              </w:rPr>
              <w:t>Hearing Impaired</w:t>
            </w:r>
          </w:p>
        </w:tc>
        <w:tc>
          <w:tcPr>
            <w:tcW w:w="2880" w:type="dxa"/>
            <w:shd w:val="clear" w:color="auto" w:fill="auto"/>
          </w:tcPr>
          <w:p w14:paraId="3115894C" w14:textId="77777777" w:rsidR="00712C92" w:rsidRPr="00A21732" w:rsidRDefault="00712C92" w:rsidP="00712C92">
            <w:pPr>
              <w:pStyle w:val="TableCell"/>
              <w:jc w:val="right"/>
            </w:pPr>
            <w:r w:rsidRPr="00A21732">
              <w:rPr>
                <w:bCs/>
              </w:rPr>
              <w:t>81</w:t>
            </w:r>
          </w:p>
        </w:tc>
        <w:tc>
          <w:tcPr>
            <w:tcW w:w="2880" w:type="dxa"/>
            <w:shd w:val="clear" w:color="auto" w:fill="auto"/>
          </w:tcPr>
          <w:p w14:paraId="2240EC32" w14:textId="77777777" w:rsidR="00712C92" w:rsidRPr="00A21732" w:rsidRDefault="00712C92" w:rsidP="00712C92">
            <w:pPr>
              <w:pStyle w:val="TableCell"/>
              <w:jc w:val="right"/>
            </w:pPr>
            <w:r w:rsidRPr="00A21732">
              <w:rPr>
                <w:bCs/>
              </w:rPr>
              <w:t>13%</w:t>
            </w:r>
          </w:p>
        </w:tc>
      </w:tr>
      <w:tr w:rsidR="00712C92" w:rsidRPr="00A21732" w14:paraId="2FDE0E42" w14:textId="77777777" w:rsidTr="00A21732">
        <w:tc>
          <w:tcPr>
            <w:tcW w:w="2880" w:type="dxa"/>
            <w:shd w:val="clear" w:color="auto" w:fill="auto"/>
          </w:tcPr>
          <w:p w14:paraId="5CCA86A3" w14:textId="77777777" w:rsidR="00712C92" w:rsidRPr="00A21732" w:rsidRDefault="00712C92" w:rsidP="00712C92">
            <w:pPr>
              <w:pStyle w:val="TableRowHead"/>
              <w:rPr>
                <w:rFonts w:ascii="Gill Sans MT" w:hAnsi="Gill Sans MT"/>
              </w:rPr>
            </w:pPr>
            <w:r w:rsidRPr="00A21732">
              <w:rPr>
                <w:rFonts w:ascii="Gill Sans MT" w:hAnsi="Gill Sans MT"/>
                <w:bCs/>
              </w:rPr>
              <w:t>Physical</w:t>
            </w:r>
          </w:p>
        </w:tc>
        <w:tc>
          <w:tcPr>
            <w:tcW w:w="2880" w:type="dxa"/>
            <w:shd w:val="clear" w:color="auto" w:fill="auto"/>
          </w:tcPr>
          <w:p w14:paraId="609C139F" w14:textId="77777777" w:rsidR="00712C92" w:rsidRPr="00A21732" w:rsidRDefault="00712C92" w:rsidP="00712C92">
            <w:pPr>
              <w:pStyle w:val="TableCell"/>
              <w:jc w:val="right"/>
            </w:pPr>
            <w:r w:rsidRPr="00A21732">
              <w:rPr>
                <w:bCs/>
              </w:rPr>
              <w:t>46</w:t>
            </w:r>
          </w:p>
        </w:tc>
        <w:tc>
          <w:tcPr>
            <w:tcW w:w="2880" w:type="dxa"/>
            <w:shd w:val="clear" w:color="auto" w:fill="auto"/>
          </w:tcPr>
          <w:p w14:paraId="5EA9B6FE" w14:textId="77777777" w:rsidR="00712C92" w:rsidRPr="00A21732" w:rsidRDefault="00712C92" w:rsidP="00712C92">
            <w:pPr>
              <w:pStyle w:val="TableCell"/>
              <w:jc w:val="right"/>
            </w:pPr>
            <w:r w:rsidRPr="00A21732">
              <w:rPr>
                <w:bCs/>
              </w:rPr>
              <w:t>8%</w:t>
            </w:r>
          </w:p>
        </w:tc>
      </w:tr>
      <w:tr w:rsidR="00712C92" w:rsidRPr="00A21732" w14:paraId="73847580" w14:textId="77777777" w:rsidTr="00A21732">
        <w:tc>
          <w:tcPr>
            <w:tcW w:w="2880" w:type="dxa"/>
            <w:shd w:val="clear" w:color="auto" w:fill="auto"/>
          </w:tcPr>
          <w:p w14:paraId="74D5C799" w14:textId="77777777" w:rsidR="00712C92" w:rsidRPr="00A21732" w:rsidRDefault="00712C92" w:rsidP="00712C92">
            <w:pPr>
              <w:pStyle w:val="TableRowHead"/>
              <w:rPr>
                <w:rFonts w:ascii="Gill Sans MT" w:hAnsi="Gill Sans MT"/>
              </w:rPr>
            </w:pPr>
            <w:r w:rsidRPr="00A21732">
              <w:rPr>
                <w:rFonts w:ascii="Gill Sans MT" w:hAnsi="Gill Sans MT"/>
                <w:bCs/>
              </w:rPr>
              <w:t>Visual</w:t>
            </w:r>
          </w:p>
        </w:tc>
        <w:tc>
          <w:tcPr>
            <w:tcW w:w="2880" w:type="dxa"/>
            <w:shd w:val="clear" w:color="auto" w:fill="auto"/>
          </w:tcPr>
          <w:p w14:paraId="48573FAD" w14:textId="77777777" w:rsidR="00712C92" w:rsidRPr="00A21732" w:rsidRDefault="00712C92" w:rsidP="00712C92">
            <w:pPr>
              <w:pStyle w:val="TableCell"/>
              <w:jc w:val="right"/>
            </w:pPr>
            <w:r w:rsidRPr="00A21732">
              <w:rPr>
                <w:bCs/>
              </w:rPr>
              <w:t>46</w:t>
            </w:r>
          </w:p>
        </w:tc>
        <w:tc>
          <w:tcPr>
            <w:tcW w:w="2880" w:type="dxa"/>
            <w:shd w:val="clear" w:color="auto" w:fill="auto"/>
          </w:tcPr>
          <w:p w14:paraId="5632BCDE" w14:textId="77777777" w:rsidR="00712C92" w:rsidRPr="00A21732" w:rsidRDefault="00712C92" w:rsidP="00712C92">
            <w:pPr>
              <w:pStyle w:val="TableCell"/>
              <w:jc w:val="right"/>
            </w:pPr>
            <w:r w:rsidRPr="00A21732">
              <w:rPr>
                <w:bCs/>
              </w:rPr>
              <w:t>8%</w:t>
            </w:r>
          </w:p>
        </w:tc>
      </w:tr>
      <w:tr w:rsidR="00712C92" w:rsidRPr="00A21732" w14:paraId="39099EE2" w14:textId="77777777" w:rsidTr="00A21732">
        <w:tc>
          <w:tcPr>
            <w:tcW w:w="2880" w:type="dxa"/>
            <w:shd w:val="clear" w:color="auto" w:fill="auto"/>
          </w:tcPr>
          <w:p w14:paraId="3B9C9C12" w14:textId="77777777" w:rsidR="00712C92" w:rsidRPr="00A21732" w:rsidRDefault="00712C92" w:rsidP="00712C92">
            <w:pPr>
              <w:pStyle w:val="TableRowHead"/>
              <w:rPr>
                <w:rFonts w:ascii="Gill Sans MT" w:hAnsi="Gill Sans MT"/>
              </w:rPr>
            </w:pPr>
            <w:r w:rsidRPr="00A21732">
              <w:rPr>
                <w:rFonts w:ascii="Gill Sans MT" w:hAnsi="Gill Sans MT"/>
                <w:bCs/>
              </w:rPr>
              <w:t>Cerebral Palsy</w:t>
            </w:r>
          </w:p>
        </w:tc>
        <w:tc>
          <w:tcPr>
            <w:tcW w:w="2880" w:type="dxa"/>
            <w:shd w:val="clear" w:color="auto" w:fill="auto"/>
          </w:tcPr>
          <w:p w14:paraId="021C4006" w14:textId="77777777" w:rsidR="00712C92" w:rsidRPr="00A21732" w:rsidRDefault="00712C92" w:rsidP="00712C92">
            <w:pPr>
              <w:pStyle w:val="TableCell"/>
              <w:jc w:val="right"/>
            </w:pPr>
            <w:r w:rsidRPr="00A21732">
              <w:rPr>
                <w:bCs/>
              </w:rPr>
              <w:t>41</w:t>
            </w:r>
          </w:p>
        </w:tc>
        <w:tc>
          <w:tcPr>
            <w:tcW w:w="2880" w:type="dxa"/>
            <w:shd w:val="clear" w:color="auto" w:fill="auto"/>
          </w:tcPr>
          <w:p w14:paraId="10D0E5B9" w14:textId="77777777" w:rsidR="00712C92" w:rsidRPr="00A21732" w:rsidRDefault="00712C92" w:rsidP="00712C92">
            <w:pPr>
              <w:pStyle w:val="TableCell"/>
              <w:jc w:val="right"/>
            </w:pPr>
            <w:r w:rsidRPr="00A21732">
              <w:rPr>
                <w:bCs/>
              </w:rPr>
              <w:t>7%</w:t>
            </w:r>
          </w:p>
        </w:tc>
      </w:tr>
      <w:tr w:rsidR="00712C92" w:rsidRPr="00A21732" w14:paraId="639117B8" w14:textId="77777777" w:rsidTr="00A21732">
        <w:tc>
          <w:tcPr>
            <w:tcW w:w="2880" w:type="dxa"/>
            <w:shd w:val="clear" w:color="auto" w:fill="auto"/>
          </w:tcPr>
          <w:p w14:paraId="4121292E" w14:textId="77777777" w:rsidR="00712C92" w:rsidRPr="00A21732" w:rsidRDefault="00712C92" w:rsidP="00712C92">
            <w:pPr>
              <w:pStyle w:val="TableRowHead"/>
              <w:rPr>
                <w:rFonts w:ascii="Gill Sans MT" w:hAnsi="Gill Sans MT"/>
              </w:rPr>
            </w:pPr>
            <w:r w:rsidRPr="00A21732">
              <w:rPr>
                <w:rFonts w:ascii="Gill Sans MT" w:hAnsi="Gill Sans MT"/>
                <w:bCs/>
              </w:rPr>
              <w:t>Mental Health</w:t>
            </w:r>
          </w:p>
        </w:tc>
        <w:tc>
          <w:tcPr>
            <w:tcW w:w="2880" w:type="dxa"/>
            <w:shd w:val="clear" w:color="auto" w:fill="auto"/>
          </w:tcPr>
          <w:p w14:paraId="3035A4D3" w14:textId="77777777" w:rsidR="00712C92" w:rsidRPr="00A21732" w:rsidRDefault="00712C92" w:rsidP="00712C92">
            <w:pPr>
              <w:pStyle w:val="TableCell"/>
              <w:jc w:val="right"/>
            </w:pPr>
            <w:r w:rsidRPr="00A21732">
              <w:rPr>
                <w:bCs/>
              </w:rPr>
              <w:t>38</w:t>
            </w:r>
          </w:p>
        </w:tc>
        <w:tc>
          <w:tcPr>
            <w:tcW w:w="2880" w:type="dxa"/>
            <w:shd w:val="clear" w:color="auto" w:fill="auto"/>
          </w:tcPr>
          <w:p w14:paraId="150107B3" w14:textId="77777777" w:rsidR="00712C92" w:rsidRPr="00A21732" w:rsidRDefault="00712C92" w:rsidP="00712C92">
            <w:pPr>
              <w:pStyle w:val="TableCell"/>
              <w:jc w:val="right"/>
            </w:pPr>
            <w:r w:rsidRPr="00A21732">
              <w:rPr>
                <w:bCs/>
              </w:rPr>
              <w:t>6%</w:t>
            </w:r>
          </w:p>
        </w:tc>
      </w:tr>
      <w:tr w:rsidR="00712C92" w:rsidRPr="00A21732" w14:paraId="769453B6" w14:textId="77777777" w:rsidTr="00A21732">
        <w:tc>
          <w:tcPr>
            <w:tcW w:w="2880" w:type="dxa"/>
            <w:shd w:val="clear" w:color="auto" w:fill="auto"/>
          </w:tcPr>
          <w:p w14:paraId="5047E8CD" w14:textId="77777777" w:rsidR="00712C92" w:rsidRPr="00A21732" w:rsidRDefault="00712C92" w:rsidP="00712C92">
            <w:pPr>
              <w:pStyle w:val="TableRowHead"/>
              <w:rPr>
                <w:rFonts w:ascii="Gill Sans MT" w:hAnsi="Gill Sans MT"/>
              </w:rPr>
            </w:pPr>
            <w:r w:rsidRPr="00A21732">
              <w:rPr>
                <w:rFonts w:ascii="Gill Sans MT" w:hAnsi="Gill Sans MT"/>
                <w:bCs/>
              </w:rPr>
              <w:t>Multiple Sclerosis</w:t>
            </w:r>
          </w:p>
        </w:tc>
        <w:tc>
          <w:tcPr>
            <w:tcW w:w="2880" w:type="dxa"/>
            <w:shd w:val="clear" w:color="auto" w:fill="auto"/>
          </w:tcPr>
          <w:p w14:paraId="71BADD15" w14:textId="77777777" w:rsidR="00712C92" w:rsidRPr="00A21732" w:rsidRDefault="00712C92" w:rsidP="00712C92">
            <w:pPr>
              <w:pStyle w:val="TableCell"/>
              <w:jc w:val="right"/>
            </w:pPr>
            <w:r w:rsidRPr="00A21732">
              <w:rPr>
                <w:bCs/>
              </w:rPr>
              <w:t>19</w:t>
            </w:r>
          </w:p>
        </w:tc>
        <w:tc>
          <w:tcPr>
            <w:tcW w:w="2880" w:type="dxa"/>
            <w:shd w:val="clear" w:color="auto" w:fill="auto"/>
          </w:tcPr>
          <w:p w14:paraId="28C05BF3" w14:textId="77777777" w:rsidR="00712C92" w:rsidRPr="00A21732" w:rsidRDefault="00712C92" w:rsidP="00712C92">
            <w:pPr>
              <w:pStyle w:val="TableCell"/>
              <w:jc w:val="right"/>
            </w:pPr>
            <w:r w:rsidRPr="00A21732">
              <w:rPr>
                <w:bCs/>
              </w:rPr>
              <w:t>3%</w:t>
            </w:r>
          </w:p>
        </w:tc>
      </w:tr>
    </w:tbl>
    <w:p w14:paraId="1F8AF208" w14:textId="6CFA1DCF" w:rsidR="00B83AA1" w:rsidRDefault="00B83AA1" w:rsidP="00B83AA1">
      <w:pPr>
        <w:pStyle w:val="TableNote"/>
      </w:pPr>
      <w:r>
        <w:t xml:space="preserve">Source: </w:t>
      </w:r>
      <w:r w:rsidRPr="00B83AA1">
        <w:t>Public Appointment Service</w:t>
      </w:r>
    </w:p>
    <w:p w14:paraId="335C7689" w14:textId="2A7682F6" w:rsidR="00844C77" w:rsidRDefault="00844C77" w:rsidP="00712C92">
      <w:pPr>
        <w:spacing w:before="240"/>
        <w:rPr>
          <w:bCs/>
        </w:rPr>
      </w:pPr>
      <w:r>
        <w:rPr>
          <w:bCs/>
        </w:rPr>
        <w:t>The</w:t>
      </w:r>
      <w:r w:rsidR="00A17446">
        <w:rPr>
          <w:bCs/>
        </w:rPr>
        <w:t xml:space="preserve"> total</w:t>
      </w:r>
      <w:r>
        <w:rPr>
          <w:bCs/>
        </w:rPr>
        <w:t xml:space="preserve"> number of employers in receipt of training on reasonable accommodations is not clear. </w:t>
      </w:r>
      <w:r w:rsidR="00712C92">
        <w:rPr>
          <w:bCs/>
        </w:rPr>
        <w:t>Data are</w:t>
      </w:r>
      <w:r w:rsidR="00BD3038">
        <w:rPr>
          <w:bCs/>
        </w:rPr>
        <w:t xml:space="preserve"> available on the number of private sector employers who have obtained support from the DEASP to provide disability awareness training in the workplace, which can also include reasonable accommodations.</w:t>
      </w:r>
    </w:p>
    <w:p w14:paraId="7D3C44B3" w14:textId="77777777" w:rsidR="006C306D" w:rsidRDefault="00396F05" w:rsidP="00DB6296">
      <w:pPr>
        <w:rPr>
          <w:bCs/>
        </w:rPr>
      </w:pPr>
      <w:r>
        <w:rPr>
          <w:bCs/>
        </w:rPr>
        <w:t>In November 2019, t</w:t>
      </w:r>
      <w:r w:rsidR="006C306D" w:rsidRPr="006C306D">
        <w:rPr>
          <w:bCs/>
        </w:rPr>
        <w:t xml:space="preserve">he </w:t>
      </w:r>
      <w:r>
        <w:rPr>
          <w:bCs/>
        </w:rPr>
        <w:t>NDA published a report entitled “</w:t>
      </w:r>
      <w:r w:rsidRPr="00A37D16">
        <w:rPr>
          <w:b/>
          <w:bCs/>
        </w:rPr>
        <w:t>Reasonable Accommodations: Obstacles and Opportunities to the Employment of Persons with a Disability</w:t>
      </w:r>
      <w:r>
        <w:rPr>
          <w:bCs/>
        </w:rPr>
        <w:t xml:space="preserve">” which examined </w:t>
      </w:r>
      <w:r w:rsidRPr="00396F05">
        <w:rPr>
          <w:bCs/>
        </w:rPr>
        <w:t>the practical obstacles in the way of a seamless reasonable accommodation process from the perspective of employers, employees and potential employees with disabilities</w:t>
      </w:r>
      <w:r>
        <w:rPr>
          <w:bCs/>
        </w:rPr>
        <w:t xml:space="preserve"> and</w:t>
      </w:r>
      <w:r w:rsidRPr="00396F05">
        <w:rPr>
          <w:bCs/>
        </w:rPr>
        <w:t xml:space="preserve"> good practices as to how these obstacles can be addressed.</w:t>
      </w:r>
      <w:r w:rsidR="008A5431">
        <w:rPr>
          <w:rStyle w:val="FootnoteReference"/>
          <w:bCs/>
        </w:rPr>
        <w:footnoteReference w:id="102"/>
      </w:r>
      <w:r w:rsidR="00A17446">
        <w:rPr>
          <w:bCs/>
        </w:rPr>
        <w:t xml:space="preserve"> </w:t>
      </w:r>
      <w:r w:rsidR="00A27D80">
        <w:rPr>
          <w:bCs/>
        </w:rPr>
        <w:t>The report</w:t>
      </w:r>
      <w:r w:rsidR="00A17446" w:rsidRPr="00A17446">
        <w:rPr>
          <w:bCs/>
        </w:rPr>
        <w:t xml:space="preserve"> comprised of a literature review and a review of decisions from the Workplace Relations Commission and the Labour Court relating to reasonable accommodation, as well as consultation with key</w:t>
      </w:r>
      <w:r w:rsidR="00A17446" w:rsidRPr="00A17446">
        <w:t xml:space="preserve"> </w:t>
      </w:r>
      <w:r w:rsidR="00A17446" w:rsidRPr="00A17446">
        <w:rPr>
          <w:bCs/>
        </w:rPr>
        <w:t>stakeholders, including persons with a disability.</w:t>
      </w:r>
    </w:p>
    <w:p w14:paraId="0C248C8E" w14:textId="77777777" w:rsidR="00F87D03" w:rsidRDefault="008A5431" w:rsidP="00DB6296">
      <w:pPr>
        <w:rPr>
          <w:bCs/>
        </w:rPr>
      </w:pPr>
      <w:r>
        <w:rPr>
          <w:bCs/>
        </w:rPr>
        <w:t>Key findings</w:t>
      </w:r>
      <w:r w:rsidR="00F87D03" w:rsidRPr="00F87D03">
        <w:rPr>
          <w:bCs/>
        </w:rPr>
        <w:t xml:space="preserve"> from the review of 82 Workplace Relations Commission and the Labour Court decisions </w:t>
      </w:r>
      <w:r w:rsidR="00A27D80">
        <w:rPr>
          <w:bCs/>
        </w:rPr>
        <w:t>were as follows</w:t>
      </w:r>
      <w:r w:rsidR="00F87D03" w:rsidRPr="00F87D03">
        <w:rPr>
          <w:bCs/>
        </w:rPr>
        <w:t xml:space="preserve">: </w:t>
      </w:r>
    </w:p>
    <w:p w14:paraId="7130CB12" w14:textId="77777777" w:rsidR="00F87D03" w:rsidRDefault="00F87D03" w:rsidP="00F87D03">
      <w:pPr>
        <w:pStyle w:val="ListBullet"/>
      </w:pPr>
      <w:r w:rsidRPr="00F87D03">
        <w:t xml:space="preserve">In almost 60% of cases examined as part of the Workplace Relations Commission and Labour Court review, the relevant employer was found not to have breached the requirement to provide reasonable accommodations under employment equality legislation (49/82) </w:t>
      </w:r>
    </w:p>
    <w:p w14:paraId="77EB672C" w14:textId="77777777" w:rsidR="00F87D03" w:rsidRDefault="00F87D03" w:rsidP="00F87D03">
      <w:pPr>
        <w:pStyle w:val="ListBullet"/>
      </w:pPr>
      <w:r w:rsidRPr="00F87D03">
        <w:t xml:space="preserve">The relevant employer was deemed to have breached their obligation to provide reasonable accommodations in 40% of cases (33/82) </w:t>
      </w:r>
    </w:p>
    <w:p w14:paraId="1CE20A15" w14:textId="77777777" w:rsidR="00F87D03" w:rsidRDefault="00F87D03" w:rsidP="00F87D03">
      <w:pPr>
        <w:pStyle w:val="ListBullet"/>
      </w:pPr>
      <w:r w:rsidRPr="00F87D03">
        <w:t xml:space="preserve">The most common reason why employers were found to be in breach of the obligation to provide reasonable accommodation in the Workplace Relations Commission and the Labour Court review was for failing to comply with the procedural components of the duty. In particular, employers failed to: </w:t>
      </w:r>
    </w:p>
    <w:p w14:paraId="26A98E4A" w14:textId="77777777" w:rsidR="00F87D03" w:rsidRDefault="00F87D03" w:rsidP="00F87D03">
      <w:pPr>
        <w:pStyle w:val="ListBullet2"/>
      </w:pPr>
      <w:r w:rsidRPr="00F87D03">
        <w:t xml:space="preserve">undertake sufficient enquiries to ascertain the extent of the employee’s disability and the factual position concerning the employee’s capability </w:t>
      </w:r>
    </w:p>
    <w:p w14:paraId="51C46B5F" w14:textId="77777777" w:rsidR="00F87D03" w:rsidRDefault="00F87D03" w:rsidP="00F87D03">
      <w:pPr>
        <w:pStyle w:val="ListBullet2"/>
      </w:pPr>
      <w:r w:rsidRPr="00F87D03">
        <w:t xml:space="preserve">consider what, if any, special treatment or facilities may be available by which the employee could become fully capable of undertaking the full range of duties associated with his or her post </w:t>
      </w:r>
    </w:p>
    <w:p w14:paraId="77580814" w14:textId="77777777" w:rsidR="00F87D03" w:rsidRDefault="00F87D03" w:rsidP="00F87D03">
      <w:pPr>
        <w:pStyle w:val="ListBullet2"/>
      </w:pPr>
      <w:r w:rsidRPr="00F87D03">
        <w:t xml:space="preserve">consult with and allow the employee concerned a full opportunity to participate at each level of the process </w:t>
      </w:r>
    </w:p>
    <w:p w14:paraId="073AEF0A" w14:textId="77777777" w:rsidR="00F87D03" w:rsidRDefault="00F87D03" w:rsidP="00F87D03">
      <w:pPr>
        <w:pStyle w:val="ListBullet"/>
      </w:pPr>
      <w:r w:rsidRPr="00F87D03">
        <w:t xml:space="preserve">There </w:t>
      </w:r>
      <w:r w:rsidR="00712C92">
        <w:t>were</w:t>
      </w:r>
      <w:r w:rsidRPr="00F87D03">
        <w:t xml:space="preserve"> a low number of decisions concerning an alleged failure to provide reasonable accommodations at the access stage (8/82). The overwhelming majority of complaints were brought by persons with disabilities who were in employment, as opposed to those applying for employment (74/82)</w:t>
      </w:r>
    </w:p>
    <w:p w14:paraId="7AF10B33" w14:textId="77777777" w:rsidR="00F87D03" w:rsidRDefault="00F87D03" w:rsidP="00F87D03">
      <w:pPr>
        <w:pStyle w:val="ListBullet"/>
      </w:pPr>
      <w:r w:rsidRPr="00F87D03">
        <w:t xml:space="preserve">The majority of complaints alleging a breach of the reasonable accommodation requirement in the review were taken against private sector employers. Less than 25% of cases related to public sector employers. Four cases were taken against community or voluntary sector employers. In four other cases, the nature of the employment was unclear </w:t>
      </w:r>
    </w:p>
    <w:p w14:paraId="0C47A90E" w14:textId="77777777" w:rsidR="00F87D03" w:rsidRDefault="00F87D03" w:rsidP="00F87D03">
      <w:pPr>
        <w:pStyle w:val="ListBullet"/>
      </w:pPr>
      <w:r w:rsidRPr="00F87D03">
        <w:t>The most frequently cited disabilities in the review were back issues, depression, anxiety and stress, including workplace stress. There were no cases concerning persons with intellectual disabilities or autism in the review</w:t>
      </w:r>
    </w:p>
    <w:p w14:paraId="342D2593" w14:textId="77777777" w:rsidR="00F87D03" w:rsidRDefault="00F87D03" w:rsidP="00F87D03">
      <w:pPr>
        <w:pStyle w:val="ListBullet"/>
        <w:numPr>
          <w:ilvl w:val="0"/>
          <w:numId w:val="0"/>
        </w:numPr>
      </w:pPr>
      <w:r w:rsidRPr="00F87D03">
        <w:t xml:space="preserve">The main findings of the literature review, the review of Workplace Relations Commission and Labour Court decisions and the consultations </w:t>
      </w:r>
      <w:r w:rsidR="00A27D80">
        <w:t>included the following</w:t>
      </w:r>
      <w:r w:rsidRPr="00F87D03">
        <w:t>:</w:t>
      </w:r>
    </w:p>
    <w:p w14:paraId="430747AD" w14:textId="77777777" w:rsidR="00F87D03" w:rsidRDefault="00F87D03" w:rsidP="00F87D03">
      <w:pPr>
        <w:pStyle w:val="ListBullet"/>
      </w:pPr>
      <w:r w:rsidRPr="00F87D03">
        <w:t xml:space="preserve">Employees can be reluctant to disclose their disability to an employer and request reasonable accommodations due to the perceived negative consequences of doing so. This sense of fear about disclosing a disability is primarily threefold: fear of being treated differently after disclosure, fear of disclosure affecting promotional opportunities and fear of being labelled. Concerns regarding disclosure can be particularly acute for those seeking access to employment and also those with a hidden disability </w:t>
      </w:r>
    </w:p>
    <w:p w14:paraId="0955986F" w14:textId="77777777" w:rsidR="00F87D03" w:rsidRDefault="00F87D03" w:rsidP="00F87D03">
      <w:pPr>
        <w:pStyle w:val="ListBullet"/>
      </w:pPr>
      <w:r w:rsidRPr="00F87D03">
        <w:t xml:space="preserve">Employers do not always treat requests for reasonable accommodations in an efficient manner. While delays arise from lack of proactivity on the part of employers, delays may also arise due to circumstances beyond their control. For instance, concerns have been raised about the length of time it takes the Department of Employment Affairs and Social Protection to process applications for financial grants and implement any approved measures </w:t>
      </w:r>
    </w:p>
    <w:p w14:paraId="33C592F9" w14:textId="77777777" w:rsidR="00F87D03" w:rsidRDefault="00F87D03" w:rsidP="00F87D03">
      <w:pPr>
        <w:pStyle w:val="ListBullet"/>
      </w:pPr>
      <w:r w:rsidRPr="00F87D03">
        <w:t>Formal, written policies and procedures dealing with reasonable accommodations are extremely important in the employment context</w:t>
      </w:r>
      <w:r w:rsidR="00A27D80">
        <w:t xml:space="preserve"> but do not always exist</w:t>
      </w:r>
      <w:r w:rsidRPr="00F87D03">
        <w:t xml:space="preserve">. </w:t>
      </w:r>
    </w:p>
    <w:p w14:paraId="3DA41A39" w14:textId="77777777" w:rsidR="00F87D03" w:rsidRDefault="00F87D03" w:rsidP="00F87D03">
      <w:pPr>
        <w:pStyle w:val="ListBullet"/>
      </w:pPr>
      <w:r w:rsidRPr="00F87D03">
        <w:t>There exists low knowledge amongst some employers about the extent of their obligation to provide reasonable accommodations under employment equality legislation. Some employers are also unaware of the types of reasonable accommodations which may be available and appropriate, for instance in the case of a person with a mental health issue</w:t>
      </w:r>
      <w:r w:rsidR="009012F3">
        <w:t>.</w:t>
      </w:r>
      <w:r w:rsidRPr="00F87D03">
        <w:t xml:space="preserve"> Similarly, there is low awareness amongst some persons with disabilities as to their specific rights concerning reasonable accommodation in the workplace. </w:t>
      </w:r>
    </w:p>
    <w:p w14:paraId="5B8EC649" w14:textId="77777777" w:rsidR="00F87D03" w:rsidRDefault="00F87D03" w:rsidP="00F87D03">
      <w:pPr>
        <w:pStyle w:val="ListBullet"/>
      </w:pPr>
      <w:r w:rsidRPr="00F87D03">
        <w:t xml:space="preserve">Employees and job applicants with disabilities can be denied reasonable accommodations owing to an employer’s low level of understanding and awareness of disabilities. This can have a particular adverse effect on those seeking reasonable accommodations at the recruitment stage, where discrimination can be more difficult to prove. Some employers can also have negative attitudes towards reasonable accommodations themselves e.g. an employer may consider some forms of reasonable accommodations, such as part-time or flexible working hours, as inconvenient </w:t>
      </w:r>
    </w:p>
    <w:p w14:paraId="0F59C699" w14:textId="77777777" w:rsidR="00F87D03" w:rsidRDefault="00F87D03" w:rsidP="00F87D03">
      <w:pPr>
        <w:pStyle w:val="ListBullet"/>
      </w:pPr>
      <w:r w:rsidRPr="00F87D03">
        <w:t xml:space="preserve">There is a demand amongst employers for more training and information resources concerning reasonable accommodation and supporting employees with disabilities more generally. However, there also exists low levels of awareness about information and training supports which are currently available, including the Disability Awareness Support Scheme </w:t>
      </w:r>
    </w:p>
    <w:p w14:paraId="02249A87" w14:textId="77777777" w:rsidR="00F87D03" w:rsidRDefault="00F87D03" w:rsidP="00F87D03">
      <w:pPr>
        <w:pStyle w:val="ListBullet"/>
      </w:pPr>
      <w:r w:rsidRPr="00F87D03">
        <w:t>Formalised structures for periodically reviewing implemented reasonable accommodations in the workplace are lacking. For many employers, the provision of the accommodation is the end stage in the process, and there is no further consultation with the employee to determine how the accommodation is operating in practice and whether it needs to be adapted or replaced</w:t>
      </w:r>
    </w:p>
    <w:p w14:paraId="5148D055" w14:textId="77777777" w:rsidR="00F87D03" w:rsidRDefault="00C506FB" w:rsidP="00AA73AB">
      <w:r>
        <w:t>Some of the main recommendations arising from the report were as follows</w:t>
      </w:r>
      <w:r w:rsidR="00F87D03" w:rsidRPr="00F87D03">
        <w:t xml:space="preserve">: </w:t>
      </w:r>
    </w:p>
    <w:p w14:paraId="716D3BEC" w14:textId="77777777" w:rsidR="00F87D03" w:rsidRDefault="00F87D03" w:rsidP="00F87D03">
      <w:pPr>
        <w:pStyle w:val="ListBullet"/>
      </w:pPr>
      <w:r w:rsidRPr="00F87D03">
        <w:t>Both guidance and a code of practice concerning the provision of reasonable accommodations in the employment context, including the recruitmen</w:t>
      </w:r>
      <w:r w:rsidR="00F074E0">
        <w:t>t process, should be developed</w:t>
      </w:r>
    </w:p>
    <w:p w14:paraId="06A0C4EC" w14:textId="77777777" w:rsidR="00F87D03" w:rsidRDefault="00E51728" w:rsidP="00F87D03">
      <w:pPr>
        <w:pStyle w:val="ListBullet"/>
      </w:pPr>
      <w:r>
        <w:t>An information campaign sh</w:t>
      </w:r>
      <w:r w:rsidR="00F87D03" w:rsidRPr="00F87D03">
        <w:t>ould be undertaken to build awareness amongst persons with disabilities of their right to reasonable accommoda</w:t>
      </w:r>
      <w:r>
        <w:t>tion in the employment context</w:t>
      </w:r>
    </w:p>
    <w:p w14:paraId="60AF52B2" w14:textId="77777777" w:rsidR="00F87D03" w:rsidRDefault="00F87D03" w:rsidP="00F87D03">
      <w:pPr>
        <w:pStyle w:val="ListBullet"/>
      </w:pPr>
      <w:r w:rsidRPr="00F87D03">
        <w:t>A national awareness campaign may be of benefit in increasing understanding of the important contribution persons with disabilities make and the skil</w:t>
      </w:r>
      <w:r w:rsidR="00E51728">
        <w:t>ls they bring to the workforce</w:t>
      </w:r>
    </w:p>
    <w:p w14:paraId="41046303" w14:textId="77777777" w:rsidR="00F87D03" w:rsidRDefault="00F87D03" w:rsidP="00F87D03">
      <w:pPr>
        <w:pStyle w:val="ListBullet"/>
      </w:pPr>
      <w:r w:rsidRPr="00F87D03">
        <w:t>The Department of Employment Affairs and Social Protection could consider a review of the adequacy and effectiveness of the training and financial supports available for employers to provide reasonable accommodations, including the Reasonable Accommodation Fund, the Wage Subsidy Scheme and the Disab</w:t>
      </w:r>
      <w:r w:rsidR="00E51728">
        <w:t>ility Awareness Support Scheme</w:t>
      </w:r>
    </w:p>
    <w:p w14:paraId="60573697" w14:textId="77777777" w:rsidR="00F074E0" w:rsidRDefault="00671358" w:rsidP="00AA73AB">
      <w:r>
        <w:t>In the context of reasonable accommodations, t</w:t>
      </w:r>
      <w:r w:rsidR="00F074E0">
        <w:t>he NDA is aware of calls for the provision of personal as</w:t>
      </w:r>
      <w:r>
        <w:t xml:space="preserve">sistants to be considered in </w:t>
      </w:r>
      <w:r w:rsidR="00F074E0">
        <w:t>em</w:t>
      </w:r>
      <w:r>
        <w:t>ployment</w:t>
      </w:r>
      <w:r w:rsidR="00F074E0">
        <w:t>.</w:t>
      </w:r>
    </w:p>
    <w:p w14:paraId="0CD62A28" w14:textId="77777777" w:rsidR="00DD0A3E" w:rsidRDefault="00DD0A3E" w:rsidP="00AA73AB">
      <w:r>
        <w:t xml:space="preserve">The Irish Congress of Trade Unions and the Irish Business and Employers Confederation launched a “Reasonable Accommodation Passport” </w:t>
      </w:r>
      <w:r w:rsidR="001144BF">
        <w:t xml:space="preserve">in December 2019. </w:t>
      </w:r>
      <w:r w:rsidR="001144BF" w:rsidRPr="001144BF">
        <w:t>It is a written record of accommodations or workplace adjustments t</w:t>
      </w:r>
      <w:r w:rsidR="001144BF">
        <w:t>hat have been agreed between an</w:t>
      </w:r>
      <w:r w:rsidR="001144BF" w:rsidRPr="001144BF">
        <w:t xml:space="preserve"> employee </w:t>
      </w:r>
      <w:r w:rsidR="001144BF">
        <w:t xml:space="preserve">with a disability </w:t>
      </w:r>
      <w:r w:rsidR="001144BF" w:rsidRPr="001144BF">
        <w:t>and their line manager.</w:t>
      </w:r>
      <w:r w:rsidR="001144BF">
        <w:rPr>
          <w:rStyle w:val="FootnoteReference"/>
        </w:rPr>
        <w:footnoteReference w:id="103"/>
      </w:r>
      <w:r w:rsidR="001144BF" w:rsidRPr="001144BF">
        <w:rPr>
          <w:rFonts w:ascii="Arial" w:hAnsi="Arial" w:cs="Arial"/>
          <w:color w:val="444444"/>
          <w:shd w:val="clear" w:color="auto" w:fill="FFFFFF"/>
        </w:rPr>
        <w:t xml:space="preserve"> </w:t>
      </w:r>
      <w:r w:rsidR="001144BF">
        <w:t>It is anticipated that the Passport will facilitate s</w:t>
      </w:r>
      <w:r w:rsidR="001144BF" w:rsidRPr="001144BF">
        <w:t xml:space="preserve">tructured conversations about the impact of disability and what supports individuals needs </w:t>
      </w:r>
      <w:r w:rsidR="001144BF">
        <w:t>in the workplace.</w:t>
      </w:r>
    </w:p>
    <w:p w14:paraId="0F1BF835" w14:textId="77777777" w:rsidR="00861CDB" w:rsidRDefault="00861CDB" w:rsidP="00861CDB">
      <w:pPr>
        <w:pStyle w:val="Heading1"/>
      </w:pPr>
      <w:bookmarkStart w:id="43" w:name="_Toc65581190"/>
      <w:r>
        <w:t>Discrimination</w:t>
      </w:r>
      <w:r w:rsidR="001E4D9B">
        <w:t xml:space="preserve"> in Employment</w:t>
      </w:r>
      <w:bookmarkEnd w:id="43"/>
    </w:p>
    <w:p w14:paraId="3F0DBB28" w14:textId="77777777" w:rsidR="00861CDB" w:rsidRDefault="00861CDB" w:rsidP="00861CDB">
      <w:r w:rsidRPr="005A128E">
        <w:t xml:space="preserve">Research undertaken by the </w:t>
      </w:r>
      <w:r w:rsidRPr="00E7702C">
        <w:rPr>
          <w:bCs/>
        </w:rPr>
        <w:t>Economic and Social Research Institut</w:t>
      </w:r>
      <w:r w:rsidR="006B10FF">
        <w:rPr>
          <w:bCs/>
        </w:rPr>
        <w:t>e</w:t>
      </w:r>
      <w:r w:rsidRPr="005A128E">
        <w:t xml:space="preserve"> and </w:t>
      </w:r>
      <w:r>
        <w:t>the Irish Human Rights and Equality Commission (</w:t>
      </w:r>
      <w:r w:rsidRPr="005A128E">
        <w:t>IHREC</w:t>
      </w:r>
      <w:r>
        <w:t>)</w:t>
      </w:r>
      <w:r w:rsidRPr="005A128E">
        <w:t xml:space="preserve"> shows that when persons with disabilities are looking for work, or in the workplace, the odds of experiencing work-related discrimination were twice as high compared to </w:t>
      </w:r>
      <w:r>
        <w:t>those without disabilities.</w:t>
      </w:r>
      <w:r w:rsidR="00E51728">
        <w:rPr>
          <w:rStyle w:val="FootnoteReference"/>
        </w:rPr>
        <w:footnoteReference w:id="104"/>
      </w:r>
      <w:r>
        <w:t xml:space="preserve"> </w:t>
      </w:r>
      <w:r w:rsidRPr="00905671">
        <w:t>In the 2019 Equality and Discrimination Survey</w:t>
      </w:r>
      <w:r w:rsidRPr="00905671">
        <w:rPr>
          <w:lang w:eastAsia="en-IE"/>
        </w:rPr>
        <w:t xml:space="preserve"> </w:t>
      </w:r>
      <w:r w:rsidRPr="00905671">
        <w:t xml:space="preserve">module of the Quarterly </w:t>
      </w:r>
      <w:r w:rsidR="007651C6">
        <w:t>National Household (QNHS) survey</w:t>
      </w:r>
      <w:r w:rsidRPr="00905671">
        <w:t>,</w:t>
      </w:r>
      <w:r>
        <w:t xml:space="preserve"> </w:t>
      </w:r>
      <w:r w:rsidRPr="00905671">
        <w:t xml:space="preserve">12.3% of adults with a disability </w:t>
      </w:r>
      <w:r>
        <w:t>reported that they had experienced</w:t>
      </w:r>
      <w:r w:rsidRPr="00905671">
        <w:t xml:space="preserve"> discrimination in the workplace and/or while looking for work</w:t>
      </w:r>
      <w:r>
        <w:t>,</w:t>
      </w:r>
      <w:r w:rsidRPr="00905671">
        <w:t xml:space="preserve"> compared to 9% of those without a disability.</w:t>
      </w:r>
      <w:r w:rsidR="007651C6">
        <w:rPr>
          <w:rStyle w:val="FootnoteReference"/>
        </w:rPr>
        <w:footnoteReference w:id="105"/>
      </w:r>
    </w:p>
    <w:p w14:paraId="0CD1C653" w14:textId="77777777" w:rsidR="00861CDB" w:rsidRDefault="00861CDB" w:rsidP="00861CDB">
      <w:r w:rsidRPr="005A128E">
        <w:t>Disability claims to the Workplace Relations Commission under employment equality legislation accounted for 22% of al</w:t>
      </w:r>
      <w:r>
        <w:t>l claims in 2016, 18% in 2017</w:t>
      </w:r>
      <w:r>
        <w:rPr>
          <w:rStyle w:val="FootnoteReference"/>
        </w:rPr>
        <w:footnoteReference w:id="106"/>
      </w:r>
      <w:r>
        <w:t xml:space="preserve"> and 16% in 2018</w:t>
      </w:r>
      <w:r>
        <w:rPr>
          <w:rStyle w:val="FootnoteReference"/>
        </w:rPr>
        <w:footnoteReference w:id="107"/>
      </w:r>
      <w:r w:rsidRPr="005A128E">
        <w:t xml:space="preserve">. Disability was the second most-cited ground of discrimination for all three years. </w:t>
      </w:r>
      <w:r>
        <w:t>In 2018, disability was cited as a ground for discrimination in 292 employment equality cases.</w:t>
      </w:r>
      <w:r w:rsidR="007651C6">
        <w:rPr>
          <w:rStyle w:val="FootnoteReference"/>
        </w:rPr>
        <w:footnoteReference w:id="108"/>
      </w:r>
    </w:p>
    <w:p w14:paraId="66B21AFE" w14:textId="77777777" w:rsidR="00861CDB" w:rsidRDefault="00861CDB" w:rsidP="00861CDB">
      <w:r>
        <w:t>S</w:t>
      </w:r>
      <w:r w:rsidRPr="005A128E">
        <w:t>ince its establishment in 2014, disability-related queries have accounted for the highest number of queries to IHREC, the statutory body responsible for providing information on emp</w:t>
      </w:r>
      <w:r>
        <w:t>loyment equality legislation.</w:t>
      </w:r>
      <w:r>
        <w:rPr>
          <w:rStyle w:val="FootnoteReference"/>
        </w:rPr>
        <w:footnoteReference w:id="109"/>
      </w:r>
      <w:r w:rsidRPr="005A128E">
        <w:t xml:space="preserve"> For example, in 2017, 31% of all queries under the Employment Equalit</w:t>
      </w:r>
      <w:r>
        <w:t>y Acts related to disability,</w:t>
      </w:r>
      <w:r>
        <w:rPr>
          <w:rStyle w:val="FootnoteReference"/>
        </w:rPr>
        <w:footnoteReference w:id="110"/>
      </w:r>
      <w:r w:rsidRPr="005A128E">
        <w:t xml:space="preserve"> whilst in 2</w:t>
      </w:r>
      <w:r>
        <w:t>018, this figure stood at 30%</w:t>
      </w:r>
      <w:r>
        <w:rPr>
          <w:rStyle w:val="FootnoteReference"/>
        </w:rPr>
        <w:footnoteReference w:id="111"/>
      </w:r>
      <w:r>
        <w:t>. F</w:t>
      </w:r>
      <w:r w:rsidRPr="005A128E">
        <w:t>igures released by IHREC show that 36% of employment queries from members of the public related to disability discriminat</w:t>
      </w:r>
      <w:r>
        <w:t>ion in the first half of 2019.</w:t>
      </w:r>
      <w:r>
        <w:rPr>
          <w:rStyle w:val="FootnoteReference"/>
        </w:rPr>
        <w:footnoteReference w:id="112"/>
      </w:r>
    </w:p>
    <w:p w14:paraId="59C26EFE" w14:textId="77777777" w:rsidR="00861CDB" w:rsidRDefault="00861CDB" w:rsidP="00861CDB">
      <w:r w:rsidRPr="00396F05">
        <w:t>In the NDA’s 2017 National Survey of Public Attitudes to Disability in Ireland, the majority of respondents indicated that they would feel at ease working wi</w:t>
      </w:r>
      <w:r>
        <w:t>th someone with a disability.</w:t>
      </w:r>
      <w:r>
        <w:rPr>
          <w:rStyle w:val="FootnoteReference"/>
        </w:rPr>
        <w:footnoteReference w:id="113"/>
      </w:r>
      <w:r w:rsidRPr="00396F05">
        <w:t xml:space="preserve"> People were most comfortable working with persons with physical disabilities and least comfortable working with perso</w:t>
      </w:r>
      <w:r>
        <w:t>ns with mental health issues.</w:t>
      </w:r>
      <w:r>
        <w:rPr>
          <w:rStyle w:val="FootnoteReference"/>
        </w:rPr>
        <w:footnoteReference w:id="114"/>
      </w:r>
      <w:r w:rsidRPr="00396F05">
        <w:t xml:space="preserve"> Reasons for feeling uncomfortable about having a work colleague with a disability ranged from the suitability of work or work environment and to the belief that there would be more work for the person or their colleague, to personal discomfort and behavioural concerns.</w:t>
      </w:r>
    </w:p>
    <w:p w14:paraId="1328F59F" w14:textId="77777777" w:rsidR="00F074E0" w:rsidRDefault="00F074E0" w:rsidP="00861CDB">
      <w:r>
        <w:t xml:space="preserve">The NDA is aware that disability groups and </w:t>
      </w:r>
      <w:r w:rsidR="00DA6E35">
        <w:t>persons</w:t>
      </w:r>
      <w:r>
        <w:t xml:space="preserve"> with disabilities have </w:t>
      </w:r>
      <w:r w:rsidR="00891E0D">
        <w:t xml:space="preserve">raised concerns regarding the persistent negative attitudes or low expectations held by some employers of </w:t>
      </w:r>
      <w:r w:rsidR="00DA6E35">
        <w:t>persons</w:t>
      </w:r>
      <w:r w:rsidR="00891E0D">
        <w:t xml:space="preserve"> with disabilities, and </w:t>
      </w:r>
      <w:r w:rsidR="00C0412D">
        <w:t xml:space="preserve">have </w:t>
      </w:r>
      <w:r>
        <w:t xml:space="preserve">underlined the need to build awareness of </w:t>
      </w:r>
      <w:r w:rsidR="00DA6E35">
        <w:t>persons</w:t>
      </w:r>
      <w:r>
        <w:t xml:space="preserve"> with disabilities as a valuable source of skills in the labour market.</w:t>
      </w:r>
    </w:p>
    <w:p w14:paraId="25638518" w14:textId="77777777" w:rsidR="0047741D" w:rsidRDefault="0047741D" w:rsidP="0047741D">
      <w:pPr>
        <w:pStyle w:val="Heading2"/>
      </w:pPr>
      <w:bookmarkStart w:id="44" w:name="_Toc65581191"/>
      <w:r>
        <w:t>Disability Pay Gap</w:t>
      </w:r>
      <w:bookmarkEnd w:id="44"/>
    </w:p>
    <w:p w14:paraId="75F5A343" w14:textId="77777777" w:rsidR="0047741D" w:rsidRDefault="0047741D" w:rsidP="00861CDB">
      <w:r>
        <w:t>Drawing on 2014 EU-SILC data, research undertaken by the</w:t>
      </w:r>
      <w:r w:rsidRPr="00312A05">
        <w:t xml:space="preserve"> Academic Network of European Disability experts </w:t>
      </w:r>
      <w:r>
        <w:t xml:space="preserve">estimates that the disability pay gap in Ireland is 21.3%. This figure is based on </w:t>
      </w:r>
      <w:r w:rsidRPr="007F0784">
        <w:t xml:space="preserve">annual gross employee income received by </w:t>
      </w:r>
      <w:r>
        <w:t xml:space="preserve">both </w:t>
      </w:r>
      <w:r w:rsidR="00DA6E35">
        <w:t>persons</w:t>
      </w:r>
      <w:r w:rsidRPr="007F0784">
        <w:t xml:space="preserve"> with</w:t>
      </w:r>
      <w:r>
        <w:t xml:space="preserve"> and without</w:t>
      </w:r>
      <w:r w:rsidRPr="007F0784">
        <w:t xml:space="preserve"> a disability</w:t>
      </w:r>
      <w:r>
        <w:t>, and does not take into account the effects of age.</w:t>
      </w:r>
      <w:r w:rsidRPr="00CA3354">
        <w:rPr>
          <w:sz w:val="22"/>
          <w:szCs w:val="22"/>
          <w:vertAlign w:val="superscript"/>
        </w:rPr>
        <w:footnoteReference w:id="115"/>
      </w:r>
    </w:p>
    <w:p w14:paraId="6B852E5C" w14:textId="77777777" w:rsidR="00F2120E" w:rsidRDefault="00BD38E5" w:rsidP="00F2120E">
      <w:pPr>
        <w:pStyle w:val="Heading1"/>
      </w:pPr>
      <w:bookmarkStart w:id="45" w:name="_Toc65581192"/>
      <w:r>
        <w:t xml:space="preserve">Self-Employment &amp; </w:t>
      </w:r>
      <w:r w:rsidR="00F2120E">
        <w:t>Entrepreneurship</w:t>
      </w:r>
      <w:bookmarkEnd w:id="45"/>
    </w:p>
    <w:p w14:paraId="6F506459" w14:textId="77777777" w:rsidR="002D17EE" w:rsidRDefault="00687EA3" w:rsidP="002D17EE">
      <w:pPr>
        <w:rPr>
          <w:bCs/>
        </w:rPr>
      </w:pPr>
      <w:r w:rsidRPr="00687EA3">
        <w:rPr>
          <w:bCs/>
        </w:rPr>
        <w:t>In</w:t>
      </w:r>
      <w:r w:rsidR="002D17EE" w:rsidRPr="00687EA3">
        <w:rPr>
          <w:bCs/>
        </w:rPr>
        <w:t xml:space="preserve"> Census</w:t>
      </w:r>
      <w:r w:rsidRPr="00687EA3">
        <w:rPr>
          <w:bCs/>
        </w:rPr>
        <w:t xml:space="preserve"> 2016</w:t>
      </w:r>
      <w:r w:rsidR="002D17EE" w:rsidRPr="00687EA3">
        <w:rPr>
          <w:bCs/>
        </w:rPr>
        <w:t xml:space="preserve">, </w:t>
      </w:r>
      <w:r w:rsidR="004214F8" w:rsidRPr="00687EA3">
        <w:rPr>
          <w:bCs/>
        </w:rPr>
        <w:t xml:space="preserve">22,634 persons with disabilities </w:t>
      </w:r>
      <w:r w:rsidRPr="00687EA3">
        <w:rPr>
          <w:bCs/>
        </w:rPr>
        <w:t>reported themselves as being</w:t>
      </w:r>
      <w:r>
        <w:rPr>
          <w:bCs/>
        </w:rPr>
        <w:t xml:space="preserve"> employers or</w:t>
      </w:r>
      <w:r w:rsidR="004214F8" w:rsidRPr="00687EA3">
        <w:rPr>
          <w:bCs/>
        </w:rPr>
        <w:t xml:space="preserve"> own account workers</w:t>
      </w:r>
      <w:r w:rsidR="002D17EE" w:rsidRPr="00687EA3">
        <w:rPr>
          <w:bCs/>
        </w:rPr>
        <w:t xml:space="preserve"> (</w:t>
      </w:r>
      <w:r w:rsidR="004214F8" w:rsidRPr="00687EA3">
        <w:rPr>
          <w:bCs/>
        </w:rPr>
        <w:t>17,578</w:t>
      </w:r>
      <w:r w:rsidR="002D17EE" w:rsidRPr="00687EA3">
        <w:rPr>
          <w:bCs/>
        </w:rPr>
        <w:t xml:space="preserve"> male; </w:t>
      </w:r>
      <w:r w:rsidR="004214F8" w:rsidRPr="00687EA3">
        <w:rPr>
          <w:bCs/>
        </w:rPr>
        <w:t>5,056</w:t>
      </w:r>
      <w:r w:rsidR="002D17EE" w:rsidRPr="00687EA3">
        <w:rPr>
          <w:bCs/>
        </w:rPr>
        <w:t xml:space="preserve"> female).</w:t>
      </w:r>
      <w:r w:rsidR="004214F8" w:rsidRPr="00687EA3">
        <w:rPr>
          <w:bCs/>
        </w:rPr>
        <w:t xml:space="preserve"> </w:t>
      </w:r>
      <w:r w:rsidR="001D48C8">
        <w:rPr>
          <w:bCs/>
        </w:rPr>
        <w:t>Among</w:t>
      </w:r>
      <w:r w:rsidRPr="00687EA3">
        <w:rPr>
          <w:bCs/>
        </w:rPr>
        <w:t xml:space="preserve"> </w:t>
      </w:r>
      <w:r w:rsidR="00DA6E35">
        <w:t>persons</w:t>
      </w:r>
      <w:r w:rsidRPr="00687EA3">
        <w:rPr>
          <w:bCs/>
        </w:rPr>
        <w:t xml:space="preserve"> without a disability </w:t>
      </w:r>
      <w:r w:rsidR="001D48C8">
        <w:rPr>
          <w:bCs/>
        </w:rPr>
        <w:t xml:space="preserve">9.2% </w:t>
      </w:r>
      <w:r w:rsidRPr="00687EA3">
        <w:rPr>
          <w:bCs/>
        </w:rPr>
        <w:t xml:space="preserve">recorded themselves as being </w:t>
      </w:r>
      <w:r>
        <w:rPr>
          <w:bCs/>
        </w:rPr>
        <w:t>an employer or own account worker</w:t>
      </w:r>
      <w:r w:rsidRPr="00687EA3">
        <w:rPr>
          <w:bCs/>
        </w:rPr>
        <w:t>,</w:t>
      </w:r>
      <w:r>
        <w:rPr>
          <w:bCs/>
        </w:rPr>
        <w:t xml:space="preserve"> </w:t>
      </w:r>
      <w:r w:rsidRPr="00687EA3">
        <w:rPr>
          <w:bCs/>
        </w:rPr>
        <w:t>compared to 3.9%</w:t>
      </w:r>
      <w:r w:rsidR="00514296">
        <w:rPr>
          <w:bCs/>
        </w:rPr>
        <w:t xml:space="preserve"> of persons with disabilities. </w:t>
      </w:r>
    </w:p>
    <w:p w14:paraId="7A269DF1" w14:textId="77777777" w:rsidR="003D02FF" w:rsidRDefault="00BD38E5" w:rsidP="002D17EE">
      <w:pPr>
        <w:rPr>
          <w:bCs/>
        </w:rPr>
      </w:pPr>
      <w:r w:rsidRPr="00BD38E5">
        <w:rPr>
          <w:bCs/>
        </w:rPr>
        <w:t xml:space="preserve">Enterprise Ireland, the government organisation responsible for the development and growth of Irish enterprises in world markets, </w:t>
      </w:r>
      <w:r w:rsidRPr="00BD38E5">
        <w:t xml:space="preserve">offers a </w:t>
      </w:r>
      <w:r w:rsidR="0022364B">
        <w:t xml:space="preserve">range </w:t>
      </w:r>
      <w:r w:rsidR="001D48C8">
        <w:t xml:space="preserve">of </w:t>
      </w:r>
      <w:r w:rsidRPr="00BD38E5">
        <w:rPr>
          <w:bCs/>
        </w:rPr>
        <w:t>supports</w:t>
      </w:r>
      <w:r w:rsidR="001D48C8">
        <w:t xml:space="preserve"> to </w:t>
      </w:r>
      <w:r w:rsidRPr="00BD38E5">
        <w:rPr>
          <w:bCs/>
        </w:rPr>
        <w:t>entrepreneurs</w:t>
      </w:r>
      <w:r w:rsidR="001D48C8">
        <w:t xml:space="preserve"> and </w:t>
      </w:r>
      <w:r w:rsidRPr="00BD38E5">
        <w:rPr>
          <w:bCs/>
        </w:rPr>
        <w:t>companies</w:t>
      </w:r>
      <w:r w:rsidR="001D48C8">
        <w:t xml:space="preserve"> to start a </w:t>
      </w:r>
      <w:r w:rsidRPr="00BD38E5">
        <w:rPr>
          <w:bCs/>
        </w:rPr>
        <w:t>business</w:t>
      </w:r>
      <w:r w:rsidR="001D48C8">
        <w:t xml:space="preserve"> in </w:t>
      </w:r>
      <w:r w:rsidRPr="00BD38E5">
        <w:rPr>
          <w:bCs/>
        </w:rPr>
        <w:t>Ireland</w:t>
      </w:r>
      <w:r w:rsidR="001D48C8">
        <w:t xml:space="preserve"> </w:t>
      </w:r>
      <w:r w:rsidRPr="00BD38E5">
        <w:t>a</w:t>
      </w:r>
      <w:r w:rsidR="001D48C8">
        <w:t xml:space="preserve">nd to grow into global markets. </w:t>
      </w:r>
      <w:r w:rsidR="00B15053">
        <w:t xml:space="preserve">While it has supported a number of entrepreneurs with disabilities, such as Mobility Mojo, </w:t>
      </w:r>
      <w:r w:rsidR="00F2120E">
        <w:t xml:space="preserve">Enterprise Ireland does not </w:t>
      </w:r>
      <w:r w:rsidR="00C00B1A">
        <w:t>maintain data on the number of persons with disabilities accessing their supports.</w:t>
      </w:r>
      <w:r w:rsidR="003D02FF" w:rsidRPr="003D02FF">
        <w:rPr>
          <w:bCs/>
        </w:rPr>
        <w:t xml:space="preserve"> </w:t>
      </w:r>
    </w:p>
    <w:p w14:paraId="3686313E" w14:textId="77777777" w:rsidR="00F2120E" w:rsidRDefault="003D02FF" w:rsidP="002D17EE">
      <w:r>
        <w:rPr>
          <w:bCs/>
        </w:rPr>
        <w:t xml:space="preserve">The </w:t>
      </w:r>
      <w:r w:rsidRPr="003D02FF">
        <w:rPr>
          <w:b/>
          <w:bCs/>
        </w:rPr>
        <w:t>Comprehensive Employment Strategy Phase Two Action Plan</w:t>
      </w:r>
      <w:r>
        <w:rPr>
          <w:bCs/>
        </w:rPr>
        <w:t xml:space="preserve"> contains a commitment to c</w:t>
      </w:r>
      <w:r w:rsidRPr="00763752">
        <w:rPr>
          <w:bCs/>
        </w:rPr>
        <w:t>reate a strategy that promotes and supports entrepreneurship and self</w:t>
      </w:r>
      <w:r>
        <w:rPr>
          <w:bCs/>
        </w:rPr>
        <w:t>-</w:t>
      </w:r>
      <w:r w:rsidRPr="00763752">
        <w:rPr>
          <w:bCs/>
        </w:rPr>
        <w:t xml:space="preserve">employment for </w:t>
      </w:r>
      <w:r w:rsidR="00DA6E35">
        <w:t>persons</w:t>
      </w:r>
      <w:r w:rsidRPr="00763752">
        <w:rPr>
          <w:bCs/>
        </w:rPr>
        <w:t xml:space="preserve"> with a disability</w:t>
      </w:r>
      <w:r>
        <w:rPr>
          <w:bCs/>
        </w:rPr>
        <w:t>.</w:t>
      </w:r>
      <w:r>
        <w:rPr>
          <w:rStyle w:val="FootnoteReference"/>
          <w:bCs/>
        </w:rPr>
        <w:footnoteReference w:id="116"/>
      </w:r>
      <w:r w:rsidRPr="003D02FF">
        <w:rPr>
          <w:szCs w:val="26"/>
          <w:lang w:eastAsia="en-IE"/>
        </w:rPr>
        <w:t xml:space="preserve"> </w:t>
      </w:r>
      <w:r>
        <w:rPr>
          <w:bCs/>
        </w:rPr>
        <w:t xml:space="preserve">To this end, Enterprise Ireland has </w:t>
      </w:r>
      <w:r w:rsidRPr="003D02FF">
        <w:rPr>
          <w:bCs/>
        </w:rPr>
        <w:t xml:space="preserve">commissioned research </w:t>
      </w:r>
      <w:r>
        <w:rPr>
          <w:bCs/>
        </w:rPr>
        <w:t xml:space="preserve">on good practice, </w:t>
      </w:r>
      <w:r w:rsidRPr="003D02FF">
        <w:rPr>
          <w:bCs/>
        </w:rPr>
        <w:t>supported by interviews with entrepreneurs with disabilities</w:t>
      </w:r>
      <w:r>
        <w:rPr>
          <w:bCs/>
        </w:rPr>
        <w:t>, and</w:t>
      </w:r>
      <w:r w:rsidRPr="003D02FF">
        <w:rPr>
          <w:bCs/>
        </w:rPr>
        <w:t xml:space="preserve"> is working with their network of mentors to increase their knowledge and competencies in supporting </w:t>
      </w:r>
      <w:r w:rsidR="00DA6E35">
        <w:t>persons</w:t>
      </w:r>
      <w:r w:rsidRPr="003D02FF">
        <w:rPr>
          <w:bCs/>
        </w:rPr>
        <w:t xml:space="preserve"> with disabilities.</w:t>
      </w:r>
      <w:r>
        <w:rPr>
          <w:rStyle w:val="FootnoteReference"/>
          <w:bCs/>
        </w:rPr>
        <w:footnoteReference w:id="117"/>
      </w:r>
      <w:r w:rsidRPr="003D02FF">
        <w:rPr>
          <w:bCs/>
        </w:rPr>
        <w:t xml:space="preserve"> </w:t>
      </w:r>
    </w:p>
    <w:p w14:paraId="551BF9C1" w14:textId="77777777" w:rsidR="00962026" w:rsidRDefault="008D465B" w:rsidP="002D17EE">
      <w:r>
        <w:t>The NDA notes that a</w:t>
      </w:r>
      <w:r w:rsidR="00962026">
        <w:t xml:space="preserve"> report published by Technological University Dublin, </w:t>
      </w:r>
      <w:r w:rsidR="00962026" w:rsidRPr="00A70917">
        <w:rPr>
          <w:b/>
        </w:rPr>
        <w:t>Pathway to Entrepreneurship for People with Disabilities in Ireland</w:t>
      </w:r>
      <w:r w:rsidR="00962026">
        <w:t xml:space="preserve">, </w:t>
      </w:r>
      <w:r w:rsidR="00A70917">
        <w:t xml:space="preserve">outlines a series of actions to improve supports and opportunities for </w:t>
      </w:r>
      <w:r w:rsidR="00DA6E35">
        <w:t>persons</w:t>
      </w:r>
      <w:r w:rsidR="00A70917">
        <w:t xml:space="preserve"> with disabilities to become entrepreneurs.</w:t>
      </w:r>
      <w:r w:rsidR="00B819C2">
        <w:rPr>
          <w:rStyle w:val="FootnoteReference"/>
        </w:rPr>
        <w:footnoteReference w:id="118"/>
      </w:r>
      <w:r w:rsidR="00A70917">
        <w:t xml:space="preserve"> This includes an awareness campaign and the creation of a tailored mentoring programme.</w:t>
      </w:r>
    </w:p>
    <w:p w14:paraId="2D493FF9" w14:textId="77777777" w:rsidR="007A2022" w:rsidRPr="007A2022" w:rsidRDefault="003D02FF" w:rsidP="007A2022">
      <w:pPr>
        <w:rPr>
          <w:bCs/>
        </w:rPr>
      </w:pPr>
      <w:r w:rsidRPr="003D02FF">
        <w:rPr>
          <w:bCs/>
        </w:rPr>
        <w:t xml:space="preserve">The </w:t>
      </w:r>
      <w:r w:rsidRPr="003D02FF">
        <w:rPr>
          <w:b/>
          <w:bCs/>
        </w:rPr>
        <w:t>Comprehensive Employment Strategy Phase Two Action Plan</w:t>
      </w:r>
      <w:r w:rsidRPr="003D02FF">
        <w:rPr>
          <w:bCs/>
        </w:rPr>
        <w:t xml:space="preserve"> </w:t>
      </w:r>
      <w:r>
        <w:rPr>
          <w:bCs/>
        </w:rPr>
        <w:t xml:space="preserve">also commits </w:t>
      </w:r>
      <w:r w:rsidR="00C56DF4">
        <w:rPr>
          <w:bCs/>
        </w:rPr>
        <w:t>to d</w:t>
      </w:r>
      <w:r w:rsidR="00C56DF4" w:rsidRPr="00C56DF4">
        <w:rPr>
          <w:bCs/>
        </w:rPr>
        <w:t>evelop</w:t>
      </w:r>
      <w:r w:rsidR="00C56DF4">
        <w:rPr>
          <w:bCs/>
        </w:rPr>
        <w:t>ing</w:t>
      </w:r>
      <w:r w:rsidR="00C56DF4" w:rsidRPr="00C56DF4">
        <w:rPr>
          <w:bCs/>
        </w:rPr>
        <w:t xml:space="preserve"> a pilot initiative in cooperation with other Government bodies and stakeholders aimed at enhancing the ability of job candidates with disabilities to avail of employment opportunities in Foreign Direct Investment (FDI) companies</w:t>
      </w:r>
      <w:r w:rsidR="00C56DF4">
        <w:rPr>
          <w:bCs/>
        </w:rPr>
        <w:t>.</w:t>
      </w:r>
      <w:r w:rsidR="00995DBD">
        <w:rPr>
          <w:rStyle w:val="FootnoteReference"/>
          <w:bCs/>
        </w:rPr>
        <w:footnoteReference w:id="119"/>
      </w:r>
      <w:r>
        <w:rPr>
          <w:bCs/>
        </w:rPr>
        <w:t xml:space="preserve"> </w:t>
      </w:r>
      <w:r w:rsidR="007A2022" w:rsidRPr="007A2022">
        <w:rPr>
          <w:bCs/>
        </w:rPr>
        <w:t xml:space="preserve">As an initial action in 2019, the IDA surveyed top 10 FDI companies regarding their perceptions of the main barriers and opportunities to increasing the potential of persons with disabilities to avail of employment opportunities. The next phase of this project will be to develop a pilot initiative in cooperation with other Government bodies and stakeholders aimed at enhancing the ability of job candidates. The NDA recognises the role of </w:t>
      </w:r>
      <w:r>
        <w:rPr>
          <w:bCs/>
        </w:rPr>
        <w:t xml:space="preserve">the </w:t>
      </w:r>
      <w:r w:rsidR="007A2022" w:rsidRPr="007A2022">
        <w:rPr>
          <w:bCs/>
        </w:rPr>
        <w:t>D</w:t>
      </w:r>
      <w:r>
        <w:rPr>
          <w:bCs/>
        </w:rPr>
        <w:t xml:space="preserve">epartment of </w:t>
      </w:r>
      <w:r w:rsidR="007A2022" w:rsidRPr="007A2022">
        <w:rPr>
          <w:bCs/>
        </w:rPr>
        <w:t>E</w:t>
      </w:r>
      <w:r>
        <w:rPr>
          <w:bCs/>
        </w:rPr>
        <w:t xml:space="preserve">mployment </w:t>
      </w:r>
      <w:r w:rsidR="007A2022" w:rsidRPr="007A2022">
        <w:rPr>
          <w:bCs/>
        </w:rPr>
        <w:t>A</w:t>
      </w:r>
      <w:r>
        <w:rPr>
          <w:bCs/>
        </w:rPr>
        <w:t xml:space="preserve">ffairs and </w:t>
      </w:r>
      <w:r w:rsidR="007A2022" w:rsidRPr="007A2022">
        <w:rPr>
          <w:bCs/>
        </w:rPr>
        <w:t>S</w:t>
      </w:r>
      <w:r>
        <w:rPr>
          <w:bCs/>
        </w:rPr>
        <w:t xml:space="preserve">ocial </w:t>
      </w:r>
      <w:r w:rsidR="007A2022" w:rsidRPr="007A2022">
        <w:rPr>
          <w:bCs/>
        </w:rPr>
        <w:t>P</w:t>
      </w:r>
      <w:r>
        <w:rPr>
          <w:bCs/>
        </w:rPr>
        <w:t>rotection</w:t>
      </w:r>
      <w:r w:rsidR="007A2022" w:rsidRPr="007A2022">
        <w:rPr>
          <w:bCs/>
        </w:rPr>
        <w:t xml:space="preserve"> and Department of Education and Skills in assist</w:t>
      </w:r>
      <w:r>
        <w:rPr>
          <w:bCs/>
        </w:rPr>
        <w:t>ing IDA with this action, and underlines that</w:t>
      </w:r>
      <w:r w:rsidR="007A2022" w:rsidRPr="007A2022">
        <w:rPr>
          <w:bCs/>
        </w:rPr>
        <w:t xml:space="preserve"> effective cross-departmental collaboration and coordination will be critical in the success of the initiative.</w:t>
      </w:r>
      <w:r>
        <w:rPr>
          <w:rStyle w:val="FootnoteReference"/>
          <w:bCs/>
        </w:rPr>
        <w:footnoteReference w:id="120"/>
      </w:r>
      <w:r w:rsidR="007A2022" w:rsidRPr="007A2022">
        <w:rPr>
          <w:bCs/>
        </w:rPr>
        <w:t xml:space="preserve"> </w:t>
      </w:r>
    </w:p>
    <w:p w14:paraId="6E280BA5" w14:textId="77777777" w:rsidR="00355BA4" w:rsidRDefault="00355BA4" w:rsidP="00355BA4">
      <w:pPr>
        <w:pStyle w:val="Heading1"/>
      </w:pPr>
      <w:bookmarkStart w:id="46" w:name="_Toc65581193"/>
      <w:r>
        <w:t>Vocational Rehabilitation</w:t>
      </w:r>
      <w:bookmarkEnd w:id="46"/>
    </w:p>
    <w:p w14:paraId="1153B121" w14:textId="77777777" w:rsidR="009F1ED9" w:rsidRDefault="00861CDB" w:rsidP="00BF410D">
      <w:r w:rsidRPr="002A508E">
        <w:t>Most disability is acquired during the life course rather than being present at birth</w:t>
      </w:r>
      <w:r>
        <w:t>.</w:t>
      </w:r>
      <w:r w:rsidRPr="002A508E">
        <w:t xml:space="preserve"> 70% of </w:t>
      </w:r>
      <w:r w:rsidR="00DA6E35">
        <w:t>persons</w:t>
      </w:r>
      <w:r w:rsidRPr="002A508E">
        <w:t xml:space="preserve"> who acquire a disability</w:t>
      </w:r>
      <w:r>
        <w:t xml:space="preserve"> in Ireland</w:t>
      </w:r>
      <w:r w:rsidRPr="002A508E">
        <w:t xml:space="preserve"> </w:t>
      </w:r>
      <w:r>
        <w:t>are</w:t>
      </w:r>
      <w:r w:rsidRPr="002A508E">
        <w:t xml:space="preserve"> of working age (18-64) when they do so.</w:t>
      </w:r>
      <w:r>
        <w:rPr>
          <w:rStyle w:val="FootnoteReference"/>
        </w:rPr>
        <w:footnoteReference w:id="121"/>
      </w:r>
      <w:r w:rsidRPr="002A508E">
        <w:t xml:space="preserve"> </w:t>
      </w:r>
      <w:r w:rsidR="009F1ED9">
        <w:t>At present, vocational</w:t>
      </w:r>
      <w:r w:rsidR="009F1ED9" w:rsidRPr="009F1ED9">
        <w:t xml:space="preserve"> rehabilitation and occupational rehabilitation </w:t>
      </w:r>
      <w:r w:rsidR="009F1ED9">
        <w:t>services</w:t>
      </w:r>
      <w:r w:rsidR="009F1ED9" w:rsidRPr="009F1ED9">
        <w:t xml:space="preserve"> </w:t>
      </w:r>
      <w:r w:rsidR="009F1ED9">
        <w:t xml:space="preserve">are </w:t>
      </w:r>
      <w:r w:rsidR="009F1ED9" w:rsidRPr="009F1ED9">
        <w:t>distributed between the Departments of Social Protection, Education &amp; Skills, and Health</w:t>
      </w:r>
      <w:r w:rsidR="009F1ED9">
        <w:t>.</w:t>
      </w:r>
      <w:r w:rsidR="009F1ED9">
        <w:rPr>
          <w:rStyle w:val="FootnoteReference"/>
        </w:rPr>
        <w:footnoteReference w:id="122"/>
      </w:r>
      <w:r w:rsidR="00EA3C88">
        <w:t xml:space="preserve"> </w:t>
      </w:r>
      <w:r w:rsidR="00B4341E">
        <w:t>S</w:t>
      </w:r>
      <w:r w:rsidR="00B4341E" w:rsidRPr="00B4341E">
        <w:t xml:space="preserve">ervices </w:t>
      </w:r>
      <w:r w:rsidR="00B4341E">
        <w:t>are available through</w:t>
      </w:r>
      <w:r w:rsidR="00B4341E" w:rsidRPr="00B4341E">
        <w:t xml:space="preserve"> HSE </w:t>
      </w:r>
      <w:r w:rsidR="00B4341E">
        <w:t>adult</w:t>
      </w:r>
      <w:r w:rsidR="00B4341E" w:rsidRPr="00B4341E">
        <w:t xml:space="preserve"> day centres, local employment and Intreo centres, the EmployAbility programme and the Specialist Training Programme of the Educat</w:t>
      </w:r>
      <w:r w:rsidR="00B4341E">
        <w:t>ion and Training Boards.</w:t>
      </w:r>
      <w:r w:rsidR="00B4341E">
        <w:rPr>
          <w:rStyle w:val="FootnoteReference"/>
        </w:rPr>
        <w:footnoteReference w:id="123"/>
      </w:r>
      <w:r w:rsidR="00B4341E">
        <w:t xml:space="preserve"> </w:t>
      </w:r>
      <w:r w:rsidR="00B4341E" w:rsidRPr="00B4341E">
        <w:t xml:space="preserve">A range of vocational rehabilitation services </w:t>
      </w:r>
      <w:r w:rsidR="00B4341E">
        <w:t>are also</w:t>
      </w:r>
      <w:r w:rsidR="00B4341E" w:rsidRPr="00B4341E">
        <w:t xml:space="preserve"> provided by some employers, through their own resources, and through private insurers</w:t>
      </w:r>
      <w:r w:rsidR="00B4341E">
        <w:t>.</w:t>
      </w:r>
    </w:p>
    <w:p w14:paraId="52BEFFF3" w14:textId="77777777" w:rsidR="00EA38A5" w:rsidRDefault="008D465B" w:rsidP="00BF410D">
      <w:r>
        <w:t xml:space="preserve">The NDA notes that </w:t>
      </w:r>
      <w:r w:rsidR="00DA6E35">
        <w:t>persons</w:t>
      </w:r>
      <w:r w:rsidR="00EA38A5">
        <w:t xml:space="preserve"> with disabilities and their representative organisations</w:t>
      </w:r>
      <w:r>
        <w:t xml:space="preserve"> have emphasised</w:t>
      </w:r>
      <w:r w:rsidR="00EA38A5">
        <w:t xml:space="preserve"> </w:t>
      </w:r>
      <w:r w:rsidR="00EA38A5" w:rsidRPr="00EA38A5">
        <w:t xml:space="preserve">that the area of supports for those who acquire a disability while in work needs further development. </w:t>
      </w:r>
      <w:r>
        <w:t>Their calls</w:t>
      </w:r>
      <w:r w:rsidR="00EA38A5" w:rsidRPr="00EA38A5">
        <w:t xml:space="preserve"> include a clear pathway for rehabilitation and re-entry to work, with supports provided as necessary</w:t>
      </w:r>
      <w:r>
        <w:t>, including</w:t>
      </w:r>
      <w:r w:rsidR="00EA38A5" w:rsidRPr="00EA38A5">
        <w:t xml:space="preserve"> provision of emotional support and/or counselling.</w:t>
      </w:r>
    </w:p>
    <w:p w14:paraId="046DF9A1" w14:textId="77777777" w:rsidR="00B46F02" w:rsidRDefault="00D90FDD" w:rsidP="00BF410D">
      <w:pPr>
        <w:rPr>
          <w:b/>
        </w:rPr>
      </w:pPr>
      <w:r>
        <w:t>In</w:t>
      </w:r>
      <w:r w:rsidR="00355BA4">
        <w:t xml:space="preserve"> its 2008 country report, </w:t>
      </w:r>
      <w:r>
        <w:t xml:space="preserve">the </w:t>
      </w:r>
      <w:r w:rsidR="003D02FF" w:rsidRPr="003D02FF">
        <w:t>Organisation for Economic Co-operation and Development</w:t>
      </w:r>
      <w:r>
        <w:t xml:space="preserve"> </w:t>
      </w:r>
      <w:r w:rsidR="00355BA4">
        <w:t xml:space="preserve">noted that </w:t>
      </w:r>
      <w:r w:rsidR="00B46F02" w:rsidRPr="00B46F02">
        <w:t>Ireland has a poorly developed</w:t>
      </w:r>
      <w:r w:rsidR="00B46F02">
        <w:t xml:space="preserve"> vocational rehabilitation </w:t>
      </w:r>
      <w:r w:rsidR="00B46F02" w:rsidRPr="00B46F02">
        <w:t>system</w:t>
      </w:r>
      <w:r w:rsidR="00B46F02">
        <w:t>.</w:t>
      </w:r>
      <w:r w:rsidR="0027431B">
        <w:rPr>
          <w:rStyle w:val="FootnoteReference"/>
        </w:rPr>
        <w:footnoteReference w:id="124"/>
      </w:r>
      <w:r w:rsidR="00577217">
        <w:t xml:space="preserve"> Research commissioned by the NDA on </w:t>
      </w:r>
      <w:r w:rsidR="00B46F02" w:rsidRPr="00B46F02">
        <w:rPr>
          <w:b/>
        </w:rPr>
        <w:t>International Good Practice in Vocational Rehabilitation: Lessons for Ireland</w:t>
      </w:r>
      <w:r w:rsidR="00577217">
        <w:t xml:space="preserve"> identified a number of gaps in Ireland’s vocational rehabilitation system</w:t>
      </w:r>
      <w:r w:rsidR="00577217" w:rsidRPr="00577217">
        <w:t>,</w:t>
      </w:r>
      <w:r w:rsidR="00577217">
        <w:rPr>
          <w:b/>
        </w:rPr>
        <w:t xml:space="preserve"> </w:t>
      </w:r>
      <w:r w:rsidR="00577217" w:rsidRPr="00577217">
        <w:t>including:</w:t>
      </w:r>
    </w:p>
    <w:p w14:paraId="0A0E3BA1" w14:textId="77777777" w:rsidR="00577217" w:rsidRDefault="00577217" w:rsidP="00577217">
      <w:pPr>
        <w:pStyle w:val="ListBullet"/>
      </w:pPr>
      <w:r w:rsidRPr="00577217">
        <w:t xml:space="preserve">People </w:t>
      </w:r>
      <w:r>
        <w:t xml:space="preserve">are </w:t>
      </w:r>
      <w:r w:rsidR="00B4341E">
        <w:t xml:space="preserve">required to be unemployed or </w:t>
      </w:r>
      <w:r w:rsidRPr="00577217">
        <w:t xml:space="preserve">inactive before they can avail of </w:t>
      </w:r>
      <w:r>
        <w:t>vocational rehabilitation</w:t>
      </w:r>
    </w:p>
    <w:p w14:paraId="5F12546C" w14:textId="77777777" w:rsidR="00577217" w:rsidRDefault="00B4341E" w:rsidP="00577217">
      <w:pPr>
        <w:pStyle w:val="ListBullet"/>
      </w:pPr>
      <w:r>
        <w:t>There is n</w:t>
      </w:r>
      <w:r w:rsidR="009F1ED9" w:rsidRPr="009F1ED9">
        <w:t>o systematic access to functional capacity evaluation, psychological supports or physical functional capacity building</w:t>
      </w:r>
    </w:p>
    <w:p w14:paraId="5D3D9145" w14:textId="77777777" w:rsidR="009F1ED9" w:rsidRDefault="00B4341E" w:rsidP="009F1ED9">
      <w:pPr>
        <w:pStyle w:val="ListBullet"/>
      </w:pPr>
      <w:r>
        <w:t>There is n</w:t>
      </w:r>
      <w:r w:rsidR="009F1ED9" w:rsidRPr="009F1ED9">
        <w:t>o systematic</w:t>
      </w:r>
      <w:r>
        <w:t>,</w:t>
      </w:r>
      <w:r w:rsidR="009F1ED9" w:rsidRPr="009F1ED9">
        <w:t xml:space="preserve"> </w:t>
      </w:r>
      <w:r w:rsidR="009F1ED9">
        <w:t>structured pathways to timely vocational rehabilitation</w:t>
      </w:r>
    </w:p>
    <w:p w14:paraId="1DFADC56" w14:textId="77777777" w:rsidR="009F1ED9" w:rsidRDefault="00B4341E" w:rsidP="009F1ED9">
      <w:pPr>
        <w:pStyle w:val="ListBullet"/>
      </w:pPr>
      <w:r>
        <w:t>There is n</w:t>
      </w:r>
      <w:r w:rsidR="009F1ED9" w:rsidRPr="009F1ED9">
        <w:t>o formal definition of or policy on vocational rehabilitation</w:t>
      </w:r>
    </w:p>
    <w:p w14:paraId="3BE381AB" w14:textId="77777777" w:rsidR="009F1ED9" w:rsidRPr="00577217" w:rsidRDefault="00B4341E" w:rsidP="009F1ED9">
      <w:pPr>
        <w:pStyle w:val="ListBullet"/>
      </w:pPr>
      <w:r>
        <w:t>There is n</w:t>
      </w:r>
      <w:r w:rsidR="009F1ED9" w:rsidRPr="009F1ED9">
        <w:t xml:space="preserve">o legal basis for current Irish </w:t>
      </w:r>
      <w:r w:rsidR="009F1ED9">
        <w:t>vocational rehabilitation</w:t>
      </w:r>
      <w:r w:rsidR="009F1ED9" w:rsidRPr="009F1ED9">
        <w:t xml:space="preserve"> activities</w:t>
      </w:r>
      <w:r w:rsidR="009F1ED9">
        <w:rPr>
          <w:rStyle w:val="FootnoteReference"/>
        </w:rPr>
        <w:footnoteReference w:id="125"/>
      </w:r>
    </w:p>
    <w:p w14:paraId="21F26054" w14:textId="77777777" w:rsidR="00355BA4" w:rsidRDefault="00355BA4" w:rsidP="00BF410D">
      <w:r>
        <w:t xml:space="preserve">The NDA </w:t>
      </w:r>
      <w:r w:rsidR="007A776A">
        <w:t>has developed</w:t>
      </w:r>
      <w:r w:rsidR="00D90FDD">
        <w:t xml:space="preserve"> policy advice </w:t>
      </w:r>
      <w:r w:rsidR="00D90FDD" w:rsidRPr="00D90FDD">
        <w:t>for a national programme o</w:t>
      </w:r>
      <w:r w:rsidR="00D90FDD">
        <w:t>f vocational rehabilitation</w:t>
      </w:r>
      <w:r w:rsidR="007A776A">
        <w:t>, and plans to</w:t>
      </w:r>
      <w:r w:rsidR="00675F47">
        <w:t xml:space="preserve"> w</w:t>
      </w:r>
      <w:r w:rsidR="00675F47" w:rsidRPr="00675F47">
        <w:t>ork with relevant departments to</w:t>
      </w:r>
      <w:r w:rsidR="001F02E8">
        <w:t xml:space="preserve"> consider how this advice could be adopted, including exploration of</w:t>
      </w:r>
      <w:r w:rsidR="00675F47" w:rsidRPr="00675F47">
        <w:t xml:space="preserve"> </w:t>
      </w:r>
      <w:r w:rsidR="00675F47">
        <w:t xml:space="preserve">a </w:t>
      </w:r>
      <w:r w:rsidR="00675F47" w:rsidRPr="00675F47">
        <w:t xml:space="preserve">pilot approach to implementation of </w:t>
      </w:r>
      <w:r w:rsidR="001F02E8">
        <w:t xml:space="preserve">such a </w:t>
      </w:r>
      <w:r w:rsidR="00675F47" w:rsidRPr="00675F47">
        <w:t>national programme</w:t>
      </w:r>
      <w:r w:rsidR="00675F47">
        <w:t>.</w:t>
      </w:r>
      <w:r w:rsidR="00675F47">
        <w:rPr>
          <w:rStyle w:val="FootnoteReference"/>
        </w:rPr>
        <w:footnoteReference w:id="126"/>
      </w:r>
    </w:p>
    <w:p w14:paraId="6A663CDF" w14:textId="77777777" w:rsidR="002776DC" w:rsidRDefault="002776DC" w:rsidP="002776DC">
      <w:r>
        <w:t>The Health and Safety Authority, the national statutory body responsible for enforcing occupational health and safety law, compiles an A</w:t>
      </w:r>
      <w:r w:rsidRPr="002606D1">
        <w:t>nnual Summary of Workplace Injury, Illness and Fatality Statistics in Ireland</w:t>
      </w:r>
      <w:r>
        <w:t>. In 2018,</w:t>
      </w:r>
      <w:r w:rsidRPr="008236AF">
        <w:t xml:space="preserve"> 9,199 non-fatal injuries to workers and non-workers were reported</w:t>
      </w:r>
      <w:r>
        <w:t xml:space="preserve"> to the Health and Safety Authority but it is unclear how many of these resulted in a person acquiring a disability.</w:t>
      </w:r>
      <w:r>
        <w:rPr>
          <w:rStyle w:val="FootnoteReference"/>
        </w:rPr>
        <w:footnoteReference w:id="127"/>
      </w:r>
      <w:r>
        <w:t xml:space="preserve"> The HSA </w:t>
      </w:r>
      <w:r w:rsidR="008D465B">
        <w:t xml:space="preserve">has </w:t>
      </w:r>
      <w:r>
        <w:t xml:space="preserve">developed a guide </w:t>
      </w:r>
      <w:r w:rsidRPr="002606D1">
        <w:t>to assist employers to provide a healthy and safe workplace for employees with disabilities.</w:t>
      </w:r>
      <w:r>
        <w:rPr>
          <w:rStyle w:val="FootnoteReference"/>
        </w:rPr>
        <w:footnoteReference w:id="128"/>
      </w:r>
    </w:p>
    <w:p w14:paraId="6F3A265A" w14:textId="77777777" w:rsidR="002776DC" w:rsidRPr="002606D1" w:rsidRDefault="002776DC" w:rsidP="002776DC">
      <w:r>
        <w:t>The NDA has developed guidance for private sector employers on “</w:t>
      </w:r>
      <w:r w:rsidRPr="002A508E">
        <w:rPr>
          <w:b/>
        </w:rPr>
        <w:t>Retaining employees who acquire a disability</w:t>
      </w:r>
      <w:r>
        <w:t>”.</w:t>
      </w:r>
      <w:r>
        <w:rPr>
          <w:rStyle w:val="FootnoteReference"/>
        </w:rPr>
        <w:footnoteReference w:id="129"/>
      </w:r>
      <w:r>
        <w:t xml:space="preserve"> The NDA also </w:t>
      </w:r>
      <w:r w:rsidR="00023111">
        <w:t>funded</w:t>
      </w:r>
      <w:r>
        <w:t xml:space="preserve"> r</w:t>
      </w:r>
      <w:r w:rsidRPr="002606D1">
        <w:t>esearch on factors associated with return to work after stroke</w:t>
      </w:r>
      <w:r>
        <w:t>, which</w:t>
      </w:r>
      <w:r w:rsidRPr="002606D1">
        <w:t xml:space="preserve"> was conducted by the</w:t>
      </w:r>
      <w:r w:rsidR="00F6072B">
        <w:t xml:space="preserve"> </w:t>
      </w:r>
      <w:r w:rsidRPr="002606D1">
        <w:t xml:space="preserve">Royal College of Surgeons in Ireland. </w:t>
      </w:r>
      <w:r>
        <w:t>The m</w:t>
      </w:r>
      <w:r w:rsidRPr="002606D1">
        <w:t>ain findings</w:t>
      </w:r>
      <w:r>
        <w:t xml:space="preserve"> of the research were as follows:</w:t>
      </w:r>
    </w:p>
    <w:p w14:paraId="24DE47C1" w14:textId="77777777" w:rsidR="002776DC" w:rsidRDefault="002776DC" w:rsidP="002776DC">
      <w:pPr>
        <w:pStyle w:val="ListBullet"/>
      </w:pPr>
      <w:r w:rsidRPr="002606D1">
        <w:t>The importance of a multidisciplinary approach to assist people who have experienced stroke return to work</w:t>
      </w:r>
    </w:p>
    <w:p w14:paraId="7E7370BB" w14:textId="77777777" w:rsidR="002776DC" w:rsidRDefault="002776DC" w:rsidP="002776DC">
      <w:pPr>
        <w:pStyle w:val="ListBullet"/>
      </w:pPr>
      <w:r w:rsidRPr="002606D1">
        <w:t>Communication between healthcare professionals and employers is essential</w:t>
      </w:r>
    </w:p>
    <w:p w14:paraId="2DB8A9ED" w14:textId="77777777" w:rsidR="002776DC" w:rsidRDefault="002776DC" w:rsidP="002776DC">
      <w:pPr>
        <w:pStyle w:val="ListBullet"/>
      </w:pPr>
      <w:r w:rsidRPr="002606D1">
        <w:t>Gradual phased return to work was found as important in facilitating successful transition back to work</w:t>
      </w:r>
    </w:p>
    <w:p w14:paraId="205BA378" w14:textId="77777777" w:rsidR="002776DC" w:rsidRDefault="002776DC" w:rsidP="00F90528">
      <w:pPr>
        <w:pStyle w:val="ListBullet"/>
        <w:spacing w:after="240"/>
        <w:ind w:left="357" w:hanging="357"/>
      </w:pPr>
      <w:r w:rsidRPr="002606D1">
        <w:t>The most common problems limiting ability to work were mental fatigue (84%), physical fatigue (78%) and difficulties thinking (78%)</w:t>
      </w:r>
      <w:r>
        <w:rPr>
          <w:rStyle w:val="FootnoteReference"/>
        </w:rPr>
        <w:footnoteReference w:id="130"/>
      </w:r>
    </w:p>
    <w:p w14:paraId="769AF92C" w14:textId="77777777" w:rsidR="007A2022" w:rsidRDefault="00861CDB" w:rsidP="007A2022">
      <w:pPr>
        <w:pStyle w:val="Heading1"/>
      </w:pPr>
      <w:bookmarkStart w:id="47" w:name="_Toc65581194"/>
      <w:r>
        <w:t xml:space="preserve">Vocational </w:t>
      </w:r>
      <w:r w:rsidR="009275B7">
        <w:t xml:space="preserve">&amp; Occupational </w:t>
      </w:r>
      <w:r w:rsidR="007A2022">
        <w:t>Skills</w:t>
      </w:r>
      <w:r w:rsidR="009275B7">
        <w:t>, Experience and Education</w:t>
      </w:r>
      <w:bookmarkEnd w:id="47"/>
    </w:p>
    <w:p w14:paraId="3256113C" w14:textId="77777777" w:rsidR="00FA3381" w:rsidRPr="00FA3381" w:rsidRDefault="005846D3" w:rsidP="00FA3381">
      <w:r>
        <w:t xml:space="preserve">In 2019, </w:t>
      </w:r>
      <w:r w:rsidR="00870A5C">
        <w:t>SOLAS</w:t>
      </w:r>
      <w:r w:rsidR="007A2022" w:rsidRPr="007A2022">
        <w:t xml:space="preserve"> published a report on the numbers of </w:t>
      </w:r>
      <w:r w:rsidR="00DA6E35">
        <w:t>persons</w:t>
      </w:r>
      <w:r w:rsidR="007A2022" w:rsidRPr="007A2022">
        <w:t xml:space="preserve"> with disabilities involved in further education and training (FET)</w:t>
      </w:r>
      <w:r w:rsidR="00FA3381">
        <w:t>.</w:t>
      </w:r>
      <w:r w:rsidR="00FA3381">
        <w:rPr>
          <w:rStyle w:val="FootnoteReference"/>
        </w:rPr>
        <w:footnoteReference w:id="131"/>
      </w:r>
      <w:r w:rsidR="00FA3381">
        <w:t xml:space="preserve"> Data collated by </w:t>
      </w:r>
      <w:r w:rsidR="00870A5C">
        <w:t>SOLAS</w:t>
      </w:r>
      <w:r w:rsidR="00FA3381">
        <w:t xml:space="preserve"> illustrate</w:t>
      </w:r>
      <w:r w:rsidR="007A2022" w:rsidRPr="007A2022">
        <w:t xml:space="preserve">s that early school leaving </w:t>
      </w:r>
      <w:r w:rsidR="00FA3381">
        <w:t>is</w:t>
      </w:r>
      <w:r w:rsidR="007A2022" w:rsidRPr="007A2022">
        <w:t xml:space="preserve"> an issue</w:t>
      </w:r>
      <w:r w:rsidR="00FA3381">
        <w:t xml:space="preserve"> for </w:t>
      </w:r>
      <w:r w:rsidR="00DA6E35">
        <w:t>persons</w:t>
      </w:r>
      <w:r w:rsidR="00FA3381">
        <w:t xml:space="preserve"> with disabilities</w:t>
      </w:r>
      <w:r w:rsidR="0016226F">
        <w:t xml:space="preserve"> engaged in further education and training.</w:t>
      </w:r>
      <w:r w:rsidR="007A2022" w:rsidRPr="007A2022">
        <w:t xml:space="preserve"> 2,329 learners with disabilities </w:t>
      </w:r>
      <w:r w:rsidR="0016226F">
        <w:t>indicated</w:t>
      </w:r>
      <w:r w:rsidR="007A2022" w:rsidRPr="007A2022">
        <w:t xml:space="preserve"> that their highest level of formal education is primary education or below, and for 2,178 </w:t>
      </w:r>
      <w:r w:rsidR="0016226F">
        <w:t xml:space="preserve">others, </w:t>
      </w:r>
      <w:r w:rsidR="007A2022" w:rsidRPr="007A2022">
        <w:t xml:space="preserve">their highest level of formal education is lower secondary. Approximately 55.3% </w:t>
      </w:r>
      <w:r w:rsidR="00FA3381">
        <w:t>of</w:t>
      </w:r>
      <w:r w:rsidR="007A2022" w:rsidRPr="007A2022">
        <w:t xml:space="preserve"> learners had lower secondary or a lower level education attained prior to joining further education and training. </w:t>
      </w:r>
      <w:r w:rsidR="00F6072B">
        <w:t>These data mirror</w:t>
      </w:r>
      <w:r w:rsidR="007A2022" w:rsidRPr="007A2022">
        <w:t xml:space="preserve"> the results of the survey of Disability Allowance recipients, conducted in 2015. </w:t>
      </w:r>
      <w:r w:rsidR="00F6072B">
        <w:t xml:space="preserve">It </w:t>
      </w:r>
      <w:r w:rsidR="00FA3381" w:rsidRPr="00FA3381">
        <w:t>found that:</w:t>
      </w:r>
    </w:p>
    <w:p w14:paraId="2ADFF534" w14:textId="77777777" w:rsidR="00FA3381" w:rsidRPr="00FA3381" w:rsidRDefault="00C67AD2" w:rsidP="00F90528">
      <w:pPr>
        <w:pStyle w:val="ListBullet"/>
      </w:pPr>
      <w:r w:rsidRPr="00C67AD2">
        <w:t>Only a minority</w:t>
      </w:r>
      <w:r w:rsidR="00FA3381" w:rsidRPr="00FA3381">
        <w:t xml:space="preserve"> reported educational attainment beyond junior secondary education (Junior/Inter/Group Certificate) or special school</w:t>
      </w:r>
    </w:p>
    <w:p w14:paraId="6CCE8D87" w14:textId="77777777" w:rsidR="00FA3381" w:rsidRPr="00FA3381" w:rsidRDefault="00FA3381" w:rsidP="00F90528">
      <w:pPr>
        <w:pStyle w:val="ListBullet"/>
      </w:pPr>
      <w:r w:rsidRPr="00FA3381">
        <w:t>67% of respondents stated that it was more than five years since they last took part in education or training</w:t>
      </w:r>
    </w:p>
    <w:p w14:paraId="4B185261" w14:textId="77777777" w:rsidR="00FA3381" w:rsidRPr="00FA3381" w:rsidRDefault="00FA3381" w:rsidP="00F90528">
      <w:pPr>
        <w:pStyle w:val="ListBullet"/>
      </w:pPr>
      <w:r w:rsidRPr="00FA3381">
        <w:t>31% stated that they had never worked, 56% stated they had previously worked (full-time or part-time), and 13% said they are currently working (part-time or full-time)</w:t>
      </w:r>
    </w:p>
    <w:p w14:paraId="7F1D2116" w14:textId="77777777" w:rsidR="00FA3381" w:rsidRPr="00FA3381" w:rsidRDefault="00FA3381" w:rsidP="00F90528">
      <w:pPr>
        <w:pStyle w:val="ListBullet"/>
      </w:pPr>
      <w:r w:rsidRPr="00FA3381">
        <w:t>75% mentioned their level of disability as a barrier to employment. This was cited twice as often as the next most mentioned barriers – fear of losing medical card (38%) or social welfare benefit entitlements (36%), and time spent managing health (34%)</w:t>
      </w:r>
    </w:p>
    <w:p w14:paraId="1B8B3EA2" w14:textId="77777777" w:rsidR="00FA3381" w:rsidRDefault="00FA3381" w:rsidP="00F90528">
      <w:pPr>
        <w:pStyle w:val="ListBullet"/>
      </w:pPr>
      <w:r w:rsidRPr="00FA3381">
        <w:t>35% would like to work part-time and 8% would like to work full-time</w:t>
      </w:r>
      <w:r w:rsidR="00B43A53">
        <w:rPr>
          <w:rStyle w:val="FootnoteReference"/>
        </w:rPr>
        <w:footnoteReference w:id="132"/>
      </w:r>
    </w:p>
    <w:p w14:paraId="47EE8738" w14:textId="77777777" w:rsidR="00767F45" w:rsidRPr="007A2022" w:rsidRDefault="00767F45" w:rsidP="00767F45">
      <w:r>
        <w:t>A 2017 ESRI report</w:t>
      </w:r>
      <w:r w:rsidRPr="00767F45">
        <w:t xml:space="preserve"> examined the employment transitions of </w:t>
      </w:r>
      <w:r w:rsidR="00DA6E35">
        <w:t>persons</w:t>
      </w:r>
      <w:r w:rsidRPr="00767F45">
        <w:t xml:space="preserve"> with a disability and found that among those of working age</w:t>
      </w:r>
      <w:r>
        <w:t>, 82%</w:t>
      </w:r>
      <w:r w:rsidRPr="00767F45">
        <w:t xml:space="preserve"> had worked at some stage in their life but that 35% had been without work for more than four years.</w:t>
      </w:r>
      <w:r>
        <w:rPr>
          <w:rStyle w:val="FootnoteReference"/>
        </w:rPr>
        <w:footnoteReference w:id="133"/>
      </w:r>
      <w:r w:rsidR="00BD147F" w:rsidRPr="00BD147F">
        <w:t xml:space="preserve"> Compared to other adults aged 20–59 years, </w:t>
      </w:r>
      <w:r w:rsidR="00DA6E35">
        <w:t>persons</w:t>
      </w:r>
      <w:r w:rsidR="00BD147F" w:rsidRPr="00BD147F">
        <w:t xml:space="preserve"> with disabilities tended to have lower levels of education; </w:t>
      </w:r>
      <w:r w:rsidR="00BD147F">
        <w:t xml:space="preserve">45% </w:t>
      </w:r>
      <w:r w:rsidR="00BD147F" w:rsidRPr="00BD147F">
        <w:t>had no more than the equivalent of Junior Certificate.</w:t>
      </w:r>
      <w:r w:rsidR="00BD147F">
        <w:rPr>
          <w:rStyle w:val="FootnoteReference"/>
        </w:rPr>
        <w:footnoteReference w:id="134"/>
      </w:r>
      <w:r w:rsidR="00BD147F">
        <w:t xml:space="preserve"> </w:t>
      </w:r>
    </w:p>
    <w:p w14:paraId="24C65C4B" w14:textId="77777777" w:rsidR="007A2022" w:rsidRDefault="00A141F1" w:rsidP="00BF410D">
      <w:r w:rsidRPr="00A141F1">
        <w:t>In 2019, the Irish Government E</w:t>
      </w:r>
      <w:r w:rsidR="005846D3">
        <w:t xml:space="preserve">conomic and Evaluation Service </w:t>
      </w:r>
      <w:r w:rsidRPr="00A141F1">
        <w:t xml:space="preserve">produced a paper examining the inactive working age population, entitled </w:t>
      </w:r>
      <w:r w:rsidRPr="00A141F1">
        <w:rPr>
          <w:b/>
        </w:rPr>
        <w:t>The Inactive Working Age Population: A Comparison of Co</w:t>
      </w:r>
      <w:r w:rsidR="00FA3381">
        <w:rPr>
          <w:b/>
        </w:rPr>
        <w:t>hort Links to the Labour Market</w:t>
      </w:r>
      <w:r w:rsidR="00FA3381">
        <w:t>.</w:t>
      </w:r>
      <w:r w:rsidR="00FA3381">
        <w:rPr>
          <w:rStyle w:val="FootnoteReference"/>
        </w:rPr>
        <w:footnoteReference w:id="135"/>
      </w:r>
      <w:r w:rsidR="00FA3381" w:rsidRPr="00A141F1">
        <w:t xml:space="preserve"> </w:t>
      </w:r>
      <w:r w:rsidRPr="00A141F1">
        <w:t xml:space="preserve">This study found that a high proportion of </w:t>
      </w:r>
      <w:r w:rsidR="00DA6E35">
        <w:t>persons</w:t>
      </w:r>
      <w:r w:rsidRPr="00A141F1">
        <w:t xml:space="preserve"> with a disability who are inactive have previous work experience (75%), although for about half of them (52%) the work experience was from over ten years ago. This means that a third of </w:t>
      </w:r>
      <w:r w:rsidR="00DA6E35">
        <w:t>persons</w:t>
      </w:r>
      <w:r w:rsidRPr="00A141F1">
        <w:t xml:space="preserve"> with a disability who are counted as inactive have been employed in the last ten years (48% of 75%). The disabled inactive population had relatively lower levels of education (52% lower primary/secondary) and predominantly worked in occupations which are likely to require a physical aspect to the work (55% in skilled trade, operatives and elementary). </w:t>
      </w:r>
    </w:p>
    <w:p w14:paraId="68CF60C4" w14:textId="77777777" w:rsidR="00D953B9" w:rsidRDefault="0016226F" w:rsidP="009A46A9">
      <w:r>
        <w:t xml:space="preserve">The </w:t>
      </w:r>
      <w:r w:rsidR="009A46A9">
        <w:t xml:space="preserve">NDA </w:t>
      </w:r>
      <w:r>
        <w:t>has commissioned the</w:t>
      </w:r>
      <w:r w:rsidR="009A46A9">
        <w:t xml:space="preserve"> ESRI </w:t>
      </w:r>
      <w:r>
        <w:t xml:space="preserve">to conduct </w:t>
      </w:r>
      <w:r w:rsidR="00D953B9" w:rsidRPr="00D953B9">
        <w:t>an analysis of the skills and abilities of persons with disabilities in an employment context</w:t>
      </w:r>
      <w:r w:rsidR="003A15CF">
        <w:t xml:space="preserve"> by reference to the</w:t>
      </w:r>
      <w:r w:rsidR="00D953B9" w:rsidRPr="00D953B9">
        <w:t xml:space="preserve"> specific areas of skills need or gaps in the labour market, as expressed by employers.</w:t>
      </w:r>
    </w:p>
    <w:p w14:paraId="76C02FE4" w14:textId="77777777" w:rsidR="00DD5B2D" w:rsidRDefault="00DD5B2D" w:rsidP="00DD5B2D">
      <w:pPr>
        <w:pStyle w:val="Heading2"/>
      </w:pPr>
      <w:bookmarkStart w:id="48" w:name="_Toc65581195"/>
      <w:r>
        <w:t>Transition Year Work Experience</w:t>
      </w:r>
      <w:bookmarkEnd w:id="48"/>
    </w:p>
    <w:p w14:paraId="45FA4539" w14:textId="4FEC519A" w:rsidR="00DD5B2D" w:rsidRPr="00DD5B2D" w:rsidRDefault="00DD5B2D" w:rsidP="00DD5B2D">
      <w:r w:rsidRPr="00C85678">
        <w:t xml:space="preserve">NDA notes </w:t>
      </w:r>
      <w:r>
        <w:t>that exposure</w:t>
      </w:r>
      <w:r w:rsidRPr="00C85678">
        <w:t xml:space="preserve"> to work experience can lead to paid employment and if paid employed is achieved during school years</w:t>
      </w:r>
      <w:r w:rsidR="00023111">
        <w:t>,</w:t>
      </w:r>
      <w:r w:rsidRPr="00C85678">
        <w:t xml:space="preserve"> the chances of future employment also increase.</w:t>
      </w:r>
      <w:r w:rsidR="0049589C">
        <w:rPr>
          <w:rStyle w:val="FootnoteReference"/>
        </w:rPr>
        <w:footnoteReference w:id="136"/>
      </w:r>
      <w:r w:rsidRPr="00C85678">
        <w:t xml:space="preserve"> For many students, work experience or placements achieved during Transition Year are a va</w:t>
      </w:r>
      <w:r>
        <w:t>luable step in this process. However, the</w:t>
      </w:r>
      <w:r w:rsidRPr="00C85678">
        <w:t xml:space="preserve"> NDA notes that many students with disabilities either cannot access Transition Year, </w:t>
      </w:r>
      <w:r>
        <w:t xml:space="preserve">particularly those in special schools where such programmes are not available, </w:t>
      </w:r>
      <w:r w:rsidRPr="00C85678">
        <w:t xml:space="preserve">or cannot access the work-placement modules of same. </w:t>
      </w:r>
      <w:r>
        <w:t xml:space="preserve">The NDA has recommended that </w:t>
      </w:r>
      <w:r w:rsidRPr="00C85678">
        <w:t>information on the numbers of students with disabilities accessing Transition Year and any associated work-experience</w:t>
      </w:r>
      <w:r>
        <w:t xml:space="preserve"> be collated, and that this</w:t>
      </w:r>
      <w:r w:rsidRPr="00C85678">
        <w:t xml:space="preserve"> data </w:t>
      </w:r>
      <w:r>
        <w:t>be utilised to</w:t>
      </w:r>
      <w:r w:rsidRPr="00C85678">
        <w:t xml:space="preserve"> highlig</w:t>
      </w:r>
      <w:r w:rsidR="005846D3">
        <w:t>ht any gaps, and provide a base</w:t>
      </w:r>
      <w:r w:rsidRPr="00C85678">
        <w:t>line for further actions to be developed.</w:t>
      </w:r>
      <w:r>
        <w:rPr>
          <w:rStyle w:val="FootnoteReference"/>
        </w:rPr>
        <w:footnoteReference w:id="137"/>
      </w:r>
    </w:p>
    <w:p w14:paraId="2D3E7E3D" w14:textId="77777777" w:rsidR="0047741D" w:rsidRDefault="00B50DB7" w:rsidP="00E970D6">
      <w:pPr>
        <w:pStyle w:val="Heading1"/>
      </w:pPr>
      <w:bookmarkStart w:id="49" w:name="_Toc65581196"/>
      <w:r>
        <w:t xml:space="preserve">Employment </w:t>
      </w:r>
      <w:r w:rsidR="0047741D">
        <w:t xml:space="preserve">Transitions </w:t>
      </w:r>
      <w:r w:rsidR="00893D24">
        <w:t>&amp; Career Advancements</w:t>
      </w:r>
      <w:bookmarkEnd w:id="49"/>
    </w:p>
    <w:p w14:paraId="517DBE87" w14:textId="77777777" w:rsidR="00477601" w:rsidRPr="00477601" w:rsidRDefault="00477601" w:rsidP="00477601">
      <w:r>
        <w:t>Concerns have been expressed</w:t>
      </w:r>
      <w:r w:rsidRPr="00477601">
        <w:t xml:space="preserve"> that persons with disabilities can fall into the trap of undergoing ‘education and training’ for lengthy periods of time, and certainly to a greater extent that their non-disabled counterparts</w:t>
      </w:r>
      <w:r w:rsidR="001F02E8">
        <w:t>, but without converting the training into employment</w:t>
      </w:r>
      <w:r w:rsidRPr="00477601">
        <w:t xml:space="preserve">. </w:t>
      </w:r>
      <w:r w:rsidR="00DA6E35">
        <w:t>Persons</w:t>
      </w:r>
      <w:r>
        <w:t xml:space="preserve"> with disabilities and their representative organisations have raised concerns regarding</w:t>
      </w:r>
      <w:r w:rsidRPr="00477601">
        <w:t xml:space="preserve"> challenges in managing the transitions between training or work-experience and genuine employment, </w:t>
      </w:r>
      <w:r>
        <w:t>with some feeling that this</w:t>
      </w:r>
      <w:r w:rsidR="00C0412D">
        <w:t xml:space="preserve"> i</w:t>
      </w:r>
      <w:r w:rsidRPr="00477601">
        <w:t>s due to societal attitudes, whereby persons with disabili</w:t>
      </w:r>
      <w:r w:rsidR="00C0412D">
        <w:t>ties a</w:t>
      </w:r>
      <w:r w:rsidRPr="00477601">
        <w:t>re viewed against a ‘charitable’ rather than a rights-based model.</w:t>
      </w:r>
    </w:p>
    <w:p w14:paraId="60032F1C" w14:textId="77777777" w:rsidR="00893D24" w:rsidRPr="00893D24" w:rsidRDefault="00893D24" w:rsidP="00893D24">
      <w:pPr>
        <w:pStyle w:val="Heading2"/>
      </w:pPr>
      <w:bookmarkStart w:id="50" w:name="_Toc65581197"/>
      <w:r>
        <w:t>Employment Transitions</w:t>
      </w:r>
      <w:bookmarkEnd w:id="50"/>
    </w:p>
    <w:p w14:paraId="75333EDA" w14:textId="77777777" w:rsidR="00C85678" w:rsidRDefault="00BD147F" w:rsidP="002238B2">
      <w:r>
        <w:t xml:space="preserve">Research undertaken by the ESRI found that </w:t>
      </w:r>
      <w:r w:rsidR="00DA6E35">
        <w:t>persons</w:t>
      </w:r>
      <w:r w:rsidRPr="00BD147F">
        <w:t xml:space="preserve"> with disabilities had a lower rate of employment entry between one calendar quarter and the next, when compared to those without a disability.</w:t>
      </w:r>
      <w:r w:rsidR="00407BD8">
        <w:rPr>
          <w:rStyle w:val="FootnoteReference"/>
        </w:rPr>
        <w:footnoteReference w:id="138"/>
      </w:r>
      <w:r w:rsidRPr="00BD147F">
        <w:t xml:space="preserve"> Expressed as a percentage of those not in employment in</w:t>
      </w:r>
      <w:r>
        <w:t xml:space="preserve"> the initial quarter, 2% </w:t>
      </w:r>
      <w:r w:rsidRPr="00BD147F">
        <w:t xml:space="preserve">of </w:t>
      </w:r>
      <w:r w:rsidR="00DA6E35">
        <w:t>persons</w:t>
      </w:r>
      <w:r w:rsidR="00DA6E35" w:rsidRPr="008D7B00">
        <w:t xml:space="preserve"> </w:t>
      </w:r>
      <w:r w:rsidRPr="00BD147F">
        <w:t xml:space="preserve">with disabilities entered employment between one quarter and the next in the </w:t>
      </w:r>
      <w:r>
        <w:t xml:space="preserve">2013–2015 period, compared to 8% </w:t>
      </w:r>
      <w:r w:rsidRPr="00BD147F">
        <w:t xml:space="preserve">of their counterparts without a disability. The employment exit rate, expressed as a percentage of those at work in the initial quarter, was higher for </w:t>
      </w:r>
      <w:r w:rsidR="00DA6E35">
        <w:t>persons</w:t>
      </w:r>
      <w:r w:rsidRPr="00BD147F">
        <w:t xml:space="preserve"> with disabilities in the early reco</w:t>
      </w:r>
      <w:r>
        <w:t xml:space="preserve">very period from 2013 to 2015 (5%), compared to 2% </w:t>
      </w:r>
      <w:r w:rsidRPr="00BD147F">
        <w:t>among those without a disability.</w:t>
      </w:r>
    </w:p>
    <w:p w14:paraId="49FF30CC" w14:textId="77777777" w:rsidR="00C3162F" w:rsidRDefault="00C3162F" w:rsidP="002238B2">
      <w:r>
        <w:t>The research found that</w:t>
      </w:r>
      <w:r w:rsidRPr="00C3162F">
        <w:t xml:space="preserve"> having a disability – even if an individual does not report any difficulty – was found to reduce th</w:t>
      </w:r>
      <w:r>
        <w:t>e odds of moving into work by 30%</w:t>
      </w:r>
      <w:r w:rsidRPr="00C3162F">
        <w:t xml:space="preserve">. The </w:t>
      </w:r>
      <w:r>
        <w:t>likelihood</w:t>
      </w:r>
      <w:r w:rsidRPr="00C3162F">
        <w:t xml:space="preserve"> of entering employment </w:t>
      </w:r>
      <w:r w:rsidR="005846D3">
        <w:t>is</w:t>
      </w:r>
      <w:r w:rsidRPr="00C3162F">
        <w:t xml:space="preserve"> particularly low for those with</w:t>
      </w:r>
      <w:r w:rsidR="000A63F5">
        <w:t xml:space="preserve"> an</w:t>
      </w:r>
      <w:r w:rsidRPr="00C3162F">
        <w:t xml:space="preserve"> intellectual disability: even controlling for level of difficulty, the odds are only about one-third of those of someone without a disability.</w:t>
      </w:r>
    </w:p>
    <w:p w14:paraId="5DFFE8D6" w14:textId="77777777" w:rsidR="00C3162F" w:rsidRDefault="00DA6E35" w:rsidP="002238B2">
      <w:r>
        <w:t>Persons</w:t>
      </w:r>
      <w:r w:rsidR="00C3162F" w:rsidRPr="00C3162F">
        <w:t xml:space="preserve"> with disabilities were found to be less likely to be in professional/</w:t>
      </w:r>
      <w:r w:rsidR="00C3162F">
        <w:t xml:space="preserve"> </w:t>
      </w:r>
      <w:r w:rsidR="00C3162F" w:rsidRPr="00C3162F">
        <w:t>managerial occupations and were more likely to be working part-time. Even when control</w:t>
      </w:r>
      <w:r w:rsidR="005846D3">
        <w:t>ling</w:t>
      </w:r>
      <w:r w:rsidR="00C3162F" w:rsidRPr="00C3162F">
        <w:t xml:space="preserve"> for individual and job characteristics, </w:t>
      </w:r>
      <w:r>
        <w:t>persons</w:t>
      </w:r>
      <w:r w:rsidR="00C3162F" w:rsidRPr="00C3162F">
        <w:t xml:space="preserve"> with disabilities </w:t>
      </w:r>
      <w:r w:rsidR="00C3162F">
        <w:t>were</w:t>
      </w:r>
      <w:r w:rsidR="00C3162F" w:rsidRPr="00C3162F">
        <w:t xml:space="preserve"> almost twice </w:t>
      </w:r>
      <w:r w:rsidR="00C3162F">
        <w:t>as likely to exit</w:t>
      </w:r>
      <w:r w:rsidR="00C3162F" w:rsidRPr="00C3162F">
        <w:t xml:space="preserve"> employment between calendar quarters.</w:t>
      </w:r>
      <w:r w:rsidR="00C3162F">
        <w:t xml:space="preserve"> </w:t>
      </w:r>
      <w:r w:rsidR="00C3162F" w:rsidRPr="00C3162F">
        <w:t>Taking account of other factors, including the severity of the disability, the chances of leaving a job were found to be higher among those with deafness/</w:t>
      </w:r>
      <w:r w:rsidR="00C3162F">
        <w:t xml:space="preserve"> </w:t>
      </w:r>
      <w:r w:rsidR="00C3162F" w:rsidRPr="00C3162F">
        <w:t>hearing impairment, learning disability and psychological/ emotional disability.</w:t>
      </w:r>
    </w:p>
    <w:p w14:paraId="3D9434B5" w14:textId="77777777" w:rsidR="00C85678" w:rsidRDefault="00B43A53" w:rsidP="002238B2">
      <w:r>
        <w:t>In 2019, t</w:t>
      </w:r>
      <w:r w:rsidR="00C85678" w:rsidRPr="00C85678">
        <w:t xml:space="preserve">he NCSE and HSE </w:t>
      </w:r>
      <w:r>
        <w:t>commenced work</w:t>
      </w:r>
      <w:r w:rsidR="00C85678" w:rsidRPr="00C85678">
        <w:t xml:space="preserve"> to consider transition arrangements between HSE funded services and education, and vice versa. </w:t>
      </w:r>
      <w:r>
        <w:t xml:space="preserve">The NDA </w:t>
      </w:r>
      <w:r w:rsidR="00C85678" w:rsidRPr="00C85678">
        <w:t>note</w:t>
      </w:r>
      <w:r>
        <w:t>s</w:t>
      </w:r>
      <w:r w:rsidR="00C85678" w:rsidRPr="00C85678">
        <w:t xml:space="preserve"> the importance of the planned expansion of this work to incorporate wider transition arrangements, e.g. between secondary school and higher/further education and/or employment.</w:t>
      </w:r>
      <w:r w:rsidR="008977DB">
        <w:rPr>
          <w:rStyle w:val="FootnoteReference"/>
        </w:rPr>
        <w:footnoteReference w:id="139"/>
      </w:r>
      <w:r w:rsidR="00C85678" w:rsidRPr="00C85678">
        <w:t xml:space="preserve"> The agreed aim from this collaborative action is to pilot a transition programme in 2020 and to monitor over a two year period. </w:t>
      </w:r>
    </w:p>
    <w:p w14:paraId="79B6CADC" w14:textId="77777777" w:rsidR="00E970D6" w:rsidRDefault="00E970D6" w:rsidP="00E970D6">
      <w:pPr>
        <w:pStyle w:val="Heading2"/>
      </w:pPr>
      <w:bookmarkStart w:id="51" w:name="_Toc65581198"/>
      <w:r>
        <w:t>Career Guidance</w:t>
      </w:r>
      <w:bookmarkEnd w:id="51"/>
    </w:p>
    <w:p w14:paraId="74914238" w14:textId="77777777" w:rsidR="00E970D6" w:rsidRDefault="00E970D6" w:rsidP="00E970D6">
      <w:r>
        <w:t>All special schools in Ireland are designated as primary schools. As guidance counselling services are only available in post-primary schools, children attending a special school do not have access to career guidance counsellors for the duration of their education. The NDA has underlined that c</w:t>
      </w:r>
      <w:r w:rsidRPr="006804E2">
        <w:t>areer guidance should be for all students</w:t>
      </w:r>
      <w:r>
        <w:t>,</w:t>
      </w:r>
      <w:r w:rsidRPr="006804E2">
        <w:t xml:space="preserve"> including those in special education provision</w:t>
      </w:r>
      <w:r>
        <w:t>, and</w:t>
      </w:r>
      <w:r w:rsidR="005846D3">
        <w:t xml:space="preserve"> has</w:t>
      </w:r>
      <w:r>
        <w:t xml:space="preserve"> called for the introduction of </w:t>
      </w:r>
      <w:r w:rsidRPr="006804E2">
        <w:t>an effective model of career guidance for special education schools</w:t>
      </w:r>
      <w:r>
        <w:t>.</w:t>
      </w:r>
      <w:r>
        <w:rPr>
          <w:rStyle w:val="FootnoteReference"/>
        </w:rPr>
        <w:footnoteReference w:id="140"/>
      </w:r>
      <w:r>
        <w:t xml:space="preserve"> More generally, the NDA has stated that c</w:t>
      </w:r>
      <w:r w:rsidRPr="006804E2">
        <w:t>areer guidance for learners with disabilities should be delivered in an individually focused</w:t>
      </w:r>
      <w:r w:rsidR="005846D3">
        <w:t>, person-</w:t>
      </w:r>
      <w:r w:rsidRPr="006804E2">
        <w:t>centred way across the learner pathway.</w:t>
      </w:r>
    </w:p>
    <w:p w14:paraId="03A6588E" w14:textId="77777777" w:rsidR="00E970D6" w:rsidRDefault="00E970D6" w:rsidP="00E970D6">
      <w:r>
        <w:t>In 2018, t</w:t>
      </w:r>
      <w:r w:rsidRPr="003A7436">
        <w:t>he Department of Education and Skills commissioned Indecon International Consultants to carry out a review of career guidance tools and information provision at post-primary level up to further and higher education.</w:t>
      </w:r>
      <w:r w:rsidR="00251A21">
        <w:rPr>
          <w:rStyle w:val="FootnoteReference"/>
        </w:rPr>
        <w:footnoteReference w:id="141"/>
      </w:r>
      <w:r w:rsidRPr="003A7436">
        <w:t> </w:t>
      </w:r>
      <w:r>
        <w:t xml:space="preserve">The Indecon review noted that guidance counsellors are not allocated to special schools and suggested that </w:t>
      </w:r>
      <w:r w:rsidRPr="003A7436">
        <w:t>there is merit in policy providing enhanced provision for career guidance training for teachers in special needs schools, and also in enhancing the access of such schools to wider career guidance supports.</w:t>
      </w:r>
    </w:p>
    <w:p w14:paraId="1F9FFCF4" w14:textId="77777777" w:rsidR="00E970D6" w:rsidRDefault="00F05D40" w:rsidP="00E970D6">
      <w:r>
        <w:t>The</w:t>
      </w:r>
      <w:r w:rsidR="00E970D6" w:rsidRPr="007A2022">
        <w:t xml:space="preserve"> NDA </w:t>
      </w:r>
      <w:r>
        <w:t>has advised that</w:t>
      </w:r>
      <w:r w:rsidR="00E970D6" w:rsidRPr="007A2022">
        <w:t xml:space="preserve"> </w:t>
      </w:r>
      <w:r w:rsidR="00251A21">
        <w:t>Indecon’s</w:t>
      </w:r>
      <w:r w:rsidR="00E970D6" w:rsidRPr="007A2022">
        <w:t xml:space="preserve"> review offers limited new evidence regarding the provision of guidance counsellors allocated to special schools or mainstream school, </w:t>
      </w:r>
      <w:r w:rsidR="00251A21">
        <w:t>and contained</w:t>
      </w:r>
      <w:r w:rsidR="00E970D6" w:rsidRPr="007A2022">
        <w:t xml:space="preserve"> little with regard to the provision of guidance for </w:t>
      </w:r>
      <w:r w:rsidR="00DA6E35">
        <w:t>persons</w:t>
      </w:r>
      <w:r w:rsidR="00E970D6" w:rsidRPr="007A2022">
        <w:t xml:space="preserve"> with disabi</w:t>
      </w:r>
      <w:r w:rsidR="00251A21">
        <w:t>lities returning to education.</w:t>
      </w:r>
      <w:r w:rsidR="00EB0129">
        <w:rPr>
          <w:rStyle w:val="FootnoteReference"/>
        </w:rPr>
        <w:footnoteReference w:id="142"/>
      </w:r>
      <w:r w:rsidR="00251A21">
        <w:t xml:space="preserve"> The </w:t>
      </w:r>
      <w:r w:rsidR="00E970D6" w:rsidRPr="007A2022">
        <w:t xml:space="preserve">NDA </w:t>
      </w:r>
      <w:r w:rsidR="00251A21">
        <w:t xml:space="preserve">further </w:t>
      </w:r>
      <w:r w:rsidR="00F932FF">
        <w:t>noted</w:t>
      </w:r>
      <w:r w:rsidR="00251A21">
        <w:t xml:space="preserve"> that</w:t>
      </w:r>
      <w:r w:rsidR="00E970D6" w:rsidRPr="007A2022">
        <w:t xml:space="preserve"> the independent review did not address previous commitments to deliver career guidance training and provision outlined in the 2015 – 2018 C</w:t>
      </w:r>
      <w:r w:rsidR="005846D3">
        <w:t xml:space="preserve">omprehensive </w:t>
      </w:r>
      <w:r w:rsidR="00E970D6" w:rsidRPr="007A2022">
        <w:t>E</w:t>
      </w:r>
      <w:r w:rsidR="005846D3">
        <w:t xml:space="preserve">mployment </w:t>
      </w:r>
      <w:r w:rsidR="00E970D6" w:rsidRPr="007A2022">
        <w:t>S</w:t>
      </w:r>
      <w:r w:rsidR="005846D3">
        <w:t>trategy for People with Disabilities</w:t>
      </w:r>
      <w:r w:rsidR="00E970D6" w:rsidRPr="007A2022">
        <w:t xml:space="preserve"> action plan</w:t>
      </w:r>
      <w:r w:rsidR="00251A21">
        <w:t>.</w:t>
      </w:r>
      <w:r w:rsidR="00251A21">
        <w:rPr>
          <w:rStyle w:val="FootnoteReference"/>
        </w:rPr>
        <w:footnoteReference w:id="143"/>
      </w:r>
    </w:p>
    <w:p w14:paraId="57B7ED6A" w14:textId="77777777" w:rsidR="00E970D6" w:rsidRDefault="00E970D6" w:rsidP="00E970D6">
      <w:r>
        <w:t xml:space="preserve">The </w:t>
      </w:r>
      <w:r w:rsidRPr="00023111">
        <w:rPr>
          <w:b/>
        </w:rPr>
        <w:t>Mid-Term Review of the N</w:t>
      </w:r>
      <w:r w:rsidR="003D64AD" w:rsidRPr="00023111">
        <w:rPr>
          <w:b/>
        </w:rPr>
        <w:t xml:space="preserve">ational </w:t>
      </w:r>
      <w:r w:rsidRPr="00023111">
        <w:rPr>
          <w:b/>
        </w:rPr>
        <w:t>D</w:t>
      </w:r>
      <w:r w:rsidR="003D64AD" w:rsidRPr="00023111">
        <w:rPr>
          <w:b/>
        </w:rPr>
        <w:t xml:space="preserve">isability </w:t>
      </w:r>
      <w:r w:rsidRPr="00023111">
        <w:rPr>
          <w:b/>
        </w:rPr>
        <w:t>I</w:t>
      </w:r>
      <w:r w:rsidR="003D64AD" w:rsidRPr="00023111">
        <w:rPr>
          <w:b/>
        </w:rPr>
        <w:t xml:space="preserve">nclusion </w:t>
      </w:r>
      <w:r w:rsidRPr="00023111">
        <w:rPr>
          <w:b/>
        </w:rPr>
        <w:t>S</w:t>
      </w:r>
      <w:r w:rsidR="003D64AD" w:rsidRPr="00023111">
        <w:rPr>
          <w:b/>
        </w:rPr>
        <w:t>trategy</w:t>
      </w:r>
      <w:r>
        <w:t xml:space="preserve"> commits the Department of Education and Skills to implementing </w:t>
      </w:r>
      <w:r w:rsidRPr="00E455C0">
        <w:t>relevant recommendations arising out of the</w:t>
      </w:r>
      <w:r>
        <w:t xml:space="preserve"> Review of Career Guidance provi</w:t>
      </w:r>
      <w:r w:rsidRPr="00E455C0">
        <w:t>sion as they relate to learners</w:t>
      </w:r>
      <w:r>
        <w:t xml:space="preserve"> with special educational needs</w:t>
      </w:r>
      <w:r w:rsidRPr="00E455C0">
        <w:t xml:space="preserve">, progression and participation in further education and </w:t>
      </w:r>
      <w:r>
        <w:t>training and higher education.</w:t>
      </w:r>
      <w:r w:rsidR="00EB77CC">
        <w:rPr>
          <w:rStyle w:val="FootnoteReference"/>
        </w:rPr>
        <w:footnoteReference w:id="144"/>
      </w:r>
      <w:r>
        <w:t xml:space="preserve"> To this end, the Department of Education and Skills will e</w:t>
      </w:r>
      <w:r w:rsidRPr="00E455C0">
        <w:t>stablish a Working Group to determine how to implement the recommendations relevant to learners with a disability in</w:t>
      </w:r>
      <w:r>
        <w:t xml:space="preserve"> schools and special schools. </w:t>
      </w:r>
      <w:r w:rsidRPr="00BC4F20">
        <w:t xml:space="preserve">The Mid-Term Review of the NDIS </w:t>
      </w:r>
      <w:r>
        <w:t xml:space="preserve">also </w:t>
      </w:r>
      <w:r w:rsidRPr="00BC4F20">
        <w:t>commits the</w:t>
      </w:r>
      <w:r>
        <w:t xml:space="preserve"> NDA to exploring</w:t>
      </w:r>
      <w:r w:rsidRPr="002705B0">
        <w:t xml:space="preserve"> learning from other jurisdictions on effective career guidance models for students with disabilities</w:t>
      </w:r>
      <w:r>
        <w:t>.</w:t>
      </w:r>
      <w:r w:rsidR="00EB77CC">
        <w:rPr>
          <w:rStyle w:val="FootnoteReference"/>
        </w:rPr>
        <w:footnoteReference w:id="145"/>
      </w:r>
    </w:p>
    <w:p w14:paraId="461BCE01" w14:textId="77777777" w:rsidR="00E970D6" w:rsidRDefault="00E970D6" w:rsidP="00E970D6">
      <w:pPr>
        <w:pStyle w:val="Heading2"/>
      </w:pPr>
      <w:bookmarkStart w:id="52" w:name="_Toc65581199"/>
      <w:r>
        <w:t>Occupational Guidance</w:t>
      </w:r>
      <w:bookmarkEnd w:id="52"/>
    </w:p>
    <w:p w14:paraId="33BAD5AE" w14:textId="77777777" w:rsidR="00E970D6" w:rsidRDefault="00E970D6" w:rsidP="002238B2">
      <w:r w:rsidRPr="002F46C4">
        <w:t xml:space="preserve">The HSE Occupational Guidance Service provides one-to-one advice, support and guidance to enable </w:t>
      </w:r>
      <w:r w:rsidR="00DA6E35">
        <w:t>persons</w:t>
      </w:r>
      <w:r w:rsidRPr="002F46C4">
        <w:t xml:space="preserve"> with a disability to make informed choice</w:t>
      </w:r>
      <w:r>
        <w:t>s on training and occupational</w:t>
      </w:r>
      <w:r w:rsidRPr="002F46C4">
        <w:t xml:space="preserve"> options.</w:t>
      </w:r>
      <w:r>
        <w:rPr>
          <w:rStyle w:val="FootnoteReference"/>
        </w:rPr>
        <w:footnoteReference w:id="146"/>
      </w:r>
      <w:r w:rsidRPr="002F46C4">
        <w:t xml:space="preserve"> This service, structured differently in individual HSE areas, is accessible throug</w:t>
      </w:r>
      <w:r>
        <w:t>h local HSE disability services</w:t>
      </w:r>
      <w:r w:rsidRPr="005F0E23">
        <w:t>.</w:t>
      </w:r>
      <w:r w:rsidR="00D801A4">
        <w:t xml:space="preserve"> The NDA is aware that c</w:t>
      </w:r>
      <w:r>
        <w:t xml:space="preserve">oncerns </w:t>
      </w:r>
      <w:r w:rsidR="00D801A4">
        <w:t xml:space="preserve">exist amongst some stakeholders </w:t>
      </w:r>
      <w:r>
        <w:t>about l</w:t>
      </w:r>
      <w:r w:rsidRPr="005F0E23">
        <w:t>ack of awareness of the HSE Occupational Guidance service amongst some schools</w:t>
      </w:r>
      <w:r>
        <w:t xml:space="preserve"> and the l</w:t>
      </w:r>
      <w:r w:rsidRPr="005F0E23">
        <w:t>ack of</w:t>
      </w:r>
      <w:r>
        <w:t xml:space="preserve"> availability of</w:t>
      </w:r>
      <w:r w:rsidRPr="005F0E23">
        <w:t xml:space="preserve"> HSE Occupational Guidance services in some parts of the country</w:t>
      </w:r>
      <w:r>
        <w:t>.</w:t>
      </w:r>
    </w:p>
    <w:p w14:paraId="21A43B78" w14:textId="77777777" w:rsidR="00893D24" w:rsidRDefault="00893D24" w:rsidP="00893D24">
      <w:pPr>
        <w:pStyle w:val="Heading2"/>
      </w:pPr>
      <w:bookmarkStart w:id="53" w:name="_Toc65581200"/>
      <w:r>
        <w:t>Career Advancement</w:t>
      </w:r>
      <w:bookmarkEnd w:id="53"/>
    </w:p>
    <w:p w14:paraId="348A3A78" w14:textId="77777777" w:rsidR="00477601" w:rsidRPr="00477601" w:rsidRDefault="00477601" w:rsidP="00477601">
      <w:r>
        <w:t>The NDA is aware of concerns that</w:t>
      </w:r>
      <w:r w:rsidRPr="00477601">
        <w:t xml:space="preserve"> </w:t>
      </w:r>
      <w:r w:rsidR="00DA6E35">
        <w:t>persons</w:t>
      </w:r>
      <w:r w:rsidRPr="00477601">
        <w:t xml:space="preserve"> with disabilities – and particularly those with intellectual disabilities – can miss out on career progression, as there can be a feeling that they should be grateful to have a job, and little attention is paid to on-going training and development. </w:t>
      </w:r>
      <w:r w:rsidR="00927969">
        <w:t xml:space="preserve">Some </w:t>
      </w:r>
      <w:r w:rsidR="00D801A4">
        <w:t>stakeholders</w:t>
      </w:r>
      <w:r w:rsidR="00927969">
        <w:t xml:space="preserve"> have stated that</w:t>
      </w:r>
      <w:r w:rsidRPr="00477601">
        <w:t xml:space="preserve"> the availability of a peer mentor can be beneficial as a way of encouraging individuals with disabilities to consider promotional or development opportunities, and to raise their own expectations in this regard.</w:t>
      </w:r>
    </w:p>
    <w:p w14:paraId="35F1D933" w14:textId="77777777" w:rsidR="00893D24" w:rsidRDefault="00B8349E" w:rsidP="002238B2">
      <w:r>
        <w:t xml:space="preserve">An analysis of Part 5 reports carried out as part </w:t>
      </w:r>
      <w:r w:rsidR="00936769">
        <w:t xml:space="preserve">of </w:t>
      </w:r>
      <w:r w:rsidR="001B4D9D">
        <w:t>r</w:t>
      </w:r>
      <w:r w:rsidR="00893D24">
        <w:t xml:space="preserve">esearch </w:t>
      </w:r>
      <w:r w:rsidR="00936769">
        <w:t xml:space="preserve">on good practices in the employment of persons with disabilities in the public sector </w:t>
      </w:r>
      <w:r w:rsidR="00893D24" w:rsidRPr="00893D24">
        <w:t>did not yield any evidence that public bodies used job mobility/career progression policies to support employees with a disability.</w:t>
      </w:r>
      <w:r w:rsidR="001B4D9D">
        <w:rPr>
          <w:rStyle w:val="FootnoteReference"/>
        </w:rPr>
        <w:footnoteReference w:id="147"/>
      </w:r>
      <w:r w:rsidR="00893D24" w:rsidRPr="00893D24">
        <w:t xml:space="preserve"> Public bodies appeared to be unaware of models of good practice in this area. A small number of interviewees and focus group participants referred to examples of their organisations supporting employ</w:t>
      </w:r>
      <w:r w:rsidR="005B6465">
        <w:t>ees to progress their careers, while survey r</w:t>
      </w:r>
      <w:r w:rsidR="00893D24" w:rsidRPr="00893D24">
        <w:t>espondents did not provide evidence on any specific career development process in their organisations, other than training.</w:t>
      </w:r>
    </w:p>
    <w:p w14:paraId="1A263792" w14:textId="77777777" w:rsidR="00D40DA6" w:rsidRPr="00B617F4" w:rsidRDefault="00D40DA6" w:rsidP="00D40DA6">
      <w:pPr>
        <w:pStyle w:val="Heading1"/>
      </w:pPr>
      <w:bookmarkStart w:id="54" w:name="_Toc65581201"/>
      <w:r>
        <w:t>Apprenticeships</w:t>
      </w:r>
      <w:bookmarkEnd w:id="54"/>
    </w:p>
    <w:p w14:paraId="472E9ECD" w14:textId="77777777" w:rsidR="00D40DA6" w:rsidRPr="00444B89" w:rsidRDefault="00D40DA6" w:rsidP="00D40DA6">
      <w:pPr>
        <w:rPr>
          <w:b/>
        </w:rPr>
      </w:pPr>
      <w:r w:rsidRPr="00444B89">
        <w:t xml:space="preserve">The </w:t>
      </w:r>
      <w:r w:rsidRPr="00693FD7">
        <w:rPr>
          <w:b/>
        </w:rPr>
        <w:t>2016-2020 Action Plan for Apprenticeship and Traineeship</w:t>
      </w:r>
      <w:r w:rsidRPr="00444B89">
        <w:t xml:space="preserve"> included a commitment to review pathways to participation in apprenticeship in Ireland.</w:t>
      </w:r>
      <w:r>
        <w:rPr>
          <w:rStyle w:val="FootnoteReference"/>
        </w:rPr>
        <w:footnoteReference w:id="148"/>
      </w:r>
      <w:r w:rsidRPr="00444B89">
        <w:t> In November 2018, SOLAS</w:t>
      </w:r>
      <w:r>
        <w:t xml:space="preserve">, </w:t>
      </w:r>
      <w:r w:rsidR="000A63F5">
        <w:t xml:space="preserve">the </w:t>
      </w:r>
      <w:r w:rsidRPr="00444B89">
        <w:rPr>
          <w:bCs/>
        </w:rPr>
        <w:t>Further Education</w:t>
      </w:r>
      <w:r w:rsidR="000A63F5">
        <w:t xml:space="preserve"> </w:t>
      </w:r>
      <w:r w:rsidRPr="00444B89">
        <w:t>and Training Authority</w:t>
      </w:r>
      <w:r>
        <w:t>,</w:t>
      </w:r>
      <w:r w:rsidRPr="00444B89">
        <w:t xml:space="preserve"> published a </w:t>
      </w:r>
      <w:r w:rsidRPr="00444B89">
        <w:rPr>
          <w:b/>
        </w:rPr>
        <w:t>Review of pathways to participation in apprenticeship</w:t>
      </w:r>
      <w:r w:rsidRPr="00444B89">
        <w:t>.</w:t>
      </w:r>
      <w:r>
        <w:rPr>
          <w:rStyle w:val="FootnoteReference"/>
        </w:rPr>
        <w:footnoteReference w:id="149"/>
      </w:r>
      <w:r w:rsidRPr="00444B89">
        <w:t xml:space="preserve"> </w:t>
      </w:r>
    </w:p>
    <w:p w14:paraId="628EF23E" w14:textId="77777777" w:rsidR="00D40DA6" w:rsidRDefault="00D40DA6" w:rsidP="00D40DA6">
      <w:r>
        <w:t xml:space="preserve">The Review found that </w:t>
      </w:r>
      <w:r w:rsidR="00DA6E35">
        <w:t>persons</w:t>
      </w:r>
      <w:r>
        <w:t xml:space="preserve"> with disabilities are underrepresented in apprenticeships. In 2018, 423 apprentices, out of a population of 14,953 apprentices, disclosed that they had one or more disabilities.</w:t>
      </w:r>
      <w:r>
        <w:rPr>
          <w:rStyle w:val="FootnoteReference"/>
        </w:rPr>
        <w:footnoteReference w:id="150"/>
      </w:r>
      <w:r>
        <w:t xml:space="preserve"> This equates to 2.8% of the full cohort of apprentices across all SOLAS programmes.</w:t>
      </w:r>
      <w:r w:rsidRPr="00CF29D1">
        <w:t xml:space="preserve"> A majority of these, 273 apprentices, or 64.5% of the total, identified themselve</w:t>
      </w:r>
      <w:r w:rsidR="000A63F5">
        <w:t xml:space="preserve">s as having dyslexia. A further </w:t>
      </w:r>
      <w:r w:rsidRPr="00CF29D1">
        <w:t>10% identified other disabilities related to learning, while 28% did not specify what disability they had. Physical, hearing or visual disabilities were very much in the minority</w:t>
      </w:r>
      <w:r>
        <w:t>.</w:t>
      </w:r>
    </w:p>
    <w:p w14:paraId="20F01136" w14:textId="77777777" w:rsidR="00D40DA6" w:rsidRDefault="00D40DA6" w:rsidP="00D40DA6">
      <w:r>
        <w:t xml:space="preserve">In terms of </w:t>
      </w:r>
      <w:r w:rsidRPr="00CF29D1">
        <w:t>the distribution of apprentices who declared a disability across sectors: the largest numbers</w:t>
      </w:r>
      <w:r>
        <w:t xml:space="preserve"> were</w:t>
      </w:r>
      <w:r w:rsidRPr="00CF29D1">
        <w:t xml:space="preserve"> on programmes in the electrical and construction sectors,</w:t>
      </w:r>
      <w:r>
        <w:t xml:space="preserve"> with</w:t>
      </w:r>
      <w:r w:rsidRPr="00CF29D1">
        <w:t xml:space="preserve"> 97 and 96 apprentices respectively. This is closely followed by 88 apprentices on motor-related apprenticeships. 61 engineering apprentices declared a disability, with five in the hospitality sector, three in f</w:t>
      </w:r>
      <w:r>
        <w:t>inancial services, two in both a</w:t>
      </w:r>
      <w:r w:rsidRPr="00CF29D1">
        <w:t>uc</w:t>
      </w:r>
      <w:r>
        <w:t>tioneering and ICT, and one in l</w:t>
      </w:r>
      <w:r w:rsidRPr="00CF29D1">
        <w:t>ogistics</w:t>
      </w:r>
      <w:r>
        <w:t>.</w:t>
      </w:r>
      <w:r>
        <w:rPr>
          <w:rStyle w:val="FootnoteReference"/>
        </w:rPr>
        <w:footnoteReference w:id="151"/>
      </w:r>
    </w:p>
    <w:p w14:paraId="34D1128B" w14:textId="77777777" w:rsidR="00D40DA6" w:rsidRDefault="00D40DA6" w:rsidP="00D40DA6">
      <w:r>
        <w:t>Participants</w:t>
      </w:r>
      <w:r w:rsidRPr="0057405A">
        <w:t xml:space="preserve"> in the review </w:t>
      </w:r>
      <w:r>
        <w:t xml:space="preserve">suggested that there is considerable non-disclosure of disabilities among apprentices, due to the possible negative consequences of doing so. It was suggested that non-disclosure </w:t>
      </w:r>
      <w:r w:rsidRPr="0057405A">
        <w:t>may explain the low numbers of apprentices declaring a disability and that the figures may be masking a higher number of apprentices who have decided that</w:t>
      </w:r>
      <w:r>
        <w:t>,</w:t>
      </w:r>
      <w:r w:rsidRPr="0057405A">
        <w:t xml:space="preserve"> notwithstanding the struggles they may have in successfully completing their training, it is safer for their careers and immediate training prospects not to disclose a disability</w:t>
      </w:r>
      <w:r>
        <w:t>.</w:t>
      </w:r>
      <w:r>
        <w:rPr>
          <w:rStyle w:val="FootnoteReference"/>
        </w:rPr>
        <w:footnoteReference w:id="152"/>
      </w:r>
    </w:p>
    <w:p w14:paraId="53C134BD" w14:textId="77777777" w:rsidR="00D40DA6" w:rsidRDefault="00D40DA6" w:rsidP="00D40DA6">
      <w:r>
        <w:t xml:space="preserve">One of the challenges identified to the inclusion of </w:t>
      </w:r>
      <w:r w:rsidR="00DA6E35">
        <w:t>persons</w:t>
      </w:r>
      <w:r>
        <w:t xml:space="preserve"> with a disability in apprenticeships is t</w:t>
      </w:r>
      <w:r w:rsidRPr="0057405A">
        <w:t xml:space="preserve">he significant manual element to many apprenticeships, particularly in the construction, electrical, motor and engineering areas </w:t>
      </w:r>
      <w:r>
        <w:t>and the</w:t>
      </w:r>
      <w:r w:rsidRPr="0057405A">
        <w:t xml:space="preserve"> practical barrier</w:t>
      </w:r>
      <w:r>
        <w:t>s</w:t>
      </w:r>
      <w:r w:rsidRPr="0057405A">
        <w:t xml:space="preserve"> to accommodating apprentices who might for example have mobility issues, or have a visual or hearing impairment.</w:t>
      </w:r>
      <w:r>
        <w:rPr>
          <w:rStyle w:val="FootnoteReference"/>
        </w:rPr>
        <w:footnoteReference w:id="153"/>
      </w:r>
    </w:p>
    <w:p w14:paraId="3611131F" w14:textId="77777777" w:rsidR="00D40DA6" w:rsidRDefault="00D40DA6" w:rsidP="00D40DA6">
      <w:r w:rsidRPr="001C799F">
        <w:t xml:space="preserve">The </w:t>
      </w:r>
      <w:r>
        <w:t>Review</w:t>
      </w:r>
      <w:r w:rsidRPr="001C799F">
        <w:t xml:space="preserve"> identifies five areas of action, one of which is to increase participation in apprenticeship by diverse groups. </w:t>
      </w:r>
      <w:r>
        <w:t>There are a number of recommendations designed to increase the number of apprentices with disability including:</w:t>
      </w:r>
    </w:p>
    <w:p w14:paraId="48176BA5" w14:textId="77777777" w:rsidR="00D40DA6" w:rsidRDefault="00D40DA6" w:rsidP="00D40DA6">
      <w:pPr>
        <w:pStyle w:val="ListBullet"/>
      </w:pPr>
      <w:r w:rsidRPr="001C799F">
        <w:t>Set</w:t>
      </w:r>
      <w:r>
        <w:t>ting</w:t>
      </w:r>
      <w:r w:rsidRPr="001C799F">
        <w:t xml:space="preserve"> a baseline for disability and socio-economic targets in 2019, with targets for 2020 and thereafter</w:t>
      </w:r>
    </w:p>
    <w:p w14:paraId="45897B8C" w14:textId="77777777" w:rsidR="00D40DA6" w:rsidRDefault="00D40DA6" w:rsidP="00D40DA6">
      <w:pPr>
        <w:pStyle w:val="ListBullet"/>
      </w:pPr>
      <w:r>
        <w:t>Incorporating</w:t>
      </w:r>
      <w:r w:rsidRPr="001C799F">
        <w:t xml:space="preserve"> the national Census questions on disability and ethnicity into apprentice registration as a means of gathering more robust data on participation</w:t>
      </w:r>
    </w:p>
    <w:p w14:paraId="46558532" w14:textId="77777777" w:rsidR="00D40DA6" w:rsidRDefault="00D40DA6" w:rsidP="00D40DA6">
      <w:pPr>
        <w:pStyle w:val="ListBullet"/>
      </w:pPr>
      <w:r>
        <w:t>Increasing</w:t>
      </w:r>
      <w:r w:rsidRPr="001C799F">
        <w:t xml:space="preserve"> practical supports for apprentices from under-represented groups, working with training providers, consortia and employer representative groups</w:t>
      </w:r>
    </w:p>
    <w:p w14:paraId="59E3B91D" w14:textId="77777777" w:rsidR="00D40DA6" w:rsidRPr="001C799F" w:rsidRDefault="00D40DA6" w:rsidP="00D40DA6">
      <w:pPr>
        <w:pStyle w:val="ListBullet"/>
      </w:pPr>
      <w:r>
        <w:t>Examining</w:t>
      </w:r>
      <w:r w:rsidRPr="001C799F">
        <w:t xml:space="preserve"> options to extend the bursary scheme</w:t>
      </w:r>
      <w:r>
        <w:t xml:space="preserve"> (originally intended to</w:t>
      </w:r>
      <w:r w:rsidRPr="003D02FF">
        <w:rPr>
          <w:rFonts w:ascii="Lato" w:hAnsi="Lato"/>
          <w:b/>
          <w:bCs/>
          <w:color w:val="434343"/>
          <w:sz w:val="21"/>
          <w:szCs w:val="21"/>
          <w:shd w:val="clear" w:color="auto" w:fill="FFFFFF"/>
        </w:rPr>
        <w:t xml:space="preserve"> </w:t>
      </w:r>
      <w:r w:rsidRPr="003D02FF">
        <w:rPr>
          <w:bCs/>
        </w:rPr>
        <w:t>encourage specific sectors to employ female apprentices)</w:t>
      </w:r>
      <w:r w:rsidRPr="001C799F">
        <w:t xml:space="preserve"> to include </w:t>
      </w:r>
      <w:r w:rsidR="00DA6E35">
        <w:t>persons</w:t>
      </w:r>
      <w:r w:rsidRPr="001C799F">
        <w:t xml:space="preserve"> with disabilities</w:t>
      </w:r>
      <w:r>
        <w:rPr>
          <w:rStyle w:val="FootnoteReference"/>
        </w:rPr>
        <w:footnoteReference w:id="154"/>
      </w:r>
    </w:p>
    <w:p w14:paraId="1041613C" w14:textId="77777777" w:rsidR="00D40DA6" w:rsidRDefault="00D40DA6" w:rsidP="002238B2">
      <w:r>
        <w:t xml:space="preserve">The Comprehensive Employment Strategy Phase Two Action Plan states that SOLAS will </w:t>
      </w:r>
      <w:r w:rsidRPr="007E7E13">
        <w:t>support Educ</w:t>
      </w:r>
      <w:r>
        <w:t>ation and Training Boards</w:t>
      </w:r>
      <w:r w:rsidRPr="007E7E13">
        <w:t xml:space="preserve"> in reviewing traineeship provision to ensure its accessibility to </w:t>
      </w:r>
      <w:r w:rsidR="00DA6E35">
        <w:t>persons</w:t>
      </w:r>
      <w:r w:rsidRPr="007E7E13">
        <w:t xml:space="preserve"> with disabilities.</w:t>
      </w:r>
      <w:r>
        <w:rPr>
          <w:rStyle w:val="FootnoteReference"/>
        </w:rPr>
        <w:footnoteReference w:id="155"/>
      </w:r>
    </w:p>
    <w:p w14:paraId="373BEA27" w14:textId="77777777" w:rsidR="00EB6C1C" w:rsidRDefault="005459F9" w:rsidP="00EB6C1C">
      <w:pPr>
        <w:pStyle w:val="Heading1"/>
      </w:pPr>
      <w:bookmarkStart w:id="55" w:name="_Toc65581202"/>
      <w:r w:rsidRPr="005459F9">
        <w:t>Intersectional Barriers and Challenges of Persons with Disabilities</w:t>
      </w:r>
      <w:bookmarkEnd w:id="55"/>
    </w:p>
    <w:p w14:paraId="1092AC38" w14:textId="77777777" w:rsidR="00EB6C1C" w:rsidRDefault="00EB6C1C" w:rsidP="00EB6C1C">
      <w:pPr>
        <w:pStyle w:val="Heading2"/>
      </w:pPr>
      <w:bookmarkStart w:id="56" w:name="_Toc65581203"/>
      <w:r>
        <w:t>Ethnic and Racial Minorities</w:t>
      </w:r>
      <w:bookmarkEnd w:id="56"/>
    </w:p>
    <w:p w14:paraId="65E58FD9" w14:textId="77777777" w:rsidR="00EB6C1C" w:rsidRDefault="00EB6C1C" w:rsidP="00EB6C1C">
      <w:r>
        <w:t xml:space="preserve">A 2004 study, commissioned by the former Equality Authority, and entitled </w:t>
      </w:r>
      <w:r w:rsidRPr="00BF410D">
        <w:rPr>
          <w:b/>
        </w:rPr>
        <w:t>Minority Ethnic People with Disabilities in Ireland</w:t>
      </w:r>
      <w:r>
        <w:t xml:space="preserve">, explored </w:t>
      </w:r>
      <w:r w:rsidRPr="00BF410D">
        <w:t xml:space="preserve">the situation, identity and experiences of black and minority ethnic </w:t>
      </w:r>
      <w:r w:rsidR="00DA6E35">
        <w:t>persons</w:t>
      </w:r>
      <w:r>
        <w:t xml:space="preserve"> with disabilities in Ireland.</w:t>
      </w:r>
      <w:r>
        <w:rPr>
          <w:rStyle w:val="FootnoteReference"/>
        </w:rPr>
        <w:footnoteReference w:id="156"/>
      </w:r>
      <w:r>
        <w:t xml:space="preserve"> The report identified a number of barriers facing m</w:t>
      </w:r>
      <w:r w:rsidRPr="00BF410D">
        <w:t xml:space="preserve">inority ethnic </w:t>
      </w:r>
      <w:r w:rsidR="00DA6E35">
        <w:t>persons</w:t>
      </w:r>
      <w:r w:rsidRPr="00BF410D">
        <w:t xml:space="preserve"> with disabilities in seeking to participate in the labour market and access employment.</w:t>
      </w:r>
      <w:r>
        <w:t xml:space="preserve"> These</w:t>
      </w:r>
      <w:r w:rsidRPr="00BF410D">
        <w:t xml:space="preserve"> include</w:t>
      </w:r>
      <w:r>
        <w:t>d</w:t>
      </w:r>
      <w:r w:rsidRPr="00BF410D">
        <w:t xml:space="preserve"> the low expectations of </w:t>
      </w:r>
      <w:r w:rsidR="00DA6E35">
        <w:t>persons</w:t>
      </w:r>
      <w:r w:rsidRPr="00BF410D">
        <w:t xml:space="preserve"> with disabilities held by minori</w:t>
      </w:r>
      <w:r>
        <w:t>ty ethnic communities and by</w:t>
      </w:r>
      <w:r w:rsidRPr="00BF410D">
        <w:t xml:space="preserve"> wider society, as well as physical barriers to accessing education and employment. For minority ethnic </w:t>
      </w:r>
      <w:r w:rsidR="00DA6E35">
        <w:t>persons</w:t>
      </w:r>
      <w:r w:rsidRPr="00BF410D">
        <w:t xml:space="preserve"> with disabilities, additional barriers </w:t>
      </w:r>
      <w:r>
        <w:t>included</w:t>
      </w:r>
      <w:r w:rsidRPr="00BF410D">
        <w:t xml:space="preserve"> language barriers and exclusion from social networks. </w:t>
      </w:r>
    </w:p>
    <w:p w14:paraId="32CC57D1" w14:textId="77777777" w:rsidR="00EB6C1C" w:rsidRDefault="00EB6C1C" w:rsidP="00EB6C1C">
      <w:r>
        <w:t>Research undertaken by the ESRI, based on f</w:t>
      </w:r>
      <w:r w:rsidRPr="00E4081C">
        <w:t xml:space="preserve">igures from </w:t>
      </w:r>
      <w:r>
        <w:t xml:space="preserve">the 2011 </w:t>
      </w:r>
      <w:r w:rsidRPr="00E4081C">
        <w:t>Census</w:t>
      </w:r>
      <w:r>
        <w:t>,</w:t>
      </w:r>
      <w:r w:rsidRPr="00E4081C">
        <w:t xml:space="preserve"> show that </w:t>
      </w:r>
      <w:r>
        <w:t xml:space="preserve">9% </w:t>
      </w:r>
      <w:r w:rsidRPr="00E4081C">
        <w:t>of all Travellers over 15 years were unable to work due to permanent sicknes</w:t>
      </w:r>
      <w:r>
        <w:t>s or disability,</w:t>
      </w:r>
      <w:r w:rsidRPr="00E4081C">
        <w:t xml:space="preserve"> more than double that of the general population (4</w:t>
      </w:r>
      <w:r w:rsidR="001E4D9B">
        <w:t>%</w:t>
      </w:r>
      <w:r w:rsidRPr="00E4081C">
        <w:t>)</w:t>
      </w:r>
      <w:r>
        <w:t>.</w:t>
      </w:r>
      <w:r>
        <w:rPr>
          <w:rStyle w:val="FootnoteReference"/>
        </w:rPr>
        <w:footnoteReference w:id="157"/>
      </w:r>
      <w:r w:rsidR="003B02C4">
        <w:t xml:space="preserve"> In addition, 12% of Travellers </w:t>
      </w:r>
      <w:r w:rsidR="003B02C4" w:rsidRPr="003B02C4">
        <w:t>aged 25–64 years and living in private households</w:t>
      </w:r>
      <w:r w:rsidR="003B02C4">
        <w:t xml:space="preserve"> we</w:t>
      </w:r>
      <w:r w:rsidR="003B02C4" w:rsidRPr="003B02C4">
        <w:t>re unable to work due to illne</w:t>
      </w:r>
      <w:r w:rsidR="003B02C4">
        <w:t xml:space="preserve">ss or disability, compared to 5% </w:t>
      </w:r>
      <w:r w:rsidR="003B02C4" w:rsidRPr="003B02C4">
        <w:t>of non-Travellers</w:t>
      </w:r>
      <w:r w:rsidR="003B02C4">
        <w:t>.</w:t>
      </w:r>
      <w:r w:rsidR="003B02C4">
        <w:rPr>
          <w:rStyle w:val="FootnoteReference"/>
        </w:rPr>
        <w:footnoteReference w:id="158"/>
      </w:r>
    </w:p>
    <w:p w14:paraId="6451BA8D" w14:textId="77777777" w:rsidR="00D032C8" w:rsidRDefault="00D032C8" w:rsidP="00D032C8">
      <w:pPr>
        <w:pStyle w:val="Heading2"/>
      </w:pPr>
      <w:bookmarkStart w:id="57" w:name="_Toc65581204"/>
      <w:r>
        <w:t>Women with Disabilities</w:t>
      </w:r>
      <w:bookmarkEnd w:id="57"/>
    </w:p>
    <w:p w14:paraId="2E6E93F5" w14:textId="77777777" w:rsidR="00D032C8" w:rsidRDefault="00D032C8" w:rsidP="00D032C8">
      <w:r>
        <w:t xml:space="preserve">According to the National Women’s Council of Ireland (NWCI), </w:t>
      </w:r>
      <w:r w:rsidRPr="00D032C8">
        <w:t>women</w:t>
      </w:r>
      <w:r w:rsidR="00023111">
        <w:t xml:space="preserve"> with disabilities</w:t>
      </w:r>
      <w:r w:rsidRPr="00D032C8">
        <w:t xml:space="preserve"> often face particular obstacles when trying to navigate their way</w:t>
      </w:r>
      <w:r>
        <w:t xml:space="preserve"> through the world of paid work b</w:t>
      </w:r>
      <w:r w:rsidRPr="00D032C8">
        <w:t>ecause of b</w:t>
      </w:r>
      <w:r>
        <w:t>oth their gender and disability. The NWCI have stated that t</w:t>
      </w:r>
      <w:r w:rsidRPr="00D032C8">
        <w:t>he disadvantaged position of women in society in general, including segregation into specific sectors, and concentration in low-paid, part-time jobs, is doubly reflected in the labour market experiences of disabled women.</w:t>
      </w:r>
      <w:r>
        <w:rPr>
          <w:rStyle w:val="FootnoteReference"/>
        </w:rPr>
        <w:footnoteReference w:id="159"/>
      </w:r>
      <w:r w:rsidRPr="00D032C8">
        <w:t xml:space="preserve"> </w:t>
      </w:r>
    </w:p>
    <w:p w14:paraId="632EE496" w14:textId="77777777" w:rsidR="00D032C8" w:rsidRDefault="00D032C8" w:rsidP="00D032C8">
      <w:r>
        <w:t>Some of the issues identified by the NWCI</w:t>
      </w:r>
      <w:r w:rsidR="00996DBA">
        <w:t xml:space="preserve"> in the employment context</w:t>
      </w:r>
      <w:r>
        <w:t xml:space="preserve"> include l</w:t>
      </w:r>
      <w:r w:rsidRPr="00D032C8">
        <w:t>ack of adequate supports for women’s central role in cari</w:t>
      </w:r>
      <w:r>
        <w:t>ng and family responsibilities; l</w:t>
      </w:r>
      <w:r w:rsidRPr="00D032C8">
        <w:t>ack of suitable childcare f</w:t>
      </w:r>
      <w:r>
        <w:t>or mothers of disabled children; a</w:t>
      </w:r>
      <w:r w:rsidRPr="00D032C8">
        <w:t>ssumptions that disabled women are being taken care of by someone else and therefo</w:t>
      </w:r>
      <w:r>
        <w:t>re don’t really need to work; l</w:t>
      </w:r>
      <w:r w:rsidRPr="00D032C8">
        <w:t>ack of acceptance that women with disabilities hav</w:t>
      </w:r>
      <w:r>
        <w:t>e a right to access paid work</w:t>
      </w:r>
      <w:r w:rsidR="003D64AD">
        <w:t xml:space="preserve"> and</w:t>
      </w:r>
      <w:r>
        <w:t>; t</w:t>
      </w:r>
      <w:r w:rsidRPr="00D032C8">
        <w:t>raditional gender-based expectations of suitable work for disabled women</w:t>
      </w:r>
      <w:r>
        <w:t>.</w:t>
      </w:r>
    </w:p>
    <w:p w14:paraId="19042C61" w14:textId="66011717" w:rsidR="002238B2" w:rsidRDefault="00996DBA" w:rsidP="00DE622D">
      <w:r>
        <w:t>However, p</w:t>
      </w:r>
      <w:r w:rsidRPr="00996DBA">
        <w:t xml:space="preserve">revious research demonstrates that disability and gender can interact in a way that results in unexpected </w:t>
      </w:r>
      <w:r>
        <w:t>outcome</w:t>
      </w:r>
      <w:r w:rsidRPr="00996DBA">
        <w:t xml:space="preserve">. </w:t>
      </w:r>
      <w:r w:rsidR="00032DA3">
        <w:t xml:space="preserve">While </w:t>
      </w:r>
      <w:r>
        <w:t xml:space="preserve">it may be logical to assume that </w:t>
      </w:r>
      <w:r w:rsidRPr="00996DBA">
        <w:t xml:space="preserve">if women and </w:t>
      </w:r>
      <w:r w:rsidR="00DA6E35">
        <w:t>persons</w:t>
      </w:r>
      <w:r w:rsidRPr="00996DBA">
        <w:t xml:space="preserve"> with a disability are disadvantaged in terms of labour market participation, then women with a disability are ‘doubly disadvantaged’</w:t>
      </w:r>
      <w:r>
        <w:t xml:space="preserve">, </w:t>
      </w:r>
      <w:r w:rsidR="00032DA3">
        <w:t>a</w:t>
      </w:r>
      <w:r w:rsidR="00032DA3" w:rsidRPr="00032DA3">
        <w:t>n analysis of t</w:t>
      </w:r>
      <w:r w:rsidR="00032DA3">
        <w:t xml:space="preserve">he 2006 Census shows that </w:t>
      </w:r>
      <w:r>
        <w:t>t</w:t>
      </w:r>
      <w:r w:rsidRPr="00996DBA">
        <w:t xml:space="preserve">his is not necessarily the case: the gender gap in labour market participation among </w:t>
      </w:r>
      <w:r w:rsidR="00DA6E35">
        <w:t>persons</w:t>
      </w:r>
      <w:r w:rsidRPr="00996DBA">
        <w:t xml:space="preserve"> with disability was smaller than expect</w:t>
      </w:r>
      <w:r>
        <w:t>ed</w:t>
      </w:r>
      <w:r w:rsidRPr="00996DBA">
        <w:t>, given the overall patterns by gender and by di</w:t>
      </w:r>
      <w:r>
        <w:t>sability</w:t>
      </w:r>
      <w:r w:rsidRPr="00996DBA">
        <w:t>.</w:t>
      </w:r>
      <w:r>
        <w:rPr>
          <w:rStyle w:val="FootnoteReference"/>
        </w:rPr>
        <w:footnoteReference w:id="160"/>
      </w:r>
    </w:p>
    <w:p w14:paraId="52DFB98D" w14:textId="55D02406" w:rsidR="002A6370" w:rsidRDefault="002A6370" w:rsidP="00DE622D">
      <w:r>
        <w:t xml:space="preserve">The ESRI research also </w:t>
      </w:r>
      <w:r w:rsidR="00EF724E">
        <w:t>found that the</w:t>
      </w:r>
      <w:r w:rsidRPr="002A6370">
        <w:t xml:space="preserve"> labour market participation rate for men with a disability increased slightly between 2004 and 2010 whereas that of women with a disability fell slightly. This is the opposite pattern to that found among peop</w:t>
      </w:r>
      <w:r w:rsidR="00EF724E">
        <w:t>le without a disability: when</w:t>
      </w:r>
      <w:r w:rsidRPr="002A6370">
        <w:t xml:space="preserve"> control</w:t>
      </w:r>
      <w:r w:rsidR="00EF724E">
        <w:t>ling</w:t>
      </w:r>
      <w:r w:rsidRPr="002A6370">
        <w:t xml:space="preserve"> for education and other characteristics, women’s labour force participation increased slightly between 2004 and 2010</w:t>
      </w:r>
      <w:r w:rsidR="00EF724E">
        <w:t>,</w:t>
      </w:r>
      <w:r w:rsidRPr="002A6370">
        <w:t xml:space="preserve"> whereas men’s labour force participation fell. Unemployment increased between 2004 and 2010 for people with a disability and people without a disability. The overall rate of increase was similar for the two groups, and in both cases the increase in unemployment was sharper for men than for women.</w:t>
      </w:r>
    </w:p>
    <w:p w14:paraId="2D02E22E" w14:textId="1AC379A8" w:rsidR="001E6632" w:rsidRDefault="003E773B" w:rsidP="00F90528">
      <w:pPr>
        <w:pStyle w:val="Heading1"/>
      </w:pPr>
      <w:r>
        <w:br w:type="page"/>
      </w:r>
      <w:bookmarkStart w:id="58" w:name="_Toc65581205"/>
      <w:r w:rsidR="001E6632">
        <w:t>Conclusion</w:t>
      </w:r>
      <w:bookmarkEnd w:id="58"/>
    </w:p>
    <w:p w14:paraId="5E719B04" w14:textId="62CCECE3" w:rsidR="009D7C7A" w:rsidRDefault="009D7C7A" w:rsidP="009D7C7A">
      <w:r>
        <w:t xml:space="preserve">The Comprehensive Employment Strategy for Persons with Disabilities 2015-2024, together with the Second Phase Action Plan 2019-2021, provide a concrete programme of action to </w:t>
      </w:r>
      <w:r w:rsidRPr="005D6327">
        <w:t>support enhanced</w:t>
      </w:r>
      <w:r>
        <w:t xml:space="preserve"> employment</w:t>
      </w:r>
      <w:r w:rsidRPr="005D6327">
        <w:t xml:space="preserve"> </w:t>
      </w:r>
      <w:r>
        <w:t xml:space="preserve">and career </w:t>
      </w:r>
      <w:r w:rsidRPr="005D6327">
        <w:t xml:space="preserve">opportunities for persons with disabilities. </w:t>
      </w:r>
      <w:r>
        <w:t xml:space="preserve">The NDA advises that the Strategy and accompanying Action Plan must be fully implemented in order to ensure greater numbers of persons with disabilities can have </w:t>
      </w:r>
      <w:r w:rsidRPr="00B80A21">
        <w:rPr>
          <w:bCs/>
        </w:rPr>
        <w:t>access</w:t>
      </w:r>
      <w:r>
        <w:t xml:space="preserve"> to, remain and </w:t>
      </w:r>
      <w:r w:rsidRPr="00B80A21">
        <w:rPr>
          <w:bCs/>
        </w:rPr>
        <w:t>progress</w:t>
      </w:r>
      <w:r>
        <w:t xml:space="preserve"> in </w:t>
      </w:r>
      <w:r w:rsidRPr="00B80A21">
        <w:rPr>
          <w:bCs/>
        </w:rPr>
        <w:t>employment</w:t>
      </w:r>
      <w:r w:rsidRPr="00B80A21">
        <w:t>.</w:t>
      </w:r>
    </w:p>
    <w:p w14:paraId="4754C896" w14:textId="77777777" w:rsidR="009D7C7A" w:rsidRDefault="009D7C7A" w:rsidP="009D7C7A">
      <w:r>
        <w:t xml:space="preserve">The NDA notes that there are a range of innovative employment programmes to enable persons with disabilities to attain vocational skills and have access to, remain and progress in employment. These include the EmployAbility programme, the Ability programme and the IPS model of support. However, some of these are pilot or once-off initiatives, and it is unclear whether or not they will be sustained into the future. In addition, the NDA advises that two primary gaps under Article 27 include the absence of a </w:t>
      </w:r>
      <w:r w:rsidRPr="00572B50">
        <w:t xml:space="preserve">seamless and coordinated provision of supports’ for </w:t>
      </w:r>
      <w:r>
        <w:t>persons</w:t>
      </w:r>
      <w:r w:rsidRPr="00572B50">
        <w:t xml:space="preserve"> with disabilities</w:t>
      </w:r>
      <w:r>
        <w:t xml:space="preserve"> with high support needs</w:t>
      </w:r>
      <w:r w:rsidRPr="00572B50">
        <w:t xml:space="preserve"> who wish to work</w:t>
      </w:r>
      <w:r>
        <w:t xml:space="preserve">, as well as </w:t>
      </w:r>
      <w:r w:rsidRPr="000F7F35">
        <w:t>a national programme of vocational rehabilitation</w:t>
      </w:r>
      <w:r>
        <w:t>. The NDA would also welcome further research on the experiences of persons with disabilities utilising mainstream employment services, such as</w:t>
      </w:r>
      <w:r w:rsidRPr="005E6841">
        <w:t xml:space="preserve"> local employment services, job clubs and JobPath providers. </w:t>
      </w:r>
    </w:p>
    <w:p w14:paraId="1A9FFE0F" w14:textId="77777777" w:rsidR="009D7C7A" w:rsidRDefault="009D7C7A" w:rsidP="009D7C7A">
      <w:r>
        <w:t xml:space="preserve">The issue of reasonable accommodations for employees and jobseekers with disabilities is one which is repeatedly brought to the attention of the NDA. NDA research on this topic has revealed that employers require greater resources, information and guidance on the provision of reasonable accommodations to persons with disabilities. The research also underlined the importance of ensuring that </w:t>
      </w:r>
      <w:r w:rsidRPr="00E6763B">
        <w:t>employer suppo</w:t>
      </w:r>
      <w:r>
        <w:t xml:space="preserve">rts and financial grant schemes, which assist employers to provide such accommodations, </w:t>
      </w:r>
      <w:r w:rsidRPr="00E6763B">
        <w:t>are fit for purpose.</w:t>
      </w:r>
    </w:p>
    <w:p w14:paraId="06E23794" w14:textId="1E2836E1" w:rsidR="009D7C7A" w:rsidRDefault="009D7C7A" w:rsidP="009D7C7A">
      <w:r>
        <w:t>Finally, the NDA notes that research, data and the lived experience of persons with disabilities underscore the reality that discrimination against persons with disabilities in the employment context persists, with particular concerns for those seeking access to employment. Additional action is required in this regard, including through awareness-raising measures highlighting</w:t>
      </w:r>
      <w:r w:rsidRPr="00C867D8">
        <w:t xml:space="preserve"> persons with disabilities as a valuable source of skills</w:t>
      </w:r>
      <w:r>
        <w:t>. M</w:t>
      </w:r>
      <w:r w:rsidRPr="00C867D8">
        <w:t xml:space="preserve">eaningful career progression </w:t>
      </w:r>
      <w:r>
        <w:t>for persons with disabilities is also an area w</w:t>
      </w:r>
      <w:r w:rsidR="00C23D2D">
        <w:t>hich requires additional focus.</w:t>
      </w:r>
    </w:p>
    <w:p w14:paraId="2BEF9BE1" w14:textId="77777777" w:rsidR="009D7C7A" w:rsidRPr="009D7C7A" w:rsidRDefault="009D7C7A" w:rsidP="009D7C7A"/>
    <w:sectPr w:rsidR="009D7C7A" w:rsidRPr="009D7C7A">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2107" w14:textId="77777777" w:rsidR="008E6228" w:rsidRDefault="008E6228">
      <w:r>
        <w:separator/>
      </w:r>
    </w:p>
  </w:endnote>
  <w:endnote w:type="continuationSeparator" w:id="0">
    <w:p w14:paraId="4CF6DE5A" w14:textId="77777777" w:rsidR="008E6228" w:rsidRDefault="008E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82FC" w14:textId="74501D76" w:rsidR="008E6228" w:rsidRDefault="008E6228">
    <w:pPr>
      <w:pStyle w:val="Footer"/>
    </w:pPr>
    <w:r>
      <w:tab/>
    </w:r>
    <w:r>
      <w:tab/>
    </w:r>
    <w:r>
      <w:fldChar w:fldCharType="begin"/>
    </w:r>
    <w:r>
      <w:instrText xml:space="preserve"> PAGE  \* Arabic  \* MERGEFORMAT </w:instrText>
    </w:r>
    <w:r>
      <w:fldChar w:fldCharType="separate"/>
    </w:r>
    <w:r w:rsidR="00844A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4BAF6" w14:textId="77777777" w:rsidR="008E6228" w:rsidRDefault="008E6228">
      <w:r>
        <w:separator/>
      </w:r>
    </w:p>
  </w:footnote>
  <w:footnote w:type="continuationSeparator" w:id="0">
    <w:p w14:paraId="46EDA850" w14:textId="77777777" w:rsidR="008E6228" w:rsidRDefault="008E6228">
      <w:r>
        <w:continuationSeparator/>
      </w:r>
    </w:p>
  </w:footnote>
  <w:footnote w:id="1">
    <w:p w14:paraId="34C9958F" w14:textId="77777777" w:rsidR="008E6228" w:rsidRPr="00B80A21" w:rsidRDefault="008E6228" w:rsidP="005849A2">
      <w:pPr>
        <w:pStyle w:val="FootnoteText"/>
      </w:pPr>
      <w:r>
        <w:rPr>
          <w:rStyle w:val="FootnoteReference"/>
        </w:rPr>
        <w:footnoteRef/>
      </w:r>
      <w:r>
        <w:t xml:space="preserve"> </w:t>
      </w:r>
      <w:r w:rsidRPr="00B80A21">
        <w:rPr>
          <w:b/>
        </w:rPr>
        <w:t>In re Article 26 and the Employment Equality Bill 1996</w:t>
      </w:r>
      <w:r>
        <w:t>.</w:t>
      </w:r>
    </w:p>
    <w:p w14:paraId="347B530F" w14:textId="77777777" w:rsidR="008E6228" w:rsidRDefault="008E6228" w:rsidP="005849A2">
      <w:pPr>
        <w:pStyle w:val="FootnoteText"/>
      </w:pPr>
    </w:p>
  </w:footnote>
  <w:footnote w:id="2">
    <w:p w14:paraId="7A2E448E"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3">
    <w:p w14:paraId="5C09012F"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4">
    <w:p w14:paraId="607F3CD1" w14:textId="77777777" w:rsidR="008E6228" w:rsidRDefault="008E6228">
      <w:pPr>
        <w:pStyle w:val="FootnoteText"/>
      </w:pPr>
      <w:r>
        <w:rPr>
          <w:rStyle w:val="FootnoteReference"/>
        </w:rPr>
        <w:footnoteRef/>
      </w:r>
      <w:r>
        <w:t xml:space="preserve"> European Commission (2019) </w:t>
      </w:r>
      <w:r w:rsidRPr="00407BD8">
        <w:rPr>
          <w:b/>
        </w:rPr>
        <w:t>Country Report Ireland 2019</w:t>
      </w:r>
      <w:r>
        <w:t>, Brussels: EC, p.37.</w:t>
      </w:r>
    </w:p>
  </w:footnote>
  <w:footnote w:id="5">
    <w:p w14:paraId="0C4D087A" w14:textId="77777777" w:rsidR="008E6228" w:rsidRDefault="008E6228">
      <w:pPr>
        <w:pStyle w:val="FootnoteText"/>
      </w:pPr>
      <w:r>
        <w:rPr>
          <w:rStyle w:val="FootnoteReference"/>
        </w:rPr>
        <w:footnoteRef/>
      </w:r>
      <w:r>
        <w:t xml:space="preserve"> </w:t>
      </w:r>
      <w:r w:rsidRPr="00965000">
        <w:t xml:space="preserve">Government of Ireland (2015) </w:t>
      </w:r>
      <w:r w:rsidRPr="00965000">
        <w:rPr>
          <w:b/>
        </w:rPr>
        <w:t>Comprehensive Employment Strategy for People with Disabilities 2015-2024</w:t>
      </w:r>
      <w:r w:rsidRPr="00965000">
        <w:t>, Dublin: Stationery Office</w:t>
      </w:r>
      <w:r>
        <w:t>, p.24.</w:t>
      </w:r>
    </w:p>
  </w:footnote>
  <w:footnote w:id="6">
    <w:p w14:paraId="024AEF0A" w14:textId="77777777" w:rsidR="008E6228" w:rsidRDefault="008E6228">
      <w:pPr>
        <w:pStyle w:val="FootnoteText"/>
      </w:pPr>
      <w:r>
        <w:rPr>
          <w:rStyle w:val="FootnoteReference"/>
        </w:rPr>
        <w:footnoteRef/>
      </w:r>
      <w:r>
        <w:t xml:space="preserve"> </w:t>
      </w:r>
      <w:r w:rsidRPr="00BE55D9">
        <w:t xml:space="preserve">Government of Ireland (2020) </w:t>
      </w:r>
      <w:r w:rsidRPr="00BE55D9">
        <w:rPr>
          <w:b/>
        </w:rPr>
        <w:t>The Roadmap for Social Inclusion 2020-2025. Ambitions, Goals and Commitments</w:t>
      </w:r>
      <w:r w:rsidRPr="00BE55D9">
        <w:t>, Dublin: DEASP, p.12.</w:t>
      </w:r>
    </w:p>
  </w:footnote>
  <w:footnote w:id="7">
    <w:p w14:paraId="0FC10763"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8">
    <w:p w14:paraId="7B450FA5"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9">
    <w:p w14:paraId="23762401"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10">
    <w:p w14:paraId="065005F8" w14:textId="77777777" w:rsidR="008E6228" w:rsidRDefault="008E6228">
      <w:pPr>
        <w:pStyle w:val="FootnoteText"/>
      </w:pPr>
      <w:r>
        <w:rPr>
          <w:rStyle w:val="FootnoteReference"/>
        </w:rPr>
        <w:footnoteRef/>
      </w:r>
      <w:r>
        <w:t xml:space="preserve"> Irish Human Rights and Equality Commission, </w:t>
      </w:r>
      <w:r w:rsidRPr="00AD526E">
        <w:rPr>
          <w:b/>
        </w:rPr>
        <w:t>‘</w:t>
      </w:r>
      <w:r w:rsidRPr="00BC58C0">
        <w:rPr>
          <w:b/>
        </w:rPr>
        <w:t>Human Rights and Equality Grants 2019 Announced</w:t>
      </w:r>
      <w:r w:rsidRPr="00AD526E">
        <w:rPr>
          <w:b/>
        </w:rPr>
        <w:t>’</w:t>
      </w:r>
      <w:r>
        <w:rPr>
          <w:b/>
        </w:rPr>
        <w:t xml:space="preserve"> </w:t>
      </w:r>
      <w:r>
        <w:t>[press release], available from their website at &lt;</w:t>
      </w:r>
      <w:hyperlink r:id="rId1" w:history="1">
        <w:r w:rsidRPr="00BC58C0">
          <w:rPr>
            <w:rStyle w:val="Hyperlink"/>
          </w:rPr>
          <w:t>https://www.ihrec.ie/human-rights-and-equality-grants-2019-announced/</w:t>
        </w:r>
      </w:hyperlink>
      <w:r>
        <w:t>&gt;.</w:t>
      </w:r>
    </w:p>
  </w:footnote>
  <w:footnote w:id="11">
    <w:p w14:paraId="4701B922"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12">
    <w:p w14:paraId="2828367A" w14:textId="77777777" w:rsidR="008E6228" w:rsidRDefault="008E6228">
      <w:pPr>
        <w:pStyle w:val="FootnoteText"/>
      </w:pPr>
      <w:r>
        <w:rPr>
          <w:rStyle w:val="FootnoteReference"/>
        </w:rPr>
        <w:footnoteRef/>
      </w:r>
      <w:r>
        <w:t xml:space="preserve"> National Disability Authority (2019) </w:t>
      </w:r>
      <w:r w:rsidRPr="00407BD8">
        <w:rPr>
          <w:b/>
        </w:rPr>
        <w:t>NDA Factsheet 2: Employment</w:t>
      </w:r>
      <w:r>
        <w:t>, Dublin: NDA.</w:t>
      </w:r>
    </w:p>
  </w:footnote>
  <w:footnote w:id="13">
    <w:p w14:paraId="29BEBA18" w14:textId="77777777" w:rsidR="008E6228" w:rsidRDefault="008E6228">
      <w:pPr>
        <w:pStyle w:val="FootnoteText"/>
      </w:pPr>
      <w:r>
        <w:rPr>
          <w:rStyle w:val="FootnoteReference"/>
        </w:rPr>
        <w:footnoteRef/>
      </w:r>
      <w:r>
        <w:t xml:space="preserve"> National Disability Authority (2019) </w:t>
      </w:r>
      <w:r w:rsidRPr="00407BD8">
        <w:rPr>
          <w:b/>
        </w:rPr>
        <w:t>NDA Factsheet 3 NEET Briefing Information</w:t>
      </w:r>
      <w:r>
        <w:t>, Dublin: NDA.</w:t>
      </w:r>
    </w:p>
  </w:footnote>
  <w:footnote w:id="14">
    <w:p w14:paraId="14F5E10B" w14:textId="77777777" w:rsidR="008E6228" w:rsidRDefault="008E6228">
      <w:pPr>
        <w:pStyle w:val="FootnoteText"/>
      </w:pPr>
      <w:r>
        <w:rPr>
          <w:rStyle w:val="FootnoteReference"/>
        </w:rPr>
        <w:footnoteRef/>
      </w:r>
      <w:r>
        <w:t xml:space="preserve"> National Disability Authority (2019) </w:t>
      </w:r>
      <w:r w:rsidRPr="00407BD8">
        <w:rPr>
          <w:b/>
        </w:rPr>
        <w:t>NDA Factsheet 3 NEET Briefing Information</w:t>
      </w:r>
      <w:r>
        <w:t>, Dublin: NDA.</w:t>
      </w:r>
    </w:p>
  </w:footnote>
  <w:footnote w:id="15">
    <w:p w14:paraId="37C730EC" w14:textId="77777777" w:rsidR="008E6228" w:rsidRDefault="008E6228" w:rsidP="00E216B8">
      <w:pPr>
        <w:pStyle w:val="FootnoteText"/>
      </w:pPr>
      <w:r>
        <w:rPr>
          <w:rStyle w:val="FootnoteReference"/>
        </w:rPr>
        <w:footnoteRef/>
      </w:r>
      <w:r>
        <w:t xml:space="preserve"> National Disability Authority (2018) </w:t>
      </w:r>
      <w:r w:rsidRPr="009F5859">
        <w:rPr>
          <w:b/>
        </w:rPr>
        <w:t>NDA Factsheet 1: Disability Statistics Briefing Information</w:t>
      </w:r>
      <w:r>
        <w:t>, Dublin: NDA.</w:t>
      </w:r>
    </w:p>
  </w:footnote>
  <w:footnote w:id="16">
    <w:p w14:paraId="6FACA3F9" w14:textId="77777777" w:rsidR="008E6228" w:rsidRDefault="008E6228">
      <w:pPr>
        <w:pStyle w:val="FootnoteText"/>
      </w:pPr>
      <w:r>
        <w:rPr>
          <w:rStyle w:val="FootnoteReference"/>
        </w:rPr>
        <w:footnoteRef/>
      </w:r>
      <w:r>
        <w:t xml:space="preserve"> A consolidated version of the </w:t>
      </w:r>
      <w:r w:rsidRPr="00691A7A">
        <w:rPr>
          <w:b/>
        </w:rPr>
        <w:t>Employment Equality Acts 1998-2015</w:t>
      </w:r>
      <w:r>
        <w:t xml:space="preserve"> is available on the Law Reform Commission’s website at </w:t>
      </w:r>
      <w:hyperlink r:id="rId2" w:history="1">
        <w:r w:rsidRPr="00765E19">
          <w:rPr>
            <w:rStyle w:val="Hyperlink"/>
          </w:rPr>
          <w:t>www.lawreform.ie</w:t>
        </w:r>
      </w:hyperlink>
      <w:r>
        <w:t xml:space="preserve">. </w:t>
      </w:r>
    </w:p>
  </w:footnote>
  <w:footnote w:id="17">
    <w:p w14:paraId="4D1B8A48" w14:textId="77777777" w:rsidR="008E6228" w:rsidRDefault="008E6228">
      <w:pPr>
        <w:pStyle w:val="FootnoteText"/>
      </w:pPr>
      <w:r>
        <w:rPr>
          <w:rStyle w:val="FootnoteReference"/>
        </w:rPr>
        <w:footnoteRef/>
      </w:r>
      <w:r>
        <w:t xml:space="preserve"> Barry, E. (2013) </w:t>
      </w:r>
      <w:r w:rsidRPr="00075581">
        <w:rPr>
          <w:b/>
        </w:rPr>
        <w:t>Case Law Review on Mental Health in the Workplace</w:t>
      </w:r>
      <w:r>
        <w:t>, Dublin: See Change, p.4.</w:t>
      </w:r>
    </w:p>
  </w:footnote>
  <w:footnote w:id="18">
    <w:p w14:paraId="3494CBB1" w14:textId="77777777" w:rsidR="008E6228" w:rsidRPr="002D41A9" w:rsidRDefault="008E6228">
      <w:pPr>
        <w:pStyle w:val="FootnoteText"/>
      </w:pPr>
      <w:r>
        <w:rPr>
          <w:rStyle w:val="FootnoteReference"/>
        </w:rPr>
        <w:footnoteRef/>
      </w:r>
      <w:r>
        <w:t xml:space="preserve"> </w:t>
      </w:r>
      <w:r w:rsidRPr="00691A7A">
        <w:rPr>
          <w:b/>
        </w:rPr>
        <w:t>Employment Equality Acts 1998-2015</w:t>
      </w:r>
      <w:r>
        <w:t>, section 35.</w:t>
      </w:r>
    </w:p>
  </w:footnote>
  <w:footnote w:id="19">
    <w:p w14:paraId="4B570F7B" w14:textId="77777777" w:rsidR="008E6228" w:rsidRDefault="008E6228">
      <w:pPr>
        <w:pStyle w:val="FootnoteText"/>
      </w:pPr>
      <w:r>
        <w:rPr>
          <w:rStyle w:val="FootnoteReference"/>
        </w:rPr>
        <w:footnoteRef/>
      </w:r>
      <w:r>
        <w:t xml:space="preserve"> See </w:t>
      </w:r>
      <w:r w:rsidRPr="0010379F">
        <w:rPr>
          <w:b/>
          <w:iCs/>
        </w:rPr>
        <w:t>Government Department v Worker</w:t>
      </w:r>
      <w:r>
        <w:rPr>
          <w:b/>
        </w:rPr>
        <w:t> EDA 0612</w:t>
      </w:r>
      <w:r>
        <w:t>. See also</w:t>
      </w:r>
      <w:r w:rsidRPr="0010379F">
        <w:rPr>
          <w:b/>
        </w:rPr>
        <w:t xml:space="preserve"> </w:t>
      </w:r>
      <w:r w:rsidRPr="0010379F">
        <w:rPr>
          <w:b/>
          <w:iCs/>
        </w:rPr>
        <w:t>Complainant v Employer DEC–E2008–068.</w:t>
      </w:r>
    </w:p>
  </w:footnote>
  <w:footnote w:id="20">
    <w:p w14:paraId="65F9B4C7" w14:textId="77777777" w:rsidR="008E6228" w:rsidRDefault="008E6228">
      <w:pPr>
        <w:pStyle w:val="FootnoteText"/>
      </w:pPr>
      <w:r>
        <w:rPr>
          <w:rStyle w:val="FootnoteReference"/>
        </w:rPr>
        <w:footnoteRef/>
      </w:r>
      <w:r>
        <w:t xml:space="preserve"> </w:t>
      </w:r>
      <w:r w:rsidRPr="00BB6CC5">
        <w:rPr>
          <w:b/>
          <w:bCs/>
        </w:rPr>
        <w:t>Nano Nagle School v Marie Daly [2019] IESC 63</w:t>
      </w:r>
      <w:r>
        <w:rPr>
          <w:b/>
          <w:bCs/>
        </w:rPr>
        <w:t>.</w:t>
      </w:r>
    </w:p>
  </w:footnote>
  <w:footnote w:id="21">
    <w:p w14:paraId="379920FE" w14:textId="77777777" w:rsidR="008E6228" w:rsidRDefault="008E6228">
      <w:pPr>
        <w:pStyle w:val="FootnoteText"/>
      </w:pPr>
      <w:r>
        <w:rPr>
          <w:rStyle w:val="FootnoteReference"/>
        </w:rPr>
        <w:footnoteRef/>
      </w:r>
      <w:r>
        <w:t xml:space="preserve"> </w:t>
      </w:r>
      <w:r w:rsidRPr="00332C30">
        <w:t>IHREC’s legal powers include the power to apply to the High Court, Court of Appeals or the Supreme Court for liberty to appear before the courts as </w:t>
      </w:r>
      <w:r w:rsidRPr="00332C30">
        <w:rPr>
          <w:iCs/>
        </w:rPr>
        <w:t>amicus curiae</w:t>
      </w:r>
      <w:r w:rsidRPr="00332C30">
        <w:t> (friend of the court) in proceedings that involve or are concerned with human rights or equality. More information is available from their website at &lt;</w:t>
      </w:r>
      <w:hyperlink r:id="rId3" w:history="1">
        <w:r w:rsidRPr="00332C30">
          <w:rPr>
            <w:rStyle w:val="Hyperlink"/>
          </w:rPr>
          <w:t>https://www.ihrec.ie/our-work/legal-activity/amicus-curiae-power/</w:t>
        </w:r>
      </w:hyperlink>
      <w:r w:rsidRPr="00332C30">
        <w:t>&gt;.</w:t>
      </w:r>
    </w:p>
  </w:footnote>
  <w:footnote w:id="22">
    <w:p w14:paraId="08937CEE" w14:textId="77777777" w:rsidR="008E6228" w:rsidRDefault="008E6228">
      <w:pPr>
        <w:pStyle w:val="FootnoteText"/>
      </w:pPr>
      <w:r>
        <w:rPr>
          <w:rStyle w:val="FootnoteReference"/>
        </w:rPr>
        <w:footnoteRef/>
      </w:r>
      <w:r>
        <w:t xml:space="preserve"> </w:t>
      </w:r>
      <w:r w:rsidRPr="00332C30">
        <w:t xml:space="preserve">Irish Human Rights and Equality Commission, </w:t>
      </w:r>
      <w:r w:rsidRPr="00332C30">
        <w:rPr>
          <w:b/>
        </w:rPr>
        <w:t xml:space="preserve">‘Supreme Court Significantly Clarifies Rights of Persons with Disabilities to Reasonable Workplace Accommodation’ </w:t>
      </w:r>
      <w:r w:rsidRPr="00332C30">
        <w:t>[press release], available from their website at &lt;</w:t>
      </w:r>
      <w:hyperlink r:id="rId4" w:history="1">
        <w:r w:rsidRPr="00332C30">
          <w:rPr>
            <w:rStyle w:val="Hyperlink"/>
          </w:rPr>
          <w:t>https://www.ihrec.ie/supreme-court-significantly-clarifies-rights-of-persons-with-disabilities-to-reasonable-workplace-accommodation/</w:t>
        </w:r>
      </w:hyperlink>
      <w:r w:rsidRPr="00332C30">
        <w:t>&gt;.</w:t>
      </w:r>
    </w:p>
  </w:footnote>
  <w:footnote w:id="23">
    <w:p w14:paraId="1D2C62F9" w14:textId="77777777" w:rsidR="008E6228" w:rsidRPr="007A60F3" w:rsidRDefault="008E6228">
      <w:pPr>
        <w:pStyle w:val="FootnoteText"/>
        <w:rPr>
          <w:bCs/>
        </w:rPr>
      </w:pPr>
      <w:r>
        <w:rPr>
          <w:rStyle w:val="FootnoteReference"/>
        </w:rPr>
        <w:footnoteRef/>
      </w:r>
      <w:r>
        <w:t xml:space="preserve"> </w:t>
      </w:r>
      <w:r w:rsidRPr="007A60F3">
        <w:rPr>
          <w:bCs/>
        </w:rPr>
        <w:t xml:space="preserve">See Quinlivan, S. &amp; Quinn, G. (2003) “Disability Discrimination: The Need to Amend the Employment Equality Act 1998 in Light of the EU Framework Directive on Employment?” in Costello, C. &amp; Barry, E. (eds.) </w:t>
      </w:r>
      <w:r w:rsidRPr="007A60F3">
        <w:rPr>
          <w:b/>
          <w:bCs/>
        </w:rPr>
        <w:t xml:space="preserve">Equality in Diversity: The New Equality Directives, </w:t>
      </w:r>
      <w:r w:rsidRPr="007A60F3">
        <w:rPr>
          <w:bCs/>
        </w:rPr>
        <w:t>Dublin: Irish Centre for European Law.</w:t>
      </w:r>
    </w:p>
  </w:footnote>
  <w:footnote w:id="24">
    <w:p w14:paraId="4ADD99E3" w14:textId="77777777" w:rsidR="008E6228" w:rsidRDefault="008E6228">
      <w:pPr>
        <w:pStyle w:val="FootnoteText"/>
      </w:pPr>
      <w:r>
        <w:rPr>
          <w:rStyle w:val="FootnoteReference"/>
        </w:rPr>
        <w:footnoteRef/>
      </w:r>
      <w:r>
        <w:t xml:space="preserve"> </w:t>
      </w:r>
      <w:r w:rsidRPr="008A5431">
        <w:t xml:space="preserve">National Disability Authority (2019) </w:t>
      </w:r>
      <w:r w:rsidRPr="008A5431">
        <w:rPr>
          <w:b/>
          <w:bCs/>
        </w:rPr>
        <w:t>Reasonable Accommodations: Obstacles and Opportunities to the Employment of Persons with a Disability</w:t>
      </w:r>
      <w:r>
        <w:rPr>
          <w:bCs/>
        </w:rPr>
        <w:t>, Dublin: NDA, pp.119-120.</w:t>
      </w:r>
    </w:p>
  </w:footnote>
  <w:footnote w:id="25">
    <w:p w14:paraId="3265727B" w14:textId="77777777" w:rsidR="008E6228" w:rsidRDefault="008E6228" w:rsidP="007361D9">
      <w:pPr>
        <w:pStyle w:val="FootnoteText"/>
      </w:pPr>
      <w:r>
        <w:rPr>
          <w:rStyle w:val="FootnoteReference"/>
        </w:rPr>
        <w:footnoteRef/>
      </w:r>
      <w:r>
        <w:t xml:space="preserve"> Buckley L-A, Quinlivan S (2020)</w:t>
      </w:r>
      <w:r w:rsidRPr="007361D9">
        <w:t xml:space="preserve"> </w:t>
      </w:r>
      <w:r>
        <w:t>‘</w:t>
      </w:r>
      <w:r w:rsidRPr="007361D9">
        <w:t>Reasonable accommodation in Irish equality law</w:t>
      </w:r>
      <w:r>
        <w:t xml:space="preserve">: an incomplete transformation’ </w:t>
      </w:r>
      <w:r w:rsidRPr="007361D9">
        <w:rPr>
          <w:b/>
        </w:rPr>
        <w:t>Legal Studies</w:t>
      </w:r>
      <w:r w:rsidRPr="007361D9">
        <w:t xml:space="preserve"> 1</w:t>
      </w:r>
      <w:r w:rsidRPr="007361D9">
        <w:rPr>
          <w:rFonts w:hint="eastAsia"/>
        </w:rPr>
        <w:t>–</w:t>
      </w:r>
      <w:r>
        <w:t xml:space="preserve">20. </w:t>
      </w:r>
    </w:p>
  </w:footnote>
  <w:footnote w:id="26">
    <w:p w14:paraId="78E5AA6D" w14:textId="77777777" w:rsidR="008E6228" w:rsidRDefault="008E6228">
      <w:pPr>
        <w:pStyle w:val="FootnoteText"/>
      </w:pPr>
      <w:r>
        <w:rPr>
          <w:rStyle w:val="FootnoteReference"/>
        </w:rPr>
        <w:footnoteRef/>
      </w:r>
      <w:r>
        <w:t xml:space="preserve"> For more information, see the website of the Department of Public Expenditure and Reform at the following link </w:t>
      </w:r>
      <w:hyperlink r:id="rId5" w:history="1">
        <w:r w:rsidRPr="00907B1E">
          <w:rPr>
            <w:rStyle w:val="Hyperlink"/>
          </w:rPr>
          <w:t>https://hr.per.gov.ie/disability/</w:t>
        </w:r>
      </w:hyperlink>
    </w:p>
  </w:footnote>
  <w:footnote w:id="27">
    <w:p w14:paraId="1DC81E52" w14:textId="77777777" w:rsidR="008E6228" w:rsidRDefault="008E6228">
      <w:pPr>
        <w:pStyle w:val="FootnoteText"/>
      </w:pPr>
      <w:r>
        <w:rPr>
          <w:rStyle w:val="FootnoteReference"/>
        </w:rPr>
        <w:footnoteRef/>
      </w:r>
      <w:r>
        <w:t xml:space="preserve"> Department of Finance (2007) </w:t>
      </w:r>
      <w:r w:rsidRPr="00AD526E">
        <w:rPr>
          <w:b/>
        </w:rPr>
        <w:t>Code of Practice for the Employment of People with a Disability in the Irish Civil Service</w:t>
      </w:r>
      <w:r>
        <w:t>, Dublin: Department of Finance.</w:t>
      </w:r>
    </w:p>
  </w:footnote>
  <w:footnote w:id="28">
    <w:p w14:paraId="213FFA0C" w14:textId="77777777" w:rsidR="008E6228" w:rsidRDefault="008E6228">
      <w:pPr>
        <w:pStyle w:val="FootnoteText"/>
      </w:pPr>
      <w:r>
        <w:rPr>
          <w:rStyle w:val="FootnoteReference"/>
        </w:rPr>
        <w:footnoteRef/>
      </w:r>
      <w:r>
        <w:t xml:space="preserve"> Irish Human Rights and Equality Commission, </w:t>
      </w:r>
      <w:r w:rsidRPr="00AD526E">
        <w:rPr>
          <w:b/>
        </w:rPr>
        <w:t>‘Discrimination Against People with Disabilities in Employment a Persistent and Pernicious Roadblock to Worker’s Dignity and Inclusion’</w:t>
      </w:r>
      <w:r>
        <w:rPr>
          <w:b/>
        </w:rPr>
        <w:t xml:space="preserve"> </w:t>
      </w:r>
      <w:r>
        <w:t>[press release], available from their website at &lt;</w:t>
      </w:r>
      <w:r w:rsidRPr="00ED70C2">
        <w:t>https://www.ihrec.ie/discrimination-against-people-with-disabilities-in-employment-a-persistent-and-pernicious-roadblock-to-workers-dignity-and-inclusion/</w:t>
      </w:r>
      <w:r>
        <w:t>&gt;.</w:t>
      </w:r>
    </w:p>
  </w:footnote>
  <w:footnote w:id="29">
    <w:p w14:paraId="2E685210" w14:textId="77777777" w:rsidR="008E6228" w:rsidRPr="009732A3" w:rsidRDefault="008E6228">
      <w:pPr>
        <w:pStyle w:val="FootnoteText"/>
      </w:pPr>
      <w:r>
        <w:rPr>
          <w:rStyle w:val="FootnoteReference"/>
        </w:rPr>
        <w:footnoteRef/>
      </w:r>
      <w:r>
        <w:t xml:space="preserve"> </w:t>
      </w:r>
      <w:r w:rsidRPr="009732A3">
        <w:rPr>
          <w:b/>
        </w:rPr>
        <w:t>S.I. No. 208/2012 - Employment Equality Act 1998 (Code of Practice) (Harassment) Order 2012.</w:t>
      </w:r>
      <w:r>
        <w:rPr>
          <w:b/>
        </w:rPr>
        <w:t xml:space="preserve"> </w:t>
      </w:r>
      <w:r>
        <w:t xml:space="preserve">The Irish Human Rights and Equality Commission is currently revising this Code of Practice. Irish Human Rights and Equality Commission (2019) </w:t>
      </w:r>
      <w:r w:rsidRPr="009732A3">
        <w:rPr>
          <w:b/>
        </w:rPr>
        <w:t>Annual Report 2018</w:t>
      </w:r>
      <w:r>
        <w:t>, Dublin: IHREC, p.30.</w:t>
      </w:r>
    </w:p>
  </w:footnote>
  <w:footnote w:id="30">
    <w:p w14:paraId="7320F006" w14:textId="77777777" w:rsidR="008E6228" w:rsidRDefault="008E6228">
      <w:pPr>
        <w:pStyle w:val="FootnoteText"/>
      </w:pPr>
      <w:r>
        <w:rPr>
          <w:rStyle w:val="FootnoteReference"/>
        </w:rPr>
        <w:footnoteRef/>
      </w:r>
      <w:r>
        <w:t xml:space="preserve"> </w:t>
      </w:r>
      <w:r w:rsidRPr="00965000">
        <w:t xml:space="preserve">Government of Ireland (2015) </w:t>
      </w:r>
      <w:r w:rsidRPr="00965000">
        <w:rPr>
          <w:b/>
        </w:rPr>
        <w:t>Comprehensive Employment Strategy for People with Disabilities 2015-2024</w:t>
      </w:r>
      <w:r w:rsidRPr="00965000">
        <w:t>, Dublin: Stationery Office</w:t>
      </w:r>
      <w:r>
        <w:t>.</w:t>
      </w:r>
    </w:p>
  </w:footnote>
  <w:footnote w:id="31">
    <w:p w14:paraId="51A50992" w14:textId="77777777" w:rsidR="008E6228" w:rsidRDefault="008E6228">
      <w:pPr>
        <w:pStyle w:val="FootnoteText"/>
      </w:pPr>
      <w:r>
        <w:rPr>
          <w:rStyle w:val="FootnoteReference"/>
        </w:rPr>
        <w:footnoteRef/>
      </w:r>
      <w:r>
        <w:t xml:space="preserve"> Annual independent assessments of the Comprehensive Employment Strategy are available at the following link: </w:t>
      </w:r>
      <w:hyperlink r:id="rId6" w:history="1">
        <w:r w:rsidRPr="00965000">
          <w:rPr>
            <w:rStyle w:val="Hyperlink"/>
          </w:rPr>
          <w:t>http://nda.ie/Publications/Employment/Employment-Publications/</w:t>
        </w:r>
      </w:hyperlink>
      <w:r>
        <w:t>.</w:t>
      </w:r>
    </w:p>
  </w:footnote>
  <w:footnote w:id="32">
    <w:p w14:paraId="436CF563" w14:textId="77777777" w:rsidR="008E6228" w:rsidRDefault="008E6228">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33">
    <w:p w14:paraId="460EBE84" w14:textId="77777777" w:rsidR="008E6228" w:rsidRDefault="008E6228">
      <w:pPr>
        <w:pStyle w:val="FootnoteText"/>
      </w:pPr>
      <w:r>
        <w:rPr>
          <w:rStyle w:val="FootnoteReference"/>
        </w:rPr>
        <w:footnoteRef/>
      </w:r>
      <w:r>
        <w:t xml:space="preserve"> </w:t>
      </w:r>
      <w:r w:rsidRPr="0091297B">
        <w:t>The responsible body are the Department of Health, the Health Service Executive, the Department of Employment Affairs and Social Protection, the Department of Education and Skills and the NDA (Chair).</w:t>
      </w:r>
    </w:p>
  </w:footnote>
  <w:footnote w:id="34">
    <w:p w14:paraId="3EAFA8D7" w14:textId="77777777" w:rsidR="008E6228" w:rsidRDefault="008E6228">
      <w:pPr>
        <w:pStyle w:val="FootnoteText"/>
      </w:pPr>
      <w:r>
        <w:rPr>
          <w:rStyle w:val="FootnoteReference"/>
        </w:rPr>
        <w:footnoteRef/>
      </w:r>
      <w:r>
        <w:t xml:space="preserve"> </w:t>
      </w:r>
      <w:r w:rsidRPr="00A57C43">
        <w:t xml:space="preserve">National Disability Authority (2020) </w:t>
      </w:r>
      <w:r w:rsidRPr="00A57C43">
        <w:rPr>
          <w:b/>
        </w:rPr>
        <w:t>Comprehensive Employment Strategy 2019: NDA Year-end Review</w:t>
      </w:r>
      <w:r w:rsidRPr="00A57C43">
        <w:t>, Dublin: NDA.</w:t>
      </w:r>
    </w:p>
  </w:footnote>
  <w:footnote w:id="35">
    <w:p w14:paraId="73ED269B" w14:textId="77777777" w:rsidR="008E6228" w:rsidRDefault="008E6228">
      <w:pPr>
        <w:pStyle w:val="FootnoteText"/>
      </w:pPr>
      <w:r>
        <w:rPr>
          <w:rStyle w:val="FootnoteReference"/>
        </w:rPr>
        <w:footnoteRef/>
      </w:r>
      <w:r>
        <w:t xml:space="preserve"> </w:t>
      </w:r>
      <w:r w:rsidRPr="0040253D">
        <w:t xml:space="preserve">Government of Ireland (2019) </w:t>
      </w:r>
      <w:r w:rsidRPr="0040253D">
        <w:rPr>
          <w:b/>
        </w:rPr>
        <w:t>Comprehensive Employment Strategy:</w:t>
      </w:r>
      <w:r>
        <w:rPr>
          <w:b/>
        </w:rPr>
        <w:t xml:space="preserve"> Phase T</w:t>
      </w:r>
      <w:r w:rsidRPr="0040253D">
        <w:rPr>
          <w:b/>
        </w:rPr>
        <w:t>wo Action Plan 2019-2021</w:t>
      </w:r>
      <w:r w:rsidRPr="0040253D">
        <w:t>, Dublin: Stationery Office</w:t>
      </w:r>
      <w:r>
        <w:t>.</w:t>
      </w:r>
    </w:p>
  </w:footnote>
  <w:footnote w:id="36">
    <w:p w14:paraId="6BEEF4BA" w14:textId="77777777" w:rsidR="008E6228" w:rsidRDefault="008E6228">
      <w:pPr>
        <w:pStyle w:val="FootnoteText"/>
      </w:pPr>
      <w:r>
        <w:rPr>
          <w:rStyle w:val="FootnoteReference"/>
        </w:rPr>
        <w:footnoteRef/>
      </w:r>
      <w:r>
        <w:t xml:space="preserve"> Department Employment Affairs and Social Protection (2017) </w:t>
      </w:r>
      <w:r w:rsidRPr="005632E6">
        <w:rPr>
          <w:b/>
        </w:rPr>
        <w:t>Work Pay for People with Disabilities Report to Government 2017</w:t>
      </w:r>
      <w:r>
        <w:t>, Dublin: DEASP.</w:t>
      </w:r>
    </w:p>
  </w:footnote>
  <w:footnote w:id="37">
    <w:p w14:paraId="492F7D7A" w14:textId="77777777" w:rsidR="008E6228" w:rsidRDefault="008E6228">
      <w:pPr>
        <w:pStyle w:val="FootnoteText"/>
      </w:pPr>
      <w:r>
        <w:rPr>
          <w:rStyle w:val="FootnoteReference"/>
        </w:rPr>
        <w:footnoteRef/>
      </w:r>
      <w:r>
        <w:t xml:space="preserve"> </w:t>
      </w:r>
      <w:r w:rsidRPr="00A57C43">
        <w:t xml:space="preserve">National Disability Authority (2020) </w:t>
      </w:r>
      <w:r w:rsidRPr="00A57C43">
        <w:rPr>
          <w:b/>
        </w:rPr>
        <w:t>Comprehensive Employment Strategy 2019: NDA Year-end Review</w:t>
      </w:r>
      <w:r w:rsidRPr="00A57C43">
        <w:t>, Dublin: NDA.</w:t>
      </w:r>
    </w:p>
  </w:footnote>
  <w:footnote w:id="38">
    <w:p w14:paraId="3DED9F8A" w14:textId="77777777" w:rsidR="008E6228" w:rsidRDefault="008E6228">
      <w:pPr>
        <w:pStyle w:val="FootnoteText"/>
      </w:pPr>
      <w:r>
        <w:rPr>
          <w:rStyle w:val="FootnoteReference"/>
        </w:rPr>
        <w:footnoteRef/>
      </w:r>
      <w:r>
        <w:t xml:space="preserve"> </w:t>
      </w:r>
      <w:r w:rsidRPr="00A57C43">
        <w:t xml:space="preserve">National Disability Authority (2020) </w:t>
      </w:r>
      <w:r w:rsidRPr="00A57C43">
        <w:rPr>
          <w:b/>
        </w:rPr>
        <w:t>Comprehensive Employment Strategy 2019: NDA Year-end Review</w:t>
      </w:r>
      <w:r w:rsidRPr="00A57C43">
        <w:t>, Dublin: NDA.</w:t>
      </w:r>
    </w:p>
  </w:footnote>
  <w:footnote w:id="39">
    <w:p w14:paraId="600E5263" w14:textId="77777777" w:rsidR="008E6228" w:rsidRDefault="008E6228">
      <w:pPr>
        <w:pStyle w:val="FootnoteText"/>
      </w:pPr>
      <w:r>
        <w:rPr>
          <w:rStyle w:val="FootnoteReference"/>
        </w:rPr>
        <w:footnoteRef/>
      </w:r>
      <w:r>
        <w:t xml:space="preserve"> Government of Ireland (2017) </w:t>
      </w:r>
      <w:r w:rsidRPr="00965000">
        <w:rPr>
          <w:b/>
        </w:rPr>
        <w:t>National Disability Inclusion Strategy 2017-2021</w:t>
      </w:r>
      <w:r>
        <w:t>, Dublin: Stationery Office.</w:t>
      </w:r>
    </w:p>
  </w:footnote>
  <w:footnote w:id="40">
    <w:p w14:paraId="207B9754" w14:textId="77777777" w:rsidR="008E6228" w:rsidRDefault="008E6228">
      <w:pPr>
        <w:pStyle w:val="FootnoteText"/>
      </w:pPr>
      <w:r>
        <w:rPr>
          <w:rStyle w:val="FootnoteReference"/>
        </w:rPr>
        <w:footnoteRef/>
      </w:r>
      <w:r>
        <w:t xml:space="preserve"> Department of Justice and Equality</w:t>
      </w:r>
      <w:r w:rsidRPr="00965000">
        <w:t xml:space="preserve"> (</w:t>
      </w:r>
      <w:r>
        <w:t>2020</w:t>
      </w:r>
      <w:r w:rsidRPr="00965000">
        <w:t xml:space="preserve">) </w:t>
      </w:r>
      <w:r w:rsidRPr="00965000">
        <w:rPr>
          <w:b/>
        </w:rPr>
        <w:t>Mid-Term Review of the National Disability Inclusion Strategy 2017-2021</w:t>
      </w:r>
      <w:r w:rsidRPr="00965000">
        <w:t>, Dublin: Stationery Office.</w:t>
      </w:r>
    </w:p>
  </w:footnote>
  <w:footnote w:id="41">
    <w:p w14:paraId="4069328E" w14:textId="77777777" w:rsidR="008E6228" w:rsidRDefault="008E6228">
      <w:pPr>
        <w:pStyle w:val="FootnoteText"/>
      </w:pPr>
      <w:r>
        <w:rPr>
          <w:rStyle w:val="FootnoteReference"/>
        </w:rPr>
        <w:footnoteRef/>
      </w:r>
      <w:r>
        <w:t xml:space="preserve"> Government of Ireland (2016) </w:t>
      </w:r>
      <w:r w:rsidRPr="00F932FF">
        <w:rPr>
          <w:b/>
        </w:rPr>
        <w:t>Pathways to Work 2016-2020</w:t>
      </w:r>
      <w:r>
        <w:t>, Dublin: Stationery Office.</w:t>
      </w:r>
    </w:p>
  </w:footnote>
  <w:footnote w:id="42">
    <w:p w14:paraId="1EC53E8A" w14:textId="77777777" w:rsidR="008E6228" w:rsidRPr="008C05F1" w:rsidRDefault="008E6228">
      <w:pPr>
        <w:pStyle w:val="FootnoteText"/>
      </w:pPr>
      <w:r>
        <w:rPr>
          <w:rStyle w:val="FootnoteReference"/>
        </w:rPr>
        <w:footnoteRef/>
      </w:r>
      <w:r>
        <w:t xml:space="preserve"> Government of Ireland (2019) </w:t>
      </w:r>
      <w:r>
        <w:rPr>
          <w:b/>
        </w:rPr>
        <w:t>Future Jobs Ireland 2019</w:t>
      </w:r>
      <w:r>
        <w:t>, Dublin: DBEI.</w:t>
      </w:r>
    </w:p>
  </w:footnote>
  <w:footnote w:id="43">
    <w:p w14:paraId="0FFCFC84" w14:textId="77777777" w:rsidR="008E6228" w:rsidRDefault="008E6228">
      <w:pPr>
        <w:pStyle w:val="FootnoteText"/>
      </w:pPr>
      <w:r>
        <w:rPr>
          <w:rStyle w:val="FootnoteReference"/>
        </w:rPr>
        <w:footnoteRef/>
      </w:r>
      <w:r>
        <w:t xml:space="preserve"> Department of Employment Affairs and Social Protection (2017) </w:t>
      </w:r>
      <w:r w:rsidRPr="008C05F1">
        <w:rPr>
          <w:b/>
        </w:rPr>
        <w:t>Action Plan for Jobless Households</w:t>
      </w:r>
      <w:r>
        <w:t>, Dublin: DEASP.</w:t>
      </w:r>
    </w:p>
  </w:footnote>
  <w:footnote w:id="44">
    <w:p w14:paraId="77701942" w14:textId="77777777" w:rsidR="008E6228" w:rsidRPr="003F7CF2" w:rsidRDefault="008E6228">
      <w:pPr>
        <w:pStyle w:val="FootnoteText"/>
      </w:pPr>
      <w:r>
        <w:rPr>
          <w:rStyle w:val="FootnoteReference"/>
        </w:rPr>
        <w:footnoteRef/>
      </w:r>
      <w:r>
        <w:t xml:space="preserve"> Department of Education and Skills (2016) </w:t>
      </w:r>
      <w:r w:rsidRPr="003F7CF2">
        <w:rPr>
          <w:b/>
        </w:rPr>
        <w:t>National Skills Strategy 2025 – Ireland’s Future</w:t>
      </w:r>
      <w:r>
        <w:t>, Dublin: DES.</w:t>
      </w:r>
    </w:p>
  </w:footnote>
  <w:footnote w:id="45">
    <w:p w14:paraId="2285F9DB" w14:textId="77777777" w:rsidR="008E6228" w:rsidRDefault="008E6228">
      <w:pPr>
        <w:pStyle w:val="FootnoteText"/>
      </w:pPr>
      <w:r>
        <w:rPr>
          <w:rStyle w:val="FootnoteReference"/>
        </w:rPr>
        <w:footnoteRef/>
      </w:r>
      <w:r>
        <w:t xml:space="preserve"> Government of Ireland (2019) </w:t>
      </w:r>
      <w:r w:rsidRPr="00851946">
        <w:rPr>
          <w:b/>
        </w:rPr>
        <w:t>National Social Enterprise Policy for Ireland 2019-2022</w:t>
      </w:r>
      <w:r>
        <w:t>, Dublin: DRCD.</w:t>
      </w:r>
    </w:p>
  </w:footnote>
  <w:footnote w:id="46">
    <w:p w14:paraId="08CF0A39" w14:textId="77777777" w:rsidR="008E6228" w:rsidRDefault="008E6228">
      <w:pPr>
        <w:pStyle w:val="FootnoteText"/>
      </w:pPr>
      <w:r>
        <w:rPr>
          <w:rStyle w:val="FootnoteReference"/>
        </w:rPr>
        <w:footnoteRef/>
      </w:r>
      <w:r>
        <w:t xml:space="preserve"> Enterprise Ireland (2017) </w:t>
      </w:r>
      <w:r w:rsidRPr="008C05F1">
        <w:rPr>
          <w:b/>
        </w:rPr>
        <w:t>Enterprise Ireland Strategy 2017-2020</w:t>
      </w:r>
      <w:r>
        <w:t>, Dublin: Enterprise Ireland.</w:t>
      </w:r>
    </w:p>
  </w:footnote>
  <w:footnote w:id="47">
    <w:p w14:paraId="09C7E103" w14:textId="77777777" w:rsidR="008E6228" w:rsidRPr="008C05F1" w:rsidRDefault="008E6228">
      <w:pPr>
        <w:pStyle w:val="FootnoteText"/>
        <w:rPr>
          <w:bCs/>
        </w:rPr>
      </w:pPr>
      <w:r>
        <w:rPr>
          <w:rStyle w:val="FootnoteReference"/>
        </w:rPr>
        <w:footnoteRef/>
      </w:r>
      <w:r>
        <w:t xml:space="preserve"> Department of Health (2011) </w:t>
      </w:r>
      <w:r w:rsidRPr="008C05F1">
        <w:rPr>
          <w:b/>
          <w:bCs/>
        </w:rPr>
        <w:t>National Policy and Strategy for the Provision of Neuro-rehabilitation Services in Ireland 2011–</w:t>
      </w:r>
      <w:r>
        <w:rPr>
          <w:b/>
          <w:bCs/>
        </w:rPr>
        <w:t>2015</w:t>
      </w:r>
      <w:r>
        <w:rPr>
          <w:bCs/>
        </w:rPr>
        <w:t>, Dublin: DoH.</w:t>
      </w:r>
    </w:p>
  </w:footnote>
  <w:footnote w:id="48">
    <w:p w14:paraId="540FDB53" w14:textId="77777777" w:rsidR="008E6228" w:rsidRDefault="008E6228">
      <w:pPr>
        <w:pStyle w:val="FootnoteText"/>
      </w:pPr>
      <w:r>
        <w:rPr>
          <w:rStyle w:val="FootnoteReference"/>
        </w:rPr>
        <w:footnoteRef/>
      </w:r>
      <w:r>
        <w:t xml:space="preserve"> Department of Employment Affairs and Social Protection (2017) </w:t>
      </w:r>
      <w:r w:rsidRPr="008C05F1">
        <w:rPr>
          <w:b/>
        </w:rPr>
        <w:t>Action Plan for Jobless Households</w:t>
      </w:r>
      <w:r>
        <w:t>, Dublin: DEASP.</w:t>
      </w:r>
    </w:p>
  </w:footnote>
  <w:footnote w:id="49">
    <w:p w14:paraId="7F5DD192" w14:textId="77777777" w:rsidR="008E6228" w:rsidRDefault="008E6228" w:rsidP="00B8762D">
      <w:pPr>
        <w:pStyle w:val="FootnoteText"/>
      </w:pPr>
      <w:r>
        <w:rPr>
          <w:rStyle w:val="FootnoteReference"/>
        </w:rPr>
        <w:footnoteRef/>
      </w:r>
      <w:r>
        <w:t xml:space="preserve"> </w:t>
      </w:r>
      <w:r w:rsidRPr="00A57C43">
        <w:t xml:space="preserve">National Disability Authority (2020) </w:t>
      </w:r>
      <w:r w:rsidRPr="00A57C43">
        <w:rPr>
          <w:b/>
        </w:rPr>
        <w:t>Comprehensive Employment Strategy 2019: NDA Year-end Review</w:t>
      </w:r>
      <w:r w:rsidRPr="00A57C43">
        <w:t>, Dublin: NDA.</w:t>
      </w:r>
    </w:p>
  </w:footnote>
  <w:footnote w:id="50">
    <w:p w14:paraId="4D3DC6C0" w14:textId="77777777" w:rsidR="008E6228" w:rsidRDefault="008E6228" w:rsidP="00B8762D">
      <w:pPr>
        <w:pStyle w:val="FootnoteText"/>
      </w:pPr>
      <w:r>
        <w:rPr>
          <w:rStyle w:val="FootnoteReference"/>
        </w:rPr>
        <w:footnoteRef/>
      </w:r>
      <w:r>
        <w:t xml:space="preserve"> </w:t>
      </w:r>
      <w:r w:rsidRPr="007457D7">
        <w:t xml:space="preserve">Minister </w:t>
      </w:r>
      <w:r>
        <w:t>for</w:t>
      </w:r>
      <w:r w:rsidRPr="007457D7">
        <w:t xml:space="preserve"> Employment</w:t>
      </w:r>
      <w:r>
        <w:t xml:space="preserve"> Affairs and Social Protection</w:t>
      </w:r>
      <w:r w:rsidRPr="007457D7">
        <w:t xml:space="preserve">, </w:t>
      </w:r>
      <w:r>
        <w:t>Regina Doherty</w:t>
      </w:r>
      <w:r w:rsidRPr="007457D7">
        <w:t xml:space="preserve"> TD, </w:t>
      </w:r>
      <w:r w:rsidRPr="007457D7">
        <w:rPr>
          <w:b/>
        </w:rPr>
        <w:t xml:space="preserve">Parliamentary Question, </w:t>
      </w:r>
      <w:r>
        <w:rPr>
          <w:b/>
        </w:rPr>
        <w:t>11 June 2019</w:t>
      </w:r>
      <w:r w:rsidRPr="007457D7">
        <w:rPr>
          <w:b/>
        </w:rPr>
        <w:t xml:space="preserve">, </w:t>
      </w:r>
      <w:r>
        <w:rPr>
          <w:b/>
        </w:rPr>
        <w:t>23534/19.</w:t>
      </w:r>
    </w:p>
  </w:footnote>
  <w:footnote w:id="51">
    <w:p w14:paraId="55FE7F34" w14:textId="77777777" w:rsidR="008E6228" w:rsidRDefault="008E6228" w:rsidP="00B8762D">
      <w:pPr>
        <w:pStyle w:val="FootnoteText"/>
      </w:pPr>
      <w:r>
        <w:rPr>
          <w:rStyle w:val="FootnoteReference"/>
        </w:rPr>
        <w:footnoteRef/>
      </w:r>
      <w:r>
        <w:t xml:space="preserve"> </w:t>
      </w:r>
      <w:r w:rsidRPr="009A2F7D">
        <w:t xml:space="preserve">Minister of State at the Department of Employment Affairs and Social Protection, the Department of Justice and Equality and the Department of Health with special responsibility for Disability Issues, Finian McGrath TD, </w:t>
      </w:r>
      <w:r w:rsidRPr="009A2F7D">
        <w:rPr>
          <w:b/>
        </w:rPr>
        <w:t xml:space="preserve">Parliamentary Question, </w:t>
      </w:r>
      <w:r>
        <w:rPr>
          <w:b/>
        </w:rPr>
        <w:t>10 May</w:t>
      </w:r>
      <w:r w:rsidRPr="009A2F7D">
        <w:rPr>
          <w:b/>
        </w:rPr>
        <w:t xml:space="preserve"> 2018, </w:t>
      </w:r>
      <w:r>
        <w:rPr>
          <w:b/>
        </w:rPr>
        <w:t>20678</w:t>
      </w:r>
      <w:r w:rsidRPr="009A2F7D">
        <w:rPr>
          <w:b/>
        </w:rPr>
        <w:t>/18.</w:t>
      </w:r>
    </w:p>
  </w:footnote>
  <w:footnote w:id="52">
    <w:p w14:paraId="1F62C45C" w14:textId="77777777" w:rsidR="008E6228" w:rsidRDefault="008E6228" w:rsidP="00861CDB">
      <w:pPr>
        <w:pStyle w:val="FootnoteText"/>
      </w:pPr>
      <w:r>
        <w:rPr>
          <w:rStyle w:val="FootnoteReference"/>
        </w:rPr>
        <w:footnoteRef/>
      </w:r>
      <w:r>
        <w:t xml:space="preserve"> </w:t>
      </w:r>
      <w:r w:rsidRPr="009A2F7D">
        <w:t>Indecon International Economic Consultants</w:t>
      </w:r>
      <w:r>
        <w:t xml:space="preserve"> (2016) </w:t>
      </w:r>
      <w:r w:rsidRPr="009A2F7D">
        <w:rPr>
          <w:b/>
        </w:rPr>
        <w:t>Evaluation of EmployAbility (Supported Employment) Service</w:t>
      </w:r>
      <w:r>
        <w:t>, Dublin: Indecon.</w:t>
      </w:r>
    </w:p>
  </w:footnote>
  <w:footnote w:id="53">
    <w:p w14:paraId="2B13C86D" w14:textId="77777777" w:rsidR="008E6228" w:rsidRDefault="008E6228" w:rsidP="00861CDB">
      <w:pPr>
        <w:pStyle w:val="FootnoteText"/>
      </w:pPr>
      <w:r>
        <w:rPr>
          <w:rStyle w:val="FootnoteReference"/>
        </w:rPr>
        <w:footnoteRef/>
      </w:r>
      <w:r>
        <w:t xml:space="preserve"> </w:t>
      </w:r>
      <w:r w:rsidRPr="00046B8D">
        <w:rPr>
          <w:bCs/>
        </w:rPr>
        <w:t>Community Participation (Disability) (Miscellaneous Provisions) Bill 2019: Second Stage, Wednesday, 19 June 2019</w:t>
      </w:r>
    </w:p>
  </w:footnote>
  <w:footnote w:id="54">
    <w:p w14:paraId="30FCD09F" w14:textId="77777777" w:rsidR="008E6228" w:rsidRDefault="008E6228" w:rsidP="00861CDB">
      <w:pPr>
        <w:pStyle w:val="FootnoteText"/>
      </w:pPr>
      <w:r>
        <w:rPr>
          <w:rStyle w:val="FootnoteReference"/>
        </w:rPr>
        <w:footnoteRef/>
      </w:r>
      <w:r>
        <w:t xml:space="preserve"> See Pobal website for more details: </w:t>
      </w:r>
      <w:hyperlink r:id="rId7" w:history="1">
        <w:r w:rsidRPr="00320F07">
          <w:rPr>
            <w:rStyle w:val="Hyperlink"/>
          </w:rPr>
          <w:t>https://www.pobal.ie/app/uploads/2018/06/Ability-Programme-Requirments-Document.pdf</w:t>
        </w:r>
      </w:hyperlink>
      <w:r>
        <w:t xml:space="preserve"> </w:t>
      </w:r>
    </w:p>
  </w:footnote>
  <w:footnote w:id="55">
    <w:p w14:paraId="6DDC2120" w14:textId="77777777" w:rsidR="008E6228" w:rsidRDefault="008E6228">
      <w:pPr>
        <w:pStyle w:val="FootnoteText"/>
      </w:pPr>
      <w:r>
        <w:rPr>
          <w:rStyle w:val="FootnoteReference"/>
        </w:rPr>
        <w:footnoteRef/>
      </w:r>
      <w:r>
        <w:t xml:space="preserve"> AHEAD (2019) </w:t>
      </w:r>
      <w:r w:rsidRPr="003A2882">
        <w:rPr>
          <w:b/>
        </w:rPr>
        <w:t>AHEAD Annual Report 2018</w:t>
      </w:r>
      <w:r>
        <w:t>, Dublin: AHEAD, p.32.</w:t>
      </w:r>
    </w:p>
  </w:footnote>
  <w:footnote w:id="56">
    <w:p w14:paraId="30EFBFC3" w14:textId="77777777" w:rsidR="008E6228" w:rsidRDefault="008E6228">
      <w:pPr>
        <w:pStyle w:val="FootnoteText"/>
      </w:pPr>
      <w:r>
        <w:rPr>
          <w:rStyle w:val="FootnoteReference"/>
        </w:rPr>
        <w:footnoteRef/>
      </w:r>
      <w:r>
        <w:t xml:space="preserve"> AHEAD (2016) </w:t>
      </w:r>
      <w:r w:rsidRPr="003A2882">
        <w:rPr>
          <w:b/>
        </w:rPr>
        <w:t>Including Graduates with a Disability in Your Workplace – Where to Start</w:t>
      </w:r>
      <w:r>
        <w:t>, Dublin: AHEAD.</w:t>
      </w:r>
    </w:p>
  </w:footnote>
  <w:footnote w:id="57">
    <w:p w14:paraId="789C6E7C" w14:textId="77777777" w:rsidR="008E6228" w:rsidRDefault="008E6228" w:rsidP="00861CDB">
      <w:pPr>
        <w:pStyle w:val="FootnoteText"/>
      </w:pPr>
      <w:r>
        <w:rPr>
          <w:rStyle w:val="FootnoteReference"/>
        </w:rPr>
        <w:footnoteRef/>
      </w:r>
      <w:r>
        <w:t xml:space="preserve"> AHEAD (2019) </w:t>
      </w:r>
      <w:r w:rsidRPr="003A2882">
        <w:rPr>
          <w:b/>
        </w:rPr>
        <w:t>AHEAD Annual Report 2018</w:t>
      </w:r>
      <w:r>
        <w:t>, Dublin: AHEAD, p.65.</w:t>
      </w:r>
    </w:p>
  </w:footnote>
  <w:footnote w:id="58">
    <w:p w14:paraId="2447724D" w14:textId="77777777" w:rsidR="008E6228" w:rsidRPr="00D915CE" w:rsidRDefault="008E6228">
      <w:pPr>
        <w:pStyle w:val="FootnoteText"/>
        <w:rPr>
          <w:bCs/>
        </w:rPr>
      </w:pPr>
      <w:r>
        <w:rPr>
          <w:rStyle w:val="FootnoteReference"/>
        </w:rPr>
        <w:footnoteRef/>
      </w:r>
      <w:r>
        <w:t xml:space="preserve"> </w:t>
      </w:r>
      <w:r w:rsidRPr="00D915CE">
        <w:rPr>
          <w:b/>
          <w:bCs/>
        </w:rPr>
        <w:t>Houses of the Oireachtas is the first Parliament to launch unique internship programme for people with intellectual disabilities</w:t>
      </w:r>
      <w:r>
        <w:rPr>
          <w:b/>
          <w:bCs/>
        </w:rPr>
        <w:t xml:space="preserve">, </w:t>
      </w:r>
      <w:r w:rsidRPr="00D915CE">
        <w:rPr>
          <w:bCs/>
        </w:rPr>
        <w:t>25 September 2018, press release.</w:t>
      </w:r>
    </w:p>
  </w:footnote>
  <w:footnote w:id="59">
    <w:p w14:paraId="63F8B323" w14:textId="77777777" w:rsidR="008E6228" w:rsidRDefault="008E6228">
      <w:pPr>
        <w:pStyle w:val="FootnoteText"/>
      </w:pPr>
      <w:r>
        <w:rPr>
          <w:rStyle w:val="FootnoteReference"/>
        </w:rPr>
        <w:footnoteRef/>
      </w:r>
      <w:r>
        <w:t xml:space="preserve"> Action 6.2 </w:t>
      </w:r>
      <w:r w:rsidRPr="00522EEF">
        <w:t xml:space="preserve">of the </w:t>
      </w:r>
      <w:r w:rsidRPr="00522EEF">
        <w:rPr>
          <w:b/>
        </w:rPr>
        <w:t>Comprehensive Employment Strategy: Phase Two Action Plan 2019-2021</w:t>
      </w:r>
      <w:r w:rsidRPr="00522EEF">
        <w:t>.</w:t>
      </w:r>
    </w:p>
  </w:footnote>
  <w:footnote w:id="60">
    <w:p w14:paraId="56FD2446" w14:textId="77777777" w:rsidR="008E6228" w:rsidRDefault="008E6228">
      <w:pPr>
        <w:pStyle w:val="FootnoteText"/>
      </w:pPr>
      <w:r>
        <w:rPr>
          <w:rStyle w:val="FootnoteReference"/>
        </w:rPr>
        <w:footnoteRef/>
      </w:r>
      <w:r>
        <w:t xml:space="preserve"> </w:t>
      </w:r>
      <w:r w:rsidRPr="00A57C43">
        <w:t xml:space="preserve">National Disability Authority (2020) </w:t>
      </w:r>
      <w:r w:rsidRPr="00A57C43">
        <w:rPr>
          <w:b/>
        </w:rPr>
        <w:t>Comprehensive Employment Strategy 2019: NDA Year-end Review</w:t>
      </w:r>
      <w:r w:rsidRPr="00A57C43">
        <w:t>, Dublin: NDA.</w:t>
      </w:r>
    </w:p>
  </w:footnote>
  <w:footnote w:id="61">
    <w:p w14:paraId="4865741C" w14:textId="77777777" w:rsidR="008E6228" w:rsidRDefault="008E6228">
      <w:pPr>
        <w:pStyle w:val="FootnoteText"/>
      </w:pPr>
      <w:r>
        <w:rPr>
          <w:rStyle w:val="FootnoteReference"/>
        </w:rPr>
        <w:footnoteRef/>
      </w:r>
      <w:r>
        <w:t xml:space="preserve"> Mental Health Reform (2018) </w:t>
      </w:r>
      <w:r w:rsidRPr="007C4DC8">
        <w:rPr>
          <w:b/>
        </w:rPr>
        <w:t>Steps into Work: Integrating Employment and Mental Health Supports Project Final Report</w:t>
      </w:r>
      <w:r>
        <w:t>, Dublin: MHR.</w:t>
      </w:r>
    </w:p>
  </w:footnote>
  <w:footnote w:id="62">
    <w:p w14:paraId="7724387A" w14:textId="77777777" w:rsidR="008E6228" w:rsidRDefault="008E6228" w:rsidP="00861CDB">
      <w:pPr>
        <w:pStyle w:val="FootnoteText"/>
      </w:pPr>
      <w:r>
        <w:rPr>
          <w:rStyle w:val="FootnoteReference"/>
        </w:rPr>
        <w:footnoteRef/>
      </w:r>
      <w:r>
        <w:t xml:space="preserve"> </w:t>
      </w:r>
      <w:r w:rsidRPr="00A57C43">
        <w:t xml:space="preserve">National Disability Authority (2020) </w:t>
      </w:r>
      <w:r w:rsidRPr="00A57C43">
        <w:rPr>
          <w:b/>
          <w:bCs/>
        </w:rPr>
        <w:t>Mid-term Review of Progress under the National Disability Inclusion Strategy Indicators</w:t>
      </w:r>
      <w:r w:rsidRPr="00A57C43">
        <w:rPr>
          <w:bCs/>
        </w:rPr>
        <w:t>, Dublin: NDA.</w:t>
      </w:r>
    </w:p>
  </w:footnote>
  <w:footnote w:id="63">
    <w:p w14:paraId="43978626" w14:textId="77777777" w:rsidR="008E6228" w:rsidRDefault="008E6228">
      <w:pPr>
        <w:pStyle w:val="FootnoteText"/>
      </w:pPr>
      <w:r>
        <w:rPr>
          <w:rStyle w:val="FootnoteReference"/>
        </w:rPr>
        <w:footnoteRef/>
      </w:r>
      <w:r>
        <w:t xml:space="preserve"> ibid</w:t>
      </w:r>
    </w:p>
  </w:footnote>
  <w:footnote w:id="64">
    <w:p w14:paraId="270233F3" w14:textId="77777777" w:rsidR="008E6228" w:rsidRDefault="008E6228">
      <w:pPr>
        <w:pStyle w:val="FootnoteText"/>
      </w:pPr>
      <w:r>
        <w:rPr>
          <w:rStyle w:val="FootnoteReference"/>
        </w:rPr>
        <w:footnoteRef/>
      </w:r>
      <w:r>
        <w:t xml:space="preserve"> Minister for Employment Affairs and Social Protection, Regina Doherty</w:t>
      </w:r>
      <w:r w:rsidRPr="00070194">
        <w:t xml:space="preserve"> TD, </w:t>
      </w:r>
      <w:r w:rsidRPr="00070194">
        <w:rPr>
          <w:b/>
        </w:rPr>
        <w:t xml:space="preserve">Parliamentary Question, </w:t>
      </w:r>
      <w:r>
        <w:rPr>
          <w:b/>
        </w:rPr>
        <w:t>5 December 2019</w:t>
      </w:r>
      <w:r w:rsidRPr="00070194">
        <w:rPr>
          <w:b/>
        </w:rPr>
        <w:t xml:space="preserve">, </w:t>
      </w:r>
      <w:r>
        <w:rPr>
          <w:b/>
        </w:rPr>
        <w:t>50733//19</w:t>
      </w:r>
      <w:r w:rsidRPr="00070194">
        <w:t>.</w:t>
      </w:r>
    </w:p>
  </w:footnote>
  <w:footnote w:id="65">
    <w:p w14:paraId="1A8FCA72" w14:textId="77777777" w:rsidR="008E6228" w:rsidRDefault="008E6228">
      <w:pPr>
        <w:pStyle w:val="FootnoteText"/>
      </w:pPr>
      <w:r>
        <w:rPr>
          <w:rStyle w:val="FootnoteReference"/>
        </w:rPr>
        <w:footnoteRef/>
      </w:r>
      <w:r>
        <w:t xml:space="preserve"> Correspondence received by the NDA from the Department of Employment Affairs and Social Protection, February 2020.</w:t>
      </w:r>
    </w:p>
  </w:footnote>
  <w:footnote w:id="66">
    <w:p w14:paraId="195630BD" w14:textId="77777777" w:rsidR="008E6228" w:rsidRDefault="008E6228">
      <w:pPr>
        <w:pStyle w:val="FootnoteText"/>
      </w:pPr>
      <w:r>
        <w:rPr>
          <w:rStyle w:val="FootnoteReference"/>
        </w:rPr>
        <w:footnoteRef/>
      </w:r>
      <w:r>
        <w:t xml:space="preserve"> </w:t>
      </w:r>
      <w:r w:rsidRPr="00D95496">
        <w:t>Correspondence received by the NDA from the Department of Employment Affairs and Social Protection, February 2020.</w:t>
      </w:r>
    </w:p>
  </w:footnote>
  <w:footnote w:id="67">
    <w:p w14:paraId="1A98746A" w14:textId="77777777" w:rsidR="008E6228" w:rsidRDefault="008E6228" w:rsidP="00861CDB">
      <w:pPr>
        <w:pStyle w:val="FootnoteText"/>
      </w:pPr>
      <w:r>
        <w:rPr>
          <w:rStyle w:val="FootnoteReference"/>
        </w:rPr>
        <w:footnoteRef/>
      </w:r>
      <w:r>
        <w:t xml:space="preserve"> Health Service Executive (2019) </w:t>
      </w:r>
      <w:r w:rsidRPr="007A5B58">
        <w:rPr>
          <w:b/>
        </w:rPr>
        <w:t>National Service Plan 2020</w:t>
      </w:r>
      <w:r>
        <w:t>, Dublin: HSE, p.136.</w:t>
      </w:r>
    </w:p>
  </w:footnote>
  <w:footnote w:id="68">
    <w:p w14:paraId="65B6D15C" w14:textId="77777777" w:rsidR="008E6228" w:rsidRDefault="008E6228">
      <w:pPr>
        <w:pStyle w:val="FootnoteText"/>
      </w:pPr>
      <w:r>
        <w:rPr>
          <w:rStyle w:val="FootnoteReference"/>
        </w:rPr>
        <w:footnoteRef/>
      </w:r>
      <w:r>
        <w:t xml:space="preserve"> </w:t>
      </w:r>
      <w:r w:rsidRPr="004970EC">
        <w:t xml:space="preserve">National Disability Authority (2020) </w:t>
      </w:r>
      <w:r w:rsidRPr="004970EC">
        <w:rPr>
          <w:b/>
          <w:bCs/>
        </w:rPr>
        <w:t>Mid-term Review of Progress under the National Disability Inclusion Strategy Indicators</w:t>
      </w:r>
      <w:r w:rsidRPr="004970EC">
        <w:rPr>
          <w:bCs/>
        </w:rPr>
        <w:t>, Dublin: NDA.</w:t>
      </w:r>
    </w:p>
  </w:footnote>
  <w:footnote w:id="69">
    <w:p w14:paraId="318AA1DF" w14:textId="77777777" w:rsidR="008E6228" w:rsidRDefault="008E6228">
      <w:pPr>
        <w:pStyle w:val="FootnoteText"/>
      </w:pPr>
      <w:r>
        <w:rPr>
          <w:rStyle w:val="FootnoteReference"/>
        </w:rPr>
        <w:footnoteRef/>
      </w:r>
      <w:r>
        <w:t xml:space="preserve"> ibid</w:t>
      </w:r>
    </w:p>
  </w:footnote>
  <w:footnote w:id="70">
    <w:p w14:paraId="2E70AD9F" w14:textId="77777777" w:rsidR="008E6228" w:rsidRDefault="008E6228">
      <w:pPr>
        <w:pStyle w:val="FootnoteText"/>
      </w:pPr>
      <w:r>
        <w:rPr>
          <w:rStyle w:val="FootnoteReference"/>
        </w:rPr>
        <w:footnoteRef/>
      </w:r>
      <w:r>
        <w:t xml:space="preserve"> Health Service Executive (2019) </w:t>
      </w:r>
      <w:r w:rsidRPr="007A5B58">
        <w:rPr>
          <w:b/>
        </w:rPr>
        <w:t>National Service Plan 2020</w:t>
      </w:r>
      <w:r>
        <w:t>, Dublin: HSE, p.136.</w:t>
      </w:r>
    </w:p>
  </w:footnote>
  <w:footnote w:id="71">
    <w:p w14:paraId="33C17CC9" w14:textId="77777777" w:rsidR="008E6228" w:rsidRDefault="008E6228">
      <w:pPr>
        <w:pStyle w:val="FootnoteText"/>
      </w:pPr>
      <w:r>
        <w:rPr>
          <w:rStyle w:val="FootnoteReference"/>
        </w:rPr>
        <w:footnoteRef/>
      </w:r>
      <w:r>
        <w:t xml:space="preserve"> Action 2.20 of the </w:t>
      </w:r>
      <w:r w:rsidRPr="005679A5">
        <w:rPr>
          <w:b/>
        </w:rPr>
        <w:t>Comprehensive Employment Strategy Phase Two Action Plan</w:t>
      </w:r>
      <w:r>
        <w:t>.</w:t>
      </w:r>
    </w:p>
  </w:footnote>
  <w:footnote w:id="72">
    <w:p w14:paraId="20DD0490" w14:textId="77777777" w:rsidR="008E6228" w:rsidRDefault="008E6228">
      <w:pPr>
        <w:pStyle w:val="FootnoteText"/>
      </w:pPr>
      <w:r>
        <w:rPr>
          <w:rStyle w:val="FootnoteReference"/>
        </w:rPr>
        <w:footnoteRef/>
      </w:r>
      <w:r>
        <w:t xml:space="preserve"> More information is available on the Social Innovation Fund website at </w:t>
      </w:r>
      <w:hyperlink r:id="rId8" w:history="1">
        <w:r w:rsidRPr="004845A4">
          <w:rPr>
            <w:rStyle w:val="Hyperlink"/>
          </w:rPr>
          <w:t>http://www.socialinnovation.ie/ability-to-work-fund/</w:t>
        </w:r>
      </w:hyperlink>
      <w:r>
        <w:t>.</w:t>
      </w:r>
    </w:p>
  </w:footnote>
  <w:footnote w:id="73">
    <w:p w14:paraId="5A04BE1C" w14:textId="77777777" w:rsidR="008E6228" w:rsidRDefault="008E6228">
      <w:pPr>
        <w:pStyle w:val="FootnoteText"/>
      </w:pPr>
      <w:r>
        <w:rPr>
          <w:rStyle w:val="FootnoteReference"/>
        </w:rPr>
        <w:footnoteRef/>
      </w:r>
      <w:r>
        <w:t xml:space="preserve"> </w:t>
      </w:r>
      <w:r w:rsidRPr="007457D7">
        <w:t xml:space="preserve">Minister of State at the Department of Employment Affairs and Social Protection, the Department of Justice and Equality and the Department of Health with special responsibility for Disability Issues, Finian McGrath TD, </w:t>
      </w:r>
      <w:r w:rsidRPr="007457D7">
        <w:rPr>
          <w:b/>
        </w:rPr>
        <w:t>Parliamentary Question, 4 December 2018, 50427/18.</w:t>
      </w:r>
    </w:p>
  </w:footnote>
  <w:footnote w:id="74">
    <w:p w14:paraId="02FE220D" w14:textId="77777777" w:rsidR="008E6228" w:rsidRDefault="008E6228" w:rsidP="00861CDB">
      <w:pPr>
        <w:pStyle w:val="FootnoteText"/>
      </w:pPr>
      <w:r>
        <w:rPr>
          <w:rStyle w:val="FootnoteReference"/>
        </w:rPr>
        <w:footnoteRef/>
      </w:r>
      <w:r>
        <w:t xml:space="preserve"> According to the Minister for Employment Affairs and Social Protection, t</w:t>
      </w:r>
      <w:r w:rsidRPr="00070194">
        <w:t xml:space="preserve">he rationale in relation </w:t>
      </w:r>
      <w:r>
        <w:t>to the Wage Subsidy Scheme</w:t>
      </w:r>
      <w:r w:rsidRPr="00070194">
        <w:t xml:space="preserve"> having a minimum of 21 subsidised hours is to increase the likelihood of </w:t>
      </w:r>
      <w:r>
        <w:t>persons</w:t>
      </w:r>
      <w:r w:rsidRPr="00070194">
        <w:t xml:space="preserve"> with disabilities obtaining and sustaining employment in the open labour market.</w:t>
      </w:r>
      <w:r>
        <w:t xml:space="preserve"> Minister for Employment Affairs and Social Protection, Regina Doherty</w:t>
      </w:r>
      <w:r w:rsidRPr="00070194">
        <w:t xml:space="preserve"> TD, </w:t>
      </w:r>
      <w:r w:rsidRPr="00070194">
        <w:rPr>
          <w:b/>
        </w:rPr>
        <w:t xml:space="preserve">Parliamentary Question, </w:t>
      </w:r>
      <w:r>
        <w:rPr>
          <w:b/>
        </w:rPr>
        <w:t>19 February 2019</w:t>
      </w:r>
      <w:r w:rsidRPr="00070194">
        <w:rPr>
          <w:b/>
        </w:rPr>
        <w:t xml:space="preserve">, </w:t>
      </w:r>
      <w:r>
        <w:rPr>
          <w:b/>
        </w:rPr>
        <w:t>7896/19</w:t>
      </w:r>
      <w:r w:rsidRPr="00070194">
        <w:t>.</w:t>
      </w:r>
    </w:p>
  </w:footnote>
  <w:footnote w:id="75">
    <w:p w14:paraId="6A6CF315" w14:textId="77777777" w:rsidR="008E6228" w:rsidRPr="007C4DC8" w:rsidRDefault="008E6228">
      <w:pPr>
        <w:pStyle w:val="FootnoteText"/>
        <w:rPr>
          <w:bCs/>
        </w:rPr>
      </w:pPr>
      <w:r>
        <w:rPr>
          <w:rStyle w:val="FootnoteReference"/>
        </w:rPr>
        <w:footnoteRef/>
      </w:r>
      <w:r>
        <w:t xml:space="preserve"> National Disability Authority (2019) </w:t>
      </w:r>
      <w:bookmarkStart w:id="33" w:name="_Toc16086955"/>
      <w:bookmarkStart w:id="34" w:name="_Toc26192064"/>
      <w:r w:rsidRPr="007C4DC8">
        <w:rPr>
          <w:b/>
          <w:bCs/>
        </w:rPr>
        <w:t>Reasonable Accommodations: Obstacles and Opportunities</w:t>
      </w:r>
      <w:bookmarkEnd w:id="33"/>
      <w:r w:rsidRPr="007C4DC8">
        <w:rPr>
          <w:b/>
          <w:bCs/>
        </w:rPr>
        <w:t xml:space="preserve"> to the Employment of Persons with a Disability</w:t>
      </w:r>
      <w:bookmarkEnd w:id="34"/>
      <w:r>
        <w:rPr>
          <w:bCs/>
        </w:rPr>
        <w:t>, Dublin: NDA, p.93-94.</w:t>
      </w:r>
    </w:p>
  </w:footnote>
  <w:footnote w:id="76">
    <w:p w14:paraId="70B66CD5" w14:textId="77777777" w:rsidR="008E6228" w:rsidRDefault="008E6228">
      <w:pPr>
        <w:pStyle w:val="FootnoteText"/>
      </w:pPr>
      <w:r>
        <w:rPr>
          <w:rStyle w:val="FootnoteReference"/>
        </w:rPr>
        <w:footnoteRef/>
      </w:r>
      <w:r>
        <w:t xml:space="preserve"> ibid</w:t>
      </w:r>
    </w:p>
  </w:footnote>
  <w:footnote w:id="77">
    <w:p w14:paraId="217A100E" w14:textId="77777777" w:rsidR="008E6228" w:rsidRDefault="008E6228">
      <w:pPr>
        <w:pStyle w:val="FootnoteText"/>
      </w:pPr>
      <w:r>
        <w:rPr>
          <w:rStyle w:val="FootnoteReference"/>
        </w:rPr>
        <w:footnoteRef/>
      </w:r>
      <w:r>
        <w:t xml:space="preserve"> ibid</w:t>
      </w:r>
    </w:p>
  </w:footnote>
  <w:footnote w:id="78">
    <w:p w14:paraId="62C6B97B" w14:textId="77777777" w:rsidR="008E6228" w:rsidRDefault="008E6228">
      <w:pPr>
        <w:pStyle w:val="FootnoteText"/>
      </w:pPr>
      <w:r>
        <w:rPr>
          <w:rStyle w:val="FootnoteReference"/>
        </w:rPr>
        <w:footnoteRef/>
      </w:r>
      <w:r>
        <w:t xml:space="preserve"> National Disability Authority (2019) </w:t>
      </w:r>
      <w:r w:rsidRPr="007C4DC8">
        <w:rPr>
          <w:b/>
          <w:bCs/>
        </w:rPr>
        <w:t>Reasonable Accommodations: Obstacles and Opportunities to the Employment of Persons with a Disability</w:t>
      </w:r>
      <w:r>
        <w:rPr>
          <w:bCs/>
        </w:rPr>
        <w:t>, Dublin: NDA, p.12.</w:t>
      </w:r>
    </w:p>
  </w:footnote>
  <w:footnote w:id="79">
    <w:p w14:paraId="7CC6A010" w14:textId="77777777" w:rsidR="008E6228" w:rsidRDefault="008E6228">
      <w:pPr>
        <w:pStyle w:val="FootnoteText"/>
      </w:pPr>
      <w:r>
        <w:rPr>
          <w:rStyle w:val="FootnoteReference"/>
        </w:rPr>
        <w:footnoteRef/>
      </w:r>
      <w:r>
        <w:t xml:space="preserve"> Ibid,</w:t>
      </w:r>
      <w:r>
        <w:rPr>
          <w:bCs/>
        </w:rPr>
        <w:t xml:space="preserve"> p.88.</w:t>
      </w:r>
    </w:p>
  </w:footnote>
  <w:footnote w:id="80">
    <w:p w14:paraId="6AF773BB" w14:textId="77777777" w:rsidR="008E6228" w:rsidRDefault="008E6228" w:rsidP="00861CDB">
      <w:pPr>
        <w:pStyle w:val="FootnoteText"/>
      </w:pPr>
      <w:r>
        <w:rPr>
          <w:rStyle w:val="FootnoteReference"/>
        </w:rPr>
        <w:footnoteRef/>
      </w:r>
      <w:r>
        <w:t xml:space="preserve"> The </w:t>
      </w:r>
      <w:r w:rsidRPr="00D66093">
        <w:rPr>
          <w:b/>
        </w:rPr>
        <w:t>Irish Sign Language Act 2017</w:t>
      </w:r>
      <w:r>
        <w:t xml:space="preserve"> now recognises ISL as </w:t>
      </w:r>
      <w:r w:rsidRPr="00D66093">
        <w:t>a native and independent language</w:t>
      </w:r>
      <w:r>
        <w:t>.</w:t>
      </w:r>
    </w:p>
  </w:footnote>
  <w:footnote w:id="81">
    <w:p w14:paraId="321FB8C2" w14:textId="77777777" w:rsidR="008E6228" w:rsidRDefault="008E6228" w:rsidP="00861CDB">
      <w:pPr>
        <w:pStyle w:val="FootnoteText"/>
      </w:pPr>
      <w:r>
        <w:rPr>
          <w:rStyle w:val="FootnoteReference"/>
        </w:rPr>
        <w:footnoteRef/>
      </w:r>
      <w:r>
        <w:t xml:space="preserve"> Employer Disability Information service, </w:t>
      </w:r>
      <w:r w:rsidRPr="007E3450">
        <w:rPr>
          <w:b/>
        </w:rPr>
        <w:t>Report to the Department of Employment Affairs and Social Protection Report dated 30</w:t>
      </w:r>
      <w:r w:rsidRPr="007E3450">
        <w:rPr>
          <w:b/>
          <w:vertAlign w:val="superscript"/>
        </w:rPr>
        <w:t>th</w:t>
      </w:r>
      <w:r w:rsidRPr="007E3450">
        <w:rPr>
          <w:b/>
        </w:rPr>
        <w:t xml:space="preserve"> May 2016</w:t>
      </w:r>
      <w:r w:rsidRPr="007D5E3C">
        <w:t xml:space="preserve">, available at </w:t>
      </w:r>
      <w:r>
        <w:t>the Employer Disability Information service website &lt;</w:t>
      </w:r>
      <w:hyperlink r:id="rId9" w:history="1">
        <w:r w:rsidRPr="007D5E3C">
          <w:rPr>
            <w:rStyle w:val="Hyperlink"/>
          </w:rPr>
          <w:t>http://www.employerdisabilityinfo.ie/about/submissions/deasp-report</w:t>
        </w:r>
      </w:hyperlink>
      <w:r>
        <w:t>&gt;.</w:t>
      </w:r>
    </w:p>
  </w:footnote>
  <w:footnote w:id="82">
    <w:p w14:paraId="05FFACA4" w14:textId="77777777" w:rsidR="008E6228" w:rsidRDefault="008E6228">
      <w:pPr>
        <w:pStyle w:val="FootnoteText"/>
      </w:pPr>
      <w:r>
        <w:rPr>
          <w:rStyle w:val="FootnoteReference"/>
        </w:rPr>
        <w:footnoteRef/>
      </w:r>
      <w:r>
        <w:t xml:space="preserve"> National Disability Authority (2019) </w:t>
      </w:r>
      <w:r w:rsidRPr="007C4DC8">
        <w:rPr>
          <w:b/>
          <w:bCs/>
        </w:rPr>
        <w:t>Reasonable Accommodations: Obstacles and Opportunities to the Employment of Persons with a Disability</w:t>
      </w:r>
      <w:r>
        <w:rPr>
          <w:bCs/>
        </w:rPr>
        <w:t>, Dublin: NDA, p.94.</w:t>
      </w:r>
    </w:p>
  </w:footnote>
  <w:footnote w:id="83">
    <w:p w14:paraId="3C8ED1F7" w14:textId="77777777" w:rsidR="008E6228" w:rsidRDefault="008E6228">
      <w:pPr>
        <w:pStyle w:val="FootnoteText"/>
      </w:pPr>
      <w:r>
        <w:rPr>
          <w:rStyle w:val="FootnoteReference"/>
        </w:rPr>
        <w:footnoteRef/>
      </w:r>
      <w:r>
        <w:t xml:space="preserve"> Ibid</w:t>
      </w:r>
      <w:r>
        <w:rPr>
          <w:bCs/>
        </w:rPr>
        <w:t>, p.124.</w:t>
      </w:r>
    </w:p>
  </w:footnote>
  <w:footnote w:id="84">
    <w:p w14:paraId="4E19C805" w14:textId="77777777" w:rsidR="008E6228" w:rsidRDefault="008E6228" w:rsidP="007664EB">
      <w:pPr>
        <w:pStyle w:val="FootnoteText"/>
      </w:pPr>
      <w:r>
        <w:rPr>
          <w:rStyle w:val="FootnoteReference"/>
        </w:rPr>
        <w:footnoteRef/>
      </w:r>
      <w:r>
        <w:t xml:space="preserve"> Action 2.4 of the </w:t>
      </w:r>
      <w:r w:rsidRPr="005679A5">
        <w:rPr>
          <w:b/>
        </w:rPr>
        <w:t>Comprehensive Employment Strategy Phase Two Action Plan</w:t>
      </w:r>
      <w:r>
        <w:t>.</w:t>
      </w:r>
    </w:p>
  </w:footnote>
  <w:footnote w:id="85">
    <w:p w14:paraId="4E1B591C" w14:textId="77777777" w:rsidR="008E6228" w:rsidRDefault="008E6228" w:rsidP="007664EB">
      <w:pPr>
        <w:pStyle w:val="FootnoteText"/>
      </w:pPr>
      <w:r>
        <w:rPr>
          <w:rStyle w:val="FootnoteReference"/>
        </w:rPr>
        <w:footnoteRef/>
      </w:r>
      <w:r>
        <w:t xml:space="preserve"> Ibid, Action 6.1 </w:t>
      </w:r>
    </w:p>
  </w:footnote>
  <w:footnote w:id="86">
    <w:p w14:paraId="0A36533A" w14:textId="77777777" w:rsidR="008E6228" w:rsidRDefault="008E6228">
      <w:pPr>
        <w:pStyle w:val="FootnoteText"/>
      </w:pPr>
      <w:r>
        <w:rPr>
          <w:rStyle w:val="FootnoteReference"/>
        </w:rPr>
        <w:footnoteRef/>
      </w:r>
      <w:r>
        <w:t xml:space="preserve"> National Disability Authority (2019) </w:t>
      </w:r>
      <w:r w:rsidRPr="007C4DC8">
        <w:rPr>
          <w:b/>
          <w:bCs/>
        </w:rPr>
        <w:t>Reasonable Accommodations: Obstacles and Opportunities to the Employment of Persons with a Disability</w:t>
      </w:r>
      <w:r>
        <w:rPr>
          <w:bCs/>
        </w:rPr>
        <w:t>, Dublin: NDA, p.125.</w:t>
      </w:r>
    </w:p>
  </w:footnote>
  <w:footnote w:id="87">
    <w:p w14:paraId="6123998E" w14:textId="77777777" w:rsidR="008E6228" w:rsidRDefault="008E6228" w:rsidP="00861CDB">
      <w:pPr>
        <w:pStyle w:val="FootnoteText"/>
      </w:pPr>
      <w:r>
        <w:rPr>
          <w:rStyle w:val="FootnoteReference"/>
        </w:rPr>
        <w:footnoteRef/>
      </w:r>
      <w:r>
        <w:t xml:space="preserve"> </w:t>
      </w:r>
      <w:r w:rsidRPr="00FE2467">
        <w:t>More information is available on the Department of Employment Affairs and Social Protection website</w:t>
      </w:r>
      <w:r>
        <w:t>.</w:t>
      </w:r>
    </w:p>
  </w:footnote>
  <w:footnote w:id="88">
    <w:p w14:paraId="2DC6D359" w14:textId="77777777" w:rsidR="008E6228" w:rsidRDefault="008E6228" w:rsidP="00861CDB">
      <w:pPr>
        <w:pStyle w:val="FootnoteText"/>
      </w:pPr>
      <w:r>
        <w:rPr>
          <w:rStyle w:val="FootnoteReference"/>
        </w:rPr>
        <w:footnoteRef/>
      </w:r>
      <w:r>
        <w:t xml:space="preserve"> </w:t>
      </w:r>
      <w:r w:rsidRPr="00FE2467">
        <w:t xml:space="preserve">Minister of State at the Department of Employment Affairs and Social Protection, the Department of Justice and Equality and the Department of Health with special responsibility for Disability Issues, Finian McGrath TD, </w:t>
      </w:r>
      <w:r w:rsidRPr="00342BF5">
        <w:rPr>
          <w:b/>
        </w:rPr>
        <w:t>Parliamentary Question, 27 June 2019, 27321/19.</w:t>
      </w:r>
    </w:p>
  </w:footnote>
  <w:footnote w:id="89">
    <w:p w14:paraId="3FA6D35A" w14:textId="77777777" w:rsidR="008E6228" w:rsidRPr="004B5D81" w:rsidRDefault="008E6228" w:rsidP="00861CDB">
      <w:pPr>
        <w:pStyle w:val="FootnoteText"/>
      </w:pPr>
      <w:r>
        <w:rPr>
          <w:rStyle w:val="FootnoteReference"/>
        </w:rPr>
        <w:footnoteRef/>
      </w:r>
      <w:r>
        <w:t xml:space="preserve"> National Disability Authority (2005) </w:t>
      </w:r>
      <w:r w:rsidRPr="004B5D81">
        <w:rPr>
          <w:b/>
        </w:rPr>
        <w:t>Guidelines for Purchasers of Disability Equality Training</w:t>
      </w:r>
      <w:r>
        <w:t>, Dublin: NDA.</w:t>
      </w:r>
    </w:p>
  </w:footnote>
  <w:footnote w:id="90">
    <w:p w14:paraId="7E06EB40" w14:textId="77777777" w:rsidR="008E6228" w:rsidRDefault="008E6228" w:rsidP="00861CDB">
      <w:pPr>
        <w:pStyle w:val="FootnoteText"/>
      </w:pPr>
      <w:r>
        <w:rPr>
          <w:rStyle w:val="FootnoteReference"/>
        </w:rPr>
        <w:footnoteRef/>
      </w:r>
      <w:r>
        <w:t xml:space="preserve"> </w:t>
      </w:r>
      <w:r w:rsidRPr="00FE2467">
        <w:t xml:space="preserve">Minister of State at the Department of Employment Affairs and Social Protection, the Department of Justice and Equality and the Department of Health with special responsibility for Disability Issues, Finian McGrath TD, </w:t>
      </w:r>
      <w:r w:rsidRPr="00342BF5">
        <w:rPr>
          <w:b/>
        </w:rPr>
        <w:t>Parliamentary Question, 27 June 2019, 27321/19</w:t>
      </w:r>
      <w:r w:rsidRPr="00FE2467">
        <w:t>.</w:t>
      </w:r>
    </w:p>
  </w:footnote>
  <w:footnote w:id="91">
    <w:p w14:paraId="6A7BE1FF" w14:textId="77777777" w:rsidR="008E6228" w:rsidRDefault="008E6228">
      <w:pPr>
        <w:pStyle w:val="FootnoteText"/>
      </w:pPr>
      <w:r>
        <w:rPr>
          <w:rStyle w:val="FootnoteReference"/>
        </w:rPr>
        <w:footnoteRef/>
      </w:r>
      <w:r>
        <w:t xml:space="preserve"> National Disability Authority (2019) </w:t>
      </w:r>
      <w:r w:rsidRPr="007C4DC8">
        <w:rPr>
          <w:b/>
          <w:bCs/>
        </w:rPr>
        <w:t>Reasonable Accommodations: Obstacles and Opportunities to the Employment of Persons with a Disability</w:t>
      </w:r>
      <w:r>
        <w:rPr>
          <w:bCs/>
        </w:rPr>
        <w:t>, Dublin: NDA, p.124.</w:t>
      </w:r>
    </w:p>
  </w:footnote>
  <w:footnote w:id="92">
    <w:p w14:paraId="2D99D545" w14:textId="77777777" w:rsidR="008E6228" w:rsidRDefault="008E6228">
      <w:pPr>
        <w:pStyle w:val="FootnoteText"/>
      </w:pPr>
      <w:r>
        <w:rPr>
          <w:rStyle w:val="FootnoteReference"/>
        </w:rPr>
        <w:footnoteRef/>
      </w:r>
      <w:r>
        <w:t xml:space="preserve"> </w:t>
      </w:r>
      <w:r w:rsidRPr="00342BF5">
        <w:t xml:space="preserve">The Disability Awareness Support Scheme offers funding to private sector employers to provide Disability Awareness Training for staff who work with a colleague who has a disability.” More information is available on the website of the Department of Employment Affairs and Social Protection &lt; </w:t>
      </w:r>
      <w:hyperlink r:id="rId10" w:history="1">
        <w:r w:rsidRPr="00342BF5">
          <w:rPr>
            <w:rStyle w:val="Hyperlink"/>
          </w:rPr>
          <w:t>http://www.welfare.ie/en/Pages/Disability-Awareness-Training_holder.aspx</w:t>
        </w:r>
      </w:hyperlink>
      <w:r w:rsidRPr="00342BF5">
        <w:t>&gt;. The Application Form questions whether the proposed course participants work with a colleague who has a disability. If not, the employer is required to explain why these participants are being proposed for disability awareness training. The Application Form is available on the website of the Department of Employment Affairs and Social Protection &lt;</w:t>
      </w:r>
      <w:hyperlink r:id="rId11" w:history="1">
        <w:r w:rsidRPr="00342BF5">
          <w:rPr>
            <w:rStyle w:val="Hyperlink"/>
          </w:rPr>
          <w:t>http://www.welfare.ie/en/pdf/DisabilityAwarenessTrainingApplication.pdf</w:t>
        </w:r>
      </w:hyperlink>
      <w:r w:rsidRPr="00342BF5">
        <w:t>&gt;.</w:t>
      </w:r>
    </w:p>
  </w:footnote>
  <w:footnote w:id="93">
    <w:p w14:paraId="0197858C" w14:textId="77777777" w:rsidR="008E6228" w:rsidRDefault="008E6228">
      <w:pPr>
        <w:pStyle w:val="FootnoteText"/>
      </w:pPr>
      <w:r>
        <w:rPr>
          <w:rStyle w:val="FootnoteReference"/>
        </w:rPr>
        <w:footnoteRef/>
      </w:r>
      <w:r>
        <w:t xml:space="preserve"> National Disability Authority (2019) </w:t>
      </w:r>
      <w:r w:rsidRPr="007C4DC8">
        <w:rPr>
          <w:b/>
          <w:bCs/>
        </w:rPr>
        <w:t>Reasonable Accommodations: Obstacles and Opportunities to the Employment of Persons with a Disability</w:t>
      </w:r>
      <w:r>
        <w:rPr>
          <w:bCs/>
        </w:rPr>
        <w:t>, Dublin: NDA, p.93.</w:t>
      </w:r>
    </w:p>
  </w:footnote>
  <w:footnote w:id="94">
    <w:p w14:paraId="2CEAF84B" w14:textId="77777777" w:rsidR="008E6228" w:rsidRDefault="008E6228" w:rsidP="00861CDB">
      <w:pPr>
        <w:pStyle w:val="FootnoteText"/>
      </w:pPr>
      <w:r>
        <w:rPr>
          <w:rStyle w:val="FootnoteReference"/>
        </w:rPr>
        <w:footnoteRef/>
      </w:r>
      <w:r>
        <w:t xml:space="preserve"> Employer Disability Information (2018</w:t>
      </w:r>
      <w:r w:rsidRPr="00342BF5">
        <w:rPr>
          <w:b/>
        </w:rPr>
        <w:t>) Employers Attitude To Employing People With Disabilities: Survey Results</w:t>
      </w:r>
      <w:r>
        <w:t xml:space="preserve">, Dublin: EDI. </w:t>
      </w:r>
    </w:p>
  </w:footnote>
  <w:footnote w:id="95">
    <w:p w14:paraId="4A28AF2D" w14:textId="77777777" w:rsidR="008E6228" w:rsidRDefault="008E6228">
      <w:pPr>
        <w:pStyle w:val="FootnoteText"/>
      </w:pPr>
      <w:r>
        <w:rPr>
          <w:rStyle w:val="FootnoteReference"/>
        </w:rPr>
        <w:footnoteRef/>
      </w:r>
      <w:r>
        <w:t xml:space="preserve"> Action 118 of the </w:t>
      </w:r>
      <w:r w:rsidRPr="004B5D81">
        <w:rPr>
          <w:b/>
        </w:rPr>
        <w:t>Mid-Term Review of the National Disability Inclusion Strategy 2017-2021</w:t>
      </w:r>
      <w:r w:rsidRPr="004B5D81">
        <w:t>.</w:t>
      </w:r>
    </w:p>
  </w:footnote>
  <w:footnote w:id="96">
    <w:p w14:paraId="15D53169" w14:textId="77777777" w:rsidR="008E6228" w:rsidRDefault="008E6228">
      <w:pPr>
        <w:pStyle w:val="FootnoteText"/>
      </w:pPr>
      <w:r>
        <w:rPr>
          <w:rStyle w:val="FootnoteReference"/>
        </w:rPr>
        <w:footnoteRef/>
      </w:r>
      <w:r>
        <w:t xml:space="preserve"> Action 6.12 of the </w:t>
      </w:r>
      <w:r w:rsidRPr="004B5D81">
        <w:rPr>
          <w:b/>
        </w:rPr>
        <w:t>Comprehensive Employment Strategy: Phase Two Action Plan 2019-2021</w:t>
      </w:r>
      <w:r w:rsidRPr="004B5D81">
        <w:t>.</w:t>
      </w:r>
    </w:p>
  </w:footnote>
  <w:footnote w:id="97">
    <w:p w14:paraId="2ED53760" w14:textId="77777777" w:rsidR="008E6228" w:rsidRDefault="008E6228">
      <w:pPr>
        <w:pStyle w:val="FootnoteText"/>
      </w:pPr>
      <w:r>
        <w:rPr>
          <w:rStyle w:val="FootnoteReference"/>
        </w:rPr>
        <w:footnoteRef/>
      </w:r>
      <w:r>
        <w:t xml:space="preserve"> Forthcoming National Disability Authority, Part 5 Report 2018.</w:t>
      </w:r>
    </w:p>
  </w:footnote>
  <w:footnote w:id="98">
    <w:p w14:paraId="44BA3A7D" w14:textId="77777777" w:rsidR="008E6228" w:rsidRDefault="008E6228">
      <w:pPr>
        <w:pStyle w:val="FootnoteText"/>
      </w:pPr>
      <w:r>
        <w:rPr>
          <w:rStyle w:val="FootnoteReference"/>
        </w:rPr>
        <w:footnoteRef/>
      </w:r>
      <w:r>
        <w:t xml:space="preserve"> </w:t>
      </w:r>
      <w:r w:rsidRPr="004970EC">
        <w:t xml:space="preserve">National Disability Authority (2020) </w:t>
      </w:r>
      <w:r w:rsidRPr="004970EC">
        <w:rPr>
          <w:b/>
          <w:bCs/>
        </w:rPr>
        <w:t>Mid-term Review of Progress under the National Disability Inclusion Strategy Indicators</w:t>
      </w:r>
      <w:r w:rsidRPr="004970EC">
        <w:rPr>
          <w:bCs/>
        </w:rPr>
        <w:t>, Dublin: NDA.</w:t>
      </w:r>
    </w:p>
  </w:footnote>
  <w:footnote w:id="99">
    <w:p w14:paraId="3762945E" w14:textId="77777777" w:rsidR="008E6228" w:rsidRDefault="008E6228" w:rsidP="002B423B">
      <w:pPr>
        <w:pStyle w:val="FootnoteText"/>
      </w:pPr>
      <w:r>
        <w:rPr>
          <w:rStyle w:val="FootnoteReference"/>
        </w:rPr>
        <w:footnoteRef/>
      </w:r>
      <w:r>
        <w:t xml:space="preserve"> Action 6.4 of the </w:t>
      </w:r>
      <w:r w:rsidRPr="004B5D81">
        <w:rPr>
          <w:b/>
        </w:rPr>
        <w:t>Comprehensive Employment Strategy: Phase Two Action Plan 2019-2021</w:t>
      </w:r>
      <w:r w:rsidRPr="004B5D81">
        <w:t>.</w:t>
      </w:r>
    </w:p>
  </w:footnote>
  <w:footnote w:id="100">
    <w:p w14:paraId="5BE2B483" w14:textId="77777777" w:rsidR="008E6228" w:rsidRDefault="008E6228">
      <w:pPr>
        <w:pStyle w:val="FootnoteText"/>
      </w:pPr>
      <w:r>
        <w:rPr>
          <w:rStyle w:val="FootnoteReference"/>
        </w:rPr>
        <w:footnoteRef/>
      </w:r>
      <w:r>
        <w:t xml:space="preserve"> </w:t>
      </w:r>
      <w:r w:rsidRPr="004B5D81">
        <w:t xml:space="preserve">RSM PACEC &amp; National Disability Authority (2018) </w:t>
      </w:r>
      <w:r w:rsidRPr="004B5D81">
        <w:rPr>
          <w:b/>
        </w:rPr>
        <w:t>Research on good practice in the employment of people with disabilities in the public sector</w:t>
      </w:r>
      <w:r w:rsidRPr="004B5D81">
        <w:t>, Dublin: RSM PACEC &amp; NDA</w:t>
      </w:r>
      <w:r>
        <w:t>.</w:t>
      </w:r>
    </w:p>
  </w:footnote>
  <w:footnote w:id="101">
    <w:p w14:paraId="2333E1AE" w14:textId="77777777" w:rsidR="008E6228" w:rsidRDefault="008E6228">
      <w:pPr>
        <w:pStyle w:val="FootnoteText"/>
      </w:pPr>
      <w:r>
        <w:rPr>
          <w:rStyle w:val="FootnoteReference"/>
        </w:rPr>
        <w:footnoteRef/>
      </w:r>
      <w:r>
        <w:t xml:space="preserve"> For more information on the Open Doors Initiative, please see their website at </w:t>
      </w:r>
      <w:hyperlink r:id="rId12" w:history="1">
        <w:r w:rsidRPr="00BB0F03">
          <w:rPr>
            <w:rStyle w:val="Hyperlink"/>
          </w:rPr>
          <w:t>https://www.opendoorsinitiative.ie/</w:t>
        </w:r>
      </w:hyperlink>
      <w:r>
        <w:t>.</w:t>
      </w:r>
    </w:p>
  </w:footnote>
  <w:footnote w:id="102">
    <w:p w14:paraId="18658CC1" w14:textId="77777777" w:rsidR="008E6228" w:rsidRDefault="008E6228">
      <w:pPr>
        <w:pStyle w:val="FootnoteText"/>
      </w:pPr>
      <w:r>
        <w:rPr>
          <w:rStyle w:val="FootnoteReference"/>
        </w:rPr>
        <w:footnoteRef/>
      </w:r>
      <w:r>
        <w:t xml:space="preserve"> </w:t>
      </w:r>
      <w:r w:rsidRPr="008A5431">
        <w:t xml:space="preserve">National Disability Authority (2019) </w:t>
      </w:r>
      <w:r w:rsidRPr="008A5431">
        <w:rPr>
          <w:b/>
          <w:bCs/>
        </w:rPr>
        <w:t>Reasonable Accommodations: Obstacles and Opportunities to the Employment of Persons with a Disability</w:t>
      </w:r>
      <w:r>
        <w:rPr>
          <w:bCs/>
        </w:rPr>
        <w:t>, Dublin: NDA.</w:t>
      </w:r>
    </w:p>
  </w:footnote>
  <w:footnote w:id="103">
    <w:p w14:paraId="0AD598F7" w14:textId="77777777" w:rsidR="008E6228" w:rsidRDefault="008E6228">
      <w:pPr>
        <w:pStyle w:val="FootnoteText"/>
      </w:pPr>
      <w:r>
        <w:rPr>
          <w:rStyle w:val="FootnoteReference"/>
        </w:rPr>
        <w:footnoteRef/>
      </w:r>
      <w:r>
        <w:t xml:space="preserve"> ICTU and IBEC (2019) </w:t>
      </w:r>
      <w:r w:rsidRPr="00C54A27">
        <w:rPr>
          <w:b/>
        </w:rPr>
        <w:t>Reasonable Accommodations Passport</w:t>
      </w:r>
      <w:r>
        <w:t xml:space="preserve">, Dublin: IBEC and ICTU. </w:t>
      </w:r>
    </w:p>
  </w:footnote>
  <w:footnote w:id="104">
    <w:p w14:paraId="3F59EED5" w14:textId="77777777" w:rsidR="008E6228" w:rsidRDefault="008E6228">
      <w:pPr>
        <w:pStyle w:val="FootnoteText"/>
      </w:pPr>
      <w:r>
        <w:rPr>
          <w:rStyle w:val="FootnoteReference"/>
        </w:rPr>
        <w:footnoteRef/>
      </w:r>
      <w:r>
        <w:t xml:space="preserve"> Economic and Social Research Institute and Irish Human Rights and Equality Commission (2018) </w:t>
      </w:r>
      <w:r w:rsidRPr="006B10FF">
        <w:rPr>
          <w:b/>
        </w:rPr>
        <w:t>Disability and Discrimination in Ireland: Evidence from the QNHS Equality Modules 2004, 2010, 2014</w:t>
      </w:r>
      <w:r>
        <w:t>, Dublin: ESRI and IHREC, p.34.</w:t>
      </w:r>
    </w:p>
  </w:footnote>
  <w:footnote w:id="105">
    <w:p w14:paraId="782C3692" w14:textId="77777777" w:rsidR="008E6228" w:rsidRDefault="008E6228">
      <w:pPr>
        <w:pStyle w:val="FootnoteText"/>
      </w:pPr>
      <w:r>
        <w:rPr>
          <w:rStyle w:val="FootnoteReference"/>
        </w:rPr>
        <w:footnoteRef/>
      </w:r>
      <w:r>
        <w:t xml:space="preserve"> </w:t>
      </w:r>
      <w:r w:rsidRPr="007651C6">
        <w:t xml:space="preserve">Central Statistics Office, </w:t>
      </w:r>
      <w:r w:rsidRPr="007651C6">
        <w:rPr>
          <w:b/>
        </w:rPr>
        <w:t>Equality and Discrimination 2019</w:t>
      </w:r>
      <w:r w:rsidRPr="007651C6">
        <w:t xml:space="preserve">, available at  </w:t>
      </w:r>
      <w:hyperlink r:id="rId13" w:history="1">
        <w:r w:rsidRPr="007651C6">
          <w:rPr>
            <w:rStyle w:val="Hyperlink"/>
          </w:rPr>
          <w:t>https://www.cso.ie/en/statistics/socialconditions/equalityanddiscrimination/</w:t>
        </w:r>
      </w:hyperlink>
    </w:p>
  </w:footnote>
  <w:footnote w:id="106">
    <w:p w14:paraId="53366D08" w14:textId="77777777" w:rsidR="008E6228" w:rsidRDefault="008E6228" w:rsidP="00861CDB">
      <w:pPr>
        <w:pStyle w:val="FootnoteText"/>
      </w:pPr>
      <w:r>
        <w:rPr>
          <w:rStyle w:val="FootnoteReference"/>
        </w:rPr>
        <w:footnoteRef/>
      </w:r>
      <w:r>
        <w:t xml:space="preserve"> </w:t>
      </w:r>
      <w:r w:rsidRPr="005A128E">
        <w:t xml:space="preserve">Workplace Relations Commission (2018) </w:t>
      </w:r>
      <w:r w:rsidRPr="00CE3F76">
        <w:rPr>
          <w:b/>
        </w:rPr>
        <w:t>Annual Report 2017</w:t>
      </w:r>
      <w:r w:rsidRPr="005A128E">
        <w:t>, Dublin: Workplace Relations Commission, p.23.</w:t>
      </w:r>
    </w:p>
  </w:footnote>
  <w:footnote w:id="107">
    <w:p w14:paraId="6A01BE9F" w14:textId="77777777" w:rsidR="008E6228" w:rsidRDefault="008E6228" w:rsidP="00861CDB">
      <w:pPr>
        <w:pStyle w:val="FootnoteText"/>
      </w:pPr>
      <w:r>
        <w:rPr>
          <w:rStyle w:val="FootnoteReference"/>
        </w:rPr>
        <w:footnoteRef/>
      </w:r>
      <w:r>
        <w:t xml:space="preserve"> </w:t>
      </w:r>
      <w:r w:rsidRPr="005A128E">
        <w:t xml:space="preserve">Workplace Relations Commission (2019) </w:t>
      </w:r>
      <w:r w:rsidRPr="00CE3F76">
        <w:rPr>
          <w:b/>
        </w:rPr>
        <w:t>Annual Report 2018</w:t>
      </w:r>
      <w:r w:rsidRPr="005A128E">
        <w:t>, Dublin: Workplace Relations Commission, p.22.</w:t>
      </w:r>
    </w:p>
  </w:footnote>
  <w:footnote w:id="108">
    <w:p w14:paraId="5FFAB71F" w14:textId="77777777" w:rsidR="008E6228" w:rsidRDefault="008E6228">
      <w:pPr>
        <w:pStyle w:val="FootnoteText"/>
      </w:pPr>
      <w:r>
        <w:rPr>
          <w:rStyle w:val="FootnoteReference"/>
        </w:rPr>
        <w:footnoteRef/>
      </w:r>
      <w:r>
        <w:t xml:space="preserve"> ibid</w:t>
      </w:r>
    </w:p>
  </w:footnote>
  <w:footnote w:id="109">
    <w:p w14:paraId="3050068A" w14:textId="77777777" w:rsidR="008E6228" w:rsidRDefault="008E6228" w:rsidP="00861CDB">
      <w:pPr>
        <w:pStyle w:val="FootnoteText"/>
      </w:pPr>
      <w:r>
        <w:rPr>
          <w:rStyle w:val="FootnoteReference"/>
        </w:rPr>
        <w:footnoteRef/>
      </w:r>
      <w:r>
        <w:t xml:space="preserve"> </w:t>
      </w:r>
      <w:r w:rsidRPr="007651C6">
        <w:rPr>
          <w:b/>
        </w:rPr>
        <w:t>Irish Human Rights and Equality Commission Act 2014</w:t>
      </w:r>
      <w:r w:rsidRPr="005A128E">
        <w:t>, section 10(2)(a).</w:t>
      </w:r>
    </w:p>
  </w:footnote>
  <w:footnote w:id="110">
    <w:p w14:paraId="0917B3A7" w14:textId="77777777" w:rsidR="008E6228" w:rsidRDefault="008E6228" w:rsidP="00861CDB">
      <w:pPr>
        <w:pStyle w:val="FootnoteText"/>
      </w:pPr>
      <w:r>
        <w:rPr>
          <w:rStyle w:val="FootnoteReference"/>
        </w:rPr>
        <w:footnoteRef/>
      </w:r>
      <w:r>
        <w:t xml:space="preserve"> </w:t>
      </w:r>
      <w:r w:rsidRPr="005A128E">
        <w:t xml:space="preserve">Irish Human Rights and Equality Commission (2018) </w:t>
      </w:r>
      <w:r w:rsidRPr="006213DF">
        <w:rPr>
          <w:b/>
        </w:rPr>
        <w:t>Annual Report 2017</w:t>
      </w:r>
      <w:r w:rsidRPr="005A128E">
        <w:t>, Dublin: IHREC, p.68.</w:t>
      </w:r>
    </w:p>
  </w:footnote>
  <w:footnote w:id="111">
    <w:p w14:paraId="6D53C723" w14:textId="77777777" w:rsidR="008E6228" w:rsidRDefault="008E6228" w:rsidP="00861CDB">
      <w:pPr>
        <w:pStyle w:val="FootnoteText"/>
      </w:pPr>
      <w:r>
        <w:rPr>
          <w:rStyle w:val="FootnoteReference"/>
        </w:rPr>
        <w:footnoteRef/>
      </w:r>
      <w:r>
        <w:t xml:space="preserve"> Ibid</w:t>
      </w:r>
      <w:r w:rsidRPr="005A128E">
        <w:t>, p.53.</w:t>
      </w:r>
    </w:p>
  </w:footnote>
  <w:footnote w:id="112">
    <w:p w14:paraId="420B6FC4" w14:textId="77777777" w:rsidR="008E6228" w:rsidRDefault="008E6228" w:rsidP="00861CDB">
      <w:pPr>
        <w:pStyle w:val="FootnoteText"/>
      </w:pPr>
      <w:r>
        <w:rPr>
          <w:rStyle w:val="FootnoteReference"/>
        </w:rPr>
        <w:footnoteRef/>
      </w:r>
      <w:r>
        <w:t xml:space="preserve"> </w:t>
      </w:r>
      <w:r w:rsidRPr="005A128E">
        <w:t>Irish Human Rights and Equality Commission, ‘Discrimination Against People with Disabilities in Employment a Persistent and Pernicious Roadblock to Worker’s Dignity and Inclusion’ [press release], a</w:t>
      </w:r>
      <w:r>
        <w:t xml:space="preserve">vailable from their website at </w:t>
      </w:r>
      <w:hyperlink r:id="rId14" w:history="1">
        <w:r w:rsidRPr="00F442C0">
          <w:rPr>
            <w:rStyle w:val="Hyperlink"/>
          </w:rPr>
          <w:t>https://www.ihrec.ie/discrimination-against-people-with-disabilities-in-employment-a-persistent-and-pernicious-roadblock-to-workers-dignity-and-inclusion/</w:t>
        </w:r>
      </w:hyperlink>
    </w:p>
  </w:footnote>
  <w:footnote w:id="113">
    <w:p w14:paraId="4BCB9B54" w14:textId="77777777" w:rsidR="008E6228" w:rsidRDefault="008E6228" w:rsidP="00861CDB">
      <w:pPr>
        <w:pStyle w:val="FootnoteText"/>
      </w:pPr>
      <w:r>
        <w:rPr>
          <w:rStyle w:val="FootnoteReference"/>
        </w:rPr>
        <w:footnoteRef/>
      </w:r>
      <w:r>
        <w:t xml:space="preserve"> </w:t>
      </w:r>
      <w:r w:rsidRPr="00396F05">
        <w:t xml:space="preserve">National Disability Authority (2017) </w:t>
      </w:r>
      <w:r w:rsidRPr="006213DF">
        <w:rPr>
          <w:b/>
        </w:rPr>
        <w:t>National Survey of Public Attitudes to Disability in Ireland 2017</w:t>
      </w:r>
      <w:r w:rsidRPr="00396F05">
        <w:t>, Dublin: NDA, p.45.</w:t>
      </w:r>
    </w:p>
  </w:footnote>
  <w:footnote w:id="114">
    <w:p w14:paraId="5D12B949" w14:textId="77777777" w:rsidR="008E6228" w:rsidRDefault="008E6228" w:rsidP="00861CDB">
      <w:pPr>
        <w:pStyle w:val="FootnoteText"/>
      </w:pPr>
      <w:r>
        <w:rPr>
          <w:rStyle w:val="FootnoteReference"/>
        </w:rPr>
        <w:footnoteRef/>
      </w:r>
      <w:r>
        <w:t xml:space="preserve"> Ibid</w:t>
      </w:r>
    </w:p>
  </w:footnote>
  <w:footnote w:id="115">
    <w:p w14:paraId="325B0235" w14:textId="77777777" w:rsidR="008E6228" w:rsidRPr="006213DF" w:rsidRDefault="008E6228" w:rsidP="0047741D">
      <w:pPr>
        <w:pStyle w:val="FootnoteText"/>
        <w:rPr>
          <w:b/>
          <w:lang w:val="fr-BE"/>
        </w:rPr>
      </w:pPr>
      <w:r>
        <w:rPr>
          <w:rStyle w:val="FootnoteReference"/>
        </w:rPr>
        <w:footnoteRef/>
      </w:r>
      <w:r>
        <w:t xml:space="preserve"> </w:t>
      </w:r>
      <w:r w:rsidRPr="006213DF">
        <w:rPr>
          <w:lang w:val="fr-BE"/>
        </w:rPr>
        <w:t>Grammenos, S. (</w:t>
      </w:r>
      <w:r>
        <w:rPr>
          <w:lang w:val="fr-BE"/>
        </w:rPr>
        <w:t>2017</w:t>
      </w:r>
      <w:r w:rsidRPr="006213DF">
        <w:rPr>
          <w:lang w:val="fr-BE"/>
        </w:rPr>
        <w:t>)</w:t>
      </w:r>
      <w:r>
        <w:rPr>
          <w:lang w:val="fr-BE"/>
        </w:rPr>
        <w:t xml:space="preserve"> </w:t>
      </w:r>
      <w:r w:rsidRPr="006213DF">
        <w:rPr>
          <w:b/>
          <w:bCs/>
        </w:rPr>
        <w:t>European comparative data on Social Pillar Themes &amp; People with disabilities</w:t>
      </w:r>
      <w:r w:rsidRPr="006213DF">
        <w:rPr>
          <w:bCs/>
        </w:rPr>
        <w:t xml:space="preserve">, </w:t>
      </w:r>
      <w:r>
        <w:rPr>
          <w:bCs/>
        </w:rPr>
        <w:t>Brussels: ANED, p.21</w:t>
      </w:r>
      <w:r w:rsidRPr="006213DF">
        <w:rPr>
          <w:lang w:val="fr-BE"/>
        </w:rPr>
        <w:t>,</w:t>
      </w:r>
      <w:r>
        <w:rPr>
          <w:b/>
          <w:lang w:val="fr-BE"/>
        </w:rPr>
        <w:t xml:space="preserve"> </w:t>
      </w:r>
      <w:r w:rsidRPr="006213DF">
        <w:rPr>
          <w:lang w:val="fr-BE"/>
        </w:rPr>
        <w:t>available at</w:t>
      </w:r>
      <w:r>
        <w:rPr>
          <w:b/>
          <w:lang w:val="fr-BE"/>
        </w:rPr>
        <w:t xml:space="preserve"> </w:t>
      </w:r>
      <w:hyperlink r:id="rId15" w:history="1">
        <w:r w:rsidRPr="0049002E">
          <w:rPr>
            <w:rStyle w:val="Hyperlink"/>
          </w:rPr>
          <w:t>https://www.disability-europe.net/theme/statistical-indicators</w:t>
        </w:r>
      </w:hyperlink>
      <w:r>
        <w:t>.</w:t>
      </w:r>
    </w:p>
  </w:footnote>
  <w:footnote w:id="116">
    <w:p w14:paraId="6870792D" w14:textId="77777777" w:rsidR="008E6228" w:rsidRDefault="008E6228" w:rsidP="003D02FF">
      <w:pPr>
        <w:pStyle w:val="FootnoteText"/>
      </w:pPr>
      <w:r>
        <w:rPr>
          <w:rStyle w:val="FootnoteReference"/>
        </w:rPr>
        <w:footnoteRef/>
      </w:r>
      <w:r>
        <w:t xml:space="preserve"> Action 2.7 of the </w:t>
      </w:r>
      <w:r w:rsidRPr="00995DBD">
        <w:rPr>
          <w:b/>
        </w:rPr>
        <w:t>Comprehensive Employment Strategy: Phase Two Action Plan 2019-2021</w:t>
      </w:r>
    </w:p>
  </w:footnote>
  <w:footnote w:id="117">
    <w:p w14:paraId="3DE5AFF4" w14:textId="77777777" w:rsidR="008E6228" w:rsidRDefault="008E6228">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118">
    <w:p w14:paraId="2F9C001A" w14:textId="77777777" w:rsidR="008E6228" w:rsidRDefault="008E6228">
      <w:pPr>
        <w:pStyle w:val="FootnoteText"/>
      </w:pPr>
      <w:r>
        <w:rPr>
          <w:rStyle w:val="FootnoteReference"/>
        </w:rPr>
        <w:footnoteRef/>
      </w:r>
      <w:r>
        <w:t xml:space="preserve"> Cooney, T. &amp; Aird, B. (2020) </w:t>
      </w:r>
      <w:r w:rsidRPr="00B819C2">
        <w:rPr>
          <w:b/>
        </w:rPr>
        <w:t>Pathway to Entrepreneurship for People with Disabilities in Ireland</w:t>
      </w:r>
      <w:r>
        <w:t>, Dublin: TU Dublin.</w:t>
      </w:r>
    </w:p>
  </w:footnote>
  <w:footnote w:id="119">
    <w:p w14:paraId="0EBCC4D5" w14:textId="77777777" w:rsidR="008E6228" w:rsidRDefault="008E6228">
      <w:pPr>
        <w:pStyle w:val="FootnoteText"/>
      </w:pPr>
      <w:r>
        <w:rPr>
          <w:rStyle w:val="FootnoteReference"/>
        </w:rPr>
        <w:footnoteRef/>
      </w:r>
      <w:r>
        <w:t xml:space="preserve"> Action 2.8 of the </w:t>
      </w:r>
      <w:r w:rsidRPr="00995DBD">
        <w:rPr>
          <w:b/>
        </w:rPr>
        <w:t>Comprehensive Employment Strategy: Phase Two Action Plan 2019-2021</w:t>
      </w:r>
      <w:r w:rsidRPr="00995DBD">
        <w:t>.</w:t>
      </w:r>
    </w:p>
  </w:footnote>
  <w:footnote w:id="120">
    <w:p w14:paraId="7AD7DB9E" w14:textId="77777777" w:rsidR="008E6228" w:rsidRDefault="008E6228">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121">
    <w:p w14:paraId="46113E19" w14:textId="77777777" w:rsidR="008E6228" w:rsidRDefault="008E6228" w:rsidP="00861CDB">
      <w:pPr>
        <w:pStyle w:val="FootnoteText"/>
      </w:pPr>
      <w:r>
        <w:rPr>
          <w:rStyle w:val="FootnoteReference"/>
        </w:rPr>
        <w:footnoteRef/>
      </w:r>
      <w:r>
        <w:t xml:space="preserve"> Economic and Social Research Institute (2017) </w:t>
      </w:r>
      <w:r w:rsidRPr="00767F45">
        <w:rPr>
          <w:b/>
        </w:rPr>
        <w:t>Employment Transitions Among People with Disabilities in Ireland</w:t>
      </w:r>
      <w:r>
        <w:t>, Dublin: ESRI.</w:t>
      </w:r>
    </w:p>
  </w:footnote>
  <w:footnote w:id="122">
    <w:p w14:paraId="1E882F1C" w14:textId="77777777" w:rsidR="008E6228" w:rsidRDefault="008E6228">
      <w:pPr>
        <w:pStyle w:val="FootnoteText"/>
      </w:pPr>
      <w:r>
        <w:rPr>
          <w:rStyle w:val="FootnoteReference"/>
        </w:rPr>
        <w:footnoteRef/>
      </w:r>
      <w:r>
        <w:t xml:space="preserve"> </w:t>
      </w:r>
      <w:r w:rsidRPr="009F1ED9">
        <w:t xml:space="preserve">McAnaney, </w:t>
      </w:r>
      <w:r>
        <w:t xml:space="preserve">D. and </w:t>
      </w:r>
      <w:r w:rsidRPr="009F1ED9">
        <w:t>Wynne</w:t>
      </w:r>
      <w:r>
        <w:t xml:space="preserve">, R. (2016) </w:t>
      </w:r>
      <w:r w:rsidRPr="009F1ED9">
        <w:rPr>
          <w:b/>
        </w:rPr>
        <w:t>International Good Practice in Vocational Rehabilitation: Lessons for Ireland</w:t>
      </w:r>
      <w:r>
        <w:t>, Dublin: NDA, p.61.</w:t>
      </w:r>
    </w:p>
  </w:footnote>
  <w:footnote w:id="123">
    <w:p w14:paraId="6983F978" w14:textId="77777777" w:rsidR="008E6228" w:rsidRDefault="008E6228">
      <w:pPr>
        <w:pStyle w:val="FootnoteText"/>
      </w:pPr>
      <w:r>
        <w:rPr>
          <w:rStyle w:val="FootnoteReference"/>
        </w:rPr>
        <w:footnoteRef/>
      </w:r>
      <w:r>
        <w:t xml:space="preserve"> Ibid, p.51.</w:t>
      </w:r>
    </w:p>
  </w:footnote>
  <w:footnote w:id="124">
    <w:p w14:paraId="0706688F" w14:textId="77777777" w:rsidR="008E6228" w:rsidRDefault="008E6228">
      <w:pPr>
        <w:pStyle w:val="FootnoteText"/>
      </w:pPr>
      <w:r>
        <w:rPr>
          <w:rStyle w:val="FootnoteReference"/>
        </w:rPr>
        <w:footnoteRef/>
      </w:r>
      <w:r>
        <w:t xml:space="preserve"> </w:t>
      </w:r>
      <w:r w:rsidRPr="00CC310B">
        <w:t>Organisation for Economic Cooperation and Development</w:t>
      </w:r>
      <w:r w:rsidRPr="00CC310B">
        <w:rPr>
          <w:b/>
        </w:rPr>
        <w:t xml:space="preserve"> </w:t>
      </w:r>
      <w:r w:rsidRPr="00CC310B">
        <w:t>(2008)</w:t>
      </w:r>
      <w:r>
        <w:rPr>
          <w:b/>
        </w:rPr>
        <w:t xml:space="preserve"> </w:t>
      </w:r>
      <w:r w:rsidRPr="00CC310B">
        <w:rPr>
          <w:b/>
        </w:rPr>
        <w:t>Sickness, Disability and Work: Breaking the Barriers Vol. 3. Denmark, Finland, Ireland and the Netherlands</w:t>
      </w:r>
      <w:r>
        <w:t>. Paris</w:t>
      </w:r>
      <w:r w:rsidRPr="00CC310B">
        <w:t xml:space="preserve">: </w:t>
      </w:r>
      <w:r>
        <w:t>OECD</w:t>
      </w:r>
      <w:r w:rsidRPr="00CC310B">
        <w:t>.</w:t>
      </w:r>
    </w:p>
  </w:footnote>
  <w:footnote w:id="125">
    <w:p w14:paraId="1BE5E202" w14:textId="77777777" w:rsidR="008E6228" w:rsidRDefault="008E6228">
      <w:pPr>
        <w:pStyle w:val="FootnoteText"/>
      </w:pPr>
      <w:r>
        <w:rPr>
          <w:rStyle w:val="FootnoteReference"/>
        </w:rPr>
        <w:footnoteRef/>
      </w:r>
      <w:r>
        <w:t xml:space="preserve"> </w:t>
      </w:r>
      <w:r w:rsidRPr="009F1ED9">
        <w:t xml:space="preserve">McAnaney, </w:t>
      </w:r>
      <w:r>
        <w:t xml:space="preserve">D. and </w:t>
      </w:r>
      <w:r w:rsidRPr="009F1ED9">
        <w:t>Wynne</w:t>
      </w:r>
      <w:r>
        <w:t xml:space="preserve">, R. (2016) </w:t>
      </w:r>
      <w:r w:rsidRPr="009F1ED9">
        <w:rPr>
          <w:b/>
        </w:rPr>
        <w:t>International Good Practice in Vocational Rehabilitation: Lessons for Ireland</w:t>
      </w:r>
      <w:r>
        <w:t>, Dublin: NDA, pp.56-58.</w:t>
      </w:r>
    </w:p>
  </w:footnote>
  <w:footnote w:id="126">
    <w:p w14:paraId="5D1C3912" w14:textId="77777777" w:rsidR="008E6228" w:rsidRDefault="008E6228">
      <w:pPr>
        <w:pStyle w:val="FootnoteText"/>
      </w:pPr>
      <w:r>
        <w:rPr>
          <w:rStyle w:val="FootnoteReference"/>
        </w:rPr>
        <w:footnoteRef/>
      </w:r>
      <w:r>
        <w:t xml:space="preserve"> Action 4.3. </w:t>
      </w:r>
      <w:r w:rsidRPr="0040253D">
        <w:t xml:space="preserve">Government of Ireland (2019) </w:t>
      </w:r>
      <w:r w:rsidRPr="0040253D">
        <w:rPr>
          <w:b/>
        </w:rPr>
        <w:t>Comprehensive Employment Strategy:</w:t>
      </w:r>
      <w:r>
        <w:rPr>
          <w:b/>
        </w:rPr>
        <w:t xml:space="preserve"> Phase T</w:t>
      </w:r>
      <w:r w:rsidRPr="0040253D">
        <w:rPr>
          <w:b/>
        </w:rPr>
        <w:t>wo Action Plan 2019-2021</w:t>
      </w:r>
      <w:r w:rsidRPr="0040253D">
        <w:t>, Dublin: Stationery Office</w:t>
      </w:r>
      <w:r>
        <w:t>.</w:t>
      </w:r>
    </w:p>
  </w:footnote>
  <w:footnote w:id="127">
    <w:p w14:paraId="1EC65948" w14:textId="77777777" w:rsidR="008E6228" w:rsidRDefault="008E6228" w:rsidP="002776DC">
      <w:pPr>
        <w:pStyle w:val="FootnoteText"/>
      </w:pPr>
      <w:r>
        <w:rPr>
          <w:rStyle w:val="FootnoteReference"/>
        </w:rPr>
        <w:footnoteRef/>
      </w:r>
      <w:r>
        <w:t xml:space="preserve"> Health and Safety Authority (2018)</w:t>
      </w:r>
      <w:r w:rsidRPr="008236AF">
        <w:t xml:space="preserve"> </w:t>
      </w:r>
      <w:r w:rsidRPr="001F668E">
        <w:rPr>
          <w:b/>
        </w:rPr>
        <w:t>Summary of Workplace Injury, Illness and Fatality Statistics 2017-2018</w:t>
      </w:r>
      <w:r>
        <w:t xml:space="preserve">, Dublin: HSE, p.5. </w:t>
      </w:r>
    </w:p>
  </w:footnote>
  <w:footnote w:id="128">
    <w:p w14:paraId="3A5BEEA8" w14:textId="77777777" w:rsidR="008E6228" w:rsidRDefault="008E6228" w:rsidP="002776DC">
      <w:pPr>
        <w:pStyle w:val="FootnoteText"/>
      </w:pPr>
      <w:r>
        <w:rPr>
          <w:rStyle w:val="FootnoteReference"/>
        </w:rPr>
        <w:footnoteRef/>
      </w:r>
      <w:r>
        <w:t xml:space="preserve"> Health and Safety Authority (2009) </w:t>
      </w:r>
      <w:r w:rsidRPr="00DE622D">
        <w:rPr>
          <w:b/>
        </w:rPr>
        <w:t>Employees with Disabilities: An employer’s guide to implementing inclusive health and safety practices for employees with disabilities</w:t>
      </w:r>
      <w:r>
        <w:t>, HSA: Dublin</w:t>
      </w:r>
    </w:p>
  </w:footnote>
  <w:footnote w:id="129">
    <w:p w14:paraId="73DF7227" w14:textId="77777777" w:rsidR="008E6228" w:rsidRDefault="008E6228" w:rsidP="002776DC">
      <w:pPr>
        <w:pStyle w:val="FootnoteText"/>
      </w:pPr>
      <w:r>
        <w:rPr>
          <w:rStyle w:val="FootnoteReference"/>
        </w:rPr>
        <w:footnoteRef/>
      </w:r>
      <w:r>
        <w:t xml:space="preserve"> </w:t>
      </w:r>
      <w:r w:rsidRPr="00EF6E68">
        <w:t xml:space="preserve">National Disability Authority (2015) </w:t>
      </w:r>
      <w:r w:rsidRPr="00EF6E68">
        <w:rPr>
          <w:b/>
        </w:rPr>
        <w:t>Retaining employees who acquire a disability: A guide for employers</w:t>
      </w:r>
      <w:r w:rsidRPr="00EF6E68">
        <w:t>, Dublin: NDA</w:t>
      </w:r>
      <w:r>
        <w:t>.</w:t>
      </w:r>
    </w:p>
  </w:footnote>
  <w:footnote w:id="130">
    <w:p w14:paraId="5E2B3B2D" w14:textId="77777777" w:rsidR="008E6228" w:rsidRPr="002606D1" w:rsidRDefault="008E6228" w:rsidP="002776DC">
      <w:pPr>
        <w:pStyle w:val="FootnoteText"/>
      </w:pPr>
      <w:r>
        <w:rPr>
          <w:rStyle w:val="FootnoteReference"/>
        </w:rPr>
        <w:footnoteRef/>
      </w:r>
      <w:r>
        <w:t xml:space="preserve"> Royal College of Surgeons in Ireland (2016) </w:t>
      </w:r>
      <w:r w:rsidRPr="002606D1">
        <w:rPr>
          <w:b/>
        </w:rPr>
        <w:t>Exploring the Factors Related to Return to Work after Stroke</w:t>
      </w:r>
      <w:r w:rsidRPr="002606D1">
        <w:t xml:space="preserve">, </w:t>
      </w:r>
      <w:r>
        <w:t>NDA: Dublin</w:t>
      </w:r>
    </w:p>
  </w:footnote>
  <w:footnote w:id="131">
    <w:p w14:paraId="3B8A14AD" w14:textId="77777777" w:rsidR="008E6228" w:rsidRDefault="008E6228">
      <w:pPr>
        <w:pStyle w:val="FootnoteText"/>
      </w:pPr>
      <w:r>
        <w:rPr>
          <w:rStyle w:val="FootnoteReference"/>
        </w:rPr>
        <w:footnoteRef/>
      </w:r>
      <w:r>
        <w:t xml:space="preserve"> SOLAS (2019) </w:t>
      </w:r>
      <w:r w:rsidRPr="0016226F">
        <w:rPr>
          <w:b/>
        </w:rPr>
        <w:t>FET in Numbers 2018: Learners with Disabilities</w:t>
      </w:r>
      <w:r>
        <w:t>, Dublin: SOLAS.</w:t>
      </w:r>
    </w:p>
  </w:footnote>
  <w:footnote w:id="132">
    <w:p w14:paraId="3B47F6D5" w14:textId="77777777" w:rsidR="008E6228" w:rsidRDefault="008E6228">
      <w:pPr>
        <w:pStyle w:val="FootnoteText"/>
      </w:pPr>
      <w:r>
        <w:rPr>
          <w:rStyle w:val="FootnoteReference"/>
        </w:rPr>
        <w:footnoteRef/>
      </w:r>
      <w:r>
        <w:t xml:space="preserve"> </w:t>
      </w:r>
      <w:r w:rsidRPr="00B43A53">
        <w:t>Department of Social Protection: Report on Disability Allowance Survey 2015</w:t>
      </w:r>
    </w:p>
  </w:footnote>
  <w:footnote w:id="133">
    <w:p w14:paraId="52D515E1" w14:textId="77777777" w:rsidR="008E6228" w:rsidRDefault="008E6228">
      <w:pPr>
        <w:pStyle w:val="FootnoteText"/>
      </w:pPr>
      <w:r>
        <w:rPr>
          <w:rStyle w:val="FootnoteReference"/>
        </w:rPr>
        <w:footnoteRef/>
      </w:r>
      <w:r>
        <w:t xml:space="preserve"> Economic and Social Research Institute (2017) </w:t>
      </w:r>
      <w:r w:rsidRPr="00767F45">
        <w:rPr>
          <w:b/>
        </w:rPr>
        <w:t>Employment Transitions Among People with Disabilities in Ireland</w:t>
      </w:r>
      <w:r>
        <w:t>, Dublin: ESRI.</w:t>
      </w:r>
    </w:p>
  </w:footnote>
  <w:footnote w:id="134">
    <w:p w14:paraId="53B54409" w14:textId="77777777" w:rsidR="008E6228" w:rsidRDefault="008E6228">
      <w:pPr>
        <w:pStyle w:val="FootnoteText"/>
      </w:pPr>
      <w:r>
        <w:rPr>
          <w:rStyle w:val="FootnoteReference"/>
        </w:rPr>
        <w:footnoteRef/>
      </w:r>
      <w:r>
        <w:t xml:space="preserve"> Ibid</w:t>
      </w:r>
    </w:p>
  </w:footnote>
  <w:footnote w:id="135">
    <w:p w14:paraId="6BFFEB4D" w14:textId="77777777" w:rsidR="008E6228" w:rsidRDefault="008E6228">
      <w:pPr>
        <w:pStyle w:val="FootnoteText"/>
      </w:pPr>
      <w:r>
        <w:rPr>
          <w:rStyle w:val="FootnoteReference"/>
        </w:rPr>
        <w:footnoteRef/>
      </w:r>
      <w:r>
        <w:t xml:space="preserve"> </w:t>
      </w:r>
      <w:r w:rsidRPr="00B43A53">
        <w:t>D</w:t>
      </w:r>
      <w:r>
        <w:t xml:space="preserve">epartment of Public Expenditure and Reform (2019) </w:t>
      </w:r>
      <w:r w:rsidRPr="00B43A53">
        <w:rPr>
          <w:b/>
        </w:rPr>
        <w:t>The Inactive Working Age Population: A Comparison of Cohort Links to the Labour Market</w:t>
      </w:r>
      <w:r>
        <w:t xml:space="preserve">, Dublin: DPER. </w:t>
      </w:r>
    </w:p>
  </w:footnote>
  <w:footnote w:id="136">
    <w:p w14:paraId="31C5F483" w14:textId="2CD0B67A" w:rsidR="008E6228" w:rsidRPr="0049589C" w:rsidRDefault="008E6228" w:rsidP="0049589C">
      <w:pPr>
        <w:pStyle w:val="FootnoteText"/>
        <w:jc w:val="both"/>
        <w:rPr>
          <w:color w:val="000000"/>
          <w:sz w:val="26"/>
          <w:szCs w:val="26"/>
        </w:rPr>
      </w:pPr>
      <w:r w:rsidRPr="0049589C">
        <w:rPr>
          <w:rStyle w:val="FootnoteReference"/>
          <w:rFonts w:ascii="Gill Sans MT" w:hAnsi="Gill Sans MT"/>
          <w:sz w:val="26"/>
          <w:szCs w:val="26"/>
        </w:rPr>
        <w:footnoteRef/>
      </w:r>
      <w:r w:rsidRPr="0049589C">
        <w:rPr>
          <w:color w:val="000000"/>
          <w:szCs w:val="22"/>
        </w:rPr>
        <w:t xml:space="preserve">Wehman P, Revell WG, Brooke V (2003) Competitive Employment: Has it Become the “First Choice” Yet? </w:t>
      </w:r>
      <w:r w:rsidRPr="0049589C">
        <w:rPr>
          <w:b/>
          <w:color w:val="000000"/>
          <w:szCs w:val="22"/>
        </w:rPr>
        <w:t>Journal of Disability Policy Studies</w:t>
      </w:r>
      <w:r w:rsidRPr="0049589C">
        <w:rPr>
          <w:color w:val="000000"/>
          <w:szCs w:val="22"/>
        </w:rPr>
        <w:t>, V14(3), pp 163-173</w:t>
      </w:r>
    </w:p>
  </w:footnote>
  <w:footnote w:id="137">
    <w:p w14:paraId="53F2E79A" w14:textId="77777777" w:rsidR="008E6228" w:rsidRDefault="008E6228" w:rsidP="00DD5B2D">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138">
    <w:p w14:paraId="28ABD7E3" w14:textId="77777777" w:rsidR="008E6228" w:rsidRDefault="008E6228">
      <w:pPr>
        <w:pStyle w:val="FootnoteText"/>
      </w:pPr>
      <w:r>
        <w:rPr>
          <w:rStyle w:val="FootnoteReference"/>
        </w:rPr>
        <w:footnoteRef/>
      </w:r>
      <w:r>
        <w:t xml:space="preserve"> Economic and Social Research Institute (2017) </w:t>
      </w:r>
      <w:r w:rsidRPr="00767F45">
        <w:rPr>
          <w:b/>
        </w:rPr>
        <w:t>Employment Transitions Among People with Disabilities in Ireland</w:t>
      </w:r>
      <w:r>
        <w:t>, Dublin: ESRI.</w:t>
      </w:r>
    </w:p>
  </w:footnote>
  <w:footnote w:id="139">
    <w:p w14:paraId="6385EA3E" w14:textId="77777777" w:rsidR="008E6228" w:rsidRDefault="008E6228">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140">
    <w:p w14:paraId="23783101" w14:textId="77777777" w:rsidR="008E6228" w:rsidRDefault="008E6228" w:rsidP="00E970D6">
      <w:pPr>
        <w:pStyle w:val="FootnoteText"/>
      </w:pPr>
      <w:r>
        <w:rPr>
          <w:rStyle w:val="FootnoteReference"/>
        </w:rPr>
        <w:footnoteRef/>
      </w:r>
      <w:r>
        <w:t xml:space="preserve"> National Disability Authority (2018) </w:t>
      </w:r>
      <w:r w:rsidRPr="00251A21">
        <w:rPr>
          <w:b/>
        </w:rPr>
        <w:t>NDA Submission to Department of Education and Skills Consultation on Review of Career Guidance</w:t>
      </w:r>
      <w:r>
        <w:t>, Dublin; NDA.</w:t>
      </w:r>
    </w:p>
  </w:footnote>
  <w:footnote w:id="141">
    <w:p w14:paraId="54FCBD17" w14:textId="77777777" w:rsidR="008E6228" w:rsidRDefault="008E6228">
      <w:pPr>
        <w:pStyle w:val="FootnoteText"/>
      </w:pPr>
      <w:r>
        <w:rPr>
          <w:rStyle w:val="FootnoteReference"/>
        </w:rPr>
        <w:footnoteRef/>
      </w:r>
      <w:r>
        <w:t xml:space="preserve"> </w:t>
      </w:r>
      <w:r w:rsidRPr="00251A21">
        <w:t>Indecon International Research Economists</w:t>
      </w:r>
      <w:r>
        <w:t xml:space="preserve"> (2019) </w:t>
      </w:r>
      <w:r w:rsidRPr="00251A21">
        <w:rPr>
          <w:b/>
        </w:rPr>
        <w:t>Indecon Review of Career Guidance</w:t>
      </w:r>
      <w:r>
        <w:t>, Dublin: Indecon.</w:t>
      </w:r>
    </w:p>
  </w:footnote>
  <w:footnote w:id="142">
    <w:p w14:paraId="7EEF115D" w14:textId="77777777" w:rsidR="008E6228" w:rsidRDefault="008E6228">
      <w:pPr>
        <w:pStyle w:val="FootnoteText"/>
      </w:pPr>
      <w:r>
        <w:rPr>
          <w:rStyle w:val="FootnoteReference"/>
        </w:rPr>
        <w:footnoteRef/>
      </w:r>
      <w:r>
        <w:t xml:space="preserve"> National Disability Authority (2020) </w:t>
      </w:r>
      <w:r w:rsidRPr="00A57C43">
        <w:rPr>
          <w:b/>
        </w:rPr>
        <w:t>Comprehensive Employment Strategy 2019: NDA Year-end Review</w:t>
      </w:r>
      <w:r w:rsidRPr="00A57C43">
        <w:t>,</w:t>
      </w:r>
      <w:r>
        <w:t xml:space="preserve"> Dublin: NDA.</w:t>
      </w:r>
    </w:p>
  </w:footnote>
  <w:footnote w:id="143">
    <w:p w14:paraId="347A2036" w14:textId="77777777" w:rsidR="008E6228" w:rsidRDefault="008E6228">
      <w:pPr>
        <w:pStyle w:val="FootnoteText"/>
      </w:pPr>
      <w:r>
        <w:rPr>
          <w:rStyle w:val="FootnoteReference"/>
        </w:rPr>
        <w:footnoteRef/>
      </w:r>
      <w:r>
        <w:t xml:space="preserve"> Action 1.7 of the </w:t>
      </w:r>
      <w:r w:rsidRPr="00F932FF">
        <w:rPr>
          <w:b/>
        </w:rPr>
        <w:t>Comprehensive Employment Strategy for People with Disabilities</w:t>
      </w:r>
      <w:r>
        <w:t>.</w:t>
      </w:r>
    </w:p>
  </w:footnote>
  <w:footnote w:id="144">
    <w:p w14:paraId="4C32822C" w14:textId="77777777" w:rsidR="008E6228" w:rsidRDefault="008E6228">
      <w:pPr>
        <w:pStyle w:val="FootnoteText"/>
      </w:pPr>
      <w:r>
        <w:rPr>
          <w:rStyle w:val="FootnoteReference"/>
        </w:rPr>
        <w:footnoteRef/>
      </w:r>
      <w:r>
        <w:t xml:space="preserve"> Modified Action 46. </w:t>
      </w:r>
      <w:r w:rsidRPr="00EB77CC">
        <w:t xml:space="preserve">Department of Justice and Equality (2020) </w:t>
      </w:r>
      <w:r w:rsidRPr="00EB77CC">
        <w:rPr>
          <w:b/>
        </w:rPr>
        <w:t>Mid-Term Review of the National Disability Inclusion Strategy 2017-2021</w:t>
      </w:r>
      <w:r w:rsidRPr="00EB77CC">
        <w:t>, Dublin: Stationery Office.</w:t>
      </w:r>
    </w:p>
  </w:footnote>
  <w:footnote w:id="145">
    <w:p w14:paraId="48B8A18F" w14:textId="77777777" w:rsidR="008E6228" w:rsidRDefault="008E6228">
      <w:pPr>
        <w:pStyle w:val="FootnoteText"/>
      </w:pPr>
      <w:r>
        <w:rPr>
          <w:rStyle w:val="FootnoteReference"/>
        </w:rPr>
        <w:footnoteRef/>
      </w:r>
      <w:r>
        <w:t xml:space="preserve"> Action 124. Department of Justice and Equality</w:t>
      </w:r>
      <w:r w:rsidRPr="00965000">
        <w:t xml:space="preserve"> (</w:t>
      </w:r>
      <w:r>
        <w:t>2020</w:t>
      </w:r>
      <w:r w:rsidRPr="00965000">
        <w:t xml:space="preserve">) </w:t>
      </w:r>
      <w:r w:rsidRPr="00965000">
        <w:rPr>
          <w:b/>
        </w:rPr>
        <w:t>Mid-Term Review of the National Disability Inclusion Strategy 2017-2021</w:t>
      </w:r>
      <w:r w:rsidRPr="00965000">
        <w:t>, Dublin: Stationery Office.</w:t>
      </w:r>
    </w:p>
  </w:footnote>
  <w:footnote w:id="146">
    <w:p w14:paraId="6E1AC10A" w14:textId="77777777" w:rsidR="008E6228" w:rsidRDefault="008E6228" w:rsidP="00E970D6">
      <w:pPr>
        <w:pStyle w:val="FootnoteText"/>
      </w:pPr>
      <w:r>
        <w:rPr>
          <w:rStyle w:val="FootnoteReference"/>
        </w:rPr>
        <w:footnoteRef/>
      </w:r>
      <w:r>
        <w:t xml:space="preserve"> National Council for Special Education (2014) </w:t>
      </w:r>
      <w:r w:rsidRPr="003B02C4">
        <w:rPr>
          <w:b/>
        </w:rPr>
        <w:t>Post-School Education and Training Information on Options for Adults and School Leavers with Disabilities</w:t>
      </w:r>
      <w:r>
        <w:t>, Trim: NCSE.</w:t>
      </w:r>
    </w:p>
  </w:footnote>
  <w:footnote w:id="147">
    <w:p w14:paraId="136C9186" w14:textId="77777777" w:rsidR="008E6228" w:rsidRDefault="008E6228">
      <w:pPr>
        <w:pStyle w:val="FootnoteText"/>
      </w:pPr>
      <w:r>
        <w:rPr>
          <w:rStyle w:val="FootnoteReference"/>
        </w:rPr>
        <w:footnoteRef/>
      </w:r>
      <w:r>
        <w:t xml:space="preserve"> </w:t>
      </w:r>
      <w:r w:rsidRPr="004B5D81">
        <w:t xml:space="preserve">RSM PACEC &amp; National Disability Authority (2018) </w:t>
      </w:r>
      <w:r w:rsidRPr="004B5D81">
        <w:rPr>
          <w:b/>
        </w:rPr>
        <w:t>Research on good practice in the employment of people with disabilities in the public sector</w:t>
      </w:r>
      <w:r w:rsidRPr="004B5D81">
        <w:t>, Dublin: RSM PACEC &amp; NDA</w:t>
      </w:r>
      <w:r>
        <w:t>.</w:t>
      </w:r>
    </w:p>
  </w:footnote>
  <w:footnote w:id="148">
    <w:p w14:paraId="471782F1" w14:textId="77777777" w:rsidR="008E6228" w:rsidRDefault="008E6228" w:rsidP="00D40DA6">
      <w:pPr>
        <w:pStyle w:val="FootnoteText"/>
      </w:pPr>
      <w:r>
        <w:rPr>
          <w:rStyle w:val="FootnoteReference"/>
        </w:rPr>
        <w:footnoteRef/>
      </w:r>
      <w:r>
        <w:t xml:space="preserve"> Department of Education and Skills (2017) </w:t>
      </w:r>
      <w:r w:rsidRPr="00587DFD">
        <w:rPr>
          <w:b/>
        </w:rPr>
        <w:t>Action Plan to Expand Apprenticeship and Traineeship in Ireland 2016-2020</w:t>
      </w:r>
      <w:r>
        <w:t>, Dublin: DES, p.18.</w:t>
      </w:r>
    </w:p>
  </w:footnote>
  <w:footnote w:id="149">
    <w:p w14:paraId="6C073968" w14:textId="77777777" w:rsidR="008E6228" w:rsidRDefault="008E6228" w:rsidP="00D40DA6">
      <w:pPr>
        <w:pStyle w:val="FootnoteText"/>
      </w:pPr>
      <w:r>
        <w:rPr>
          <w:rStyle w:val="FootnoteReference"/>
        </w:rPr>
        <w:footnoteRef/>
      </w:r>
      <w:r>
        <w:t xml:space="preserve"> SOLAS (2018) </w:t>
      </w:r>
      <w:r w:rsidRPr="00587DFD">
        <w:rPr>
          <w:b/>
        </w:rPr>
        <w:t>Review of pathways to participation in apprenticeship</w:t>
      </w:r>
      <w:r>
        <w:t>, Dublin: SOLAS.</w:t>
      </w:r>
    </w:p>
  </w:footnote>
  <w:footnote w:id="150">
    <w:p w14:paraId="6C322D29" w14:textId="77777777" w:rsidR="008E6228" w:rsidRDefault="008E6228" w:rsidP="00D40DA6">
      <w:pPr>
        <w:pStyle w:val="FootnoteText"/>
      </w:pPr>
      <w:r>
        <w:rPr>
          <w:rStyle w:val="FootnoteReference"/>
        </w:rPr>
        <w:footnoteRef/>
      </w:r>
      <w:r>
        <w:t xml:space="preserve"> Ibid, p.10.</w:t>
      </w:r>
    </w:p>
  </w:footnote>
  <w:footnote w:id="151">
    <w:p w14:paraId="5BFB6AC4" w14:textId="77777777" w:rsidR="008E6228" w:rsidRDefault="008E6228" w:rsidP="00D40DA6">
      <w:pPr>
        <w:pStyle w:val="FootnoteText"/>
      </w:pPr>
      <w:r>
        <w:rPr>
          <w:rStyle w:val="FootnoteReference"/>
        </w:rPr>
        <w:footnoteRef/>
      </w:r>
      <w:r>
        <w:t xml:space="preserve"> Ibid, p.10.</w:t>
      </w:r>
    </w:p>
  </w:footnote>
  <w:footnote w:id="152">
    <w:p w14:paraId="573BB832" w14:textId="77777777" w:rsidR="008E6228" w:rsidRDefault="008E6228" w:rsidP="00D40DA6">
      <w:pPr>
        <w:pStyle w:val="FootnoteText"/>
      </w:pPr>
      <w:r>
        <w:rPr>
          <w:rStyle w:val="FootnoteReference"/>
        </w:rPr>
        <w:footnoteRef/>
      </w:r>
      <w:r>
        <w:t xml:space="preserve"> Ibid, p.11.</w:t>
      </w:r>
    </w:p>
  </w:footnote>
  <w:footnote w:id="153">
    <w:p w14:paraId="29162B96" w14:textId="77777777" w:rsidR="008E6228" w:rsidRDefault="008E6228" w:rsidP="00D40DA6">
      <w:pPr>
        <w:pStyle w:val="FootnoteText"/>
      </w:pPr>
      <w:r>
        <w:rPr>
          <w:rStyle w:val="FootnoteReference"/>
        </w:rPr>
        <w:footnoteRef/>
      </w:r>
      <w:r>
        <w:t xml:space="preserve"> SOLAS (2018) </w:t>
      </w:r>
      <w:r w:rsidRPr="00587DFD">
        <w:rPr>
          <w:b/>
        </w:rPr>
        <w:t>Review of pathways to participation in apprenticeship</w:t>
      </w:r>
      <w:r>
        <w:t>, Dublin: SOLAS, p.11.</w:t>
      </w:r>
    </w:p>
  </w:footnote>
  <w:footnote w:id="154">
    <w:p w14:paraId="5292CFAA" w14:textId="77777777" w:rsidR="008E6228" w:rsidRDefault="008E6228" w:rsidP="00D40DA6">
      <w:pPr>
        <w:pStyle w:val="FootnoteText"/>
      </w:pPr>
      <w:r>
        <w:rPr>
          <w:rStyle w:val="FootnoteReference"/>
        </w:rPr>
        <w:footnoteRef/>
      </w:r>
      <w:r>
        <w:t xml:space="preserve"> Ibid, pp.13-14.</w:t>
      </w:r>
    </w:p>
  </w:footnote>
  <w:footnote w:id="155">
    <w:p w14:paraId="6535931C" w14:textId="77777777" w:rsidR="008E6228" w:rsidRDefault="008E6228" w:rsidP="00D40DA6">
      <w:pPr>
        <w:pStyle w:val="FootnoteText"/>
      </w:pPr>
      <w:r>
        <w:rPr>
          <w:rStyle w:val="FootnoteReference"/>
        </w:rPr>
        <w:footnoteRef/>
      </w:r>
      <w:r>
        <w:t xml:space="preserve"> Action 1.10 of the </w:t>
      </w:r>
      <w:r w:rsidRPr="00FC4B32">
        <w:rPr>
          <w:b/>
        </w:rPr>
        <w:t>Comprehensive Employment Strategy Phase Two Action Plan</w:t>
      </w:r>
      <w:r>
        <w:t>.</w:t>
      </w:r>
    </w:p>
  </w:footnote>
  <w:footnote w:id="156">
    <w:p w14:paraId="535977A8" w14:textId="77777777" w:rsidR="008E6228" w:rsidRDefault="008E6228" w:rsidP="00EB6C1C">
      <w:pPr>
        <w:pStyle w:val="FootnoteText"/>
      </w:pPr>
      <w:r>
        <w:rPr>
          <w:rStyle w:val="FootnoteReference"/>
        </w:rPr>
        <w:footnoteRef/>
      </w:r>
      <w:r>
        <w:t xml:space="preserve"> Pierce, M. (2004) </w:t>
      </w:r>
      <w:r w:rsidRPr="003B02C4">
        <w:rPr>
          <w:b/>
        </w:rPr>
        <w:t>Minority Ethnic People with Disabilities in Ireland Situation, Identity and Experience</w:t>
      </w:r>
      <w:r>
        <w:t xml:space="preserve">, Dublin: Equality Authority. </w:t>
      </w:r>
    </w:p>
  </w:footnote>
  <w:footnote w:id="157">
    <w:p w14:paraId="2A5043BF" w14:textId="77777777" w:rsidR="008E6228" w:rsidRDefault="008E6228" w:rsidP="00EB6C1C">
      <w:pPr>
        <w:pStyle w:val="FootnoteText"/>
      </w:pPr>
      <w:r>
        <w:rPr>
          <w:rStyle w:val="FootnoteReference"/>
        </w:rPr>
        <w:footnoteRef/>
      </w:r>
      <w:r>
        <w:t xml:space="preserve"> Economic and Social Research Institute (2017) </w:t>
      </w:r>
      <w:r w:rsidRPr="003B02C4">
        <w:rPr>
          <w:b/>
        </w:rPr>
        <w:t>A Social Portrait of Travellers in Ireland</w:t>
      </w:r>
      <w:r>
        <w:t>, Dublin: ESRI, p.6.</w:t>
      </w:r>
    </w:p>
  </w:footnote>
  <w:footnote w:id="158">
    <w:p w14:paraId="6443B673" w14:textId="77777777" w:rsidR="008E6228" w:rsidRDefault="008E6228">
      <w:pPr>
        <w:pStyle w:val="FootnoteText"/>
      </w:pPr>
      <w:r>
        <w:rPr>
          <w:rStyle w:val="FootnoteReference"/>
        </w:rPr>
        <w:footnoteRef/>
      </w:r>
      <w:r>
        <w:t xml:space="preserve"> Ibid, p.35.</w:t>
      </w:r>
    </w:p>
  </w:footnote>
  <w:footnote w:id="159">
    <w:p w14:paraId="14BB3F3C" w14:textId="77777777" w:rsidR="008E6228" w:rsidRDefault="008E6228">
      <w:pPr>
        <w:pStyle w:val="FootnoteText"/>
      </w:pPr>
      <w:r>
        <w:rPr>
          <w:rStyle w:val="FootnoteReference"/>
        </w:rPr>
        <w:footnoteRef/>
      </w:r>
      <w:r>
        <w:t xml:space="preserve"> National Women’s Council of Ireland (2008) </w:t>
      </w:r>
      <w:r w:rsidRPr="00D032C8">
        <w:rPr>
          <w:b/>
        </w:rPr>
        <w:t>Disability and Women in Ireland ‘Building Solidarity and Inclusion</w:t>
      </w:r>
      <w:r>
        <w:t>, Dublin: NWCI, p.30.</w:t>
      </w:r>
    </w:p>
  </w:footnote>
  <w:footnote w:id="160">
    <w:p w14:paraId="6E759206" w14:textId="77777777" w:rsidR="008E6228" w:rsidRDefault="008E6228">
      <w:pPr>
        <w:pStyle w:val="FootnoteText"/>
      </w:pPr>
      <w:r>
        <w:rPr>
          <w:rStyle w:val="FootnoteReference"/>
        </w:rPr>
        <w:footnoteRef/>
      </w:r>
      <w:r>
        <w:t xml:space="preserve"> Economic and Social Research Institute and Equality Authority (2012)</w:t>
      </w:r>
      <w:r w:rsidRPr="00996DBA">
        <w:rPr>
          <w:sz w:val="26"/>
          <w:szCs w:val="24"/>
        </w:rPr>
        <w:t xml:space="preserve"> </w:t>
      </w:r>
      <w:r w:rsidRPr="00996DBA">
        <w:rPr>
          <w:b/>
        </w:rPr>
        <w:t>Disability in the Irish Labour Market</w:t>
      </w:r>
      <w:r>
        <w:t>, Dublin: ESRI and Equality Authority, p.21.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90017"/>
    <w:lvl w:ilvl="0">
      <w:start w:val="1"/>
      <w:numFmt w:val="lowerLetter"/>
      <w:lvlText w:val="%1)"/>
      <w:lvlJc w:val="left"/>
      <w:pPr>
        <w:ind w:left="720" w:hanging="360"/>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22485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3111FFD"/>
    <w:multiLevelType w:val="hybridMultilevel"/>
    <w:tmpl w:val="DAC8BD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6A14FB1"/>
    <w:multiLevelType w:val="multilevel"/>
    <w:tmpl w:val="E5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D1A2C"/>
    <w:multiLevelType w:val="hybridMultilevel"/>
    <w:tmpl w:val="5E1CD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CAA5ACA"/>
    <w:multiLevelType w:val="hybridMultilevel"/>
    <w:tmpl w:val="952EA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E920789"/>
    <w:multiLevelType w:val="hybridMultilevel"/>
    <w:tmpl w:val="778A7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CB4920"/>
    <w:multiLevelType w:val="multilevel"/>
    <w:tmpl w:val="22A4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C2409"/>
    <w:multiLevelType w:val="hybridMultilevel"/>
    <w:tmpl w:val="F1F253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10E7354"/>
    <w:multiLevelType w:val="hybridMultilevel"/>
    <w:tmpl w:val="AEDA7E4E"/>
    <w:lvl w:ilvl="0" w:tplc="380A67B2">
      <w:start w:val="19"/>
      <w:numFmt w:val="bullet"/>
      <w:lvlText w:val="-"/>
      <w:lvlJc w:val="left"/>
      <w:pPr>
        <w:ind w:left="720" w:hanging="360"/>
      </w:pPr>
      <w:rPr>
        <w:rFonts w:ascii="Arial" w:eastAsia="Calibr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25A1C8F"/>
    <w:multiLevelType w:val="multilevel"/>
    <w:tmpl w:val="81F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85A61"/>
    <w:multiLevelType w:val="multilevel"/>
    <w:tmpl w:val="ED42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B00F5"/>
    <w:multiLevelType w:val="hybridMultilevel"/>
    <w:tmpl w:val="87D2095C"/>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1" w15:restartNumberingAfterBreak="0">
    <w:nsid w:val="60143009"/>
    <w:multiLevelType w:val="hybridMultilevel"/>
    <w:tmpl w:val="25B054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9122734"/>
    <w:multiLevelType w:val="hybridMultilevel"/>
    <w:tmpl w:val="4792354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46104E4"/>
    <w:multiLevelType w:val="multilevel"/>
    <w:tmpl w:val="B1A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13513"/>
    <w:multiLevelType w:val="hybridMultilevel"/>
    <w:tmpl w:val="AD807B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E8214A3"/>
    <w:multiLevelType w:val="hybridMultilevel"/>
    <w:tmpl w:val="B84CB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9"/>
  </w:num>
  <w:num w:numId="18">
    <w:abstractNumId w:val="17"/>
  </w:num>
  <w:num w:numId="19">
    <w:abstractNumId w:val="25"/>
  </w:num>
  <w:num w:numId="20">
    <w:abstractNumId w:val="13"/>
  </w:num>
  <w:num w:numId="21">
    <w:abstractNumId w:val="21"/>
  </w:num>
  <w:num w:numId="22">
    <w:abstractNumId w:val="14"/>
  </w:num>
  <w:num w:numId="23">
    <w:abstractNumId w:val="10"/>
  </w:num>
  <w:num w:numId="24">
    <w:abstractNumId w:val="18"/>
  </w:num>
  <w:num w:numId="25">
    <w:abstractNumId w:val="23"/>
  </w:num>
  <w:num w:numId="26">
    <w:abstractNumId w:val="15"/>
  </w:num>
  <w:num w:numId="27">
    <w:abstractNumId w:val="12"/>
  </w:num>
  <w:num w:numId="28">
    <w:abstractNumId w:val="20"/>
  </w:num>
  <w:num w:numId="29">
    <w:abstractNumId w:val="24"/>
  </w:num>
  <w:num w:numId="30">
    <w:abstractNumId w:val="11"/>
  </w:num>
  <w:num w:numId="31">
    <w:abstractNumId w:val="16"/>
  </w:num>
  <w:num w:numId="32">
    <w:abstractNumId w:val="22"/>
  </w:num>
  <w:num w:numId="3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41"/>
    <w:rsid w:val="000044D4"/>
    <w:rsid w:val="00012702"/>
    <w:rsid w:val="00016DCB"/>
    <w:rsid w:val="00023111"/>
    <w:rsid w:val="00025783"/>
    <w:rsid w:val="000277D1"/>
    <w:rsid w:val="00032DA3"/>
    <w:rsid w:val="00046B8D"/>
    <w:rsid w:val="0004787D"/>
    <w:rsid w:val="000517D9"/>
    <w:rsid w:val="00051CA8"/>
    <w:rsid w:val="000574CA"/>
    <w:rsid w:val="00071CE1"/>
    <w:rsid w:val="000A1BB0"/>
    <w:rsid w:val="000A63F5"/>
    <w:rsid w:val="000C2957"/>
    <w:rsid w:val="000C53C1"/>
    <w:rsid w:val="000D3A51"/>
    <w:rsid w:val="000D6792"/>
    <w:rsid w:val="000F7F35"/>
    <w:rsid w:val="00104DD9"/>
    <w:rsid w:val="001144BF"/>
    <w:rsid w:val="00137D55"/>
    <w:rsid w:val="00141D02"/>
    <w:rsid w:val="00145EE0"/>
    <w:rsid w:val="00147BB2"/>
    <w:rsid w:val="0015212D"/>
    <w:rsid w:val="001556EF"/>
    <w:rsid w:val="00156E77"/>
    <w:rsid w:val="0016226F"/>
    <w:rsid w:val="00166FF3"/>
    <w:rsid w:val="00170392"/>
    <w:rsid w:val="00172CC4"/>
    <w:rsid w:val="001731C6"/>
    <w:rsid w:val="00177097"/>
    <w:rsid w:val="00181FE6"/>
    <w:rsid w:val="00193598"/>
    <w:rsid w:val="001B069B"/>
    <w:rsid w:val="001B14C1"/>
    <w:rsid w:val="001B4D9D"/>
    <w:rsid w:val="001C799F"/>
    <w:rsid w:val="001D2A63"/>
    <w:rsid w:val="001D4639"/>
    <w:rsid w:val="001D48C8"/>
    <w:rsid w:val="001E2F4A"/>
    <w:rsid w:val="001E4D9B"/>
    <w:rsid w:val="001E6632"/>
    <w:rsid w:val="001E74E7"/>
    <w:rsid w:val="001F02E8"/>
    <w:rsid w:val="001F1058"/>
    <w:rsid w:val="001F3FF0"/>
    <w:rsid w:val="001F668E"/>
    <w:rsid w:val="0021604C"/>
    <w:rsid w:val="00220B2C"/>
    <w:rsid w:val="002234B4"/>
    <w:rsid w:val="0022364B"/>
    <w:rsid w:val="002238B2"/>
    <w:rsid w:val="002257A9"/>
    <w:rsid w:val="00234868"/>
    <w:rsid w:val="00236C23"/>
    <w:rsid w:val="00237494"/>
    <w:rsid w:val="00247B50"/>
    <w:rsid w:val="00251A21"/>
    <w:rsid w:val="00256546"/>
    <w:rsid w:val="00257E5B"/>
    <w:rsid w:val="002606D1"/>
    <w:rsid w:val="002705B0"/>
    <w:rsid w:val="00274150"/>
    <w:rsid w:val="0027431B"/>
    <w:rsid w:val="002758CA"/>
    <w:rsid w:val="0027720F"/>
    <w:rsid w:val="002776DC"/>
    <w:rsid w:val="00282B46"/>
    <w:rsid w:val="00287B8E"/>
    <w:rsid w:val="00291099"/>
    <w:rsid w:val="00291AB9"/>
    <w:rsid w:val="002927AD"/>
    <w:rsid w:val="0029734D"/>
    <w:rsid w:val="002A290E"/>
    <w:rsid w:val="002A3C90"/>
    <w:rsid w:val="002A508E"/>
    <w:rsid w:val="002A6370"/>
    <w:rsid w:val="002A7431"/>
    <w:rsid w:val="002B0521"/>
    <w:rsid w:val="002B423B"/>
    <w:rsid w:val="002C259E"/>
    <w:rsid w:val="002C34B9"/>
    <w:rsid w:val="002C681D"/>
    <w:rsid w:val="002D17EE"/>
    <w:rsid w:val="002D41A9"/>
    <w:rsid w:val="002D690A"/>
    <w:rsid w:val="002E5196"/>
    <w:rsid w:val="002F46C4"/>
    <w:rsid w:val="00302F3B"/>
    <w:rsid w:val="00310445"/>
    <w:rsid w:val="00312A05"/>
    <w:rsid w:val="00317848"/>
    <w:rsid w:val="00332C30"/>
    <w:rsid w:val="003368C1"/>
    <w:rsid w:val="00342B01"/>
    <w:rsid w:val="00342BF5"/>
    <w:rsid w:val="00355BA4"/>
    <w:rsid w:val="00357DD5"/>
    <w:rsid w:val="003671B1"/>
    <w:rsid w:val="00385418"/>
    <w:rsid w:val="00387F6F"/>
    <w:rsid w:val="00396F05"/>
    <w:rsid w:val="003A0C5C"/>
    <w:rsid w:val="003A15CF"/>
    <w:rsid w:val="003A2882"/>
    <w:rsid w:val="003A44C8"/>
    <w:rsid w:val="003A7436"/>
    <w:rsid w:val="003B02C4"/>
    <w:rsid w:val="003B10EC"/>
    <w:rsid w:val="003B31B6"/>
    <w:rsid w:val="003B6A27"/>
    <w:rsid w:val="003C04A6"/>
    <w:rsid w:val="003C411A"/>
    <w:rsid w:val="003C4E35"/>
    <w:rsid w:val="003D02FF"/>
    <w:rsid w:val="003D0966"/>
    <w:rsid w:val="003D64AD"/>
    <w:rsid w:val="003E0694"/>
    <w:rsid w:val="003E773B"/>
    <w:rsid w:val="003F7A02"/>
    <w:rsid w:val="003F7CF2"/>
    <w:rsid w:val="00400E53"/>
    <w:rsid w:val="004022D4"/>
    <w:rsid w:val="00407BD8"/>
    <w:rsid w:val="00410BB6"/>
    <w:rsid w:val="00416681"/>
    <w:rsid w:val="004214F8"/>
    <w:rsid w:val="00423DED"/>
    <w:rsid w:val="0042616C"/>
    <w:rsid w:val="00426692"/>
    <w:rsid w:val="00436418"/>
    <w:rsid w:val="0043704D"/>
    <w:rsid w:val="00444B89"/>
    <w:rsid w:val="00444C72"/>
    <w:rsid w:val="0044562B"/>
    <w:rsid w:val="0045272A"/>
    <w:rsid w:val="0045423C"/>
    <w:rsid w:val="00460E83"/>
    <w:rsid w:val="00470A71"/>
    <w:rsid w:val="00471E17"/>
    <w:rsid w:val="00475BF7"/>
    <w:rsid w:val="0047741D"/>
    <w:rsid w:val="00477601"/>
    <w:rsid w:val="004845A4"/>
    <w:rsid w:val="0048524B"/>
    <w:rsid w:val="00486F41"/>
    <w:rsid w:val="00491101"/>
    <w:rsid w:val="004934C9"/>
    <w:rsid w:val="004950B5"/>
    <w:rsid w:val="0049589C"/>
    <w:rsid w:val="004970EC"/>
    <w:rsid w:val="00497110"/>
    <w:rsid w:val="004A6CA2"/>
    <w:rsid w:val="004B2EFF"/>
    <w:rsid w:val="004B5D81"/>
    <w:rsid w:val="004C08B9"/>
    <w:rsid w:val="004C5836"/>
    <w:rsid w:val="004C79EE"/>
    <w:rsid w:val="004D42BA"/>
    <w:rsid w:val="004E4B7C"/>
    <w:rsid w:val="004E6EBA"/>
    <w:rsid w:val="00514296"/>
    <w:rsid w:val="00522EEF"/>
    <w:rsid w:val="0052453E"/>
    <w:rsid w:val="00525627"/>
    <w:rsid w:val="005314C9"/>
    <w:rsid w:val="00531FA0"/>
    <w:rsid w:val="00532788"/>
    <w:rsid w:val="005339E2"/>
    <w:rsid w:val="00540D8A"/>
    <w:rsid w:val="005458CE"/>
    <w:rsid w:val="005459F9"/>
    <w:rsid w:val="00553A8C"/>
    <w:rsid w:val="00557CC1"/>
    <w:rsid w:val="005632E6"/>
    <w:rsid w:val="005679A5"/>
    <w:rsid w:val="00572B50"/>
    <w:rsid w:val="0057405A"/>
    <w:rsid w:val="0057676D"/>
    <w:rsid w:val="00577217"/>
    <w:rsid w:val="00580D4C"/>
    <w:rsid w:val="005846D3"/>
    <w:rsid w:val="005849A2"/>
    <w:rsid w:val="00584AF5"/>
    <w:rsid w:val="00587DFD"/>
    <w:rsid w:val="005A128E"/>
    <w:rsid w:val="005A28E9"/>
    <w:rsid w:val="005B6465"/>
    <w:rsid w:val="005C6C57"/>
    <w:rsid w:val="005D4153"/>
    <w:rsid w:val="005D6327"/>
    <w:rsid w:val="005D7F60"/>
    <w:rsid w:val="005E3210"/>
    <w:rsid w:val="005E3827"/>
    <w:rsid w:val="005E5D9A"/>
    <w:rsid w:val="005E6841"/>
    <w:rsid w:val="005F0A80"/>
    <w:rsid w:val="005F0E23"/>
    <w:rsid w:val="00611372"/>
    <w:rsid w:val="0061301C"/>
    <w:rsid w:val="00616193"/>
    <w:rsid w:val="006213DF"/>
    <w:rsid w:val="00634856"/>
    <w:rsid w:val="006349ED"/>
    <w:rsid w:val="00665669"/>
    <w:rsid w:val="00671358"/>
    <w:rsid w:val="00671E0F"/>
    <w:rsid w:val="00675C6A"/>
    <w:rsid w:val="00675F47"/>
    <w:rsid w:val="00676070"/>
    <w:rsid w:val="00677118"/>
    <w:rsid w:val="006804E2"/>
    <w:rsid w:val="00687EA3"/>
    <w:rsid w:val="00691A7A"/>
    <w:rsid w:val="00693FD7"/>
    <w:rsid w:val="006B10FF"/>
    <w:rsid w:val="006C306D"/>
    <w:rsid w:val="006C6827"/>
    <w:rsid w:val="006D5A4F"/>
    <w:rsid w:val="006E1017"/>
    <w:rsid w:val="006E2248"/>
    <w:rsid w:val="006E2831"/>
    <w:rsid w:val="006E3EE0"/>
    <w:rsid w:val="006E576C"/>
    <w:rsid w:val="006F763D"/>
    <w:rsid w:val="007010A4"/>
    <w:rsid w:val="007073B4"/>
    <w:rsid w:val="00712C92"/>
    <w:rsid w:val="00725B63"/>
    <w:rsid w:val="0073399C"/>
    <w:rsid w:val="007361D9"/>
    <w:rsid w:val="00736905"/>
    <w:rsid w:val="00740C48"/>
    <w:rsid w:val="007457D7"/>
    <w:rsid w:val="00746158"/>
    <w:rsid w:val="00752316"/>
    <w:rsid w:val="0075383C"/>
    <w:rsid w:val="00755CA3"/>
    <w:rsid w:val="0076186C"/>
    <w:rsid w:val="007619DC"/>
    <w:rsid w:val="00763752"/>
    <w:rsid w:val="007651C6"/>
    <w:rsid w:val="007664EB"/>
    <w:rsid w:val="00767F45"/>
    <w:rsid w:val="00781DDA"/>
    <w:rsid w:val="00794EC6"/>
    <w:rsid w:val="007A2022"/>
    <w:rsid w:val="007A5B58"/>
    <w:rsid w:val="007A60F3"/>
    <w:rsid w:val="007A7126"/>
    <w:rsid w:val="007A776A"/>
    <w:rsid w:val="007B4F66"/>
    <w:rsid w:val="007C1D90"/>
    <w:rsid w:val="007C2A93"/>
    <w:rsid w:val="007C344A"/>
    <w:rsid w:val="007C4DC8"/>
    <w:rsid w:val="007D093D"/>
    <w:rsid w:val="007D3BEA"/>
    <w:rsid w:val="007E7E13"/>
    <w:rsid w:val="007F0656"/>
    <w:rsid w:val="007F0784"/>
    <w:rsid w:val="00805A75"/>
    <w:rsid w:val="008236AF"/>
    <w:rsid w:val="00825818"/>
    <w:rsid w:val="00831FA1"/>
    <w:rsid w:val="00844AE0"/>
    <w:rsid w:val="00844C77"/>
    <w:rsid w:val="008500CB"/>
    <w:rsid w:val="00851946"/>
    <w:rsid w:val="008556A2"/>
    <w:rsid w:val="00861CDB"/>
    <w:rsid w:val="00863BC9"/>
    <w:rsid w:val="00864491"/>
    <w:rsid w:val="008654A1"/>
    <w:rsid w:val="00867A05"/>
    <w:rsid w:val="00870A5C"/>
    <w:rsid w:val="00870BFA"/>
    <w:rsid w:val="00880688"/>
    <w:rsid w:val="0088166B"/>
    <w:rsid w:val="0088244E"/>
    <w:rsid w:val="008835E7"/>
    <w:rsid w:val="00883AA0"/>
    <w:rsid w:val="00887DBE"/>
    <w:rsid w:val="00891E0D"/>
    <w:rsid w:val="008934B1"/>
    <w:rsid w:val="00893D24"/>
    <w:rsid w:val="0089510A"/>
    <w:rsid w:val="008977DB"/>
    <w:rsid w:val="008A5431"/>
    <w:rsid w:val="008A6043"/>
    <w:rsid w:val="008C05F1"/>
    <w:rsid w:val="008D4527"/>
    <w:rsid w:val="008D465B"/>
    <w:rsid w:val="008D523E"/>
    <w:rsid w:val="008D7B00"/>
    <w:rsid w:val="008E30FF"/>
    <w:rsid w:val="008E34D8"/>
    <w:rsid w:val="008E6228"/>
    <w:rsid w:val="008F17D6"/>
    <w:rsid w:val="008F29EC"/>
    <w:rsid w:val="008F2E7A"/>
    <w:rsid w:val="008F6381"/>
    <w:rsid w:val="008F6C8F"/>
    <w:rsid w:val="0090120A"/>
    <w:rsid w:val="009012F3"/>
    <w:rsid w:val="00904251"/>
    <w:rsid w:val="00905671"/>
    <w:rsid w:val="00907B1E"/>
    <w:rsid w:val="0091297B"/>
    <w:rsid w:val="009275B7"/>
    <w:rsid w:val="00927969"/>
    <w:rsid w:val="00931069"/>
    <w:rsid w:val="009318FF"/>
    <w:rsid w:val="00936769"/>
    <w:rsid w:val="0093746C"/>
    <w:rsid w:val="00953E92"/>
    <w:rsid w:val="00957CD6"/>
    <w:rsid w:val="00962026"/>
    <w:rsid w:val="009636B8"/>
    <w:rsid w:val="00965000"/>
    <w:rsid w:val="00967615"/>
    <w:rsid w:val="009732A3"/>
    <w:rsid w:val="00974185"/>
    <w:rsid w:val="00983C05"/>
    <w:rsid w:val="00991533"/>
    <w:rsid w:val="00991ECE"/>
    <w:rsid w:val="00995DBD"/>
    <w:rsid w:val="00996DBA"/>
    <w:rsid w:val="009A2F7D"/>
    <w:rsid w:val="009A46A9"/>
    <w:rsid w:val="009A6347"/>
    <w:rsid w:val="009C114E"/>
    <w:rsid w:val="009C2377"/>
    <w:rsid w:val="009C3BD7"/>
    <w:rsid w:val="009C4D62"/>
    <w:rsid w:val="009C5367"/>
    <w:rsid w:val="009D5EF1"/>
    <w:rsid w:val="009D7C7A"/>
    <w:rsid w:val="009E2028"/>
    <w:rsid w:val="009E5BBE"/>
    <w:rsid w:val="009F1ED9"/>
    <w:rsid w:val="009F5859"/>
    <w:rsid w:val="00A05270"/>
    <w:rsid w:val="00A141F1"/>
    <w:rsid w:val="00A17446"/>
    <w:rsid w:val="00A21732"/>
    <w:rsid w:val="00A268FD"/>
    <w:rsid w:val="00A27D80"/>
    <w:rsid w:val="00A30B13"/>
    <w:rsid w:val="00A30B4D"/>
    <w:rsid w:val="00A316FF"/>
    <w:rsid w:val="00A37D16"/>
    <w:rsid w:val="00A5656D"/>
    <w:rsid w:val="00A57C43"/>
    <w:rsid w:val="00A62846"/>
    <w:rsid w:val="00A64E5B"/>
    <w:rsid w:val="00A70917"/>
    <w:rsid w:val="00A73124"/>
    <w:rsid w:val="00A73170"/>
    <w:rsid w:val="00A77E7E"/>
    <w:rsid w:val="00A84804"/>
    <w:rsid w:val="00A874CA"/>
    <w:rsid w:val="00A95BBD"/>
    <w:rsid w:val="00A97BA8"/>
    <w:rsid w:val="00AA27FA"/>
    <w:rsid w:val="00AA40EF"/>
    <w:rsid w:val="00AA73AB"/>
    <w:rsid w:val="00AB003B"/>
    <w:rsid w:val="00AB172C"/>
    <w:rsid w:val="00AC6B5B"/>
    <w:rsid w:val="00AD080A"/>
    <w:rsid w:val="00AD192A"/>
    <w:rsid w:val="00AD7135"/>
    <w:rsid w:val="00AE015D"/>
    <w:rsid w:val="00AE1367"/>
    <w:rsid w:val="00AE2CC3"/>
    <w:rsid w:val="00B14618"/>
    <w:rsid w:val="00B15053"/>
    <w:rsid w:val="00B21261"/>
    <w:rsid w:val="00B31365"/>
    <w:rsid w:val="00B323C3"/>
    <w:rsid w:val="00B32A93"/>
    <w:rsid w:val="00B33D14"/>
    <w:rsid w:val="00B4341E"/>
    <w:rsid w:val="00B43A53"/>
    <w:rsid w:val="00B46F02"/>
    <w:rsid w:val="00B50DB7"/>
    <w:rsid w:val="00B617F4"/>
    <w:rsid w:val="00B6344C"/>
    <w:rsid w:val="00B76547"/>
    <w:rsid w:val="00B767BB"/>
    <w:rsid w:val="00B80A21"/>
    <w:rsid w:val="00B819C2"/>
    <w:rsid w:val="00B82F41"/>
    <w:rsid w:val="00B8349E"/>
    <w:rsid w:val="00B83AA1"/>
    <w:rsid w:val="00B861EC"/>
    <w:rsid w:val="00B86B90"/>
    <w:rsid w:val="00B8762D"/>
    <w:rsid w:val="00B972FD"/>
    <w:rsid w:val="00BA2579"/>
    <w:rsid w:val="00BA387C"/>
    <w:rsid w:val="00BA6F15"/>
    <w:rsid w:val="00BB0F03"/>
    <w:rsid w:val="00BB14FE"/>
    <w:rsid w:val="00BB6CC5"/>
    <w:rsid w:val="00BC4F20"/>
    <w:rsid w:val="00BC58C0"/>
    <w:rsid w:val="00BC74C2"/>
    <w:rsid w:val="00BD147F"/>
    <w:rsid w:val="00BD3038"/>
    <w:rsid w:val="00BD38E5"/>
    <w:rsid w:val="00BE0B63"/>
    <w:rsid w:val="00BE3DCC"/>
    <w:rsid w:val="00BE5598"/>
    <w:rsid w:val="00BE55D9"/>
    <w:rsid w:val="00BF410D"/>
    <w:rsid w:val="00BF6A92"/>
    <w:rsid w:val="00C00B1A"/>
    <w:rsid w:val="00C02B28"/>
    <w:rsid w:val="00C0412D"/>
    <w:rsid w:val="00C05B99"/>
    <w:rsid w:val="00C154AE"/>
    <w:rsid w:val="00C20C6C"/>
    <w:rsid w:val="00C23D2D"/>
    <w:rsid w:val="00C276E0"/>
    <w:rsid w:val="00C3162F"/>
    <w:rsid w:val="00C3291B"/>
    <w:rsid w:val="00C33357"/>
    <w:rsid w:val="00C35F31"/>
    <w:rsid w:val="00C420C1"/>
    <w:rsid w:val="00C43CCF"/>
    <w:rsid w:val="00C45E5D"/>
    <w:rsid w:val="00C47409"/>
    <w:rsid w:val="00C506FB"/>
    <w:rsid w:val="00C54A27"/>
    <w:rsid w:val="00C56DF4"/>
    <w:rsid w:val="00C67AD2"/>
    <w:rsid w:val="00C709ED"/>
    <w:rsid w:val="00C82706"/>
    <w:rsid w:val="00C83C7F"/>
    <w:rsid w:val="00C85678"/>
    <w:rsid w:val="00C867C9"/>
    <w:rsid w:val="00C867D8"/>
    <w:rsid w:val="00C94173"/>
    <w:rsid w:val="00CA21D9"/>
    <w:rsid w:val="00CA3354"/>
    <w:rsid w:val="00CA56A6"/>
    <w:rsid w:val="00CA58F6"/>
    <w:rsid w:val="00CB17DB"/>
    <w:rsid w:val="00CB6570"/>
    <w:rsid w:val="00CB6C61"/>
    <w:rsid w:val="00CC310B"/>
    <w:rsid w:val="00CC7A16"/>
    <w:rsid w:val="00CD447C"/>
    <w:rsid w:val="00CD4577"/>
    <w:rsid w:val="00CE3C26"/>
    <w:rsid w:val="00CE3F76"/>
    <w:rsid w:val="00CE4CC1"/>
    <w:rsid w:val="00CF0449"/>
    <w:rsid w:val="00CF29D1"/>
    <w:rsid w:val="00D032C8"/>
    <w:rsid w:val="00D14F55"/>
    <w:rsid w:val="00D179A3"/>
    <w:rsid w:val="00D274FD"/>
    <w:rsid w:val="00D40DA6"/>
    <w:rsid w:val="00D414ED"/>
    <w:rsid w:val="00D45E3F"/>
    <w:rsid w:val="00D46F69"/>
    <w:rsid w:val="00D474FD"/>
    <w:rsid w:val="00D5295A"/>
    <w:rsid w:val="00D70522"/>
    <w:rsid w:val="00D72036"/>
    <w:rsid w:val="00D726DF"/>
    <w:rsid w:val="00D73CAE"/>
    <w:rsid w:val="00D801A4"/>
    <w:rsid w:val="00D81A3A"/>
    <w:rsid w:val="00D8575E"/>
    <w:rsid w:val="00D85DA7"/>
    <w:rsid w:val="00D90FDD"/>
    <w:rsid w:val="00D915CE"/>
    <w:rsid w:val="00D92556"/>
    <w:rsid w:val="00D93106"/>
    <w:rsid w:val="00D953B9"/>
    <w:rsid w:val="00D95496"/>
    <w:rsid w:val="00D962BE"/>
    <w:rsid w:val="00DA08F2"/>
    <w:rsid w:val="00DA6514"/>
    <w:rsid w:val="00DA6E35"/>
    <w:rsid w:val="00DA73B2"/>
    <w:rsid w:val="00DB3C01"/>
    <w:rsid w:val="00DB6296"/>
    <w:rsid w:val="00DD0A3E"/>
    <w:rsid w:val="00DD2BCD"/>
    <w:rsid w:val="00DD5B2D"/>
    <w:rsid w:val="00DD72F0"/>
    <w:rsid w:val="00DE622D"/>
    <w:rsid w:val="00DE789A"/>
    <w:rsid w:val="00DF00F3"/>
    <w:rsid w:val="00DF6AEF"/>
    <w:rsid w:val="00E01775"/>
    <w:rsid w:val="00E034B9"/>
    <w:rsid w:val="00E04379"/>
    <w:rsid w:val="00E14CDF"/>
    <w:rsid w:val="00E14E54"/>
    <w:rsid w:val="00E15AAB"/>
    <w:rsid w:val="00E216B8"/>
    <w:rsid w:val="00E26358"/>
    <w:rsid w:val="00E31268"/>
    <w:rsid w:val="00E3177A"/>
    <w:rsid w:val="00E372CC"/>
    <w:rsid w:val="00E3733D"/>
    <w:rsid w:val="00E4081C"/>
    <w:rsid w:val="00E428DD"/>
    <w:rsid w:val="00E455C0"/>
    <w:rsid w:val="00E51728"/>
    <w:rsid w:val="00E53F3E"/>
    <w:rsid w:val="00E557C9"/>
    <w:rsid w:val="00E5709C"/>
    <w:rsid w:val="00E63F40"/>
    <w:rsid w:val="00E6763B"/>
    <w:rsid w:val="00E71660"/>
    <w:rsid w:val="00E723DE"/>
    <w:rsid w:val="00E7702C"/>
    <w:rsid w:val="00E870BF"/>
    <w:rsid w:val="00E970D6"/>
    <w:rsid w:val="00E97715"/>
    <w:rsid w:val="00EA38A5"/>
    <w:rsid w:val="00EA3C88"/>
    <w:rsid w:val="00EB0042"/>
    <w:rsid w:val="00EB0129"/>
    <w:rsid w:val="00EB1634"/>
    <w:rsid w:val="00EB555E"/>
    <w:rsid w:val="00EB6C1C"/>
    <w:rsid w:val="00EB77CC"/>
    <w:rsid w:val="00EC17D9"/>
    <w:rsid w:val="00EC1A38"/>
    <w:rsid w:val="00EC5044"/>
    <w:rsid w:val="00EE68B3"/>
    <w:rsid w:val="00EF6E68"/>
    <w:rsid w:val="00EF724E"/>
    <w:rsid w:val="00F02F57"/>
    <w:rsid w:val="00F05D40"/>
    <w:rsid w:val="00F0629A"/>
    <w:rsid w:val="00F06F66"/>
    <w:rsid w:val="00F074E0"/>
    <w:rsid w:val="00F16AB1"/>
    <w:rsid w:val="00F2120E"/>
    <w:rsid w:val="00F342A5"/>
    <w:rsid w:val="00F351D6"/>
    <w:rsid w:val="00F56267"/>
    <w:rsid w:val="00F5721D"/>
    <w:rsid w:val="00F573FA"/>
    <w:rsid w:val="00F60260"/>
    <w:rsid w:val="00F6072B"/>
    <w:rsid w:val="00F775D8"/>
    <w:rsid w:val="00F81E35"/>
    <w:rsid w:val="00F85416"/>
    <w:rsid w:val="00F868FB"/>
    <w:rsid w:val="00F87D03"/>
    <w:rsid w:val="00F90528"/>
    <w:rsid w:val="00F920B0"/>
    <w:rsid w:val="00F932FF"/>
    <w:rsid w:val="00F9485E"/>
    <w:rsid w:val="00F94E9C"/>
    <w:rsid w:val="00F96BC5"/>
    <w:rsid w:val="00FA0FB0"/>
    <w:rsid w:val="00FA3381"/>
    <w:rsid w:val="00FA5556"/>
    <w:rsid w:val="00FC4B32"/>
    <w:rsid w:val="00FE2467"/>
    <w:rsid w:val="00FE68F2"/>
    <w:rsid w:val="00FF7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8F32"/>
  <w15:chartTrackingRefBased/>
  <w15:docId w15:val="{8A26AE4F-5627-4DD5-A695-6AAAD087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spacing w:after="120"/>
    </w:pPr>
  </w:style>
  <w:style w:type="paragraph" w:styleId="ListNumber2">
    <w:name w:val="List Number 2"/>
    <w:basedOn w:val="Normal"/>
    <w:pPr>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8934B1"/>
    <w:pPr>
      <w:ind w:left="720"/>
      <w:contextualSpacing/>
    </w:pPr>
  </w:style>
  <w:style w:type="table" w:styleId="TableGrid">
    <w:name w:val="Table Grid"/>
    <w:basedOn w:val="TableNormal"/>
    <w:rsid w:val="0042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41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unhideWhenUsed/>
    <w:rsid w:val="000A1BB0"/>
    <w:rPr>
      <w:sz w:val="16"/>
      <w:szCs w:val="16"/>
    </w:rPr>
  </w:style>
  <w:style w:type="paragraph" w:styleId="BalloonText">
    <w:name w:val="Balloon Text"/>
    <w:basedOn w:val="Normal"/>
    <w:link w:val="BalloonTextChar"/>
    <w:rsid w:val="000A1BB0"/>
    <w:pPr>
      <w:spacing w:after="0"/>
    </w:pPr>
    <w:rPr>
      <w:rFonts w:ascii="Segoe UI" w:hAnsi="Segoe UI" w:cs="Segoe UI"/>
      <w:sz w:val="18"/>
      <w:szCs w:val="18"/>
    </w:rPr>
  </w:style>
  <w:style w:type="character" w:customStyle="1" w:styleId="BalloonTextChar">
    <w:name w:val="Balloon Text Char"/>
    <w:basedOn w:val="DefaultParagraphFont"/>
    <w:link w:val="BalloonText"/>
    <w:rsid w:val="000A1BB0"/>
    <w:rPr>
      <w:rFonts w:ascii="Segoe UI" w:eastAsia="Times New Roman" w:hAnsi="Segoe UI" w:cs="Segoe UI"/>
      <w:sz w:val="18"/>
      <w:szCs w:val="18"/>
      <w:lang w:eastAsia="en-US"/>
    </w:rPr>
  </w:style>
  <w:style w:type="character" w:customStyle="1" w:styleId="FootnoteTextChar">
    <w:name w:val="Footnote Text Char"/>
    <w:basedOn w:val="DefaultParagraphFont"/>
    <w:link w:val="FootnoteText"/>
    <w:semiHidden/>
    <w:rsid w:val="00A73170"/>
    <w:rPr>
      <w:rFonts w:ascii="Gill Sans MT" w:eastAsia="Times New Roman" w:hAnsi="Gill Sans MT"/>
      <w:sz w:val="22"/>
      <w:lang w:eastAsia="en-US"/>
    </w:rPr>
  </w:style>
  <w:style w:type="paragraph" w:styleId="NoSpacing">
    <w:name w:val="No Spacing"/>
    <w:uiPriority w:val="1"/>
    <w:qFormat/>
    <w:rsid w:val="006213DF"/>
    <w:rPr>
      <w:rFonts w:ascii="Gill Sans MT" w:eastAsia="Times New Roman" w:hAnsi="Gill Sans MT"/>
      <w:sz w:val="26"/>
      <w:szCs w:val="24"/>
      <w:lang w:eastAsia="en-US"/>
    </w:rPr>
  </w:style>
  <w:style w:type="paragraph" w:styleId="CommentSubject">
    <w:name w:val="annotation subject"/>
    <w:basedOn w:val="CommentText"/>
    <w:next w:val="CommentText"/>
    <w:link w:val="CommentSubjectChar"/>
    <w:rsid w:val="00E01775"/>
    <w:rPr>
      <w:rFonts w:ascii="Gill Sans MT" w:hAnsi="Gill Sans MT"/>
      <w:b/>
      <w:bCs/>
      <w:szCs w:val="20"/>
      <w:lang w:val="en-IE"/>
    </w:rPr>
  </w:style>
  <w:style w:type="character" w:customStyle="1" w:styleId="CommentSubjectChar">
    <w:name w:val="Comment Subject Char"/>
    <w:basedOn w:val="CommentTextChar"/>
    <w:link w:val="CommentSubject"/>
    <w:rsid w:val="00E01775"/>
    <w:rPr>
      <w:rFonts w:ascii="Gill Sans MT" w:eastAsia="Times New Roman" w:hAnsi="Gill Sans MT"/>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0955">
      <w:bodyDiv w:val="1"/>
      <w:marLeft w:val="0"/>
      <w:marRight w:val="0"/>
      <w:marTop w:val="0"/>
      <w:marBottom w:val="0"/>
      <w:divBdr>
        <w:top w:val="none" w:sz="0" w:space="0" w:color="auto"/>
        <w:left w:val="none" w:sz="0" w:space="0" w:color="auto"/>
        <w:bottom w:val="none" w:sz="0" w:space="0" w:color="auto"/>
        <w:right w:val="none" w:sz="0" w:space="0" w:color="auto"/>
      </w:divBdr>
      <w:divsChild>
        <w:div w:id="1471434040">
          <w:marLeft w:val="0"/>
          <w:marRight w:val="0"/>
          <w:marTop w:val="0"/>
          <w:marBottom w:val="0"/>
          <w:divBdr>
            <w:top w:val="none" w:sz="0" w:space="0" w:color="auto"/>
            <w:left w:val="none" w:sz="0" w:space="0" w:color="auto"/>
            <w:bottom w:val="none" w:sz="0" w:space="0" w:color="auto"/>
            <w:right w:val="none" w:sz="0" w:space="0" w:color="auto"/>
          </w:divBdr>
          <w:divsChild>
            <w:div w:id="2130003795">
              <w:marLeft w:val="0"/>
              <w:marRight w:val="0"/>
              <w:marTop w:val="0"/>
              <w:marBottom w:val="0"/>
              <w:divBdr>
                <w:top w:val="none" w:sz="0" w:space="0" w:color="auto"/>
                <w:left w:val="none" w:sz="0" w:space="0" w:color="auto"/>
                <w:bottom w:val="none" w:sz="0" w:space="0" w:color="auto"/>
                <w:right w:val="none" w:sz="0" w:space="0" w:color="auto"/>
              </w:divBdr>
              <w:divsChild>
                <w:div w:id="17087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0027">
      <w:bodyDiv w:val="1"/>
      <w:marLeft w:val="0"/>
      <w:marRight w:val="0"/>
      <w:marTop w:val="0"/>
      <w:marBottom w:val="0"/>
      <w:divBdr>
        <w:top w:val="none" w:sz="0" w:space="0" w:color="auto"/>
        <w:left w:val="none" w:sz="0" w:space="0" w:color="auto"/>
        <w:bottom w:val="none" w:sz="0" w:space="0" w:color="auto"/>
        <w:right w:val="none" w:sz="0" w:space="0" w:color="auto"/>
      </w:divBdr>
    </w:div>
    <w:div w:id="289940661">
      <w:bodyDiv w:val="1"/>
      <w:marLeft w:val="0"/>
      <w:marRight w:val="0"/>
      <w:marTop w:val="0"/>
      <w:marBottom w:val="0"/>
      <w:divBdr>
        <w:top w:val="none" w:sz="0" w:space="0" w:color="auto"/>
        <w:left w:val="none" w:sz="0" w:space="0" w:color="auto"/>
        <w:bottom w:val="none" w:sz="0" w:space="0" w:color="auto"/>
        <w:right w:val="none" w:sz="0" w:space="0" w:color="auto"/>
      </w:divBdr>
    </w:div>
    <w:div w:id="311756333">
      <w:bodyDiv w:val="1"/>
      <w:marLeft w:val="0"/>
      <w:marRight w:val="0"/>
      <w:marTop w:val="0"/>
      <w:marBottom w:val="0"/>
      <w:divBdr>
        <w:top w:val="none" w:sz="0" w:space="0" w:color="auto"/>
        <w:left w:val="none" w:sz="0" w:space="0" w:color="auto"/>
        <w:bottom w:val="none" w:sz="0" w:space="0" w:color="auto"/>
        <w:right w:val="none" w:sz="0" w:space="0" w:color="auto"/>
      </w:divBdr>
    </w:div>
    <w:div w:id="436826315">
      <w:bodyDiv w:val="1"/>
      <w:marLeft w:val="0"/>
      <w:marRight w:val="0"/>
      <w:marTop w:val="0"/>
      <w:marBottom w:val="0"/>
      <w:divBdr>
        <w:top w:val="none" w:sz="0" w:space="0" w:color="auto"/>
        <w:left w:val="none" w:sz="0" w:space="0" w:color="auto"/>
        <w:bottom w:val="none" w:sz="0" w:space="0" w:color="auto"/>
        <w:right w:val="none" w:sz="0" w:space="0" w:color="auto"/>
      </w:divBdr>
    </w:div>
    <w:div w:id="458499724">
      <w:bodyDiv w:val="1"/>
      <w:marLeft w:val="0"/>
      <w:marRight w:val="0"/>
      <w:marTop w:val="0"/>
      <w:marBottom w:val="0"/>
      <w:divBdr>
        <w:top w:val="none" w:sz="0" w:space="0" w:color="auto"/>
        <w:left w:val="none" w:sz="0" w:space="0" w:color="auto"/>
        <w:bottom w:val="none" w:sz="0" w:space="0" w:color="auto"/>
        <w:right w:val="none" w:sz="0" w:space="0" w:color="auto"/>
      </w:divBdr>
      <w:divsChild>
        <w:div w:id="311980671">
          <w:marLeft w:val="-225"/>
          <w:marRight w:val="-225"/>
          <w:marTop w:val="0"/>
          <w:marBottom w:val="450"/>
          <w:divBdr>
            <w:top w:val="none" w:sz="0" w:space="0" w:color="auto"/>
            <w:left w:val="none" w:sz="0" w:space="0" w:color="auto"/>
            <w:bottom w:val="none" w:sz="0" w:space="0" w:color="auto"/>
            <w:right w:val="none" w:sz="0" w:space="0" w:color="auto"/>
          </w:divBdr>
          <w:divsChild>
            <w:div w:id="14325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0974">
      <w:bodyDiv w:val="1"/>
      <w:marLeft w:val="0"/>
      <w:marRight w:val="0"/>
      <w:marTop w:val="0"/>
      <w:marBottom w:val="0"/>
      <w:divBdr>
        <w:top w:val="none" w:sz="0" w:space="0" w:color="auto"/>
        <w:left w:val="none" w:sz="0" w:space="0" w:color="auto"/>
        <w:bottom w:val="none" w:sz="0" w:space="0" w:color="auto"/>
        <w:right w:val="none" w:sz="0" w:space="0" w:color="auto"/>
      </w:divBdr>
    </w:div>
    <w:div w:id="605889851">
      <w:bodyDiv w:val="1"/>
      <w:marLeft w:val="0"/>
      <w:marRight w:val="0"/>
      <w:marTop w:val="0"/>
      <w:marBottom w:val="0"/>
      <w:divBdr>
        <w:top w:val="none" w:sz="0" w:space="0" w:color="auto"/>
        <w:left w:val="none" w:sz="0" w:space="0" w:color="auto"/>
        <w:bottom w:val="none" w:sz="0" w:space="0" w:color="auto"/>
        <w:right w:val="none" w:sz="0" w:space="0" w:color="auto"/>
      </w:divBdr>
    </w:div>
    <w:div w:id="753942232">
      <w:bodyDiv w:val="1"/>
      <w:marLeft w:val="0"/>
      <w:marRight w:val="0"/>
      <w:marTop w:val="0"/>
      <w:marBottom w:val="0"/>
      <w:divBdr>
        <w:top w:val="none" w:sz="0" w:space="0" w:color="auto"/>
        <w:left w:val="none" w:sz="0" w:space="0" w:color="auto"/>
        <w:bottom w:val="none" w:sz="0" w:space="0" w:color="auto"/>
        <w:right w:val="none" w:sz="0" w:space="0" w:color="auto"/>
      </w:divBdr>
    </w:div>
    <w:div w:id="805273158">
      <w:bodyDiv w:val="1"/>
      <w:marLeft w:val="0"/>
      <w:marRight w:val="0"/>
      <w:marTop w:val="0"/>
      <w:marBottom w:val="0"/>
      <w:divBdr>
        <w:top w:val="none" w:sz="0" w:space="0" w:color="auto"/>
        <w:left w:val="none" w:sz="0" w:space="0" w:color="auto"/>
        <w:bottom w:val="none" w:sz="0" w:space="0" w:color="auto"/>
        <w:right w:val="none" w:sz="0" w:space="0" w:color="auto"/>
      </w:divBdr>
    </w:div>
    <w:div w:id="884680203">
      <w:bodyDiv w:val="1"/>
      <w:marLeft w:val="0"/>
      <w:marRight w:val="0"/>
      <w:marTop w:val="0"/>
      <w:marBottom w:val="0"/>
      <w:divBdr>
        <w:top w:val="none" w:sz="0" w:space="0" w:color="auto"/>
        <w:left w:val="none" w:sz="0" w:space="0" w:color="auto"/>
        <w:bottom w:val="none" w:sz="0" w:space="0" w:color="auto"/>
        <w:right w:val="none" w:sz="0" w:space="0" w:color="auto"/>
      </w:divBdr>
    </w:div>
    <w:div w:id="981811080">
      <w:bodyDiv w:val="1"/>
      <w:marLeft w:val="0"/>
      <w:marRight w:val="0"/>
      <w:marTop w:val="0"/>
      <w:marBottom w:val="0"/>
      <w:divBdr>
        <w:top w:val="none" w:sz="0" w:space="0" w:color="auto"/>
        <w:left w:val="none" w:sz="0" w:space="0" w:color="auto"/>
        <w:bottom w:val="none" w:sz="0" w:space="0" w:color="auto"/>
        <w:right w:val="none" w:sz="0" w:space="0" w:color="auto"/>
      </w:divBdr>
    </w:div>
    <w:div w:id="1155298101">
      <w:bodyDiv w:val="1"/>
      <w:marLeft w:val="0"/>
      <w:marRight w:val="0"/>
      <w:marTop w:val="0"/>
      <w:marBottom w:val="0"/>
      <w:divBdr>
        <w:top w:val="none" w:sz="0" w:space="0" w:color="auto"/>
        <w:left w:val="none" w:sz="0" w:space="0" w:color="auto"/>
        <w:bottom w:val="none" w:sz="0" w:space="0" w:color="auto"/>
        <w:right w:val="none" w:sz="0" w:space="0" w:color="auto"/>
      </w:divBdr>
    </w:div>
    <w:div w:id="1238322796">
      <w:bodyDiv w:val="1"/>
      <w:marLeft w:val="0"/>
      <w:marRight w:val="0"/>
      <w:marTop w:val="0"/>
      <w:marBottom w:val="0"/>
      <w:divBdr>
        <w:top w:val="none" w:sz="0" w:space="0" w:color="auto"/>
        <w:left w:val="none" w:sz="0" w:space="0" w:color="auto"/>
        <w:bottom w:val="none" w:sz="0" w:space="0" w:color="auto"/>
        <w:right w:val="none" w:sz="0" w:space="0" w:color="auto"/>
      </w:divBdr>
    </w:div>
    <w:div w:id="1405756695">
      <w:bodyDiv w:val="1"/>
      <w:marLeft w:val="0"/>
      <w:marRight w:val="0"/>
      <w:marTop w:val="0"/>
      <w:marBottom w:val="0"/>
      <w:divBdr>
        <w:top w:val="none" w:sz="0" w:space="0" w:color="auto"/>
        <w:left w:val="none" w:sz="0" w:space="0" w:color="auto"/>
        <w:bottom w:val="none" w:sz="0" w:space="0" w:color="auto"/>
        <w:right w:val="none" w:sz="0" w:space="0" w:color="auto"/>
      </w:divBdr>
    </w:div>
    <w:div w:id="1467165403">
      <w:bodyDiv w:val="1"/>
      <w:marLeft w:val="0"/>
      <w:marRight w:val="0"/>
      <w:marTop w:val="0"/>
      <w:marBottom w:val="0"/>
      <w:divBdr>
        <w:top w:val="none" w:sz="0" w:space="0" w:color="auto"/>
        <w:left w:val="none" w:sz="0" w:space="0" w:color="auto"/>
        <w:bottom w:val="none" w:sz="0" w:space="0" w:color="auto"/>
        <w:right w:val="none" w:sz="0" w:space="0" w:color="auto"/>
      </w:divBdr>
    </w:div>
    <w:div w:id="1479498989">
      <w:bodyDiv w:val="1"/>
      <w:marLeft w:val="0"/>
      <w:marRight w:val="0"/>
      <w:marTop w:val="0"/>
      <w:marBottom w:val="0"/>
      <w:divBdr>
        <w:top w:val="none" w:sz="0" w:space="0" w:color="auto"/>
        <w:left w:val="none" w:sz="0" w:space="0" w:color="auto"/>
        <w:bottom w:val="none" w:sz="0" w:space="0" w:color="auto"/>
        <w:right w:val="none" w:sz="0" w:space="0" w:color="auto"/>
      </w:divBdr>
      <w:divsChild>
        <w:div w:id="967933306">
          <w:marLeft w:val="-225"/>
          <w:marRight w:val="-225"/>
          <w:marTop w:val="0"/>
          <w:marBottom w:val="450"/>
          <w:divBdr>
            <w:top w:val="none" w:sz="0" w:space="0" w:color="auto"/>
            <w:left w:val="none" w:sz="0" w:space="0" w:color="auto"/>
            <w:bottom w:val="none" w:sz="0" w:space="0" w:color="auto"/>
            <w:right w:val="none" w:sz="0" w:space="0" w:color="auto"/>
          </w:divBdr>
          <w:divsChild>
            <w:div w:id="20947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9342">
      <w:bodyDiv w:val="1"/>
      <w:marLeft w:val="0"/>
      <w:marRight w:val="0"/>
      <w:marTop w:val="0"/>
      <w:marBottom w:val="0"/>
      <w:divBdr>
        <w:top w:val="none" w:sz="0" w:space="0" w:color="auto"/>
        <w:left w:val="none" w:sz="0" w:space="0" w:color="auto"/>
        <w:bottom w:val="none" w:sz="0" w:space="0" w:color="auto"/>
        <w:right w:val="none" w:sz="0" w:space="0" w:color="auto"/>
      </w:divBdr>
    </w:div>
    <w:div w:id="1516142513">
      <w:bodyDiv w:val="1"/>
      <w:marLeft w:val="0"/>
      <w:marRight w:val="0"/>
      <w:marTop w:val="0"/>
      <w:marBottom w:val="0"/>
      <w:divBdr>
        <w:top w:val="none" w:sz="0" w:space="0" w:color="auto"/>
        <w:left w:val="none" w:sz="0" w:space="0" w:color="auto"/>
        <w:bottom w:val="none" w:sz="0" w:space="0" w:color="auto"/>
        <w:right w:val="none" w:sz="0" w:space="0" w:color="auto"/>
      </w:divBdr>
    </w:div>
    <w:div w:id="1692800463">
      <w:bodyDiv w:val="1"/>
      <w:marLeft w:val="0"/>
      <w:marRight w:val="0"/>
      <w:marTop w:val="0"/>
      <w:marBottom w:val="0"/>
      <w:divBdr>
        <w:top w:val="none" w:sz="0" w:space="0" w:color="auto"/>
        <w:left w:val="none" w:sz="0" w:space="0" w:color="auto"/>
        <w:bottom w:val="none" w:sz="0" w:space="0" w:color="auto"/>
        <w:right w:val="none" w:sz="0" w:space="0" w:color="auto"/>
      </w:divBdr>
    </w:div>
    <w:div w:id="17790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da.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cialinnovation.ie/ability-to-work-fund/" TargetMode="External"/><Relationship Id="rId13" Type="http://schemas.openxmlformats.org/officeDocument/2006/relationships/hyperlink" Target="https://www.cso.ie/en/statistics/socialconditions/equalityanddiscrimination/" TargetMode="External"/><Relationship Id="rId3" Type="http://schemas.openxmlformats.org/officeDocument/2006/relationships/hyperlink" Target="https://www.ihrec.ie/our-work/legal-activity/amicus-curiae-power/" TargetMode="External"/><Relationship Id="rId7" Type="http://schemas.openxmlformats.org/officeDocument/2006/relationships/hyperlink" Target="https://www.pobal.ie/app/uploads/2018/06/Ability-Programme-Requirments-Document.pdf" TargetMode="External"/><Relationship Id="rId12" Type="http://schemas.openxmlformats.org/officeDocument/2006/relationships/hyperlink" Target="https://www.opendoorsinitiative.ie/" TargetMode="External"/><Relationship Id="rId2" Type="http://schemas.openxmlformats.org/officeDocument/2006/relationships/hyperlink" Target="http://www.lawreform.ie" TargetMode="External"/><Relationship Id="rId1" Type="http://schemas.openxmlformats.org/officeDocument/2006/relationships/hyperlink" Target="https://www.ihrec.ie/human-rights-and-equality-grants-2019-announced/" TargetMode="External"/><Relationship Id="rId6" Type="http://schemas.openxmlformats.org/officeDocument/2006/relationships/hyperlink" Target="http://nda.ie/Publications/Employment/Employment-Publications/" TargetMode="External"/><Relationship Id="rId11" Type="http://schemas.openxmlformats.org/officeDocument/2006/relationships/hyperlink" Target="http://www.welfare.ie/en/pdf/DisabilityAwarenessTrainingApplication.pdf" TargetMode="External"/><Relationship Id="rId5" Type="http://schemas.openxmlformats.org/officeDocument/2006/relationships/hyperlink" Target="https://hr.per.gov.ie/disability/" TargetMode="External"/><Relationship Id="rId15" Type="http://schemas.openxmlformats.org/officeDocument/2006/relationships/hyperlink" Target="https://www.disability-europe.net/theme/statistical-indicators" TargetMode="External"/><Relationship Id="rId10" Type="http://schemas.openxmlformats.org/officeDocument/2006/relationships/hyperlink" Target="http://www.welfare.ie/en/Pages/Disability-Awareness-Training_holder.aspx" TargetMode="External"/><Relationship Id="rId4" Type="http://schemas.openxmlformats.org/officeDocument/2006/relationships/hyperlink" Target="https://www.ihrec.ie/supreme-court-significantly-clarifies-rights-of-persons-with-disabilities-to-reasonable-workplace-accommodation/" TargetMode="External"/><Relationship Id="rId9" Type="http://schemas.openxmlformats.org/officeDocument/2006/relationships/hyperlink" Target="http://www.employerdisabilityinfo.ie/about/submissions/deasp-report" TargetMode="External"/><Relationship Id="rId14" Type="http://schemas.openxmlformats.org/officeDocument/2006/relationships/hyperlink" Target="https://www.ihrec.ie/discrimination-against-people-with-disabilities-in-employment-a-persistent-and-pernicious-roadblock-to-workers-dignity-and-in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2F16-959D-4F8D-B3AE-A9B0DB8A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3</Pages>
  <Words>17176</Words>
  <Characters>97907</Characters>
  <Application>Microsoft Office Word</Application>
  <DocSecurity>4</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P. Finlay</dc:creator>
  <cp:keywords/>
  <cp:lastModifiedBy>Heather C. O'Leary</cp:lastModifiedBy>
  <cp:revision>2</cp:revision>
  <dcterms:created xsi:type="dcterms:W3CDTF">2022-06-09T12:50:00Z</dcterms:created>
  <dcterms:modified xsi:type="dcterms:W3CDTF">2022-06-09T12:50:00Z</dcterms:modified>
</cp:coreProperties>
</file>