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00E1C" w14:textId="77777777" w:rsidR="00566B3D" w:rsidRDefault="009050F7" w:rsidP="00566B3D">
      <w:pPr>
        <w:pStyle w:val="Title"/>
        <w:rPr>
          <w:sz w:val="72"/>
          <w:szCs w:val="72"/>
        </w:rPr>
      </w:pPr>
      <w:bookmarkStart w:id="0" w:name="_Toc65587549"/>
      <w:bookmarkStart w:id="1" w:name="_Toc66171818"/>
      <w:bookmarkStart w:id="2" w:name="_GoBack"/>
      <w:bookmarkEnd w:id="2"/>
      <w:r w:rsidRPr="00B414AB">
        <w:rPr>
          <w:sz w:val="72"/>
          <w:szCs w:val="72"/>
        </w:rPr>
        <w:t>Overview of UNCRPD Article 28 in Ireland</w:t>
      </w:r>
      <w:bookmarkEnd w:id="0"/>
      <w:bookmarkEnd w:id="1"/>
    </w:p>
    <w:p w14:paraId="6FA42F12" w14:textId="77777777" w:rsidR="00566B3D" w:rsidRPr="00566B3D" w:rsidRDefault="00566B3D" w:rsidP="00566B3D">
      <w:pPr>
        <w:pStyle w:val="Title"/>
        <w:spacing w:after="1560"/>
        <w:rPr>
          <w:sz w:val="72"/>
          <w:szCs w:val="72"/>
        </w:rPr>
      </w:pPr>
      <w:bookmarkStart w:id="3" w:name="_Toc66171819"/>
      <w:r w:rsidRPr="00566B3D">
        <w:rPr>
          <w:sz w:val="72"/>
          <w:szCs w:val="72"/>
        </w:rPr>
        <w:t>Adequate Standard of Living and Social Protection</w:t>
      </w:r>
      <w:bookmarkEnd w:id="3"/>
      <w:r w:rsidRPr="00566B3D">
        <w:rPr>
          <w:sz w:val="72"/>
          <w:szCs w:val="72"/>
        </w:rPr>
        <w:t xml:space="preserve"> </w:t>
      </w:r>
    </w:p>
    <w:p w14:paraId="2193B5CE" w14:textId="4A4FBA20" w:rsidR="009050F7" w:rsidRPr="00566B3D" w:rsidRDefault="009050F7" w:rsidP="00566B3D">
      <w:pPr>
        <w:spacing w:after="1920"/>
        <w:rPr>
          <w:sz w:val="48"/>
          <w:szCs w:val="48"/>
        </w:rPr>
      </w:pPr>
      <w:r w:rsidRPr="00566B3D">
        <w:rPr>
          <w:sz w:val="48"/>
          <w:szCs w:val="48"/>
        </w:rPr>
        <w:t>January 2021</w:t>
      </w:r>
    </w:p>
    <w:p w14:paraId="32591779" w14:textId="640B77E0" w:rsidR="00381502" w:rsidRDefault="009050F7" w:rsidP="00401C3E">
      <w:pPr>
        <w:spacing w:before="960"/>
      </w:pPr>
      <w:r>
        <w:rPr>
          <w:noProof/>
          <w:lang w:eastAsia="en-IE"/>
        </w:rPr>
        <w:lastRenderedPageBreak/>
        <w:drawing>
          <wp:inline distT="0" distB="0" distL="0" distR="0" wp14:anchorId="33F90AA5" wp14:editId="2F48DA43">
            <wp:extent cx="2523600" cy="1800000"/>
            <wp:effectExtent l="0" t="0" r="0" b="6985"/>
            <wp:docPr id="1" name="Picture 1" descr="National Disability Authority Logo" title="National Disability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A_LOGO_2010_COLOUR 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3600" cy="1800000"/>
                    </a:xfrm>
                    <a:prstGeom prst="rect">
                      <a:avLst/>
                    </a:prstGeom>
                    <a:noFill/>
                    <a:ln>
                      <a:noFill/>
                    </a:ln>
                  </pic:spPr>
                </pic:pic>
              </a:graphicData>
            </a:graphic>
          </wp:inline>
        </w:drawing>
      </w:r>
    </w:p>
    <w:p w14:paraId="2C52E465" w14:textId="77777777" w:rsidR="000B4C45" w:rsidRDefault="00401C3E" w:rsidP="00401C3E">
      <w:pPr>
        <w:pStyle w:val="Heading1"/>
        <w:rPr>
          <w:noProof/>
        </w:rPr>
      </w:pPr>
      <w:bookmarkStart w:id="4" w:name="_Toc66171820"/>
      <w:r>
        <w:t>Table of Contents</w:t>
      </w:r>
      <w:bookmarkEnd w:id="4"/>
      <w:r w:rsidR="00381502">
        <w:fldChar w:fldCharType="begin"/>
      </w:r>
      <w:r w:rsidR="00381502">
        <w:instrText xml:space="preserve"> TOC \o "1-2" \h \z \u </w:instrText>
      </w:r>
      <w:r w:rsidR="00381502">
        <w:fldChar w:fldCharType="separate"/>
      </w:r>
    </w:p>
    <w:p w14:paraId="4241762E" w14:textId="39D7F292" w:rsidR="000B4C45" w:rsidRDefault="00E236CC">
      <w:pPr>
        <w:pStyle w:val="TOC1"/>
        <w:tabs>
          <w:tab w:val="right" w:leader="dot" w:pos="8630"/>
        </w:tabs>
        <w:rPr>
          <w:rFonts w:asciiTheme="minorHAnsi" w:eastAsiaTheme="minorEastAsia" w:hAnsiTheme="minorHAnsi" w:cstheme="minorBidi"/>
          <w:b w:val="0"/>
          <w:noProof/>
          <w:sz w:val="22"/>
          <w:szCs w:val="22"/>
          <w:lang w:eastAsia="en-IE"/>
        </w:rPr>
      </w:pPr>
      <w:hyperlink w:anchor="_Toc66171821" w:history="1">
        <w:r w:rsidR="000B4C45" w:rsidRPr="00F95733">
          <w:rPr>
            <w:rStyle w:val="Hyperlink"/>
            <w:noProof/>
          </w:rPr>
          <w:t>Background to the UNCRPD Article review papers</w:t>
        </w:r>
        <w:r w:rsidR="000B4C45">
          <w:rPr>
            <w:noProof/>
            <w:webHidden/>
          </w:rPr>
          <w:tab/>
        </w:r>
        <w:r w:rsidR="000B4C45">
          <w:rPr>
            <w:noProof/>
            <w:webHidden/>
          </w:rPr>
          <w:fldChar w:fldCharType="begin"/>
        </w:r>
        <w:r w:rsidR="000B4C45">
          <w:rPr>
            <w:noProof/>
            <w:webHidden/>
          </w:rPr>
          <w:instrText xml:space="preserve"> PAGEREF _Toc66171821 \h </w:instrText>
        </w:r>
        <w:r w:rsidR="000B4C45">
          <w:rPr>
            <w:noProof/>
            <w:webHidden/>
          </w:rPr>
        </w:r>
        <w:r w:rsidR="000B4C45">
          <w:rPr>
            <w:noProof/>
            <w:webHidden/>
          </w:rPr>
          <w:fldChar w:fldCharType="separate"/>
        </w:r>
        <w:r w:rsidR="000B4C45">
          <w:rPr>
            <w:noProof/>
            <w:webHidden/>
          </w:rPr>
          <w:t>4</w:t>
        </w:r>
        <w:r w:rsidR="000B4C45">
          <w:rPr>
            <w:noProof/>
            <w:webHidden/>
          </w:rPr>
          <w:fldChar w:fldCharType="end"/>
        </w:r>
      </w:hyperlink>
    </w:p>
    <w:p w14:paraId="645FA41E" w14:textId="7C1AC721" w:rsidR="000B4C45" w:rsidRDefault="00E236CC">
      <w:pPr>
        <w:pStyle w:val="TOC1"/>
        <w:tabs>
          <w:tab w:val="right" w:leader="dot" w:pos="8630"/>
        </w:tabs>
        <w:rPr>
          <w:rFonts w:asciiTheme="minorHAnsi" w:eastAsiaTheme="minorEastAsia" w:hAnsiTheme="minorHAnsi" w:cstheme="minorBidi"/>
          <w:b w:val="0"/>
          <w:noProof/>
          <w:sz w:val="22"/>
          <w:szCs w:val="22"/>
          <w:lang w:eastAsia="en-IE"/>
        </w:rPr>
      </w:pPr>
      <w:hyperlink w:anchor="_Toc66171822" w:history="1">
        <w:r w:rsidR="000B4C45" w:rsidRPr="00F95733">
          <w:rPr>
            <w:rStyle w:val="Hyperlink"/>
            <w:noProof/>
          </w:rPr>
          <w:t>Introduction</w:t>
        </w:r>
        <w:r w:rsidR="000B4C45">
          <w:rPr>
            <w:noProof/>
            <w:webHidden/>
          </w:rPr>
          <w:tab/>
        </w:r>
        <w:r w:rsidR="000B4C45">
          <w:rPr>
            <w:noProof/>
            <w:webHidden/>
          </w:rPr>
          <w:fldChar w:fldCharType="begin"/>
        </w:r>
        <w:r w:rsidR="000B4C45">
          <w:rPr>
            <w:noProof/>
            <w:webHidden/>
          </w:rPr>
          <w:instrText xml:space="preserve"> PAGEREF _Toc66171822 \h </w:instrText>
        </w:r>
        <w:r w:rsidR="000B4C45">
          <w:rPr>
            <w:noProof/>
            <w:webHidden/>
          </w:rPr>
        </w:r>
        <w:r w:rsidR="000B4C45">
          <w:rPr>
            <w:noProof/>
            <w:webHidden/>
          </w:rPr>
          <w:fldChar w:fldCharType="separate"/>
        </w:r>
        <w:r w:rsidR="000B4C45">
          <w:rPr>
            <w:noProof/>
            <w:webHidden/>
          </w:rPr>
          <w:t>6</w:t>
        </w:r>
        <w:r w:rsidR="000B4C45">
          <w:rPr>
            <w:noProof/>
            <w:webHidden/>
          </w:rPr>
          <w:fldChar w:fldCharType="end"/>
        </w:r>
      </w:hyperlink>
    </w:p>
    <w:p w14:paraId="4427F1D5" w14:textId="732F9CA8" w:rsidR="000B4C45" w:rsidRDefault="00E236CC">
      <w:pPr>
        <w:pStyle w:val="TOC1"/>
        <w:tabs>
          <w:tab w:val="right" w:leader="dot" w:pos="8630"/>
        </w:tabs>
        <w:rPr>
          <w:rFonts w:asciiTheme="minorHAnsi" w:eastAsiaTheme="minorEastAsia" w:hAnsiTheme="minorHAnsi" w:cstheme="minorBidi"/>
          <w:b w:val="0"/>
          <w:noProof/>
          <w:sz w:val="22"/>
          <w:szCs w:val="22"/>
          <w:lang w:eastAsia="en-IE"/>
        </w:rPr>
      </w:pPr>
      <w:hyperlink w:anchor="_Toc66171823" w:history="1">
        <w:r w:rsidR="000B4C45" w:rsidRPr="00F95733">
          <w:rPr>
            <w:rStyle w:val="Hyperlink"/>
            <w:noProof/>
          </w:rPr>
          <w:t>Convention text</w:t>
        </w:r>
        <w:r w:rsidR="000B4C45">
          <w:rPr>
            <w:noProof/>
            <w:webHidden/>
          </w:rPr>
          <w:tab/>
        </w:r>
        <w:r w:rsidR="000B4C45">
          <w:rPr>
            <w:noProof/>
            <w:webHidden/>
          </w:rPr>
          <w:fldChar w:fldCharType="begin"/>
        </w:r>
        <w:r w:rsidR="000B4C45">
          <w:rPr>
            <w:noProof/>
            <w:webHidden/>
          </w:rPr>
          <w:instrText xml:space="preserve"> PAGEREF _Toc66171823 \h </w:instrText>
        </w:r>
        <w:r w:rsidR="000B4C45">
          <w:rPr>
            <w:noProof/>
            <w:webHidden/>
          </w:rPr>
        </w:r>
        <w:r w:rsidR="000B4C45">
          <w:rPr>
            <w:noProof/>
            <w:webHidden/>
          </w:rPr>
          <w:fldChar w:fldCharType="separate"/>
        </w:r>
        <w:r w:rsidR="000B4C45">
          <w:rPr>
            <w:noProof/>
            <w:webHidden/>
          </w:rPr>
          <w:t>6</w:t>
        </w:r>
        <w:r w:rsidR="000B4C45">
          <w:rPr>
            <w:noProof/>
            <w:webHidden/>
          </w:rPr>
          <w:fldChar w:fldCharType="end"/>
        </w:r>
      </w:hyperlink>
    </w:p>
    <w:p w14:paraId="4B75578A" w14:textId="778A8E8D" w:rsidR="000B4C45" w:rsidRDefault="00E236CC">
      <w:pPr>
        <w:pStyle w:val="TOC1"/>
        <w:tabs>
          <w:tab w:val="right" w:leader="dot" w:pos="8630"/>
        </w:tabs>
        <w:rPr>
          <w:rFonts w:asciiTheme="minorHAnsi" w:eastAsiaTheme="minorEastAsia" w:hAnsiTheme="minorHAnsi" w:cstheme="minorBidi"/>
          <w:b w:val="0"/>
          <w:noProof/>
          <w:sz w:val="22"/>
          <w:szCs w:val="22"/>
          <w:lang w:eastAsia="en-IE"/>
        </w:rPr>
      </w:pPr>
      <w:hyperlink w:anchor="_Toc66171824" w:history="1">
        <w:r w:rsidR="000B4C45" w:rsidRPr="00F95733">
          <w:rPr>
            <w:rStyle w:val="Hyperlink"/>
            <w:noProof/>
          </w:rPr>
          <w:t>Type of Right</w:t>
        </w:r>
        <w:r w:rsidR="000B4C45">
          <w:rPr>
            <w:noProof/>
            <w:webHidden/>
          </w:rPr>
          <w:tab/>
        </w:r>
        <w:r w:rsidR="000B4C45">
          <w:rPr>
            <w:noProof/>
            <w:webHidden/>
          </w:rPr>
          <w:fldChar w:fldCharType="begin"/>
        </w:r>
        <w:r w:rsidR="000B4C45">
          <w:rPr>
            <w:noProof/>
            <w:webHidden/>
          </w:rPr>
          <w:instrText xml:space="preserve"> PAGEREF _Toc66171824 \h </w:instrText>
        </w:r>
        <w:r w:rsidR="000B4C45">
          <w:rPr>
            <w:noProof/>
            <w:webHidden/>
          </w:rPr>
        </w:r>
        <w:r w:rsidR="000B4C45">
          <w:rPr>
            <w:noProof/>
            <w:webHidden/>
          </w:rPr>
          <w:fldChar w:fldCharType="separate"/>
        </w:r>
        <w:r w:rsidR="000B4C45">
          <w:rPr>
            <w:noProof/>
            <w:webHidden/>
          </w:rPr>
          <w:t>7</w:t>
        </w:r>
        <w:r w:rsidR="000B4C45">
          <w:rPr>
            <w:noProof/>
            <w:webHidden/>
          </w:rPr>
          <w:fldChar w:fldCharType="end"/>
        </w:r>
      </w:hyperlink>
    </w:p>
    <w:p w14:paraId="6FAC16D5" w14:textId="146BDFAA" w:rsidR="000B4C45" w:rsidRDefault="00E236CC">
      <w:pPr>
        <w:pStyle w:val="TOC1"/>
        <w:tabs>
          <w:tab w:val="right" w:leader="dot" w:pos="8630"/>
        </w:tabs>
        <w:rPr>
          <w:rFonts w:asciiTheme="minorHAnsi" w:eastAsiaTheme="minorEastAsia" w:hAnsiTheme="minorHAnsi" w:cstheme="minorBidi"/>
          <w:b w:val="0"/>
          <w:noProof/>
          <w:sz w:val="22"/>
          <w:szCs w:val="22"/>
          <w:lang w:eastAsia="en-IE"/>
        </w:rPr>
      </w:pPr>
      <w:hyperlink w:anchor="_Toc66171825" w:history="1">
        <w:r w:rsidR="000B4C45" w:rsidRPr="00F95733">
          <w:rPr>
            <w:rStyle w:val="Hyperlink"/>
            <w:noProof/>
          </w:rPr>
          <w:t>Poverty and disability</w:t>
        </w:r>
        <w:r w:rsidR="000B4C45">
          <w:rPr>
            <w:noProof/>
            <w:webHidden/>
          </w:rPr>
          <w:tab/>
        </w:r>
        <w:r w:rsidR="000B4C45">
          <w:rPr>
            <w:noProof/>
            <w:webHidden/>
          </w:rPr>
          <w:fldChar w:fldCharType="begin"/>
        </w:r>
        <w:r w:rsidR="000B4C45">
          <w:rPr>
            <w:noProof/>
            <w:webHidden/>
          </w:rPr>
          <w:instrText xml:space="preserve"> PAGEREF _Toc66171825 \h </w:instrText>
        </w:r>
        <w:r w:rsidR="000B4C45">
          <w:rPr>
            <w:noProof/>
            <w:webHidden/>
          </w:rPr>
        </w:r>
        <w:r w:rsidR="000B4C45">
          <w:rPr>
            <w:noProof/>
            <w:webHidden/>
          </w:rPr>
          <w:fldChar w:fldCharType="separate"/>
        </w:r>
        <w:r w:rsidR="000B4C45">
          <w:rPr>
            <w:noProof/>
            <w:webHidden/>
          </w:rPr>
          <w:t>7</w:t>
        </w:r>
        <w:r w:rsidR="000B4C45">
          <w:rPr>
            <w:noProof/>
            <w:webHidden/>
          </w:rPr>
          <w:fldChar w:fldCharType="end"/>
        </w:r>
      </w:hyperlink>
    </w:p>
    <w:p w14:paraId="37F4D115" w14:textId="3B062DE9" w:rsidR="000B4C45" w:rsidRDefault="00E236CC">
      <w:pPr>
        <w:pStyle w:val="TOC1"/>
        <w:tabs>
          <w:tab w:val="right" w:leader="dot" w:pos="8630"/>
        </w:tabs>
        <w:rPr>
          <w:rFonts w:asciiTheme="minorHAnsi" w:eastAsiaTheme="minorEastAsia" w:hAnsiTheme="minorHAnsi" w:cstheme="minorBidi"/>
          <w:b w:val="0"/>
          <w:noProof/>
          <w:sz w:val="22"/>
          <w:szCs w:val="22"/>
          <w:lang w:eastAsia="en-IE"/>
        </w:rPr>
      </w:pPr>
      <w:hyperlink w:anchor="_Toc66171826" w:history="1">
        <w:r w:rsidR="000B4C45" w:rsidRPr="00F95733">
          <w:rPr>
            <w:rStyle w:val="Hyperlink"/>
            <w:noProof/>
          </w:rPr>
          <w:t>Article 28 in the Irish context: Access to social protection programmes and poverty reduction programmes</w:t>
        </w:r>
        <w:r w:rsidR="000B4C45">
          <w:rPr>
            <w:noProof/>
            <w:webHidden/>
          </w:rPr>
          <w:tab/>
        </w:r>
        <w:r w:rsidR="000B4C45">
          <w:rPr>
            <w:noProof/>
            <w:webHidden/>
          </w:rPr>
          <w:fldChar w:fldCharType="begin"/>
        </w:r>
        <w:r w:rsidR="000B4C45">
          <w:rPr>
            <w:noProof/>
            <w:webHidden/>
          </w:rPr>
          <w:instrText xml:space="preserve"> PAGEREF _Toc66171826 \h </w:instrText>
        </w:r>
        <w:r w:rsidR="000B4C45">
          <w:rPr>
            <w:noProof/>
            <w:webHidden/>
          </w:rPr>
        </w:r>
        <w:r w:rsidR="000B4C45">
          <w:rPr>
            <w:noProof/>
            <w:webHidden/>
          </w:rPr>
          <w:fldChar w:fldCharType="separate"/>
        </w:r>
        <w:r w:rsidR="000B4C45">
          <w:rPr>
            <w:noProof/>
            <w:webHidden/>
          </w:rPr>
          <w:t>9</w:t>
        </w:r>
        <w:r w:rsidR="000B4C45">
          <w:rPr>
            <w:noProof/>
            <w:webHidden/>
          </w:rPr>
          <w:fldChar w:fldCharType="end"/>
        </w:r>
      </w:hyperlink>
    </w:p>
    <w:p w14:paraId="4605D517" w14:textId="175081EA" w:rsidR="000B4C45" w:rsidRDefault="00E236CC">
      <w:pPr>
        <w:pStyle w:val="TOC2"/>
        <w:tabs>
          <w:tab w:val="right" w:leader="dot" w:pos="8630"/>
        </w:tabs>
        <w:rPr>
          <w:rFonts w:asciiTheme="minorHAnsi" w:eastAsiaTheme="minorEastAsia" w:hAnsiTheme="minorHAnsi" w:cstheme="minorBidi"/>
          <w:noProof/>
          <w:sz w:val="22"/>
          <w:szCs w:val="22"/>
          <w:lang w:eastAsia="en-IE"/>
        </w:rPr>
      </w:pPr>
      <w:hyperlink w:anchor="_Toc66171827" w:history="1">
        <w:r w:rsidR="000B4C45" w:rsidRPr="00F95733">
          <w:rPr>
            <w:rStyle w:val="Hyperlink"/>
            <w:noProof/>
          </w:rPr>
          <w:t>Department of Employment Affairs and Social Protection</w:t>
        </w:r>
        <w:r w:rsidR="000B4C45">
          <w:rPr>
            <w:noProof/>
            <w:webHidden/>
          </w:rPr>
          <w:tab/>
        </w:r>
        <w:r w:rsidR="000B4C45">
          <w:rPr>
            <w:noProof/>
            <w:webHidden/>
          </w:rPr>
          <w:fldChar w:fldCharType="begin"/>
        </w:r>
        <w:r w:rsidR="000B4C45">
          <w:rPr>
            <w:noProof/>
            <w:webHidden/>
          </w:rPr>
          <w:instrText xml:space="preserve"> PAGEREF _Toc66171827 \h </w:instrText>
        </w:r>
        <w:r w:rsidR="000B4C45">
          <w:rPr>
            <w:noProof/>
            <w:webHidden/>
          </w:rPr>
        </w:r>
        <w:r w:rsidR="000B4C45">
          <w:rPr>
            <w:noProof/>
            <w:webHidden/>
          </w:rPr>
          <w:fldChar w:fldCharType="separate"/>
        </w:r>
        <w:r w:rsidR="000B4C45">
          <w:rPr>
            <w:noProof/>
            <w:webHidden/>
          </w:rPr>
          <w:t>9</w:t>
        </w:r>
        <w:r w:rsidR="000B4C45">
          <w:rPr>
            <w:noProof/>
            <w:webHidden/>
          </w:rPr>
          <w:fldChar w:fldCharType="end"/>
        </w:r>
      </w:hyperlink>
    </w:p>
    <w:p w14:paraId="68CCB19D" w14:textId="5C350CFF" w:rsidR="000B4C45" w:rsidRDefault="00E236CC">
      <w:pPr>
        <w:pStyle w:val="TOC2"/>
        <w:tabs>
          <w:tab w:val="right" w:leader="dot" w:pos="8630"/>
        </w:tabs>
        <w:rPr>
          <w:rFonts w:asciiTheme="minorHAnsi" w:eastAsiaTheme="minorEastAsia" w:hAnsiTheme="minorHAnsi" w:cstheme="minorBidi"/>
          <w:noProof/>
          <w:sz w:val="22"/>
          <w:szCs w:val="22"/>
          <w:lang w:eastAsia="en-IE"/>
        </w:rPr>
      </w:pPr>
      <w:hyperlink w:anchor="_Toc66171828" w:history="1">
        <w:r w:rsidR="000B4C45" w:rsidRPr="00F95733">
          <w:rPr>
            <w:rStyle w:val="Hyperlink"/>
            <w:noProof/>
          </w:rPr>
          <w:t>Disability Allowance</w:t>
        </w:r>
        <w:r w:rsidR="000B4C45">
          <w:rPr>
            <w:noProof/>
            <w:webHidden/>
          </w:rPr>
          <w:tab/>
        </w:r>
        <w:r w:rsidR="000B4C45">
          <w:rPr>
            <w:noProof/>
            <w:webHidden/>
          </w:rPr>
          <w:fldChar w:fldCharType="begin"/>
        </w:r>
        <w:r w:rsidR="000B4C45">
          <w:rPr>
            <w:noProof/>
            <w:webHidden/>
          </w:rPr>
          <w:instrText xml:space="preserve"> PAGEREF _Toc66171828 \h </w:instrText>
        </w:r>
        <w:r w:rsidR="000B4C45">
          <w:rPr>
            <w:noProof/>
            <w:webHidden/>
          </w:rPr>
        </w:r>
        <w:r w:rsidR="000B4C45">
          <w:rPr>
            <w:noProof/>
            <w:webHidden/>
          </w:rPr>
          <w:fldChar w:fldCharType="separate"/>
        </w:r>
        <w:r w:rsidR="000B4C45">
          <w:rPr>
            <w:noProof/>
            <w:webHidden/>
          </w:rPr>
          <w:t>9</w:t>
        </w:r>
        <w:r w:rsidR="000B4C45">
          <w:rPr>
            <w:noProof/>
            <w:webHidden/>
          </w:rPr>
          <w:fldChar w:fldCharType="end"/>
        </w:r>
      </w:hyperlink>
    </w:p>
    <w:p w14:paraId="0FC6C135" w14:textId="5B434DFC" w:rsidR="000B4C45" w:rsidRDefault="00E236CC">
      <w:pPr>
        <w:pStyle w:val="TOC2"/>
        <w:tabs>
          <w:tab w:val="right" w:leader="dot" w:pos="8630"/>
        </w:tabs>
        <w:rPr>
          <w:rFonts w:asciiTheme="minorHAnsi" w:eastAsiaTheme="minorEastAsia" w:hAnsiTheme="minorHAnsi" w:cstheme="minorBidi"/>
          <w:noProof/>
          <w:sz w:val="22"/>
          <w:szCs w:val="22"/>
          <w:lang w:eastAsia="en-IE"/>
        </w:rPr>
      </w:pPr>
      <w:hyperlink w:anchor="_Toc66171829" w:history="1">
        <w:r w:rsidR="000B4C45" w:rsidRPr="00F95733">
          <w:rPr>
            <w:rStyle w:val="Hyperlink"/>
            <w:noProof/>
          </w:rPr>
          <w:t>Domiciliary Care Allowance</w:t>
        </w:r>
        <w:r w:rsidR="000B4C45">
          <w:rPr>
            <w:noProof/>
            <w:webHidden/>
          </w:rPr>
          <w:tab/>
        </w:r>
        <w:r w:rsidR="000B4C45">
          <w:rPr>
            <w:noProof/>
            <w:webHidden/>
          </w:rPr>
          <w:fldChar w:fldCharType="begin"/>
        </w:r>
        <w:r w:rsidR="000B4C45">
          <w:rPr>
            <w:noProof/>
            <w:webHidden/>
          </w:rPr>
          <w:instrText xml:space="preserve"> PAGEREF _Toc66171829 \h </w:instrText>
        </w:r>
        <w:r w:rsidR="000B4C45">
          <w:rPr>
            <w:noProof/>
            <w:webHidden/>
          </w:rPr>
        </w:r>
        <w:r w:rsidR="000B4C45">
          <w:rPr>
            <w:noProof/>
            <w:webHidden/>
          </w:rPr>
          <w:fldChar w:fldCharType="separate"/>
        </w:r>
        <w:r w:rsidR="000B4C45">
          <w:rPr>
            <w:noProof/>
            <w:webHidden/>
          </w:rPr>
          <w:t>12</w:t>
        </w:r>
        <w:r w:rsidR="000B4C45">
          <w:rPr>
            <w:noProof/>
            <w:webHidden/>
          </w:rPr>
          <w:fldChar w:fldCharType="end"/>
        </w:r>
      </w:hyperlink>
    </w:p>
    <w:p w14:paraId="56EEDAAE" w14:textId="6BF2CB59" w:rsidR="000B4C45" w:rsidRDefault="00E236CC">
      <w:pPr>
        <w:pStyle w:val="TOC2"/>
        <w:tabs>
          <w:tab w:val="right" w:leader="dot" w:pos="8630"/>
        </w:tabs>
        <w:rPr>
          <w:rFonts w:asciiTheme="minorHAnsi" w:eastAsiaTheme="minorEastAsia" w:hAnsiTheme="minorHAnsi" w:cstheme="minorBidi"/>
          <w:noProof/>
          <w:sz w:val="22"/>
          <w:szCs w:val="22"/>
          <w:lang w:eastAsia="en-IE"/>
        </w:rPr>
      </w:pPr>
      <w:hyperlink w:anchor="_Toc66171830" w:history="1">
        <w:r w:rsidR="000B4C45" w:rsidRPr="00F95733">
          <w:rPr>
            <w:rStyle w:val="Hyperlink"/>
            <w:noProof/>
          </w:rPr>
          <w:t>Blind Pension</w:t>
        </w:r>
        <w:r w:rsidR="000B4C45">
          <w:rPr>
            <w:noProof/>
            <w:webHidden/>
          </w:rPr>
          <w:tab/>
        </w:r>
        <w:r w:rsidR="000B4C45">
          <w:rPr>
            <w:noProof/>
            <w:webHidden/>
          </w:rPr>
          <w:fldChar w:fldCharType="begin"/>
        </w:r>
        <w:r w:rsidR="000B4C45">
          <w:rPr>
            <w:noProof/>
            <w:webHidden/>
          </w:rPr>
          <w:instrText xml:space="preserve"> PAGEREF _Toc66171830 \h </w:instrText>
        </w:r>
        <w:r w:rsidR="000B4C45">
          <w:rPr>
            <w:noProof/>
            <w:webHidden/>
          </w:rPr>
        </w:r>
        <w:r w:rsidR="000B4C45">
          <w:rPr>
            <w:noProof/>
            <w:webHidden/>
          </w:rPr>
          <w:fldChar w:fldCharType="separate"/>
        </w:r>
        <w:r w:rsidR="000B4C45">
          <w:rPr>
            <w:noProof/>
            <w:webHidden/>
          </w:rPr>
          <w:t>13</w:t>
        </w:r>
        <w:r w:rsidR="000B4C45">
          <w:rPr>
            <w:noProof/>
            <w:webHidden/>
          </w:rPr>
          <w:fldChar w:fldCharType="end"/>
        </w:r>
      </w:hyperlink>
    </w:p>
    <w:p w14:paraId="2448298B" w14:textId="2B8E3956" w:rsidR="000B4C45" w:rsidRDefault="00E236CC">
      <w:pPr>
        <w:pStyle w:val="TOC2"/>
        <w:tabs>
          <w:tab w:val="right" w:leader="dot" w:pos="8630"/>
        </w:tabs>
        <w:rPr>
          <w:rFonts w:asciiTheme="minorHAnsi" w:eastAsiaTheme="minorEastAsia" w:hAnsiTheme="minorHAnsi" w:cstheme="minorBidi"/>
          <w:noProof/>
          <w:sz w:val="22"/>
          <w:szCs w:val="22"/>
          <w:lang w:eastAsia="en-IE"/>
        </w:rPr>
      </w:pPr>
      <w:hyperlink w:anchor="_Toc66171831" w:history="1">
        <w:r w:rsidR="000B4C45" w:rsidRPr="00F95733">
          <w:rPr>
            <w:rStyle w:val="Hyperlink"/>
            <w:noProof/>
          </w:rPr>
          <w:t>Invalidity Pension</w:t>
        </w:r>
        <w:r w:rsidR="000B4C45">
          <w:rPr>
            <w:noProof/>
            <w:webHidden/>
          </w:rPr>
          <w:tab/>
        </w:r>
        <w:r w:rsidR="000B4C45">
          <w:rPr>
            <w:noProof/>
            <w:webHidden/>
          </w:rPr>
          <w:fldChar w:fldCharType="begin"/>
        </w:r>
        <w:r w:rsidR="000B4C45">
          <w:rPr>
            <w:noProof/>
            <w:webHidden/>
          </w:rPr>
          <w:instrText xml:space="preserve"> PAGEREF _Toc66171831 \h </w:instrText>
        </w:r>
        <w:r w:rsidR="000B4C45">
          <w:rPr>
            <w:noProof/>
            <w:webHidden/>
          </w:rPr>
        </w:r>
        <w:r w:rsidR="000B4C45">
          <w:rPr>
            <w:noProof/>
            <w:webHidden/>
          </w:rPr>
          <w:fldChar w:fldCharType="separate"/>
        </w:r>
        <w:r w:rsidR="000B4C45">
          <w:rPr>
            <w:noProof/>
            <w:webHidden/>
          </w:rPr>
          <w:t>14</w:t>
        </w:r>
        <w:r w:rsidR="000B4C45">
          <w:rPr>
            <w:noProof/>
            <w:webHidden/>
          </w:rPr>
          <w:fldChar w:fldCharType="end"/>
        </w:r>
      </w:hyperlink>
    </w:p>
    <w:p w14:paraId="7F6E7549" w14:textId="0FFA18BC" w:rsidR="000B4C45" w:rsidRDefault="00E236CC">
      <w:pPr>
        <w:pStyle w:val="TOC2"/>
        <w:tabs>
          <w:tab w:val="right" w:leader="dot" w:pos="8630"/>
        </w:tabs>
        <w:rPr>
          <w:rFonts w:asciiTheme="minorHAnsi" w:eastAsiaTheme="minorEastAsia" w:hAnsiTheme="minorHAnsi" w:cstheme="minorBidi"/>
          <w:noProof/>
          <w:sz w:val="22"/>
          <w:szCs w:val="22"/>
          <w:lang w:eastAsia="en-IE"/>
        </w:rPr>
      </w:pPr>
      <w:hyperlink w:anchor="_Toc66171832" w:history="1">
        <w:r w:rsidR="000B4C45" w:rsidRPr="00F95733">
          <w:rPr>
            <w:rStyle w:val="Hyperlink"/>
            <w:noProof/>
          </w:rPr>
          <w:t>Injury Benefit</w:t>
        </w:r>
        <w:r w:rsidR="000B4C45">
          <w:rPr>
            <w:noProof/>
            <w:webHidden/>
          </w:rPr>
          <w:tab/>
        </w:r>
        <w:r w:rsidR="000B4C45">
          <w:rPr>
            <w:noProof/>
            <w:webHidden/>
          </w:rPr>
          <w:fldChar w:fldCharType="begin"/>
        </w:r>
        <w:r w:rsidR="000B4C45">
          <w:rPr>
            <w:noProof/>
            <w:webHidden/>
          </w:rPr>
          <w:instrText xml:space="preserve"> PAGEREF _Toc66171832 \h </w:instrText>
        </w:r>
        <w:r w:rsidR="000B4C45">
          <w:rPr>
            <w:noProof/>
            <w:webHidden/>
          </w:rPr>
        </w:r>
        <w:r w:rsidR="000B4C45">
          <w:rPr>
            <w:noProof/>
            <w:webHidden/>
          </w:rPr>
          <w:fldChar w:fldCharType="separate"/>
        </w:r>
        <w:r w:rsidR="000B4C45">
          <w:rPr>
            <w:noProof/>
            <w:webHidden/>
          </w:rPr>
          <w:t>15</w:t>
        </w:r>
        <w:r w:rsidR="000B4C45">
          <w:rPr>
            <w:noProof/>
            <w:webHidden/>
          </w:rPr>
          <w:fldChar w:fldCharType="end"/>
        </w:r>
      </w:hyperlink>
    </w:p>
    <w:p w14:paraId="4B966FC6" w14:textId="6EA3E158" w:rsidR="000B4C45" w:rsidRDefault="00E236CC">
      <w:pPr>
        <w:pStyle w:val="TOC2"/>
        <w:tabs>
          <w:tab w:val="right" w:leader="dot" w:pos="8630"/>
        </w:tabs>
        <w:rPr>
          <w:rFonts w:asciiTheme="minorHAnsi" w:eastAsiaTheme="minorEastAsia" w:hAnsiTheme="minorHAnsi" w:cstheme="minorBidi"/>
          <w:noProof/>
          <w:sz w:val="22"/>
          <w:szCs w:val="22"/>
          <w:lang w:eastAsia="en-IE"/>
        </w:rPr>
      </w:pPr>
      <w:hyperlink w:anchor="_Toc66171833" w:history="1">
        <w:r w:rsidR="000B4C45" w:rsidRPr="00F95733">
          <w:rPr>
            <w:rStyle w:val="Hyperlink"/>
            <w:noProof/>
          </w:rPr>
          <w:t>Disablement Benefit</w:t>
        </w:r>
        <w:r w:rsidR="000B4C45">
          <w:rPr>
            <w:noProof/>
            <w:webHidden/>
          </w:rPr>
          <w:tab/>
        </w:r>
        <w:r w:rsidR="000B4C45">
          <w:rPr>
            <w:noProof/>
            <w:webHidden/>
          </w:rPr>
          <w:fldChar w:fldCharType="begin"/>
        </w:r>
        <w:r w:rsidR="000B4C45">
          <w:rPr>
            <w:noProof/>
            <w:webHidden/>
          </w:rPr>
          <w:instrText xml:space="preserve"> PAGEREF _Toc66171833 \h </w:instrText>
        </w:r>
        <w:r w:rsidR="000B4C45">
          <w:rPr>
            <w:noProof/>
            <w:webHidden/>
          </w:rPr>
        </w:r>
        <w:r w:rsidR="000B4C45">
          <w:rPr>
            <w:noProof/>
            <w:webHidden/>
          </w:rPr>
          <w:fldChar w:fldCharType="separate"/>
        </w:r>
        <w:r w:rsidR="000B4C45">
          <w:rPr>
            <w:noProof/>
            <w:webHidden/>
          </w:rPr>
          <w:t>16</w:t>
        </w:r>
        <w:r w:rsidR="000B4C45">
          <w:rPr>
            <w:noProof/>
            <w:webHidden/>
          </w:rPr>
          <w:fldChar w:fldCharType="end"/>
        </w:r>
      </w:hyperlink>
    </w:p>
    <w:p w14:paraId="654ADB50" w14:textId="76E7A0C2" w:rsidR="000B4C45" w:rsidRDefault="00E236CC">
      <w:pPr>
        <w:pStyle w:val="TOC2"/>
        <w:tabs>
          <w:tab w:val="right" w:leader="dot" w:pos="8630"/>
        </w:tabs>
        <w:rPr>
          <w:rFonts w:asciiTheme="minorHAnsi" w:eastAsiaTheme="minorEastAsia" w:hAnsiTheme="minorHAnsi" w:cstheme="minorBidi"/>
          <w:noProof/>
          <w:sz w:val="22"/>
          <w:szCs w:val="22"/>
          <w:lang w:eastAsia="en-IE"/>
        </w:rPr>
      </w:pPr>
      <w:hyperlink w:anchor="_Toc66171834" w:history="1">
        <w:r w:rsidR="000B4C45" w:rsidRPr="00F95733">
          <w:rPr>
            <w:rStyle w:val="Hyperlink"/>
            <w:noProof/>
          </w:rPr>
          <w:t>Incapacity Supplement</w:t>
        </w:r>
        <w:r w:rsidR="000B4C45">
          <w:rPr>
            <w:noProof/>
            <w:webHidden/>
          </w:rPr>
          <w:tab/>
        </w:r>
        <w:r w:rsidR="000B4C45">
          <w:rPr>
            <w:noProof/>
            <w:webHidden/>
          </w:rPr>
          <w:fldChar w:fldCharType="begin"/>
        </w:r>
        <w:r w:rsidR="000B4C45">
          <w:rPr>
            <w:noProof/>
            <w:webHidden/>
          </w:rPr>
          <w:instrText xml:space="preserve"> PAGEREF _Toc66171834 \h </w:instrText>
        </w:r>
        <w:r w:rsidR="000B4C45">
          <w:rPr>
            <w:noProof/>
            <w:webHidden/>
          </w:rPr>
        </w:r>
        <w:r w:rsidR="000B4C45">
          <w:rPr>
            <w:noProof/>
            <w:webHidden/>
          </w:rPr>
          <w:fldChar w:fldCharType="separate"/>
        </w:r>
        <w:r w:rsidR="000B4C45">
          <w:rPr>
            <w:noProof/>
            <w:webHidden/>
          </w:rPr>
          <w:t>18</w:t>
        </w:r>
        <w:r w:rsidR="000B4C45">
          <w:rPr>
            <w:noProof/>
            <w:webHidden/>
          </w:rPr>
          <w:fldChar w:fldCharType="end"/>
        </w:r>
      </w:hyperlink>
    </w:p>
    <w:p w14:paraId="03CC8AD8" w14:textId="47655AC0" w:rsidR="000B4C45" w:rsidRDefault="00E236CC">
      <w:pPr>
        <w:pStyle w:val="TOC2"/>
        <w:tabs>
          <w:tab w:val="right" w:leader="dot" w:pos="8630"/>
        </w:tabs>
        <w:rPr>
          <w:rFonts w:asciiTheme="minorHAnsi" w:eastAsiaTheme="minorEastAsia" w:hAnsiTheme="minorHAnsi" w:cstheme="minorBidi"/>
          <w:noProof/>
          <w:sz w:val="22"/>
          <w:szCs w:val="22"/>
          <w:lang w:eastAsia="en-IE"/>
        </w:rPr>
      </w:pPr>
      <w:hyperlink w:anchor="_Toc66171835" w:history="1">
        <w:r w:rsidR="000B4C45" w:rsidRPr="00F95733">
          <w:rPr>
            <w:rStyle w:val="Hyperlink"/>
            <w:noProof/>
            <w:shd w:val="clear" w:color="auto" w:fill="FFFFFF"/>
          </w:rPr>
          <w:t>Medical Card</w:t>
        </w:r>
        <w:r w:rsidR="000B4C45">
          <w:rPr>
            <w:noProof/>
            <w:webHidden/>
          </w:rPr>
          <w:tab/>
        </w:r>
        <w:r w:rsidR="000B4C45">
          <w:rPr>
            <w:noProof/>
            <w:webHidden/>
          </w:rPr>
          <w:fldChar w:fldCharType="begin"/>
        </w:r>
        <w:r w:rsidR="000B4C45">
          <w:rPr>
            <w:noProof/>
            <w:webHidden/>
          </w:rPr>
          <w:instrText xml:space="preserve"> PAGEREF _Toc66171835 \h </w:instrText>
        </w:r>
        <w:r w:rsidR="000B4C45">
          <w:rPr>
            <w:noProof/>
            <w:webHidden/>
          </w:rPr>
        </w:r>
        <w:r w:rsidR="000B4C45">
          <w:rPr>
            <w:noProof/>
            <w:webHidden/>
          </w:rPr>
          <w:fldChar w:fldCharType="separate"/>
        </w:r>
        <w:r w:rsidR="000B4C45">
          <w:rPr>
            <w:noProof/>
            <w:webHidden/>
          </w:rPr>
          <w:t>19</w:t>
        </w:r>
        <w:r w:rsidR="000B4C45">
          <w:rPr>
            <w:noProof/>
            <w:webHidden/>
          </w:rPr>
          <w:fldChar w:fldCharType="end"/>
        </w:r>
      </w:hyperlink>
    </w:p>
    <w:p w14:paraId="58F740D5" w14:textId="48244E01" w:rsidR="000B4C45" w:rsidRDefault="00E236CC">
      <w:pPr>
        <w:pStyle w:val="TOC2"/>
        <w:tabs>
          <w:tab w:val="right" w:leader="dot" w:pos="8630"/>
        </w:tabs>
        <w:rPr>
          <w:rFonts w:asciiTheme="minorHAnsi" w:eastAsiaTheme="minorEastAsia" w:hAnsiTheme="minorHAnsi" w:cstheme="minorBidi"/>
          <w:noProof/>
          <w:sz w:val="22"/>
          <w:szCs w:val="22"/>
          <w:lang w:eastAsia="en-IE"/>
        </w:rPr>
      </w:pPr>
      <w:hyperlink w:anchor="_Toc66171836" w:history="1">
        <w:r w:rsidR="000B4C45" w:rsidRPr="00F95733">
          <w:rPr>
            <w:rStyle w:val="Hyperlink"/>
            <w:noProof/>
          </w:rPr>
          <w:t>Medical Care Scheme</w:t>
        </w:r>
        <w:r w:rsidR="000B4C45">
          <w:rPr>
            <w:noProof/>
            <w:webHidden/>
          </w:rPr>
          <w:tab/>
        </w:r>
        <w:r w:rsidR="000B4C45">
          <w:rPr>
            <w:noProof/>
            <w:webHidden/>
          </w:rPr>
          <w:fldChar w:fldCharType="begin"/>
        </w:r>
        <w:r w:rsidR="000B4C45">
          <w:rPr>
            <w:noProof/>
            <w:webHidden/>
          </w:rPr>
          <w:instrText xml:space="preserve"> PAGEREF _Toc66171836 \h </w:instrText>
        </w:r>
        <w:r w:rsidR="000B4C45">
          <w:rPr>
            <w:noProof/>
            <w:webHidden/>
          </w:rPr>
        </w:r>
        <w:r w:rsidR="000B4C45">
          <w:rPr>
            <w:noProof/>
            <w:webHidden/>
          </w:rPr>
          <w:fldChar w:fldCharType="separate"/>
        </w:r>
        <w:r w:rsidR="000B4C45">
          <w:rPr>
            <w:noProof/>
            <w:webHidden/>
          </w:rPr>
          <w:t>20</w:t>
        </w:r>
        <w:r w:rsidR="000B4C45">
          <w:rPr>
            <w:noProof/>
            <w:webHidden/>
          </w:rPr>
          <w:fldChar w:fldCharType="end"/>
        </w:r>
      </w:hyperlink>
    </w:p>
    <w:p w14:paraId="207F0658" w14:textId="0B51FDAE" w:rsidR="000B4C45" w:rsidRDefault="00E236CC">
      <w:pPr>
        <w:pStyle w:val="TOC2"/>
        <w:tabs>
          <w:tab w:val="right" w:leader="dot" w:pos="8630"/>
        </w:tabs>
        <w:rPr>
          <w:rFonts w:asciiTheme="minorHAnsi" w:eastAsiaTheme="minorEastAsia" w:hAnsiTheme="minorHAnsi" w:cstheme="minorBidi"/>
          <w:noProof/>
          <w:sz w:val="22"/>
          <w:szCs w:val="22"/>
          <w:lang w:eastAsia="en-IE"/>
        </w:rPr>
      </w:pPr>
      <w:hyperlink w:anchor="_Toc66171837" w:history="1">
        <w:r w:rsidR="000B4C45" w:rsidRPr="00F95733">
          <w:rPr>
            <w:rStyle w:val="Hyperlink"/>
            <w:noProof/>
          </w:rPr>
          <w:t>Constant Attendance Allowance</w:t>
        </w:r>
        <w:r w:rsidR="000B4C45">
          <w:rPr>
            <w:noProof/>
            <w:webHidden/>
          </w:rPr>
          <w:tab/>
        </w:r>
        <w:r w:rsidR="000B4C45">
          <w:rPr>
            <w:noProof/>
            <w:webHidden/>
          </w:rPr>
          <w:fldChar w:fldCharType="begin"/>
        </w:r>
        <w:r w:rsidR="000B4C45">
          <w:rPr>
            <w:noProof/>
            <w:webHidden/>
          </w:rPr>
          <w:instrText xml:space="preserve"> PAGEREF _Toc66171837 \h </w:instrText>
        </w:r>
        <w:r w:rsidR="000B4C45">
          <w:rPr>
            <w:noProof/>
            <w:webHidden/>
          </w:rPr>
        </w:r>
        <w:r w:rsidR="000B4C45">
          <w:rPr>
            <w:noProof/>
            <w:webHidden/>
          </w:rPr>
          <w:fldChar w:fldCharType="separate"/>
        </w:r>
        <w:r w:rsidR="000B4C45">
          <w:rPr>
            <w:noProof/>
            <w:webHidden/>
          </w:rPr>
          <w:t>20</w:t>
        </w:r>
        <w:r w:rsidR="000B4C45">
          <w:rPr>
            <w:noProof/>
            <w:webHidden/>
          </w:rPr>
          <w:fldChar w:fldCharType="end"/>
        </w:r>
      </w:hyperlink>
    </w:p>
    <w:p w14:paraId="44232513" w14:textId="374692E3" w:rsidR="000B4C45" w:rsidRDefault="00E236CC">
      <w:pPr>
        <w:pStyle w:val="TOC2"/>
        <w:tabs>
          <w:tab w:val="right" w:leader="dot" w:pos="8630"/>
        </w:tabs>
        <w:rPr>
          <w:rFonts w:asciiTheme="minorHAnsi" w:eastAsiaTheme="minorEastAsia" w:hAnsiTheme="minorHAnsi" w:cstheme="minorBidi"/>
          <w:noProof/>
          <w:sz w:val="22"/>
          <w:szCs w:val="22"/>
          <w:lang w:eastAsia="en-IE"/>
        </w:rPr>
      </w:pPr>
      <w:hyperlink w:anchor="_Toc66171838" w:history="1">
        <w:r w:rsidR="000B4C45" w:rsidRPr="00F95733">
          <w:rPr>
            <w:rStyle w:val="Hyperlink"/>
            <w:noProof/>
          </w:rPr>
          <w:t>Carers</w:t>
        </w:r>
        <w:r w:rsidR="000B4C45">
          <w:rPr>
            <w:noProof/>
            <w:webHidden/>
          </w:rPr>
          <w:tab/>
        </w:r>
        <w:r w:rsidR="000B4C45">
          <w:rPr>
            <w:noProof/>
            <w:webHidden/>
          </w:rPr>
          <w:fldChar w:fldCharType="begin"/>
        </w:r>
        <w:r w:rsidR="000B4C45">
          <w:rPr>
            <w:noProof/>
            <w:webHidden/>
          </w:rPr>
          <w:instrText xml:space="preserve"> PAGEREF _Toc66171838 \h </w:instrText>
        </w:r>
        <w:r w:rsidR="000B4C45">
          <w:rPr>
            <w:noProof/>
            <w:webHidden/>
          </w:rPr>
        </w:r>
        <w:r w:rsidR="000B4C45">
          <w:rPr>
            <w:noProof/>
            <w:webHidden/>
          </w:rPr>
          <w:fldChar w:fldCharType="separate"/>
        </w:r>
        <w:r w:rsidR="000B4C45">
          <w:rPr>
            <w:noProof/>
            <w:webHidden/>
          </w:rPr>
          <w:t>20</w:t>
        </w:r>
        <w:r w:rsidR="000B4C45">
          <w:rPr>
            <w:noProof/>
            <w:webHidden/>
          </w:rPr>
          <w:fldChar w:fldCharType="end"/>
        </w:r>
      </w:hyperlink>
    </w:p>
    <w:p w14:paraId="13523235" w14:textId="28DFF527" w:rsidR="000B4C45" w:rsidRDefault="00E236CC">
      <w:pPr>
        <w:pStyle w:val="TOC1"/>
        <w:tabs>
          <w:tab w:val="right" w:leader="dot" w:pos="8630"/>
        </w:tabs>
        <w:rPr>
          <w:rFonts w:asciiTheme="minorHAnsi" w:eastAsiaTheme="minorEastAsia" w:hAnsiTheme="minorHAnsi" w:cstheme="minorBidi"/>
          <w:b w:val="0"/>
          <w:noProof/>
          <w:sz w:val="22"/>
          <w:szCs w:val="22"/>
          <w:lang w:eastAsia="en-IE"/>
        </w:rPr>
      </w:pPr>
      <w:hyperlink w:anchor="_Toc66171839" w:history="1">
        <w:r w:rsidR="000B4C45" w:rsidRPr="00F95733">
          <w:rPr>
            <w:rStyle w:val="Hyperlink"/>
            <w:noProof/>
          </w:rPr>
          <w:t>Other allowances and benefits</w:t>
        </w:r>
        <w:r w:rsidR="000B4C45">
          <w:rPr>
            <w:noProof/>
            <w:webHidden/>
          </w:rPr>
          <w:tab/>
        </w:r>
        <w:r w:rsidR="000B4C45">
          <w:rPr>
            <w:noProof/>
            <w:webHidden/>
          </w:rPr>
          <w:fldChar w:fldCharType="begin"/>
        </w:r>
        <w:r w:rsidR="000B4C45">
          <w:rPr>
            <w:noProof/>
            <w:webHidden/>
          </w:rPr>
          <w:instrText xml:space="preserve"> PAGEREF _Toc66171839 \h </w:instrText>
        </w:r>
        <w:r w:rsidR="000B4C45">
          <w:rPr>
            <w:noProof/>
            <w:webHidden/>
          </w:rPr>
        </w:r>
        <w:r w:rsidR="000B4C45">
          <w:rPr>
            <w:noProof/>
            <w:webHidden/>
          </w:rPr>
          <w:fldChar w:fldCharType="separate"/>
        </w:r>
        <w:r w:rsidR="000B4C45">
          <w:rPr>
            <w:noProof/>
            <w:webHidden/>
          </w:rPr>
          <w:t>23</w:t>
        </w:r>
        <w:r w:rsidR="000B4C45">
          <w:rPr>
            <w:noProof/>
            <w:webHidden/>
          </w:rPr>
          <w:fldChar w:fldCharType="end"/>
        </w:r>
      </w:hyperlink>
    </w:p>
    <w:p w14:paraId="535CC8BC" w14:textId="51439AD9" w:rsidR="000B4C45" w:rsidRDefault="00E236CC">
      <w:pPr>
        <w:pStyle w:val="TOC2"/>
        <w:tabs>
          <w:tab w:val="right" w:leader="dot" w:pos="8630"/>
        </w:tabs>
        <w:rPr>
          <w:rFonts w:asciiTheme="minorHAnsi" w:eastAsiaTheme="minorEastAsia" w:hAnsiTheme="minorHAnsi" w:cstheme="minorBidi"/>
          <w:noProof/>
          <w:sz w:val="22"/>
          <w:szCs w:val="22"/>
          <w:lang w:eastAsia="en-IE"/>
        </w:rPr>
      </w:pPr>
      <w:hyperlink w:anchor="_Toc66171840" w:history="1">
        <w:r w:rsidR="000B4C45" w:rsidRPr="00F95733">
          <w:rPr>
            <w:rStyle w:val="Hyperlink"/>
            <w:noProof/>
          </w:rPr>
          <w:t>Living Alone Increase</w:t>
        </w:r>
        <w:r w:rsidR="000B4C45">
          <w:rPr>
            <w:noProof/>
            <w:webHidden/>
          </w:rPr>
          <w:tab/>
        </w:r>
        <w:r w:rsidR="000B4C45">
          <w:rPr>
            <w:noProof/>
            <w:webHidden/>
          </w:rPr>
          <w:fldChar w:fldCharType="begin"/>
        </w:r>
        <w:r w:rsidR="000B4C45">
          <w:rPr>
            <w:noProof/>
            <w:webHidden/>
          </w:rPr>
          <w:instrText xml:space="preserve"> PAGEREF _Toc66171840 \h </w:instrText>
        </w:r>
        <w:r w:rsidR="000B4C45">
          <w:rPr>
            <w:noProof/>
            <w:webHidden/>
          </w:rPr>
        </w:r>
        <w:r w:rsidR="000B4C45">
          <w:rPr>
            <w:noProof/>
            <w:webHidden/>
          </w:rPr>
          <w:fldChar w:fldCharType="separate"/>
        </w:r>
        <w:r w:rsidR="000B4C45">
          <w:rPr>
            <w:noProof/>
            <w:webHidden/>
          </w:rPr>
          <w:t>23</w:t>
        </w:r>
        <w:r w:rsidR="000B4C45">
          <w:rPr>
            <w:noProof/>
            <w:webHidden/>
          </w:rPr>
          <w:fldChar w:fldCharType="end"/>
        </w:r>
      </w:hyperlink>
    </w:p>
    <w:p w14:paraId="298DB7F4" w14:textId="482C82B7" w:rsidR="000B4C45" w:rsidRDefault="00E236CC">
      <w:pPr>
        <w:pStyle w:val="TOC2"/>
        <w:tabs>
          <w:tab w:val="right" w:leader="dot" w:pos="8630"/>
        </w:tabs>
        <w:rPr>
          <w:rFonts w:asciiTheme="minorHAnsi" w:eastAsiaTheme="minorEastAsia" w:hAnsiTheme="minorHAnsi" w:cstheme="minorBidi"/>
          <w:noProof/>
          <w:sz w:val="22"/>
          <w:szCs w:val="22"/>
          <w:lang w:eastAsia="en-IE"/>
        </w:rPr>
      </w:pPr>
      <w:hyperlink w:anchor="_Toc66171841" w:history="1">
        <w:r w:rsidR="000B4C45" w:rsidRPr="00F95733">
          <w:rPr>
            <w:rStyle w:val="Hyperlink"/>
            <w:noProof/>
          </w:rPr>
          <w:t>Telephone Support Allowance</w:t>
        </w:r>
        <w:r w:rsidR="000B4C45">
          <w:rPr>
            <w:noProof/>
            <w:webHidden/>
          </w:rPr>
          <w:tab/>
        </w:r>
        <w:r w:rsidR="000B4C45">
          <w:rPr>
            <w:noProof/>
            <w:webHidden/>
          </w:rPr>
          <w:fldChar w:fldCharType="begin"/>
        </w:r>
        <w:r w:rsidR="000B4C45">
          <w:rPr>
            <w:noProof/>
            <w:webHidden/>
          </w:rPr>
          <w:instrText xml:space="preserve"> PAGEREF _Toc66171841 \h </w:instrText>
        </w:r>
        <w:r w:rsidR="000B4C45">
          <w:rPr>
            <w:noProof/>
            <w:webHidden/>
          </w:rPr>
        </w:r>
        <w:r w:rsidR="000B4C45">
          <w:rPr>
            <w:noProof/>
            <w:webHidden/>
          </w:rPr>
          <w:fldChar w:fldCharType="separate"/>
        </w:r>
        <w:r w:rsidR="000B4C45">
          <w:rPr>
            <w:noProof/>
            <w:webHidden/>
          </w:rPr>
          <w:t>23</w:t>
        </w:r>
        <w:r w:rsidR="000B4C45">
          <w:rPr>
            <w:noProof/>
            <w:webHidden/>
          </w:rPr>
          <w:fldChar w:fldCharType="end"/>
        </w:r>
      </w:hyperlink>
    </w:p>
    <w:p w14:paraId="3CD6D572" w14:textId="4AB975C6" w:rsidR="000B4C45" w:rsidRDefault="00E236CC">
      <w:pPr>
        <w:pStyle w:val="TOC2"/>
        <w:tabs>
          <w:tab w:val="right" w:leader="dot" w:pos="8630"/>
        </w:tabs>
        <w:rPr>
          <w:rFonts w:asciiTheme="minorHAnsi" w:eastAsiaTheme="minorEastAsia" w:hAnsiTheme="minorHAnsi" w:cstheme="minorBidi"/>
          <w:noProof/>
          <w:sz w:val="22"/>
          <w:szCs w:val="22"/>
          <w:lang w:eastAsia="en-IE"/>
        </w:rPr>
      </w:pPr>
      <w:hyperlink w:anchor="_Toc66171842" w:history="1">
        <w:r w:rsidR="000B4C45" w:rsidRPr="00F95733">
          <w:rPr>
            <w:rStyle w:val="Hyperlink"/>
            <w:noProof/>
          </w:rPr>
          <w:t>Increase for Living on a Specified Island</w:t>
        </w:r>
        <w:r w:rsidR="000B4C45">
          <w:rPr>
            <w:noProof/>
            <w:webHidden/>
          </w:rPr>
          <w:tab/>
        </w:r>
        <w:r w:rsidR="000B4C45">
          <w:rPr>
            <w:noProof/>
            <w:webHidden/>
          </w:rPr>
          <w:fldChar w:fldCharType="begin"/>
        </w:r>
        <w:r w:rsidR="000B4C45">
          <w:rPr>
            <w:noProof/>
            <w:webHidden/>
          </w:rPr>
          <w:instrText xml:space="preserve"> PAGEREF _Toc66171842 \h </w:instrText>
        </w:r>
        <w:r w:rsidR="000B4C45">
          <w:rPr>
            <w:noProof/>
            <w:webHidden/>
          </w:rPr>
        </w:r>
        <w:r w:rsidR="000B4C45">
          <w:rPr>
            <w:noProof/>
            <w:webHidden/>
          </w:rPr>
          <w:fldChar w:fldCharType="separate"/>
        </w:r>
        <w:r w:rsidR="000B4C45">
          <w:rPr>
            <w:noProof/>
            <w:webHidden/>
          </w:rPr>
          <w:t>24</w:t>
        </w:r>
        <w:r w:rsidR="000B4C45">
          <w:rPr>
            <w:noProof/>
            <w:webHidden/>
          </w:rPr>
          <w:fldChar w:fldCharType="end"/>
        </w:r>
      </w:hyperlink>
    </w:p>
    <w:p w14:paraId="18C74D09" w14:textId="45BAE0AF" w:rsidR="000B4C45" w:rsidRDefault="00E236CC">
      <w:pPr>
        <w:pStyle w:val="TOC2"/>
        <w:tabs>
          <w:tab w:val="right" w:leader="dot" w:pos="8630"/>
        </w:tabs>
        <w:rPr>
          <w:rFonts w:asciiTheme="minorHAnsi" w:eastAsiaTheme="minorEastAsia" w:hAnsiTheme="minorHAnsi" w:cstheme="minorBidi"/>
          <w:noProof/>
          <w:sz w:val="22"/>
          <w:szCs w:val="22"/>
          <w:lang w:eastAsia="en-IE"/>
        </w:rPr>
      </w:pPr>
      <w:hyperlink w:anchor="_Toc66171843" w:history="1">
        <w:r w:rsidR="000B4C45" w:rsidRPr="00F95733">
          <w:rPr>
            <w:rStyle w:val="Hyperlink"/>
            <w:noProof/>
          </w:rPr>
          <w:t>Fuel Allowance</w:t>
        </w:r>
        <w:r w:rsidR="000B4C45">
          <w:rPr>
            <w:noProof/>
            <w:webHidden/>
          </w:rPr>
          <w:tab/>
        </w:r>
        <w:r w:rsidR="000B4C45">
          <w:rPr>
            <w:noProof/>
            <w:webHidden/>
          </w:rPr>
          <w:fldChar w:fldCharType="begin"/>
        </w:r>
        <w:r w:rsidR="000B4C45">
          <w:rPr>
            <w:noProof/>
            <w:webHidden/>
          </w:rPr>
          <w:instrText xml:space="preserve"> PAGEREF _Toc66171843 \h </w:instrText>
        </w:r>
        <w:r w:rsidR="000B4C45">
          <w:rPr>
            <w:noProof/>
            <w:webHidden/>
          </w:rPr>
        </w:r>
        <w:r w:rsidR="000B4C45">
          <w:rPr>
            <w:noProof/>
            <w:webHidden/>
          </w:rPr>
          <w:fldChar w:fldCharType="separate"/>
        </w:r>
        <w:r w:rsidR="000B4C45">
          <w:rPr>
            <w:noProof/>
            <w:webHidden/>
          </w:rPr>
          <w:t>24</w:t>
        </w:r>
        <w:r w:rsidR="000B4C45">
          <w:rPr>
            <w:noProof/>
            <w:webHidden/>
          </w:rPr>
          <w:fldChar w:fldCharType="end"/>
        </w:r>
      </w:hyperlink>
    </w:p>
    <w:p w14:paraId="30E304D9" w14:textId="0C081154" w:rsidR="000B4C45" w:rsidRDefault="00E236CC">
      <w:pPr>
        <w:pStyle w:val="TOC2"/>
        <w:tabs>
          <w:tab w:val="right" w:leader="dot" w:pos="8630"/>
        </w:tabs>
        <w:rPr>
          <w:rFonts w:asciiTheme="minorHAnsi" w:eastAsiaTheme="minorEastAsia" w:hAnsiTheme="minorHAnsi" w:cstheme="minorBidi"/>
          <w:noProof/>
          <w:sz w:val="22"/>
          <w:szCs w:val="22"/>
          <w:lang w:eastAsia="en-IE"/>
        </w:rPr>
      </w:pPr>
      <w:hyperlink w:anchor="_Toc66171844" w:history="1">
        <w:r w:rsidR="000B4C45" w:rsidRPr="00F95733">
          <w:rPr>
            <w:rStyle w:val="Hyperlink"/>
            <w:noProof/>
          </w:rPr>
          <w:t>Partial Capacity Benefit</w:t>
        </w:r>
        <w:r w:rsidR="000B4C45">
          <w:rPr>
            <w:noProof/>
            <w:webHidden/>
          </w:rPr>
          <w:tab/>
        </w:r>
        <w:r w:rsidR="000B4C45">
          <w:rPr>
            <w:noProof/>
            <w:webHidden/>
          </w:rPr>
          <w:fldChar w:fldCharType="begin"/>
        </w:r>
        <w:r w:rsidR="000B4C45">
          <w:rPr>
            <w:noProof/>
            <w:webHidden/>
          </w:rPr>
          <w:instrText xml:space="preserve"> PAGEREF _Toc66171844 \h </w:instrText>
        </w:r>
        <w:r w:rsidR="000B4C45">
          <w:rPr>
            <w:noProof/>
            <w:webHidden/>
          </w:rPr>
        </w:r>
        <w:r w:rsidR="000B4C45">
          <w:rPr>
            <w:noProof/>
            <w:webHidden/>
          </w:rPr>
          <w:fldChar w:fldCharType="separate"/>
        </w:r>
        <w:r w:rsidR="000B4C45">
          <w:rPr>
            <w:noProof/>
            <w:webHidden/>
          </w:rPr>
          <w:t>24</w:t>
        </w:r>
        <w:r w:rsidR="000B4C45">
          <w:rPr>
            <w:noProof/>
            <w:webHidden/>
          </w:rPr>
          <w:fldChar w:fldCharType="end"/>
        </w:r>
      </w:hyperlink>
    </w:p>
    <w:p w14:paraId="103DC39D" w14:textId="73E192DB" w:rsidR="000B4C45" w:rsidRDefault="00E236CC">
      <w:pPr>
        <w:pStyle w:val="TOC2"/>
        <w:tabs>
          <w:tab w:val="right" w:leader="dot" w:pos="8630"/>
        </w:tabs>
        <w:rPr>
          <w:rFonts w:asciiTheme="minorHAnsi" w:eastAsiaTheme="minorEastAsia" w:hAnsiTheme="minorHAnsi" w:cstheme="minorBidi"/>
          <w:noProof/>
          <w:sz w:val="22"/>
          <w:szCs w:val="22"/>
          <w:lang w:eastAsia="en-IE"/>
        </w:rPr>
      </w:pPr>
      <w:hyperlink w:anchor="_Toc66171845" w:history="1">
        <w:r w:rsidR="000B4C45" w:rsidRPr="00F95733">
          <w:rPr>
            <w:rStyle w:val="Hyperlink"/>
            <w:noProof/>
          </w:rPr>
          <w:t>Free Travel Scheme</w:t>
        </w:r>
        <w:r w:rsidR="000B4C45">
          <w:rPr>
            <w:noProof/>
            <w:webHidden/>
          </w:rPr>
          <w:tab/>
        </w:r>
        <w:r w:rsidR="000B4C45">
          <w:rPr>
            <w:noProof/>
            <w:webHidden/>
          </w:rPr>
          <w:fldChar w:fldCharType="begin"/>
        </w:r>
        <w:r w:rsidR="000B4C45">
          <w:rPr>
            <w:noProof/>
            <w:webHidden/>
          </w:rPr>
          <w:instrText xml:space="preserve"> PAGEREF _Toc66171845 \h </w:instrText>
        </w:r>
        <w:r w:rsidR="000B4C45">
          <w:rPr>
            <w:noProof/>
            <w:webHidden/>
          </w:rPr>
        </w:r>
        <w:r w:rsidR="000B4C45">
          <w:rPr>
            <w:noProof/>
            <w:webHidden/>
          </w:rPr>
          <w:fldChar w:fldCharType="separate"/>
        </w:r>
        <w:r w:rsidR="000B4C45">
          <w:rPr>
            <w:noProof/>
            <w:webHidden/>
          </w:rPr>
          <w:t>25</w:t>
        </w:r>
        <w:r w:rsidR="000B4C45">
          <w:rPr>
            <w:noProof/>
            <w:webHidden/>
          </w:rPr>
          <w:fldChar w:fldCharType="end"/>
        </w:r>
      </w:hyperlink>
    </w:p>
    <w:p w14:paraId="2C861C27" w14:textId="25B1B620" w:rsidR="000B4C45" w:rsidRDefault="00E236CC">
      <w:pPr>
        <w:pStyle w:val="TOC2"/>
        <w:tabs>
          <w:tab w:val="right" w:leader="dot" w:pos="8630"/>
        </w:tabs>
        <w:rPr>
          <w:rFonts w:asciiTheme="minorHAnsi" w:eastAsiaTheme="minorEastAsia" w:hAnsiTheme="minorHAnsi" w:cstheme="minorBidi"/>
          <w:noProof/>
          <w:sz w:val="22"/>
          <w:szCs w:val="22"/>
          <w:lang w:eastAsia="en-IE"/>
        </w:rPr>
      </w:pPr>
      <w:hyperlink w:anchor="_Toc66171846" w:history="1">
        <w:r w:rsidR="000B4C45" w:rsidRPr="00F95733">
          <w:rPr>
            <w:rStyle w:val="Hyperlink"/>
            <w:noProof/>
          </w:rPr>
          <w:t>Household Benefits Package</w:t>
        </w:r>
        <w:r w:rsidR="000B4C45">
          <w:rPr>
            <w:noProof/>
            <w:webHidden/>
          </w:rPr>
          <w:tab/>
        </w:r>
        <w:r w:rsidR="000B4C45">
          <w:rPr>
            <w:noProof/>
            <w:webHidden/>
          </w:rPr>
          <w:fldChar w:fldCharType="begin"/>
        </w:r>
        <w:r w:rsidR="000B4C45">
          <w:rPr>
            <w:noProof/>
            <w:webHidden/>
          </w:rPr>
          <w:instrText xml:space="preserve"> PAGEREF _Toc66171846 \h </w:instrText>
        </w:r>
        <w:r w:rsidR="000B4C45">
          <w:rPr>
            <w:noProof/>
            <w:webHidden/>
          </w:rPr>
        </w:r>
        <w:r w:rsidR="000B4C45">
          <w:rPr>
            <w:noProof/>
            <w:webHidden/>
          </w:rPr>
          <w:fldChar w:fldCharType="separate"/>
        </w:r>
        <w:r w:rsidR="000B4C45">
          <w:rPr>
            <w:noProof/>
            <w:webHidden/>
          </w:rPr>
          <w:t>25</w:t>
        </w:r>
        <w:r w:rsidR="000B4C45">
          <w:rPr>
            <w:noProof/>
            <w:webHidden/>
          </w:rPr>
          <w:fldChar w:fldCharType="end"/>
        </w:r>
      </w:hyperlink>
    </w:p>
    <w:p w14:paraId="2FF2CDE6" w14:textId="1348F2BC" w:rsidR="000B4C45" w:rsidRDefault="00E236CC">
      <w:pPr>
        <w:pStyle w:val="TOC1"/>
        <w:tabs>
          <w:tab w:val="right" w:leader="dot" w:pos="8630"/>
        </w:tabs>
        <w:rPr>
          <w:rFonts w:asciiTheme="minorHAnsi" w:eastAsiaTheme="minorEastAsia" w:hAnsiTheme="minorHAnsi" w:cstheme="minorBidi"/>
          <w:b w:val="0"/>
          <w:noProof/>
          <w:sz w:val="22"/>
          <w:szCs w:val="22"/>
          <w:lang w:eastAsia="en-IE"/>
        </w:rPr>
      </w:pPr>
      <w:hyperlink w:anchor="_Toc66171847" w:history="1">
        <w:r w:rsidR="000B4C45" w:rsidRPr="00F95733">
          <w:rPr>
            <w:rStyle w:val="Hyperlink"/>
            <w:noProof/>
          </w:rPr>
          <w:t>COVID-19 Payments</w:t>
        </w:r>
        <w:r w:rsidR="000B4C45">
          <w:rPr>
            <w:noProof/>
            <w:webHidden/>
          </w:rPr>
          <w:tab/>
        </w:r>
        <w:r w:rsidR="000B4C45">
          <w:rPr>
            <w:noProof/>
            <w:webHidden/>
          </w:rPr>
          <w:fldChar w:fldCharType="begin"/>
        </w:r>
        <w:r w:rsidR="000B4C45">
          <w:rPr>
            <w:noProof/>
            <w:webHidden/>
          </w:rPr>
          <w:instrText xml:space="preserve"> PAGEREF _Toc66171847 \h </w:instrText>
        </w:r>
        <w:r w:rsidR="000B4C45">
          <w:rPr>
            <w:noProof/>
            <w:webHidden/>
          </w:rPr>
        </w:r>
        <w:r w:rsidR="000B4C45">
          <w:rPr>
            <w:noProof/>
            <w:webHidden/>
          </w:rPr>
          <w:fldChar w:fldCharType="separate"/>
        </w:r>
        <w:r w:rsidR="000B4C45">
          <w:rPr>
            <w:noProof/>
            <w:webHidden/>
          </w:rPr>
          <w:t>26</w:t>
        </w:r>
        <w:r w:rsidR="000B4C45">
          <w:rPr>
            <w:noProof/>
            <w:webHidden/>
          </w:rPr>
          <w:fldChar w:fldCharType="end"/>
        </w:r>
      </w:hyperlink>
    </w:p>
    <w:p w14:paraId="10D1C035" w14:textId="710BB4E2" w:rsidR="000B4C45" w:rsidRDefault="00E236CC">
      <w:pPr>
        <w:pStyle w:val="TOC2"/>
        <w:tabs>
          <w:tab w:val="right" w:leader="dot" w:pos="8630"/>
        </w:tabs>
        <w:rPr>
          <w:rFonts w:asciiTheme="minorHAnsi" w:eastAsiaTheme="minorEastAsia" w:hAnsiTheme="minorHAnsi" w:cstheme="minorBidi"/>
          <w:noProof/>
          <w:sz w:val="22"/>
          <w:szCs w:val="22"/>
          <w:lang w:eastAsia="en-IE"/>
        </w:rPr>
      </w:pPr>
      <w:hyperlink w:anchor="_Toc66171848" w:history="1">
        <w:r w:rsidR="000B4C45" w:rsidRPr="00F95733">
          <w:rPr>
            <w:rStyle w:val="Hyperlink"/>
            <w:noProof/>
            <w:shd w:val="clear" w:color="auto" w:fill="FFFFFF"/>
          </w:rPr>
          <w:t>COVID-19 Pandemic Unemployment Payment</w:t>
        </w:r>
        <w:r w:rsidR="000B4C45">
          <w:rPr>
            <w:noProof/>
            <w:webHidden/>
          </w:rPr>
          <w:tab/>
        </w:r>
        <w:r w:rsidR="000B4C45">
          <w:rPr>
            <w:noProof/>
            <w:webHidden/>
          </w:rPr>
          <w:fldChar w:fldCharType="begin"/>
        </w:r>
        <w:r w:rsidR="000B4C45">
          <w:rPr>
            <w:noProof/>
            <w:webHidden/>
          </w:rPr>
          <w:instrText xml:space="preserve"> PAGEREF _Toc66171848 \h </w:instrText>
        </w:r>
        <w:r w:rsidR="000B4C45">
          <w:rPr>
            <w:noProof/>
            <w:webHidden/>
          </w:rPr>
        </w:r>
        <w:r w:rsidR="000B4C45">
          <w:rPr>
            <w:noProof/>
            <w:webHidden/>
          </w:rPr>
          <w:fldChar w:fldCharType="separate"/>
        </w:r>
        <w:r w:rsidR="000B4C45">
          <w:rPr>
            <w:noProof/>
            <w:webHidden/>
          </w:rPr>
          <w:t>26</w:t>
        </w:r>
        <w:r w:rsidR="000B4C45">
          <w:rPr>
            <w:noProof/>
            <w:webHidden/>
          </w:rPr>
          <w:fldChar w:fldCharType="end"/>
        </w:r>
      </w:hyperlink>
    </w:p>
    <w:p w14:paraId="59C767F3" w14:textId="414A38B7" w:rsidR="000B4C45" w:rsidRDefault="00E236CC">
      <w:pPr>
        <w:pStyle w:val="TOC2"/>
        <w:tabs>
          <w:tab w:val="right" w:leader="dot" w:pos="8630"/>
        </w:tabs>
        <w:rPr>
          <w:rFonts w:asciiTheme="minorHAnsi" w:eastAsiaTheme="minorEastAsia" w:hAnsiTheme="minorHAnsi" w:cstheme="minorBidi"/>
          <w:noProof/>
          <w:sz w:val="22"/>
          <w:szCs w:val="22"/>
          <w:lang w:eastAsia="en-IE"/>
        </w:rPr>
      </w:pPr>
      <w:hyperlink w:anchor="_Toc66171849" w:history="1">
        <w:r w:rsidR="000B4C45" w:rsidRPr="00F95733">
          <w:rPr>
            <w:rStyle w:val="Hyperlink"/>
            <w:noProof/>
          </w:rPr>
          <w:t>Enhanced Illness Benefit</w:t>
        </w:r>
        <w:r w:rsidR="000B4C45">
          <w:rPr>
            <w:noProof/>
            <w:webHidden/>
          </w:rPr>
          <w:tab/>
        </w:r>
        <w:r w:rsidR="000B4C45">
          <w:rPr>
            <w:noProof/>
            <w:webHidden/>
          </w:rPr>
          <w:fldChar w:fldCharType="begin"/>
        </w:r>
        <w:r w:rsidR="000B4C45">
          <w:rPr>
            <w:noProof/>
            <w:webHidden/>
          </w:rPr>
          <w:instrText xml:space="preserve"> PAGEREF _Toc66171849 \h </w:instrText>
        </w:r>
        <w:r w:rsidR="000B4C45">
          <w:rPr>
            <w:noProof/>
            <w:webHidden/>
          </w:rPr>
        </w:r>
        <w:r w:rsidR="000B4C45">
          <w:rPr>
            <w:noProof/>
            <w:webHidden/>
          </w:rPr>
          <w:fldChar w:fldCharType="separate"/>
        </w:r>
        <w:r w:rsidR="000B4C45">
          <w:rPr>
            <w:noProof/>
            <w:webHidden/>
          </w:rPr>
          <w:t>27</w:t>
        </w:r>
        <w:r w:rsidR="000B4C45">
          <w:rPr>
            <w:noProof/>
            <w:webHidden/>
          </w:rPr>
          <w:fldChar w:fldCharType="end"/>
        </w:r>
      </w:hyperlink>
    </w:p>
    <w:p w14:paraId="51EBC60B" w14:textId="4ECC6542" w:rsidR="000B4C45" w:rsidRDefault="00E236CC">
      <w:pPr>
        <w:pStyle w:val="TOC1"/>
        <w:tabs>
          <w:tab w:val="right" w:leader="dot" w:pos="8630"/>
        </w:tabs>
        <w:rPr>
          <w:rFonts w:asciiTheme="minorHAnsi" w:eastAsiaTheme="minorEastAsia" w:hAnsiTheme="minorHAnsi" w:cstheme="minorBidi"/>
          <w:b w:val="0"/>
          <w:noProof/>
          <w:sz w:val="22"/>
          <w:szCs w:val="22"/>
          <w:lang w:eastAsia="en-IE"/>
        </w:rPr>
      </w:pPr>
      <w:hyperlink w:anchor="_Toc66171850" w:history="1">
        <w:r w:rsidR="000B4C45" w:rsidRPr="00F95733">
          <w:rPr>
            <w:rStyle w:val="Hyperlink"/>
            <w:noProof/>
          </w:rPr>
          <w:t>Article 28 in the Irish context: Retirement</w:t>
        </w:r>
        <w:r w:rsidR="000B4C45">
          <w:rPr>
            <w:noProof/>
            <w:webHidden/>
          </w:rPr>
          <w:tab/>
        </w:r>
        <w:r w:rsidR="000B4C45">
          <w:rPr>
            <w:noProof/>
            <w:webHidden/>
          </w:rPr>
          <w:fldChar w:fldCharType="begin"/>
        </w:r>
        <w:r w:rsidR="000B4C45">
          <w:rPr>
            <w:noProof/>
            <w:webHidden/>
          </w:rPr>
          <w:instrText xml:space="preserve"> PAGEREF _Toc66171850 \h </w:instrText>
        </w:r>
        <w:r w:rsidR="000B4C45">
          <w:rPr>
            <w:noProof/>
            <w:webHidden/>
          </w:rPr>
        </w:r>
        <w:r w:rsidR="000B4C45">
          <w:rPr>
            <w:noProof/>
            <w:webHidden/>
          </w:rPr>
          <w:fldChar w:fldCharType="separate"/>
        </w:r>
        <w:r w:rsidR="000B4C45">
          <w:rPr>
            <w:noProof/>
            <w:webHidden/>
          </w:rPr>
          <w:t>28</w:t>
        </w:r>
        <w:r w:rsidR="000B4C45">
          <w:rPr>
            <w:noProof/>
            <w:webHidden/>
          </w:rPr>
          <w:fldChar w:fldCharType="end"/>
        </w:r>
      </w:hyperlink>
    </w:p>
    <w:p w14:paraId="5D197BFF" w14:textId="511B7124" w:rsidR="000B4C45" w:rsidRDefault="00E236CC">
      <w:pPr>
        <w:pStyle w:val="TOC2"/>
        <w:tabs>
          <w:tab w:val="right" w:leader="dot" w:pos="8630"/>
        </w:tabs>
        <w:rPr>
          <w:rFonts w:asciiTheme="minorHAnsi" w:eastAsiaTheme="minorEastAsia" w:hAnsiTheme="minorHAnsi" w:cstheme="minorBidi"/>
          <w:noProof/>
          <w:sz w:val="22"/>
          <w:szCs w:val="22"/>
          <w:lang w:eastAsia="en-IE"/>
        </w:rPr>
      </w:pPr>
      <w:hyperlink w:anchor="_Toc66171851" w:history="1">
        <w:r w:rsidR="000B4C45" w:rsidRPr="00F95733">
          <w:rPr>
            <w:rStyle w:val="Hyperlink"/>
            <w:noProof/>
          </w:rPr>
          <w:t>State pension (Contributory)</w:t>
        </w:r>
        <w:r w:rsidR="000B4C45">
          <w:rPr>
            <w:noProof/>
            <w:webHidden/>
          </w:rPr>
          <w:tab/>
        </w:r>
        <w:r w:rsidR="000B4C45">
          <w:rPr>
            <w:noProof/>
            <w:webHidden/>
          </w:rPr>
          <w:fldChar w:fldCharType="begin"/>
        </w:r>
        <w:r w:rsidR="000B4C45">
          <w:rPr>
            <w:noProof/>
            <w:webHidden/>
          </w:rPr>
          <w:instrText xml:space="preserve"> PAGEREF _Toc66171851 \h </w:instrText>
        </w:r>
        <w:r w:rsidR="000B4C45">
          <w:rPr>
            <w:noProof/>
            <w:webHidden/>
          </w:rPr>
        </w:r>
        <w:r w:rsidR="000B4C45">
          <w:rPr>
            <w:noProof/>
            <w:webHidden/>
          </w:rPr>
          <w:fldChar w:fldCharType="separate"/>
        </w:r>
        <w:r w:rsidR="000B4C45">
          <w:rPr>
            <w:noProof/>
            <w:webHidden/>
          </w:rPr>
          <w:t>28</w:t>
        </w:r>
        <w:r w:rsidR="000B4C45">
          <w:rPr>
            <w:noProof/>
            <w:webHidden/>
          </w:rPr>
          <w:fldChar w:fldCharType="end"/>
        </w:r>
      </w:hyperlink>
    </w:p>
    <w:p w14:paraId="35B6C3F9" w14:textId="2D455CE9" w:rsidR="000B4C45" w:rsidRDefault="00E236CC">
      <w:pPr>
        <w:pStyle w:val="TOC2"/>
        <w:tabs>
          <w:tab w:val="right" w:leader="dot" w:pos="8630"/>
        </w:tabs>
        <w:rPr>
          <w:rFonts w:asciiTheme="minorHAnsi" w:eastAsiaTheme="minorEastAsia" w:hAnsiTheme="minorHAnsi" w:cstheme="minorBidi"/>
          <w:noProof/>
          <w:sz w:val="22"/>
          <w:szCs w:val="22"/>
          <w:lang w:eastAsia="en-IE"/>
        </w:rPr>
      </w:pPr>
      <w:hyperlink w:anchor="_Toc66171852" w:history="1">
        <w:r w:rsidR="000B4C45" w:rsidRPr="00F95733">
          <w:rPr>
            <w:rStyle w:val="Hyperlink"/>
            <w:noProof/>
          </w:rPr>
          <w:t>State pension (Non-contributory)</w:t>
        </w:r>
        <w:r w:rsidR="000B4C45">
          <w:rPr>
            <w:noProof/>
            <w:webHidden/>
          </w:rPr>
          <w:tab/>
        </w:r>
        <w:r w:rsidR="000B4C45">
          <w:rPr>
            <w:noProof/>
            <w:webHidden/>
          </w:rPr>
          <w:fldChar w:fldCharType="begin"/>
        </w:r>
        <w:r w:rsidR="000B4C45">
          <w:rPr>
            <w:noProof/>
            <w:webHidden/>
          </w:rPr>
          <w:instrText xml:space="preserve"> PAGEREF _Toc66171852 \h </w:instrText>
        </w:r>
        <w:r w:rsidR="000B4C45">
          <w:rPr>
            <w:noProof/>
            <w:webHidden/>
          </w:rPr>
        </w:r>
        <w:r w:rsidR="000B4C45">
          <w:rPr>
            <w:noProof/>
            <w:webHidden/>
          </w:rPr>
          <w:fldChar w:fldCharType="separate"/>
        </w:r>
        <w:r w:rsidR="000B4C45">
          <w:rPr>
            <w:noProof/>
            <w:webHidden/>
          </w:rPr>
          <w:t>28</w:t>
        </w:r>
        <w:r w:rsidR="000B4C45">
          <w:rPr>
            <w:noProof/>
            <w:webHidden/>
          </w:rPr>
          <w:fldChar w:fldCharType="end"/>
        </w:r>
      </w:hyperlink>
    </w:p>
    <w:p w14:paraId="3F88F53C" w14:textId="19F0658B" w:rsidR="000B4C45" w:rsidRDefault="00E236CC">
      <w:pPr>
        <w:pStyle w:val="TOC1"/>
        <w:tabs>
          <w:tab w:val="right" w:leader="dot" w:pos="8630"/>
        </w:tabs>
        <w:rPr>
          <w:rFonts w:asciiTheme="minorHAnsi" w:eastAsiaTheme="minorEastAsia" w:hAnsiTheme="minorHAnsi" w:cstheme="minorBidi"/>
          <w:b w:val="0"/>
          <w:noProof/>
          <w:sz w:val="22"/>
          <w:szCs w:val="22"/>
          <w:lang w:eastAsia="en-IE"/>
        </w:rPr>
      </w:pPr>
      <w:hyperlink w:anchor="_Toc66171853" w:history="1">
        <w:r w:rsidR="000B4C45" w:rsidRPr="00F95733">
          <w:rPr>
            <w:rStyle w:val="Hyperlink"/>
            <w:noProof/>
          </w:rPr>
          <w:t>Article 28 in the Irish context: Access to public housing programmes</w:t>
        </w:r>
        <w:r w:rsidR="000B4C45">
          <w:rPr>
            <w:noProof/>
            <w:webHidden/>
          </w:rPr>
          <w:tab/>
        </w:r>
        <w:r w:rsidR="000B4C45">
          <w:rPr>
            <w:noProof/>
            <w:webHidden/>
          </w:rPr>
          <w:fldChar w:fldCharType="begin"/>
        </w:r>
        <w:r w:rsidR="000B4C45">
          <w:rPr>
            <w:noProof/>
            <w:webHidden/>
          </w:rPr>
          <w:instrText xml:space="preserve"> PAGEREF _Toc66171853 \h </w:instrText>
        </w:r>
        <w:r w:rsidR="000B4C45">
          <w:rPr>
            <w:noProof/>
            <w:webHidden/>
          </w:rPr>
        </w:r>
        <w:r w:rsidR="000B4C45">
          <w:rPr>
            <w:noProof/>
            <w:webHidden/>
          </w:rPr>
          <w:fldChar w:fldCharType="separate"/>
        </w:r>
        <w:r w:rsidR="000B4C45">
          <w:rPr>
            <w:noProof/>
            <w:webHidden/>
          </w:rPr>
          <w:t>29</w:t>
        </w:r>
        <w:r w:rsidR="000B4C45">
          <w:rPr>
            <w:noProof/>
            <w:webHidden/>
          </w:rPr>
          <w:fldChar w:fldCharType="end"/>
        </w:r>
      </w:hyperlink>
    </w:p>
    <w:p w14:paraId="0434C71B" w14:textId="255056FA" w:rsidR="000B4C45" w:rsidRDefault="00E236CC">
      <w:pPr>
        <w:pStyle w:val="TOC2"/>
        <w:tabs>
          <w:tab w:val="right" w:leader="dot" w:pos="8630"/>
        </w:tabs>
        <w:rPr>
          <w:rFonts w:asciiTheme="minorHAnsi" w:eastAsiaTheme="minorEastAsia" w:hAnsiTheme="minorHAnsi" w:cstheme="minorBidi"/>
          <w:noProof/>
          <w:sz w:val="22"/>
          <w:szCs w:val="22"/>
          <w:lang w:eastAsia="en-IE"/>
        </w:rPr>
      </w:pPr>
      <w:hyperlink w:anchor="_Toc66171854" w:history="1">
        <w:r w:rsidR="000B4C45" w:rsidRPr="00F95733">
          <w:rPr>
            <w:rStyle w:val="Hyperlink"/>
            <w:noProof/>
          </w:rPr>
          <w:t>Housing</w:t>
        </w:r>
        <w:r w:rsidR="000B4C45">
          <w:rPr>
            <w:noProof/>
            <w:webHidden/>
          </w:rPr>
          <w:tab/>
        </w:r>
        <w:r w:rsidR="000B4C45">
          <w:rPr>
            <w:noProof/>
            <w:webHidden/>
          </w:rPr>
          <w:fldChar w:fldCharType="begin"/>
        </w:r>
        <w:r w:rsidR="000B4C45">
          <w:rPr>
            <w:noProof/>
            <w:webHidden/>
          </w:rPr>
          <w:instrText xml:space="preserve"> PAGEREF _Toc66171854 \h </w:instrText>
        </w:r>
        <w:r w:rsidR="000B4C45">
          <w:rPr>
            <w:noProof/>
            <w:webHidden/>
          </w:rPr>
        </w:r>
        <w:r w:rsidR="000B4C45">
          <w:rPr>
            <w:noProof/>
            <w:webHidden/>
          </w:rPr>
          <w:fldChar w:fldCharType="separate"/>
        </w:r>
        <w:r w:rsidR="000B4C45">
          <w:rPr>
            <w:noProof/>
            <w:webHidden/>
          </w:rPr>
          <w:t>29</w:t>
        </w:r>
        <w:r w:rsidR="000B4C45">
          <w:rPr>
            <w:noProof/>
            <w:webHidden/>
          </w:rPr>
          <w:fldChar w:fldCharType="end"/>
        </w:r>
      </w:hyperlink>
    </w:p>
    <w:p w14:paraId="77C71525" w14:textId="7404057E" w:rsidR="000B4C45" w:rsidRDefault="00E236CC">
      <w:pPr>
        <w:pStyle w:val="TOC2"/>
        <w:tabs>
          <w:tab w:val="right" w:leader="dot" w:pos="8630"/>
        </w:tabs>
        <w:rPr>
          <w:rFonts w:asciiTheme="minorHAnsi" w:eastAsiaTheme="minorEastAsia" w:hAnsiTheme="minorHAnsi" w:cstheme="minorBidi"/>
          <w:noProof/>
          <w:sz w:val="22"/>
          <w:szCs w:val="22"/>
          <w:lang w:eastAsia="en-IE"/>
        </w:rPr>
      </w:pPr>
      <w:hyperlink w:anchor="_Toc66171855" w:history="1">
        <w:r w:rsidR="000B4C45" w:rsidRPr="00F95733">
          <w:rPr>
            <w:rStyle w:val="Hyperlink"/>
            <w:noProof/>
          </w:rPr>
          <w:t>Housing Adaptations</w:t>
        </w:r>
        <w:r w:rsidR="000B4C45">
          <w:rPr>
            <w:noProof/>
            <w:webHidden/>
          </w:rPr>
          <w:tab/>
        </w:r>
        <w:r w:rsidR="000B4C45">
          <w:rPr>
            <w:noProof/>
            <w:webHidden/>
          </w:rPr>
          <w:fldChar w:fldCharType="begin"/>
        </w:r>
        <w:r w:rsidR="000B4C45">
          <w:rPr>
            <w:noProof/>
            <w:webHidden/>
          </w:rPr>
          <w:instrText xml:space="preserve"> PAGEREF _Toc66171855 \h </w:instrText>
        </w:r>
        <w:r w:rsidR="000B4C45">
          <w:rPr>
            <w:noProof/>
            <w:webHidden/>
          </w:rPr>
        </w:r>
        <w:r w:rsidR="000B4C45">
          <w:rPr>
            <w:noProof/>
            <w:webHidden/>
          </w:rPr>
          <w:fldChar w:fldCharType="separate"/>
        </w:r>
        <w:r w:rsidR="000B4C45">
          <w:rPr>
            <w:noProof/>
            <w:webHidden/>
          </w:rPr>
          <w:t>31</w:t>
        </w:r>
        <w:r w:rsidR="000B4C45">
          <w:rPr>
            <w:noProof/>
            <w:webHidden/>
          </w:rPr>
          <w:fldChar w:fldCharType="end"/>
        </w:r>
      </w:hyperlink>
    </w:p>
    <w:p w14:paraId="2B833171" w14:textId="7DC7E4D0" w:rsidR="000B4C45" w:rsidRDefault="00E236CC">
      <w:pPr>
        <w:pStyle w:val="TOC1"/>
        <w:tabs>
          <w:tab w:val="right" w:leader="dot" w:pos="8630"/>
        </w:tabs>
        <w:rPr>
          <w:rFonts w:asciiTheme="minorHAnsi" w:eastAsiaTheme="minorEastAsia" w:hAnsiTheme="minorHAnsi" w:cstheme="minorBidi"/>
          <w:b w:val="0"/>
          <w:noProof/>
          <w:sz w:val="22"/>
          <w:szCs w:val="22"/>
          <w:lang w:eastAsia="en-IE"/>
        </w:rPr>
      </w:pPr>
      <w:hyperlink w:anchor="_Toc66171856" w:history="1">
        <w:r w:rsidR="000B4C45" w:rsidRPr="00F95733">
          <w:rPr>
            <w:rStyle w:val="Hyperlink"/>
            <w:noProof/>
          </w:rPr>
          <w:t>Homelessness</w:t>
        </w:r>
        <w:r w:rsidR="000B4C45">
          <w:rPr>
            <w:noProof/>
            <w:webHidden/>
          </w:rPr>
          <w:tab/>
        </w:r>
        <w:r w:rsidR="000B4C45">
          <w:rPr>
            <w:noProof/>
            <w:webHidden/>
          </w:rPr>
          <w:fldChar w:fldCharType="begin"/>
        </w:r>
        <w:r w:rsidR="000B4C45">
          <w:rPr>
            <w:noProof/>
            <w:webHidden/>
          </w:rPr>
          <w:instrText xml:space="preserve"> PAGEREF _Toc66171856 \h </w:instrText>
        </w:r>
        <w:r w:rsidR="000B4C45">
          <w:rPr>
            <w:noProof/>
            <w:webHidden/>
          </w:rPr>
        </w:r>
        <w:r w:rsidR="000B4C45">
          <w:rPr>
            <w:noProof/>
            <w:webHidden/>
          </w:rPr>
          <w:fldChar w:fldCharType="separate"/>
        </w:r>
        <w:r w:rsidR="000B4C45">
          <w:rPr>
            <w:noProof/>
            <w:webHidden/>
          </w:rPr>
          <w:t>31</w:t>
        </w:r>
        <w:r w:rsidR="000B4C45">
          <w:rPr>
            <w:noProof/>
            <w:webHidden/>
          </w:rPr>
          <w:fldChar w:fldCharType="end"/>
        </w:r>
      </w:hyperlink>
    </w:p>
    <w:p w14:paraId="630C7F69" w14:textId="6EC44F1F" w:rsidR="000B4C45" w:rsidRDefault="00E236CC">
      <w:pPr>
        <w:pStyle w:val="TOC1"/>
        <w:tabs>
          <w:tab w:val="right" w:leader="dot" w:pos="8630"/>
        </w:tabs>
        <w:rPr>
          <w:rFonts w:asciiTheme="minorHAnsi" w:eastAsiaTheme="minorEastAsia" w:hAnsiTheme="minorHAnsi" w:cstheme="minorBidi"/>
          <w:b w:val="0"/>
          <w:noProof/>
          <w:sz w:val="22"/>
          <w:szCs w:val="22"/>
          <w:lang w:eastAsia="en-IE"/>
        </w:rPr>
      </w:pPr>
      <w:hyperlink w:anchor="_Toc66171857" w:history="1">
        <w:r w:rsidR="000B4C45" w:rsidRPr="00F95733">
          <w:rPr>
            <w:rStyle w:val="Hyperlink"/>
            <w:noProof/>
          </w:rPr>
          <w:t>Article 28 in the Irish context: Access to clean water</w:t>
        </w:r>
        <w:r w:rsidR="000B4C45">
          <w:rPr>
            <w:noProof/>
            <w:webHidden/>
          </w:rPr>
          <w:tab/>
        </w:r>
        <w:r w:rsidR="000B4C45">
          <w:rPr>
            <w:noProof/>
            <w:webHidden/>
          </w:rPr>
          <w:fldChar w:fldCharType="begin"/>
        </w:r>
        <w:r w:rsidR="000B4C45">
          <w:rPr>
            <w:noProof/>
            <w:webHidden/>
          </w:rPr>
          <w:instrText xml:space="preserve"> PAGEREF _Toc66171857 \h </w:instrText>
        </w:r>
        <w:r w:rsidR="000B4C45">
          <w:rPr>
            <w:noProof/>
            <w:webHidden/>
          </w:rPr>
        </w:r>
        <w:r w:rsidR="000B4C45">
          <w:rPr>
            <w:noProof/>
            <w:webHidden/>
          </w:rPr>
          <w:fldChar w:fldCharType="separate"/>
        </w:r>
        <w:r w:rsidR="000B4C45">
          <w:rPr>
            <w:noProof/>
            <w:webHidden/>
          </w:rPr>
          <w:t>32</w:t>
        </w:r>
        <w:r w:rsidR="000B4C45">
          <w:rPr>
            <w:noProof/>
            <w:webHidden/>
          </w:rPr>
          <w:fldChar w:fldCharType="end"/>
        </w:r>
      </w:hyperlink>
    </w:p>
    <w:p w14:paraId="7180C44C" w14:textId="4EA1AC0D" w:rsidR="000B4C45" w:rsidRDefault="00E236CC">
      <w:pPr>
        <w:pStyle w:val="TOC1"/>
        <w:tabs>
          <w:tab w:val="right" w:leader="dot" w:pos="8630"/>
        </w:tabs>
        <w:rPr>
          <w:rFonts w:asciiTheme="minorHAnsi" w:eastAsiaTheme="minorEastAsia" w:hAnsiTheme="minorHAnsi" w:cstheme="minorBidi"/>
          <w:b w:val="0"/>
          <w:noProof/>
          <w:sz w:val="22"/>
          <w:szCs w:val="22"/>
          <w:lang w:eastAsia="en-IE"/>
        </w:rPr>
      </w:pPr>
      <w:hyperlink w:anchor="_Toc66171858" w:history="1">
        <w:r w:rsidR="000B4C45" w:rsidRPr="00F95733">
          <w:rPr>
            <w:rStyle w:val="Hyperlink"/>
            <w:noProof/>
          </w:rPr>
          <w:t>Article 28 in the Irish context: Assistance from the State for disability-related expenses</w:t>
        </w:r>
        <w:r w:rsidR="000B4C45">
          <w:rPr>
            <w:noProof/>
            <w:webHidden/>
          </w:rPr>
          <w:tab/>
        </w:r>
        <w:r w:rsidR="000B4C45">
          <w:rPr>
            <w:noProof/>
            <w:webHidden/>
          </w:rPr>
          <w:fldChar w:fldCharType="begin"/>
        </w:r>
        <w:r w:rsidR="000B4C45">
          <w:rPr>
            <w:noProof/>
            <w:webHidden/>
          </w:rPr>
          <w:instrText xml:space="preserve"> PAGEREF _Toc66171858 \h </w:instrText>
        </w:r>
        <w:r w:rsidR="000B4C45">
          <w:rPr>
            <w:noProof/>
            <w:webHidden/>
          </w:rPr>
        </w:r>
        <w:r w:rsidR="000B4C45">
          <w:rPr>
            <w:noProof/>
            <w:webHidden/>
          </w:rPr>
          <w:fldChar w:fldCharType="separate"/>
        </w:r>
        <w:r w:rsidR="000B4C45">
          <w:rPr>
            <w:noProof/>
            <w:webHidden/>
          </w:rPr>
          <w:t>33</w:t>
        </w:r>
        <w:r w:rsidR="000B4C45">
          <w:rPr>
            <w:noProof/>
            <w:webHidden/>
          </w:rPr>
          <w:fldChar w:fldCharType="end"/>
        </w:r>
      </w:hyperlink>
    </w:p>
    <w:p w14:paraId="73F779B0" w14:textId="1B2BB218" w:rsidR="000B4C45" w:rsidRDefault="00E236CC">
      <w:pPr>
        <w:pStyle w:val="TOC1"/>
        <w:tabs>
          <w:tab w:val="right" w:leader="dot" w:pos="8630"/>
        </w:tabs>
        <w:rPr>
          <w:rFonts w:asciiTheme="minorHAnsi" w:eastAsiaTheme="minorEastAsia" w:hAnsiTheme="minorHAnsi" w:cstheme="minorBidi"/>
          <w:b w:val="0"/>
          <w:noProof/>
          <w:sz w:val="22"/>
          <w:szCs w:val="22"/>
          <w:lang w:eastAsia="en-IE"/>
        </w:rPr>
      </w:pPr>
      <w:hyperlink w:anchor="_Toc66171859" w:history="1">
        <w:r w:rsidR="000B4C45" w:rsidRPr="00F95733">
          <w:rPr>
            <w:rStyle w:val="Hyperlink"/>
            <w:noProof/>
          </w:rPr>
          <w:t>Social Inclusion</w:t>
        </w:r>
        <w:r w:rsidR="000B4C45">
          <w:rPr>
            <w:noProof/>
            <w:webHidden/>
          </w:rPr>
          <w:tab/>
        </w:r>
        <w:r w:rsidR="000B4C45">
          <w:rPr>
            <w:noProof/>
            <w:webHidden/>
          </w:rPr>
          <w:fldChar w:fldCharType="begin"/>
        </w:r>
        <w:r w:rsidR="000B4C45">
          <w:rPr>
            <w:noProof/>
            <w:webHidden/>
          </w:rPr>
          <w:instrText xml:space="preserve"> PAGEREF _Toc66171859 \h </w:instrText>
        </w:r>
        <w:r w:rsidR="000B4C45">
          <w:rPr>
            <w:noProof/>
            <w:webHidden/>
          </w:rPr>
        </w:r>
        <w:r w:rsidR="000B4C45">
          <w:rPr>
            <w:noProof/>
            <w:webHidden/>
          </w:rPr>
          <w:fldChar w:fldCharType="separate"/>
        </w:r>
        <w:r w:rsidR="000B4C45">
          <w:rPr>
            <w:noProof/>
            <w:webHidden/>
          </w:rPr>
          <w:t>34</w:t>
        </w:r>
        <w:r w:rsidR="000B4C45">
          <w:rPr>
            <w:noProof/>
            <w:webHidden/>
          </w:rPr>
          <w:fldChar w:fldCharType="end"/>
        </w:r>
      </w:hyperlink>
    </w:p>
    <w:p w14:paraId="78044C4C" w14:textId="26C65D1A" w:rsidR="000B4C45" w:rsidRDefault="00E236CC">
      <w:pPr>
        <w:pStyle w:val="TOC1"/>
        <w:tabs>
          <w:tab w:val="right" w:leader="dot" w:pos="8630"/>
        </w:tabs>
        <w:rPr>
          <w:rFonts w:asciiTheme="minorHAnsi" w:eastAsiaTheme="minorEastAsia" w:hAnsiTheme="minorHAnsi" w:cstheme="minorBidi"/>
          <w:b w:val="0"/>
          <w:noProof/>
          <w:sz w:val="22"/>
          <w:szCs w:val="22"/>
          <w:lang w:eastAsia="en-IE"/>
        </w:rPr>
      </w:pPr>
      <w:hyperlink w:anchor="_Toc66171860" w:history="1">
        <w:r w:rsidR="000B4C45" w:rsidRPr="00F95733">
          <w:rPr>
            <w:rStyle w:val="Hyperlink"/>
            <w:noProof/>
          </w:rPr>
          <w:t>Conclusion</w:t>
        </w:r>
        <w:r w:rsidR="000B4C45">
          <w:rPr>
            <w:noProof/>
            <w:webHidden/>
          </w:rPr>
          <w:tab/>
        </w:r>
        <w:r w:rsidR="000B4C45">
          <w:rPr>
            <w:noProof/>
            <w:webHidden/>
          </w:rPr>
          <w:fldChar w:fldCharType="begin"/>
        </w:r>
        <w:r w:rsidR="000B4C45">
          <w:rPr>
            <w:noProof/>
            <w:webHidden/>
          </w:rPr>
          <w:instrText xml:space="preserve"> PAGEREF _Toc66171860 \h </w:instrText>
        </w:r>
        <w:r w:rsidR="000B4C45">
          <w:rPr>
            <w:noProof/>
            <w:webHidden/>
          </w:rPr>
        </w:r>
        <w:r w:rsidR="000B4C45">
          <w:rPr>
            <w:noProof/>
            <w:webHidden/>
          </w:rPr>
          <w:fldChar w:fldCharType="separate"/>
        </w:r>
        <w:r w:rsidR="000B4C45">
          <w:rPr>
            <w:noProof/>
            <w:webHidden/>
          </w:rPr>
          <w:t>36</w:t>
        </w:r>
        <w:r w:rsidR="000B4C45">
          <w:rPr>
            <w:noProof/>
            <w:webHidden/>
          </w:rPr>
          <w:fldChar w:fldCharType="end"/>
        </w:r>
      </w:hyperlink>
    </w:p>
    <w:p w14:paraId="6D18F026" w14:textId="3293B91B" w:rsidR="00202A8B" w:rsidRPr="001C6893" w:rsidRDefault="00381502">
      <w:pPr>
        <w:spacing w:after="0"/>
      </w:pPr>
      <w:r>
        <w:fldChar w:fldCharType="end"/>
      </w:r>
      <w:r w:rsidR="00202A8B">
        <w:br w:type="page"/>
      </w:r>
    </w:p>
    <w:p w14:paraId="5E722F80" w14:textId="698D4EE7" w:rsidR="009050F7" w:rsidRDefault="009050F7" w:rsidP="009050F7">
      <w:pPr>
        <w:pStyle w:val="Heading1"/>
      </w:pPr>
      <w:bookmarkStart w:id="5" w:name="_Toc66171821"/>
      <w:r>
        <w:lastRenderedPageBreak/>
        <w:t>Background to the UNCRPD Article review papers</w:t>
      </w:r>
      <w:bookmarkEnd w:id="5"/>
    </w:p>
    <w:p w14:paraId="5D953051" w14:textId="77777777" w:rsidR="009050F7" w:rsidRDefault="009050F7" w:rsidP="009050F7">
      <w:pPr>
        <w:autoSpaceDE w:val="0"/>
        <w:autoSpaceDN w:val="0"/>
        <w:adjustRightInd w:val="0"/>
        <w:spacing w:after="237"/>
        <w:ind w:right="102"/>
        <w:rPr>
          <w:szCs w:val="26"/>
        </w:rPr>
      </w:pPr>
      <w:r w:rsidRPr="002F33B0">
        <w:rPr>
          <w:szCs w:val="26"/>
        </w:rPr>
        <w:t xml:space="preserve">During 2020 the </w:t>
      </w:r>
      <w:r>
        <w:rPr>
          <w:szCs w:val="26"/>
        </w:rPr>
        <w:t>National Disability Authority (</w:t>
      </w:r>
      <w:r w:rsidRPr="002F33B0">
        <w:rPr>
          <w:szCs w:val="26"/>
        </w:rPr>
        <w:t>NDA</w:t>
      </w:r>
      <w:r>
        <w:rPr>
          <w:szCs w:val="26"/>
        </w:rPr>
        <w:t>)</w:t>
      </w:r>
      <w:r w:rsidRPr="002F33B0">
        <w:rPr>
          <w:szCs w:val="26"/>
        </w:rPr>
        <w:t xml:space="preserve"> developed a series of in-depth papers on individual </w:t>
      </w:r>
      <w:r>
        <w:rPr>
          <w:szCs w:val="26"/>
        </w:rPr>
        <w:t>United Nations Convention on the Rights of Persons with Disabilities (</w:t>
      </w:r>
      <w:r w:rsidRPr="002F33B0">
        <w:rPr>
          <w:szCs w:val="26"/>
        </w:rPr>
        <w:t>UNCRPD</w:t>
      </w:r>
      <w:r>
        <w:rPr>
          <w:szCs w:val="26"/>
        </w:rPr>
        <w:t>)</w:t>
      </w:r>
      <w:r w:rsidRPr="002F33B0">
        <w:rPr>
          <w:szCs w:val="26"/>
        </w:rPr>
        <w:t xml:space="preserve"> articles. These papers detail the main data </w:t>
      </w:r>
      <w:r>
        <w:rPr>
          <w:szCs w:val="26"/>
        </w:rPr>
        <w:t>available relevant to specific A</w:t>
      </w:r>
      <w:r w:rsidRPr="002F33B0">
        <w:rPr>
          <w:szCs w:val="26"/>
        </w:rPr>
        <w:t xml:space="preserve">rticles and provides an overview of key policies, programmes, </w:t>
      </w:r>
      <w:r>
        <w:rPr>
          <w:szCs w:val="26"/>
        </w:rPr>
        <w:t xml:space="preserve">services, </w:t>
      </w:r>
      <w:r w:rsidRPr="002F33B0">
        <w:rPr>
          <w:szCs w:val="26"/>
        </w:rPr>
        <w:t>supports</w:t>
      </w:r>
      <w:r>
        <w:rPr>
          <w:szCs w:val="26"/>
        </w:rPr>
        <w:t xml:space="preserve"> and data</w:t>
      </w:r>
      <w:r w:rsidRPr="002F33B0">
        <w:rPr>
          <w:szCs w:val="26"/>
        </w:rPr>
        <w:t xml:space="preserve"> that exist in the Irish context. They are not a critique of what is currently in place but rather a record of what exists. Nevertheless, there are instances where certain gaps or concerns are highlighted, including those </w:t>
      </w:r>
      <w:r>
        <w:rPr>
          <w:szCs w:val="26"/>
        </w:rPr>
        <w:t>advised</w:t>
      </w:r>
      <w:r w:rsidRPr="002F33B0">
        <w:rPr>
          <w:szCs w:val="26"/>
        </w:rPr>
        <w:t xml:space="preserve"> by the NDA or other stakeholders. </w:t>
      </w:r>
    </w:p>
    <w:p w14:paraId="24C8B81C" w14:textId="04A82AA1" w:rsidR="00641EDA" w:rsidRDefault="00641EDA" w:rsidP="00641EDA">
      <w:pPr>
        <w:autoSpaceDE w:val="0"/>
        <w:autoSpaceDN w:val="0"/>
        <w:adjustRightInd w:val="0"/>
        <w:spacing w:after="237"/>
        <w:ind w:right="102"/>
        <w:rPr>
          <w:szCs w:val="26"/>
        </w:rPr>
      </w:pPr>
      <w:r>
        <w:rPr>
          <w:rFonts w:cs="Gill Sans MT"/>
          <w:color w:val="000000"/>
          <w:szCs w:val="26"/>
        </w:rPr>
        <w:t xml:space="preserve">These papers were primarily developed through desk research. However, the papers were also informed by the NDA’s own work, </w:t>
      </w:r>
      <w:r w:rsidRPr="002F33B0">
        <w:rPr>
          <w:rFonts w:cs="Gill Sans MT"/>
          <w:color w:val="000000"/>
          <w:szCs w:val="26"/>
        </w:rPr>
        <w:t>updates and discussions at Departmental Disability Consultative Committees</w:t>
      </w:r>
      <w:r>
        <w:rPr>
          <w:rFonts w:cs="Gill Sans MT"/>
          <w:color w:val="000000"/>
          <w:szCs w:val="26"/>
        </w:rPr>
        <w:t>,</w:t>
      </w:r>
      <w:r w:rsidRPr="002F33B0">
        <w:rPr>
          <w:rFonts w:cs="Gill Sans MT"/>
          <w:color w:val="000000"/>
          <w:szCs w:val="26"/>
        </w:rPr>
        <w:t xml:space="preserve"> the </w:t>
      </w:r>
      <w:r>
        <w:rPr>
          <w:rFonts w:cs="Gill Sans MT"/>
          <w:color w:val="000000"/>
          <w:szCs w:val="26"/>
        </w:rPr>
        <w:t>National Disability Inclusion Strategy Steering Group, and other relevant committees. They were also informed by interactions with the</w:t>
      </w:r>
      <w:r w:rsidRPr="002F33B0">
        <w:rPr>
          <w:rFonts w:cs="Gill Sans MT"/>
          <w:color w:val="000000"/>
          <w:szCs w:val="26"/>
        </w:rPr>
        <w:t xml:space="preserve"> </w:t>
      </w:r>
      <w:r>
        <w:rPr>
          <w:rFonts w:cs="Gill Sans MT"/>
          <w:color w:val="000000"/>
          <w:szCs w:val="26"/>
        </w:rPr>
        <w:t>Disability Stakeholders Group and with</w:t>
      </w:r>
      <w:r w:rsidRPr="002F33B0">
        <w:rPr>
          <w:szCs w:val="26"/>
        </w:rPr>
        <w:t xml:space="preserve"> persons with disabilities, particularly through participation on a range of working and advisory groups across Government Departments on areas related to NDIS actions.</w:t>
      </w:r>
      <w:r>
        <w:rPr>
          <w:szCs w:val="26"/>
        </w:rPr>
        <w:t xml:space="preserve"> </w:t>
      </w:r>
      <w:r w:rsidRPr="00EF5E09">
        <w:rPr>
          <w:szCs w:val="26"/>
        </w:rPr>
        <w:t>Given their factual nature a more direct consultation process with persons with disabilities was not conducted. However, the NDA envisages continuing to conduct periodic consultations on specific articles of the UNCRPD and related matters which will seek the lived experience of persons with disabilities individually and through their representative bodies.</w:t>
      </w:r>
    </w:p>
    <w:p w14:paraId="434BDCF8" w14:textId="77777777" w:rsidR="00641EDA" w:rsidRPr="002F33B0" w:rsidRDefault="00641EDA" w:rsidP="00641EDA">
      <w:pPr>
        <w:rPr>
          <w:szCs w:val="26"/>
        </w:rPr>
      </w:pPr>
      <w:r w:rsidRPr="002F33B0">
        <w:rPr>
          <w:szCs w:val="26"/>
        </w:rPr>
        <w:t xml:space="preserve">The purpose of the papers are multiple. They were developed initially to support the development of the State Party report to the UNCRPD Committee. In line with the NDA’s anticipated new statutory function under the UNCRPD, </w:t>
      </w:r>
      <w:r>
        <w:rPr>
          <w:strike/>
          <w:szCs w:val="26"/>
        </w:rPr>
        <w:t>t</w:t>
      </w:r>
      <w:r w:rsidRPr="002F33B0">
        <w:rPr>
          <w:szCs w:val="26"/>
        </w:rPr>
        <w:t>hey are also intended to be useful to support t</w:t>
      </w:r>
      <w:r>
        <w:rPr>
          <w:szCs w:val="26"/>
        </w:rPr>
        <w:t>he development by the Irish Human Rights and Equality Commission (IHREC) of the S</w:t>
      </w:r>
      <w:r w:rsidRPr="002F33B0">
        <w:rPr>
          <w:szCs w:val="26"/>
        </w:rPr>
        <w:t xml:space="preserve">tate’s parallel report to the UNCRPD Committee. They will also be used internally as reference papers within the NDA. </w:t>
      </w:r>
      <w:r w:rsidRPr="00EF5E09">
        <w:rPr>
          <w:szCs w:val="26"/>
        </w:rPr>
        <w:t>The NDA has published these documents on our website to make them available to a wider audience to support any work underway to develop shadow reports on implementation of UNCRPD in Ireland.</w:t>
      </w:r>
      <w:r>
        <w:rPr>
          <w:szCs w:val="26"/>
        </w:rPr>
        <w:t xml:space="preserve"> </w:t>
      </w:r>
    </w:p>
    <w:p w14:paraId="5F9F7513" w14:textId="77777777" w:rsidR="009050F7" w:rsidRPr="001E7023" w:rsidRDefault="009050F7" w:rsidP="009050F7">
      <w:pPr>
        <w:spacing w:after="200"/>
        <w:rPr>
          <w:rFonts w:cstheme="minorBidi"/>
          <w:szCs w:val="26"/>
        </w:rPr>
      </w:pPr>
      <w:r>
        <w:rPr>
          <w:szCs w:val="26"/>
        </w:rPr>
        <w:lastRenderedPageBreak/>
        <w:t>The NDA</w:t>
      </w:r>
      <w:r w:rsidRPr="002F33B0">
        <w:rPr>
          <w:szCs w:val="26"/>
        </w:rPr>
        <w:t xml:space="preserve"> sought to ensure that the information is accurate as</w:t>
      </w:r>
      <w:r>
        <w:rPr>
          <w:szCs w:val="26"/>
        </w:rPr>
        <w:t xml:space="preserve"> of October 2020 but recognises that</w:t>
      </w:r>
      <w:r w:rsidRPr="002F33B0">
        <w:rPr>
          <w:szCs w:val="26"/>
        </w:rPr>
        <w:t xml:space="preserve"> the changing nature</w:t>
      </w:r>
      <w:r>
        <w:rPr>
          <w:szCs w:val="26"/>
        </w:rPr>
        <w:t xml:space="preserve"> of</w:t>
      </w:r>
      <w:r w:rsidRPr="002F33B0">
        <w:rPr>
          <w:szCs w:val="26"/>
        </w:rPr>
        <w:t xml:space="preserve"> policies, programmes, </w:t>
      </w:r>
      <w:r>
        <w:rPr>
          <w:szCs w:val="26"/>
        </w:rPr>
        <w:t xml:space="preserve">services, </w:t>
      </w:r>
      <w:r w:rsidRPr="002F33B0">
        <w:rPr>
          <w:szCs w:val="26"/>
        </w:rPr>
        <w:t>supports</w:t>
      </w:r>
      <w:r>
        <w:rPr>
          <w:szCs w:val="26"/>
        </w:rPr>
        <w:t xml:space="preserve"> and data</w:t>
      </w:r>
      <w:r w:rsidRPr="002F33B0">
        <w:rPr>
          <w:szCs w:val="26"/>
        </w:rPr>
        <w:t xml:space="preserve"> </w:t>
      </w:r>
      <w:r>
        <w:rPr>
          <w:szCs w:val="26"/>
        </w:rPr>
        <w:t xml:space="preserve">will require them to </w:t>
      </w:r>
      <w:r w:rsidRPr="002F33B0">
        <w:rPr>
          <w:szCs w:val="26"/>
        </w:rPr>
        <w:t xml:space="preserve">be updated </w:t>
      </w:r>
      <w:r>
        <w:rPr>
          <w:szCs w:val="26"/>
        </w:rPr>
        <w:t>periodically</w:t>
      </w:r>
      <w:r w:rsidRPr="002F33B0">
        <w:rPr>
          <w:szCs w:val="26"/>
        </w:rPr>
        <w:t xml:space="preserve"> to reflect any changes. The papers are not intended to be exhaustive but seek to provide a broad overview of the main issues of relevance to each article.</w:t>
      </w:r>
    </w:p>
    <w:p w14:paraId="035B310C" w14:textId="4060CDE7" w:rsidR="009050F7" w:rsidRPr="00DA4E6A" w:rsidRDefault="007259FA" w:rsidP="009050F7">
      <w:pPr>
        <w:spacing w:after="0"/>
        <w:rPr>
          <w:szCs w:val="26"/>
        </w:rPr>
      </w:pPr>
      <w:r>
        <w:rPr>
          <w:szCs w:val="26"/>
        </w:rPr>
        <w:t xml:space="preserve">In the first instance we reviewed nine articles listed below. Five are available at </w:t>
      </w:r>
      <w:hyperlink r:id="rId9" w:history="1">
        <w:r>
          <w:rPr>
            <w:rStyle w:val="Hyperlink"/>
            <w:szCs w:val="26"/>
          </w:rPr>
          <w:t>www.nda.ie</w:t>
        </w:r>
      </w:hyperlink>
      <w:r>
        <w:rPr>
          <w:szCs w:val="26"/>
        </w:rPr>
        <w:t xml:space="preserve"> and the remaining four will be published shortly</w:t>
      </w:r>
      <w:r w:rsidR="009050F7">
        <w:rPr>
          <w:szCs w:val="26"/>
        </w:rPr>
        <w:t xml:space="preserve">. These were selected to reflect some of the main topics of concern to the stakeholders noted above and to include some of the cross-cutting issues such as children and women with disabilities. It is intended that the NDA will develop further papers during 2021 focusing on a number of civil and political Articles.  </w:t>
      </w:r>
    </w:p>
    <w:p w14:paraId="5C755659" w14:textId="77777777" w:rsidR="009050F7" w:rsidRPr="00DA4E6A" w:rsidRDefault="009050F7" w:rsidP="009050F7">
      <w:pPr>
        <w:pStyle w:val="ListBullet"/>
        <w:numPr>
          <w:ilvl w:val="0"/>
          <w:numId w:val="1"/>
        </w:numPr>
      </w:pPr>
      <w:r w:rsidRPr="00DA4E6A">
        <w:t>Articl</w:t>
      </w:r>
      <w:r>
        <w:t xml:space="preserve">e 6, </w:t>
      </w:r>
      <w:r w:rsidRPr="00DA4E6A">
        <w:t>Women with Disabilities</w:t>
      </w:r>
    </w:p>
    <w:p w14:paraId="1C7E8EFE" w14:textId="77777777" w:rsidR="009050F7" w:rsidRPr="00DA4E6A" w:rsidRDefault="009050F7" w:rsidP="009050F7">
      <w:pPr>
        <w:pStyle w:val="ListBullet"/>
        <w:numPr>
          <w:ilvl w:val="0"/>
          <w:numId w:val="1"/>
        </w:numPr>
      </w:pPr>
      <w:r>
        <w:t xml:space="preserve">Article 7, </w:t>
      </w:r>
      <w:r w:rsidRPr="00DA4E6A">
        <w:t>Children with Disabilities</w:t>
      </w:r>
    </w:p>
    <w:p w14:paraId="3E406703" w14:textId="77777777" w:rsidR="009050F7" w:rsidRPr="00DA4E6A" w:rsidRDefault="009050F7" w:rsidP="009050F7">
      <w:pPr>
        <w:pStyle w:val="ListBullet"/>
        <w:numPr>
          <w:ilvl w:val="0"/>
          <w:numId w:val="1"/>
        </w:numPr>
      </w:pPr>
      <w:r>
        <w:t xml:space="preserve">Article 8, </w:t>
      </w:r>
      <w:r w:rsidRPr="00DA4E6A">
        <w:t>Awareness Raising</w:t>
      </w:r>
    </w:p>
    <w:p w14:paraId="47BCB588" w14:textId="77777777" w:rsidR="009050F7" w:rsidRPr="00DA4E6A" w:rsidRDefault="009050F7" w:rsidP="009050F7">
      <w:pPr>
        <w:pStyle w:val="ListBullet"/>
        <w:numPr>
          <w:ilvl w:val="0"/>
          <w:numId w:val="1"/>
        </w:numPr>
      </w:pPr>
      <w:r w:rsidRPr="00DA4E6A">
        <w:t>Article 19</w:t>
      </w:r>
      <w:r>
        <w:t xml:space="preserve">, </w:t>
      </w:r>
      <w:r w:rsidRPr="00DA4E6A">
        <w:t>Living Independently</w:t>
      </w:r>
    </w:p>
    <w:p w14:paraId="2D8CFB46" w14:textId="77777777" w:rsidR="009050F7" w:rsidRPr="00DA4E6A" w:rsidRDefault="009050F7" w:rsidP="009050F7">
      <w:pPr>
        <w:pStyle w:val="ListBullet"/>
        <w:numPr>
          <w:ilvl w:val="0"/>
          <w:numId w:val="1"/>
        </w:numPr>
      </w:pPr>
      <w:r>
        <w:t xml:space="preserve">Article 24, </w:t>
      </w:r>
      <w:r w:rsidRPr="00DA4E6A">
        <w:t>Education</w:t>
      </w:r>
    </w:p>
    <w:p w14:paraId="1490703E" w14:textId="77777777" w:rsidR="009050F7" w:rsidRPr="00DA4E6A" w:rsidRDefault="009050F7" w:rsidP="009050F7">
      <w:pPr>
        <w:pStyle w:val="ListBullet"/>
        <w:numPr>
          <w:ilvl w:val="0"/>
          <w:numId w:val="1"/>
        </w:numPr>
      </w:pPr>
      <w:r>
        <w:t xml:space="preserve">Article 25, </w:t>
      </w:r>
      <w:r w:rsidRPr="00DA4E6A">
        <w:t>Health</w:t>
      </w:r>
    </w:p>
    <w:p w14:paraId="042EBCC4" w14:textId="77777777" w:rsidR="009050F7" w:rsidRPr="00DA4E6A" w:rsidRDefault="009050F7" w:rsidP="009050F7">
      <w:pPr>
        <w:pStyle w:val="ListBullet"/>
        <w:numPr>
          <w:ilvl w:val="0"/>
          <w:numId w:val="1"/>
        </w:numPr>
      </w:pPr>
      <w:r>
        <w:t xml:space="preserve">Article 26, </w:t>
      </w:r>
      <w:r w:rsidRPr="00DA4E6A">
        <w:t>Work and employment</w:t>
      </w:r>
    </w:p>
    <w:p w14:paraId="100C4E33" w14:textId="77777777" w:rsidR="009050F7" w:rsidRPr="00DA4E6A" w:rsidRDefault="009050F7" w:rsidP="009050F7">
      <w:pPr>
        <w:pStyle w:val="ListBullet"/>
        <w:numPr>
          <w:ilvl w:val="0"/>
          <w:numId w:val="1"/>
        </w:numPr>
      </w:pPr>
      <w:r>
        <w:t xml:space="preserve">Article 28, </w:t>
      </w:r>
      <w:r w:rsidRPr="00DA4E6A">
        <w:t>Adequate Standard of Living and Social Protection</w:t>
      </w:r>
    </w:p>
    <w:p w14:paraId="3E0B2592" w14:textId="7603FC63" w:rsidR="00D05048" w:rsidRPr="001C6893" w:rsidRDefault="009050F7" w:rsidP="001C6893">
      <w:pPr>
        <w:pStyle w:val="ListBullet"/>
        <w:numPr>
          <w:ilvl w:val="0"/>
          <w:numId w:val="1"/>
        </w:numPr>
      </w:pPr>
      <w:r>
        <w:t xml:space="preserve">Article 31, </w:t>
      </w:r>
      <w:r w:rsidR="00D05048">
        <w:t>Statistics and Data Collection</w:t>
      </w:r>
    </w:p>
    <w:p w14:paraId="0CBAFA3E" w14:textId="77777777" w:rsidR="001C6893" w:rsidRDefault="001C6893">
      <w:pPr>
        <w:spacing w:after="0"/>
        <w:rPr>
          <w:rFonts w:cs="Arial"/>
          <w:b/>
          <w:bCs/>
          <w:kern w:val="32"/>
          <w:sz w:val="32"/>
          <w:szCs w:val="32"/>
        </w:rPr>
      </w:pPr>
      <w:bookmarkStart w:id="6" w:name="_Toc66171822"/>
      <w:r>
        <w:br w:type="page"/>
      </w:r>
    </w:p>
    <w:p w14:paraId="6CE0E969" w14:textId="3B8587E4" w:rsidR="006F1B7D" w:rsidRDefault="00C44C6D" w:rsidP="006F1B7D">
      <w:pPr>
        <w:pStyle w:val="Heading1"/>
      </w:pPr>
      <w:r>
        <w:lastRenderedPageBreak/>
        <w:t>Introduction</w:t>
      </w:r>
      <w:bookmarkEnd w:id="6"/>
    </w:p>
    <w:p w14:paraId="0B6757FC" w14:textId="77777777" w:rsidR="0070687A" w:rsidRDefault="0070687A" w:rsidP="006F1B7D">
      <w:r>
        <w:t xml:space="preserve">Article 28 of the UN Convention on the Rights of Persons with Disabilities </w:t>
      </w:r>
      <w:r w:rsidR="00103BE9">
        <w:t>recognis</w:t>
      </w:r>
      <w:r>
        <w:t xml:space="preserve">es the right of persons with disabilities to an adequate standard of living and social protection, as well as to the continuous improvement of living conditions. </w:t>
      </w:r>
    </w:p>
    <w:p w14:paraId="16A71553" w14:textId="77777777" w:rsidR="001A7742" w:rsidRDefault="006F1B7D" w:rsidP="00103BE9">
      <w:pPr>
        <w:rPr>
          <w:color w:val="000000"/>
          <w:szCs w:val="26"/>
          <w:shd w:val="clear" w:color="auto" w:fill="FFFFFF"/>
        </w:rPr>
      </w:pPr>
      <w:r>
        <w:t>Article 28 is a closely aligned to Article 11 of the International Covenant on Economic, Social and Cultural Rights, which states that States Parties should</w:t>
      </w:r>
      <w:r w:rsidR="00103BE9">
        <w:t xml:space="preserve"> </w:t>
      </w:r>
      <w:r w:rsidRPr="00607565">
        <w:rPr>
          <w:color w:val="000000"/>
          <w:szCs w:val="26"/>
          <w:shd w:val="clear" w:color="auto" w:fill="FFFFFF"/>
        </w:rPr>
        <w:t>“recognize the right of everyone to an adequate standard of living for himself and his family, including adequate food, clothing and housing, and to the continuous improvement of living conditions”</w:t>
      </w:r>
      <w:r w:rsidR="00103BE9">
        <w:rPr>
          <w:color w:val="000000"/>
          <w:szCs w:val="26"/>
          <w:shd w:val="clear" w:color="auto" w:fill="FFFFFF"/>
        </w:rPr>
        <w:t>.</w:t>
      </w:r>
    </w:p>
    <w:p w14:paraId="22E9BC2A" w14:textId="77777777" w:rsidR="001A7742" w:rsidRDefault="001A7742" w:rsidP="00202A8B">
      <w:pPr>
        <w:rPr>
          <w:shd w:val="clear" w:color="auto" w:fill="FFFFFF"/>
        </w:rPr>
      </w:pPr>
      <w:r>
        <w:rPr>
          <w:shd w:val="clear" w:color="auto" w:fill="FFFFFF"/>
        </w:rPr>
        <w:t xml:space="preserve">There are several payment schemes under the Department of Employment Affairs and Social Protection, which aim to provide access to an adequate standard of living for persons with disabilities. These payment schemes go hand-in-hand with </w:t>
      </w:r>
      <w:r w:rsidR="002E24B3">
        <w:rPr>
          <w:shd w:val="clear" w:color="auto" w:fill="FFFFFF"/>
        </w:rPr>
        <w:t>employment schemes run by the same Department and which are discussed in the briefing note on Article 27.</w:t>
      </w:r>
    </w:p>
    <w:p w14:paraId="6D77BD17" w14:textId="5BFC7C06" w:rsidR="006F1B7D" w:rsidRPr="00C44C6D" w:rsidRDefault="00C44C6D" w:rsidP="00202A8B">
      <w:pPr>
        <w:rPr>
          <w:shd w:val="clear" w:color="auto" w:fill="FFFFFF"/>
        </w:rPr>
      </w:pPr>
      <w:r>
        <w:rPr>
          <w:shd w:val="clear" w:color="auto" w:fill="FFFFFF"/>
        </w:rPr>
        <w:t xml:space="preserve">A summary of the main supports and allowances available to persons with disabilities and their carers are presented below. </w:t>
      </w:r>
      <w:r w:rsidR="00A9716D">
        <w:rPr>
          <w:shd w:val="clear" w:color="auto" w:fill="FFFFFF"/>
        </w:rPr>
        <w:t>The figures in this paper a</w:t>
      </w:r>
      <w:r>
        <w:rPr>
          <w:shd w:val="clear" w:color="auto" w:fill="FFFFFF"/>
        </w:rPr>
        <w:t>re accurate as of January 2021.</w:t>
      </w:r>
    </w:p>
    <w:p w14:paraId="259E06BB" w14:textId="77777777" w:rsidR="002D3D92" w:rsidRDefault="002D3D92" w:rsidP="002D3D92">
      <w:pPr>
        <w:pStyle w:val="Heading1"/>
      </w:pPr>
      <w:bookmarkStart w:id="7" w:name="_Toc66171823"/>
      <w:r>
        <w:t>Convention text</w:t>
      </w:r>
      <w:bookmarkEnd w:id="7"/>
    </w:p>
    <w:p w14:paraId="3A74F2A6" w14:textId="77777777" w:rsidR="002D3D92" w:rsidRPr="002D3D92" w:rsidRDefault="002D3D92" w:rsidP="002D3D92">
      <w:r>
        <w:t>Article 28- Adequate standard of living and social protection</w:t>
      </w:r>
      <w:r w:rsidR="00A168E7">
        <w:rPr>
          <w:rStyle w:val="FootnoteReference"/>
        </w:rPr>
        <w:footnoteReference w:id="1"/>
      </w:r>
    </w:p>
    <w:p w14:paraId="338DA56B" w14:textId="77777777" w:rsidR="004D501D" w:rsidRDefault="007A69A2" w:rsidP="00D05048">
      <w:pPr>
        <w:pStyle w:val="ListNumber"/>
      </w:pPr>
      <w:r>
        <w:t>States Parties recognize the rights of persons with disabilities to an adequate standard of living for themselves and their families, including adequate food, clothing and housing</w:t>
      </w:r>
      <w:r w:rsidR="00DF4DC0">
        <w:t xml:space="preserve">, and to the continuous improvement of living conditions, and shall take appropriate steps to </w:t>
      </w:r>
      <w:r w:rsidR="00DF4DC0">
        <w:lastRenderedPageBreak/>
        <w:t>safeguard and promote the realization of this right without discrimination on the basis of disability.</w:t>
      </w:r>
    </w:p>
    <w:p w14:paraId="5C0FCEEA" w14:textId="77777777" w:rsidR="00DF4DC0" w:rsidRDefault="00DF4DC0" w:rsidP="00D05048">
      <w:pPr>
        <w:pStyle w:val="ListNumber"/>
      </w:pPr>
      <w:r>
        <w:t xml:space="preserve">States Parties recognize the right of persons with disabilities to social protection and to the enjoyment of that right without </w:t>
      </w:r>
      <w:r w:rsidR="007B465D">
        <w:t>discrimination on the basis of disability, and shall take appropriate steps to safeguard and promote the realizations of this right, including measures:</w:t>
      </w:r>
    </w:p>
    <w:p w14:paraId="6581C710" w14:textId="77777777" w:rsidR="007B465D" w:rsidRDefault="007B465D" w:rsidP="00D05048">
      <w:pPr>
        <w:pStyle w:val="ListNumber2"/>
        <w:numPr>
          <w:ilvl w:val="0"/>
          <w:numId w:val="42"/>
        </w:numPr>
      </w:pPr>
      <w:r>
        <w:t>To ensure equal access by persons with disabilities to clean water services, and to ensure access to appropriate and affordable services, devices and other assistance for disability-related needs;</w:t>
      </w:r>
    </w:p>
    <w:p w14:paraId="3EBEABC5" w14:textId="77777777" w:rsidR="007B465D" w:rsidRDefault="007B465D" w:rsidP="00D05048">
      <w:pPr>
        <w:pStyle w:val="ListNumber2"/>
        <w:numPr>
          <w:ilvl w:val="0"/>
          <w:numId w:val="42"/>
        </w:numPr>
      </w:pPr>
      <w:r>
        <w:t>To ensure access by persons with disabilities, in particular women and girls with disabilities and older persons with disabilities, to social protection programmes and poverty reduction programmes;</w:t>
      </w:r>
    </w:p>
    <w:p w14:paraId="33D0812E" w14:textId="77777777" w:rsidR="007B465D" w:rsidRDefault="007B465D" w:rsidP="00D05048">
      <w:pPr>
        <w:pStyle w:val="ListNumber2"/>
        <w:numPr>
          <w:ilvl w:val="0"/>
          <w:numId w:val="42"/>
        </w:numPr>
      </w:pPr>
      <w:r>
        <w:t>To ensure access by persons with disabilities and their families living in situations of poverty to assistance from the State with disability- related expenses, including adequate training, counselling, financial assistance and respite care;</w:t>
      </w:r>
    </w:p>
    <w:p w14:paraId="60F888AB" w14:textId="77777777" w:rsidR="007B465D" w:rsidRDefault="007B465D" w:rsidP="00D05048">
      <w:pPr>
        <w:pStyle w:val="ListNumber2"/>
        <w:numPr>
          <w:ilvl w:val="0"/>
          <w:numId w:val="42"/>
        </w:numPr>
      </w:pPr>
      <w:r>
        <w:t>To ensure access by persons with disabilities to public housing programmes</w:t>
      </w:r>
    </w:p>
    <w:p w14:paraId="399FE27C" w14:textId="358831D7" w:rsidR="007B465D" w:rsidRDefault="007B465D" w:rsidP="00D05048">
      <w:pPr>
        <w:pStyle w:val="ListNumber2"/>
        <w:numPr>
          <w:ilvl w:val="0"/>
          <w:numId w:val="42"/>
        </w:numPr>
      </w:pPr>
      <w:r>
        <w:t>To ensure equal access to persons with disabilities to retirement benefits and programmes.</w:t>
      </w:r>
    </w:p>
    <w:p w14:paraId="1F8F42EE" w14:textId="77777777" w:rsidR="00DB4C84" w:rsidRPr="00B17EB3" w:rsidRDefault="00DB4C84" w:rsidP="00DB4C84">
      <w:pPr>
        <w:pStyle w:val="Heading1"/>
      </w:pPr>
      <w:bookmarkStart w:id="8" w:name="_Toc52376413"/>
      <w:bookmarkStart w:id="9" w:name="_Toc66171824"/>
      <w:r w:rsidRPr="00B17EB3">
        <w:t>Type of Right</w:t>
      </w:r>
      <w:bookmarkEnd w:id="8"/>
      <w:bookmarkEnd w:id="9"/>
    </w:p>
    <w:p w14:paraId="44ECD1FB" w14:textId="21BCE9CD" w:rsidR="00DB4C84" w:rsidRPr="00DB4C84" w:rsidRDefault="00DB4C84" w:rsidP="00DB4C84">
      <w:pPr>
        <w:rPr>
          <w:color w:val="000000"/>
          <w:szCs w:val="26"/>
          <w:lang w:eastAsia="en-IE"/>
        </w:rPr>
      </w:pPr>
      <w:r>
        <w:rPr>
          <w:color w:val="000000"/>
          <w:szCs w:val="26"/>
          <w:lang w:eastAsia="en-IE"/>
        </w:rPr>
        <w:t xml:space="preserve">The UNCRPD includes </w:t>
      </w:r>
      <w:r>
        <w:rPr>
          <w:rFonts w:cs="Arial"/>
          <w:szCs w:val="26"/>
          <w:lang w:eastAsia="en-IE"/>
        </w:rPr>
        <w:t xml:space="preserve">economic, social, </w:t>
      </w:r>
      <w:r w:rsidRPr="00A66328">
        <w:rPr>
          <w:rFonts w:cs="Arial"/>
          <w:szCs w:val="26"/>
          <w:lang w:eastAsia="en-IE"/>
        </w:rPr>
        <w:t>cultural</w:t>
      </w:r>
      <w:r>
        <w:rPr>
          <w:rFonts w:cs="Arial"/>
          <w:szCs w:val="26"/>
          <w:lang w:eastAsia="en-IE"/>
        </w:rPr>
        <w:t xml:space="preserve"> and civil and political rights. </w:t>
      </w:r>
      <w:r w:rsidRPr="00095F2D">
        <w:rPr>
          <w:rFonts w:cs="Arial"/>
          <w:szCs w:val="26"/>
          <w:lang w:eastAsia="en-IE"/>
        </w:rPr>
        <w:t>States which ratify the Convention commit themselves to</w:t>
      </w:r>
      <w:r>
        <w:rPr>
          <w:rFonts w:cs="Arial"/>
          <w:szCs w:val="26"/>
          <w:lang w:eastAsia="en-IE"/>
        </w:rPr>
        <w:t xml:space="preserve"> immediate</w:t>
      </w:r>
      <w:r w:rsidRPr="00095F2D">
        <w:rPr>
          <w:rFonts w:cs="Arial"/>
          <w:szCs w:val="26"/>
          <w:lang w:eastAsia="en-IE"/>
        </w:rPr>
        <w:t xml:space="preserve"> deliver</w:t>
      </w:r>
      <w:r>
        <w:rPr>
          <w:rFonts w:cs="Arial"/>
          <w:szCs w:val="26"/>
          <w:lang w:eastAsia="en-IE"/>
        </w:rPr>
        <w:t>y of</w:t>
      </w:r>
      <w:r w:rsidRPr="00095F2D">
        <w:rPr>
          <w:rFonts w:cs="Arial"/>
          <w:szCs w:val="26"/>
          <w:lang w:eastAsia="en-IE"/>
        </w:rPr>
        <w:t xml:space="preserve"> civil and political rights to people with disabilities, and to progressive realisation of social and economic rights. </w:t>
      </w:r>
      <w:r>
        <w:rPr>
          <w:rFonts w:cs="Arial"/>
          <w:szCs w:val="26"/>
          <w:lang w:eastAsia="en-IE"/>
        </w:rPr>
        <w:t>Article 28</w:t>
      </w:r>
      <w:r w:rsidR="00566B3D">
        <w:rPr>
          <w:color w:val="000000"/>
          <w:szCs w:val="26"/>
          <w:lang w:eastAsia="en-IE"/>
        </w:rPr>
        <w:t xml:space="preserve"> is primarily </w:t>
      </w:r>
      <w:r>
        <w:rPr>
          <w:color w:val="000000"/>
          <w:szCs w:val="26"/>
          <w:lang w:eastAsia="en-IE"/>
        </w:rPr>
        <w:t>an economic, social and cultural</w:t>
      </w:r>
      <w:r w:rsidRPr="00B17EB3">
        <w:rPr>
          <w:color w:val="000000"/>
          <w:szCs w:val="26"/>
          <w:lang w:eastAsia="en-IE"/>
        </w:rPr>
        <w:t xml:space="preserve"> righ</w:t>
      </w:r>
      <w:r>
        <w:rPr>
          <w:color w:val="000000"/>
          <w:szCs w:val="26"/>
          <w:lang w:eastAsia="en-IE"/>
        </w:rPr>
        <w:t xml:space="preserve">t and will be progressively realised.  </w:t>
      </w:r>
    </w:p>
    <w:p w14:paraId="45C08B22" w14:textId="5BDEF2FA" w:rsidR="005F265D" w:rsidRDefault="007B0AA9" w:rsidP="005F265D">
      <w:pPr>
        <w:pStyle w:val="Heading1"/>
      </w:pPr>
      <w:bookmarkStart w:id="10" w:name="_Toc66171825"/>
      <w:r>
        <w:lastRenderedPageBreak/>
        <w:t>Poverty and</w:t>
      </w:r>
      <w:r w:rsidR="005F265D">
        <w:t xml:space="preserve"> disability</w:t>
      </w:r>
      <w:bookmarkEnd w:id="10"/>
    </w:p>
    <w:p w14:paraId="06A67A43" w14:textId="77777777" w:rsidR="005F265D" w:rsidRDefault="005F265D" w:rsidP="00202A8B">
      <w:r>
        <w:t>According to the 2017 Survey on Income and Living Conditions (SILC), 18.8% of the population experienced two or more types of enforced deprivation. This compares with 21% in 2016 and a high of 30.5% in 2013.</w:t>
      </w:r>
      <w:r w:rsidR="00A168E7">
        <w:rPr>
          <w:rStyle w:val="FootnoteReference"/>
        </w:rPr>
        <w:footnoteReference w:id="2"/>
      </w:r>
    </w:p>
    <w:p w14:paraId="3BAD06D3" w14:textId="77777777" w:rsidR="00202B4E" w:rsidRDefault="005F265D" w:rsidP="00202A8B">
      <w:r>
        <w:t>Those who were not at work due to illness or disability had the highest deprivation rate in 2017 at 45.9%.</w:t>
      </w:r>
      <w:r w:rsidR="00202B4E">
        <w:t xml:space="preserve"> In the 2016 Census, 158,358 people were unable to work due to a permanent illness or disability.</w:t>
      </w:r>
      <w:r w:rsidR="00202B4E">
        <w:rPr>
          <w:rStyle w:val="FootnoteReference"/>
        </w:rPr>
        <w:footnoteReference w:id="3"/>
      </w:r>
    </w:p>
    <w:p w14:paraId="77EBA61D" w14:textId="256F9E3E" w:rsidR="005F265D" w:rsidRDefault="00202B4E" w:rsidP="00202A8B">
      <w:r>
        <w:t>The consistent</w:t>
      </w:r>
      <w:r w:rsidR="005F265D">
        <w:t xml:space="preserve"> poverty rate in 2017 was 6.7%, compared to 8.2% in 2016.</w:t>
      </w:r>
      <w:r>
        <w:t xml:space="preserve"> </w:t>
      </w:r>
      <w:r w:rsidR="005F265D">
        <w:t>An analysis of consistent poverty rates by principal economic status shows that the consistent poverty rate was highest among unemployed individuals (24.1%) and those who were not at work due to illness or disab</w:t>
      </w:r>
      <w:r w:rsidR="00E41E23">
        <w:t>ility (24%).</w:t>
      </w:r>
      <w:r w:rsidR="00A65F30">
        <w:rPr>
          <w:rStyle w:val="FootnoteReference"/>
        </w:rPr>
        <w:footnoteReference w:id="4"/>
      </w:r>
    </w:p>
    <w:p w14:paraId="46167203" w14:textId="04BE0972" w:rsidR="00F220B4" w:rsidRDefault="00F220B4" w:rsidP="00202A8B">
      <w:r>
        <w:t xml:space="preserve">Based on the SILC data, the at-risk-of-poverty rate across the 27 EU Member States increased between 2010 and 2011, from 16.5 % to 16.9 %. This rate increased substantially in 2014 to reach 17.3 %. Smaller increases were observed in 2015 and 2016 (up 0.1 percentage points each year). In 2017, the first notable decrease was observed, the rate dropped to 16.9 % which was followed in 2018 by a further modest reduction of 0.1 points. As such, in the last two years for which data are available the EU-27’s at-risk-of-poverty rate had returned </w:t>
      </w:r>
      <w:r>
        <w:lastRenderedPageBreak/>
        <w:t>to a level similar to that observed between 2011 and 2013.</w:t>
      </w:r>
      <w:r>
        <w:rPr>
          <w:rStyle w:val="FootnoteReference"/>
        </w:rPr>
        <w:footnoteReference w:id="5"/>
      </w:r>
      <w:r>
        <w:t xml:space="preserve"> All EU Member States, as well as the UK and Turkey reported a slightly higher rate for women experiencing poverty compared to men.  </w:t>
      </w:r>
    </w:p>
    <w:p w14:paraId="76B6A1CC" w14:textId="77777777" w:rsidR="00476C3E" w:rsidRDefault="005772D3" w:rsidP="00202A8B">
      <w:pPr>
        <w:rPr>
          <w:rFonts w:cs="Arial"/>
          <w:szCs w:val="26"/>
          <w:shd w:val="clear" w:color="auto" w:fill="FFFFFF"/>
        </w:rPr>
      </w:pPr>
      <w:r w:rsidRPr="000B4EE2">
        <w:rPr>
          <w:rFonts w:cs="Arial"/>
          <w:szCs w:val="26"/>
          <w:shd w:val="clear" w:color="auto" w:fill="FFFFFF"/>
        </w:rPr>
        <w:t>In 2018, 28.7 % of the EU-28 population aged 16 or more</w:t>
      </w:r>
      <w:r w:rsidR="000B4EE2">
        <w:rPr>
          <w:rFonts w:cs="Arial"/>
          <w:szCs w:val="26"/>
          <w:shd w:val="clear" w:color="auto" w:fill="FFFFFF"/>
        </w:rPr>
        <w:t xml:space="preserve"> with a disability</w:t>
      </w:r>
      <w:r w:rsidRPr="000B4EE2">
        <w:rPr>
          <w:rFonts w:cs="Arial"/>
          <w:szCs w:val="26"/>
          <w:shd w:val="clear" w:color="auto" w:fill="FFFFFF"/>
        </w:rPr>
        <w:t xml:space="preserve"> was at risk of poverty or social exclusion, com</w:t>
      </w:r>
      <w:r w:rsidR="000B4EE2">
        <w:rPr>
          <w:rFonts w:cs="Arial"/>
          <w:szCs w:val="26"/>
          <w:shd w:val="clear" w:color="auto" w:fill="FFFFFF"/>
        </w:rPr>
        <w:t>pared with 19.2 % of those without a disability</w:t>
      </w:r>
      <w:r w:rsidRPr="000B4EE2">
        <w:rPr>
          <w:rFonts w:cs="Arial"/>
          <w:szCs w:val="26"/>
          <w:shd w:val="clear" w:color="auto" w:fill="FFFFFF"/>
        </w:rPr>
        <w:t>.</w:t>
      </w:r>
      <w:r w:rsidRPr="000B4EE2">
        <w:rPr>
          <w:rStyle w:val="FootnoteReference"/>
          <w:rFonts w:ascii="Gill Sans MT" w:hAnsi="Gill Sans MT" w:cs="Arial"/>
          <w:szCs w:val="22"/>
          <w:shd w:val="clear" w:color="auto" w:fill="FFFFFF"/>
        </w:rPr>
        <w:footnoteReference w:id="6"/>
      </w:r>
      <w:r w:rsidRPr="000B4EE2">
        <w:rPr>
          <w:rFonts w:cs="Arial"/>
          <w:sz w:val="22"/>
          <w:szCs w:val="22"/>
          <w:shd w:val="clear" w:color="auto" w:fill="FFFFFF"/>
        </w:rPr>
        <w:t xml:space="preserve"> </w:t>
      </w:r>
      <w:r w:rsidRPr="000B4EE2">
        <w:rPr>
          <w:rFonts w:cs="Arial"/>
          <w:szCs w:val="26"/>
          <w:shd w:val="clear" w:color="auto" w:fill="FFFFFF"/>
        </w:rPr>
        <w:t xml:space="preserve">There are significant differences across countries, yet in all of them, </w:t>
      </w:r>
      <w:r w:rsidR="00476C3E">
        <w:rPr>
          <w:rFonts w:cs="Arial"/>
          <w:szCs w:val="26"/>
          <w:shd w:val="clear" w:color="auto" w:fill="FFFFFF"/>
        </w:rPr>
        <w:t>the rate of persons with a disability at risk of poverty is higher than the rate of persons without a disability.</w:t>
      </w:r>
    </w:p>
    <w:p w14:paraId="097CFB16" w14:textId="78C4F9F2" w:rsidR="005772D3" w:rsidRPr="000B4EE2" w:rsidRDefault="00476C3E" w:rsidP="00202A8B">
      <w:pPr>
        <w:rPr>
          <w:szCs w:val="26"/>
        </w:rPr>
      </w:pPr>
      <w:r>
        <w:rPr>
          <w:rFonts w:cs="Arial"/>
          <w:szCs w:val="26"/>
          <w:shd w:val="clear" w:color="auto" w:fill="FFFFFF"/>
        </w:rPr>
        <w:t>In 2018, 68.1</w:t>
      </w:r>
      <w:r w:rsidR="000B4EE2" w:rsidRPr="000B4EE2">
        <w:rPr>
          <w:rFonts w:cs="Arial"/>
          <w:szCs w:val="26"/>
          <w:shd w:val="clear" w:color="auto" w:fill="FFFFFF"/>
        </w:rPr>
        <w:t xml:space="preserve">% of the EU-28 population aged 16 or over with </w:t>
      </w:r>
      <w:r>
        <w:rPr>
          <w:rFonts w:cs="Arial"/>
          <w:szCs w:val="26"/>
          <w:shd w:val="clear" w:color="auto" w:fill="FFFFFF"/>
        </w:rPr>
        <w:t>a disability</w:t>
      </w:r>
      <w:r w:rsidR="000B4EE2" w:rsidRPr="000B4EE2">
        <w:rPr>
          <w:rFonts w:cs="Arial"/>
          <w:szCs w:val="26"/>
          <w:shd w:val="clear" w:color="auto" w:fill="FFFFFF"/>
        </w:rPr>
        <w:t xml:space="preserve"> would have been at risk of poverty if social transfers (social benefits, allowances and pensions) had not taken place, while 20.9 % of the same population would have been at risk after taking social transfers into account</w:t>
      </w:r>
      <w:r>
        <w:rPr>
          <w:rFonts w:cs="Arial"/>
          <w:szCs w:val="26"/>
          <w:shd w:val="clear" w:color="auto" w:fill="FFFFFF"/>
        </w:rPr>
        <w:t>.</w:t>
      </w:r>
      <w:r w:rsidR="000B4EE2" w:rsidRPr="000B4EE2">
        <w:rPr>
          <w:rFonts w:cs="Arial"/>
          <w:szCs w:val="26"/>
          <w:shd w:val="clear" w:color="auto" w:fill="FFFFFF"/>
        </w:rPr>
        <w:t xml:space="preserve"> In Ireland, it was estimated that without social transfers, 70% of persons with</w:t>
      </w:r>
      <w:r>
        <w:rPr>
          <w:rFonts w:cs="Arial"/>
          <w:szCs w:val="26"/>
          <w:shd w:val="clear" w:color="auto" w:fill="FFFFFF"/>
        </w:rPr>
        <w:t xml:space="preserve"> a disability</w:t>
      </w:r>
      <w:r w:rsidR="000B4EE2" w:rsidRPr="000B4EE2">
        <w:rPr>
          <w:rFonts w:cs="Arial"/>
          <w:szCs w:val="26"/>
          <w:shd w:val="clear" w:color="auto" w:fill="FFFFFF"/>
        </w:rPr>
        <w:t xml:space="preserve"> would have been at risk of poverty, compared to the 25% that </w:t>
      </w:r>
      <w:r>
        <w:rPr>
          <w:rFonts w:cs="Arial"/>
          <w:szCs w:val="26"/>
          <w:shd w:val="clear" w:color="auto" w:fill="FFFFFF"/>
        </w:rPr>
        <w:t>would be</w:t>
      </w:r>
      <w:r w:rsidR="000B4EE2" w:rsidRPr="000B4EE2">
        <w:rPr>
          <w:rFonts w:cs="Arial"/>
          <w:szCs w:val="26"/>
          <w:shd w:val="clear" w:color="auto" w:fill="FFFFFF"/>
        </w:rPr>
        <w:t xml:space="preserve"> at risk, taking</w:t>
      </w:r>
      <w:r>
        <w:rPr>
          <w:rFonts w:cs="Arial"/>
          <w:szCs w:val="26"/>
          <w:shd w:val="clear" w:color="auto" w:fill="FFFFFF"/>
        </w:rPr>
        <w:t xml:space="preserve"> social transfers into account.</w:t>
      </w:r>
      <w:r>
        <w:rPr>
          <w:rStyle w:val="FootnoteReference"/>
          <w:rFonts w:cs="Arial"/>
          <w:szCs w:val="26"/>
          <w:shd w:val="clear" w:color="auto" w:fill="FFFFFF"/>
        </w:rPr>
        <w:footnoteReference w:id="7"/>
      </w:r>
      <w:r w:rsidR="009050F7">
        <w:rPr>
          <w:rFonts w:cs="Arial"/>
          <w:szCs w:val="26"/>
          <w:shd w:val="clear" w:color="auto" w:fill="FFFFFF"/>
        </w:rPr>
        <w:t xml:space="preserve"> Ireland ranks in the middle of the number of persons with a disability who would be at risk without social transfers. Countries at the higher end range from </w:t>
      </w:r>
      <w:r w:rsidR="00432FE7">
        <w:rPr>
          <w:rFonts w:cs="Arial"/>
          <w:szCs w:val="26"/>
          <w:shd w:val="clear" w:color="auto" w:fill="FFFFFF"/>
        </w:rPr>
        <w:t>58% to 80%, and</w:t>
      </w:r>
      <w:r w:rsidR="009050F7">
        <w:rPr>
          <w:rFonts w:cs="Arial"/>
          <w:szCs w:val="26"/>
          <w:shd w:val="clear" w:color="auto" w:fill="FFFFFF"/>
        </w:rPr>
        <w:t xml:space="preserve"> at</w:t>
      </w:r>
      <w:r w:rsidR="00432FE7">
        <w:rPr>
          <w:rFonts w:cs="Arial"/>
          <w:szCs w:val="26"/>
          <w:shd w:val="clear" w:color="auto" w:fill="FFFFFF"/>
        </w:rPr>
        <w:t xml:space="preserve"> the lower </w:t>
      </w:r>
      <w:r w:rsidR="009050F7">
        <w:rPr>
          <w:rFonts w:cs="Arial"/>
          <w:szCs w:val="26"/>
          <w:shd w:val="clear" w:color="auto" w:fill="FFFFFF"/>
        </w:rPr>
        <w:t>end range</w:t>
      </w:r>
      <w:r w:rsidR="00432FE7">
        <w:rPr>
          <w:rFonts w:cs="Arial"/>
          <w:szCs w:val="26"/>
          <w:shd w:val="clear" w:color="auto" w:fill="FFFFFF"/>
        </w:rPr>
        <w:t xml:space="preserve"> from 9% to 40%.</w:t>
      </w:r>
    </w:p>
    <w:p w14:paraId="2650A218" w14:textId="436D387F" w:rsidR="007B465D" w:rsidRDefault="005F265D" w:rsidP="007B465D">
      <w:pPr>
        <w:pStyle w:val="Heading1"/>
      </w:pPr>
      <w:bookmarkStart w:id="11" w:name="_Toc66171826"/>
      <w:r>
        <w:lastRenderedPageBreak/>
        <w:t>A</w:t>
      </w:r>
      <w:r w:rsidR="002D3D92">
        <w:t>rticle 28 in the Irish context</w:t>
      </w:r>
      <w:r w:rsidR="0011327C">
        <w:t>:</w:t>
      </w:r>
      <w:r>
        <w:t xml:space="preserve"> Access to social protection programmes and poverty reduction programmes</w:t>
      </w:r>
      <w:bookmarkEnd w:id="11"/>
    </w:p>
    <w:p w14:paraId="7E673A6C" w14:textId="77777777" w:rsidR="008E5039" w:rsidRDefault="008E5039" w:rsidP="00FD2DA5">
      <w:pPr>
        <w:pStyle w:val="Heading2"/>
      </w:pPr>
      <w:bookmarkStart w:id="12" w:name="_Toc66171827"/>
      <w:r>
        <w:t>Department of Employment Affairs and Social Protection</w:t>
      </w:r>
      <w:bookmarkEnd w:id="12"/>
    </w:p>
    <w:p w14:paraId="59393AEB" w14:textId="77777777" w:rsidR="008E5039" w:rsidRDefault="008E5039" w:rsidP="00202A8B">
      <w:pPr>
        <w:pStyle w:val="NormalBeforeList"/>
      </w:pPr>
      <w:r>
        <w:t>The Department of Employment Affairs and Social Protection (DEASP) is tasked with administering Ireland’s welfare system. The role of the Department is to promote active participation and inclusion in society through the framework of employment rights and the provision of income supports, employment services and other services. The Department aims to support people with disabilities through a number of programmes:</w:t>
      </w:r>
    </w:p>
    <w:p w14:paraId="0396229D" w14:textId="77777777" w:rsidR="002D3D92" w:rsidRDefault="002D3D92" w:rsidP="002D3D92">
      <w:pPr>
        <w:pStyle w:val="ListBullet"/>
      </w:pPr>
      <w:r>
        <w:t>Disability Allowance</w:t>
      </w:r>
    </w:p>
    <w:p w14:paraId="31BAA153" w14:textId="77777777" w:rsidR="002D3D92" w:rsidRDefault="002D3D92" w:rsidP="002D3D92">
      <w:pPr>
        <w:pStyle w:val="ListBullet"/>
      </w:pPr>
      <w:r>
        <w:t>Domiciliary Care Allowance</w:t>
      </w:r>
    </w:p>
    <w:p w14:paraId="5FCBC125" w14:textId="77777777" w:rsidR="00D04382" w:rsidRDefault="00D04382" w:rsidP="00D04382">
      <w:pPr>
        <w:pStyle w:val="ListBullet"/>
      </w:pPr>
      <w:r>
        <w:t>Blind Pension</w:t>
      </w:r>
    </w:p>
    <w:p w14:paraId="26BD9A09" w14:textId="77777777" w:rsidR="002D3D92" w:rsidRDefault="002D3D92" w:rsidP="002D3D92">
      <w:pPr>
        <w:pStyle w:val="ListBullet"/>
      </w:pPr>
      <w:r>
        <w:t>Invalidity Pension</w:t>
      </w:r>
    </w:p>
    <w:p w14:paraId="52CB0CD5" w14:textId="77777777" w:rsidR="00D04382" w:rsidRDefault="00D04382" w:rsidP="002D3D92">
      <w:pPr>
        <w:pStyle w:val="ListBullet"/>
      </w:pPr>
      <w:r>
        <w:t>Injury Benefit</w:t>
      </w:r>
    </w:p>
    <w:p w14:paraId="52B81EBF" w14:textId="77777777" w:rsidR="002D3D92" w:rsidRDefault="00D04382" w:rsidP="002D3D92">
      <w:pPr>
        <w:pStyle w:val="ListBullet"/>
      </w:pPr>
      <w:r>
        <w:t>Disablement Benefit</w:t>
      </w:r>
    </w:p>
    <w:p w14:paraId="7C805748" w14:textId="77777777" w:rsidR="00D04382" w:rsidRDefault="00D04382" w:rsidP="002D3D92">
      <w:pPr>
        <w:pStyle w:val="ListBullet"/>
      </w:pPr>
      <w:r>
        <w:t>Incapacity Supplement</w:t>
      </w:r>
    </w:p>
    <w:p w14:paraId="62A15373" w14:textId="77777777" w:rsidR="00D04382" w:rsidRDefault="00D04382" w:rsidP="002D3D92">
      <w:pPr>
        <w:pStyle w:val="ListBullet"/>
      </w:pPr>
      <w:r>
        <w:t>Medical Care Scheme</w:t>
      </w:r>
    </w:p>
    <w:p w14:paraId="620B4B00" w14:textId="77777777" w:rsidR="00D04382" w:rsidRDefault="00D04382" w:rsidP="002D3D92">
      <w:pPr>
        <w:pStyle w:val="ListBullet"/>
      </w:pPr>
      <w:r>
        <w:t>Constant Attendance Allowance</w:t>
      </w:r>
    </w:p>
    <w:p w14:paraId="6649323D" w14:textId="77777777" w:rsidR="00D04382" w:rsidRDefault="00D04382" w:rsidP="00D04382">
      <w:pPr>
        <w:pStyle w:val="ListBullet"/>
      </w:pPr>
      <w:r>
        <w:t>Carer’s Allowance</w:t>
      </w:r>
    </w:p>
    <w:p w14:paraId="211935F0" w14:textId="77777777" w:rsidR="00D04382" w:rsidRDefault="00D04382" w:rsidP="002D3D92">
      <w:pPr>
        <w:pStyle w:val="ListBullet"/>
      </w:pPr>
      <w:r>
        <w:t>Carer’s Benefit</w:t>
      </w:r>
    </w:p>
    <w:p w14:paraId="5F37019E" w14:textId="77777777" w:rsidR="002D3D92" w:rsidRPr="0004612E" w:rsidRDefault="00D04382" w:rsidP="00D05048">
      <w:pPr>
        <w:pStyle w:val="ListBullet"/>
        <w:spacing w:after="240"/>
        <w:ind w:left="357" w:hanging="357"/>
      </w:pPr>
      <w:r>
        <w:t>Carer’s Support Grant</w:t>
      </w:r>
    </w:p>
    <w:p w14:paraId="5C45E489" w14:textId="77777777" w:rsidR="004F1514" w:rsidRPr="005D6054" w:rsidRDefault="0004612E" w:rsidP="005D6054">
      <w:pPr>
        <w:rPr>
          <w:szCs w:val="26"/>
        </w:rPr>
      </w:pPr>
      <w:r>
        <w:rPr>
          <w:szCs w:val="26"/>
        </w:rPr>
        <w:lastRenderedPageBreak/>
        <w:t xml:space="preserve">In 2018, </w:t>
      </w:r>
      <w:r w:rsidR="004F1514" w:rsidRPr="005D6054">
        <w:rPr>
          <w:szCs w:val="26"/>
        </w:rPr>
        <w:t>255,536 people received a disability-related support.</w:t>
      </w:r>
      <w:r w:rsidR="00587E8A" w:rsidRPr="005D6054">
        <w:rPr>
          <w:szCs w:val="26"/>
        </w:rPr>
        <w:t xml:space="preserve"> In total in 2018, </w:t>
      </w:r>
      <w:r w:rsidR="00587E8A" w:rsidRPr="005D6054">
        <w:rPr>
          <w:szCs w:val="26"/>
          <w:shd w:val="clear" w:color="auto" w:fill="FFFFFF"/>
        </w:rPr>
        <w:t>€4.23 billion was spent supporting those who care, are ill or have a disability.</w:t>
      </w:r>
      <w:r w:rsidR="00587E8A" w:rsidRPr="005D6054">
        <w:rPr>
          <w:rStyle w:val="FootnoteReference"/>
          <w:rFonts w:ascii="Gill Sans MT" w:hAnsi="Gill Sans MT"/>
          <w:sz w:val="20"/>
          <w:szCs w:val="20"/>
          <w:shd w:val="clear" w:color="auto" w:fill="FFFFFF"/>
        </w:rPr>
        <w:footnoteReference w:id="8"/>
      </w:r>
    </w:p>
    <w:p w14:paraId="005D4952" w14:textId="77777777" w:rsidR="008E5039" w:rsidRDefault="008E5039" w:rsidP="00DB4C84">
      <w:pPr>
        <w:pStyle w:val="Heading2"/>
      </w:pPr>
      <w:bookmarkStart w:id="13" w:name="_Toc66171828"/>
      <w:r>
        <w:t>Disability Allowance</w:t>
      </w:r>
      <w:bookmarkEnd w:id="13"/>
    </w:p>
    <w:p w14:paraId="15D27155" w14:textId="77777777" w:rsidR="008E5039" w:rsidRPr="00D663CE" w:rsidRDefault="00D663CE" w:rsidP="00202A8B">
      <w:r w:rsidRPr="00D663CE">
        <w:rPr>
          <w:shd w:val="clear" w:color="auto" w:fill="FFFFFF"/>
        </w:rPr>
        <w:t>Disability Allowance</w:t>
      </w:r>
      <w:r w:rsidR="00FB3236">
        <w:rPr>
          <w:shd w:val="clear" w:color="auto" w:fill="FFFFFF"/>
        </w:rPr>
        <w:t xml:space="preserve"> (DA)</w:t>
      </w:r>
      <w:r w:rsidRPr="00D663CE">
        <w:rPr>
          <w:shd w:val="clear" w:color="auto" w:fill="FFFFFF"/>
        </w:rPr>
        <w:t xml:space="preserve"> is a weekly allowance paid to people with a disability.</w:t>
      </w:r>
      <w:r w:rsidR="00013DC4">
        <w:rPr>
          <w:shd w:val="clear" w:color="auto" w:fill="FFFFFF"/>
        </w:rPr>
        <w:t xml:space="preserve"> DA is a means-tested payment for people with a specified disability whose income falls below certain limits and who are aged between 16 and 66</w:t>
      </w:r>
      <w:r w:rsidRPr="00D663CE">
        <w:rPr>
          <w:shd w:val="clear" w:color="auto" w:fill="FFFFFF"/>
        </w:rPr>
        <w:t xml:space="preserve">. If </w:t>
      </w:r>
      <w:r>
        <w:rPr>
          <w:shd w:val="clear" w:color="auto" w:fill="FFFFFF"/>
        </w:rPr>
        <w:t>an individual is in</w:t>
      </w:r>
      <w:r w:rsidRPr="00D663CE">
        <w:rPr>
          <w:shd w:val="clear" w:color="auto" w:fill="FFFFFF"/>
        </w:rPr>
        <w:t xml:space="preserve"> education when </w:t>
      </w:r>
      <w:r>
        <w:rPr>
          <w:shd w:val="clear" w:color="auto" w:fill="FFFFFF"/>
        </w:rPr>
        <w:t>they</w:t>
      </w:r>
      <w:r w:rsidRPr="00D663CE">
        <w:rPr>
          <w:shd w:val="clear" w:color="auto" w:fill="FFFFFF"/>
        </w:rPr>
        <w:t xml:space="preserve"> turn 16, </w:t>
      </w:r>
      <w:r>
        <w:rPr>
          <w:shd w:val="clear" w:color="auto" w:fill="FFFFFF"/>
        </w:rPr>
        <w:t>they</w:t>
      </w:r>
      <w:r w:rsidR="000507F9">
        <w:rPr>
          <w:shd w:val="clear" w:color="auto" w:fill="FFFFFF"/>
        </w:rPr>
        <w:t xml:space="preserve"> can continue</w:t>
      </w:r>
      <w:r w:rsidRPr="00D663CE">
        <w:rPr>
          <w:shd w:val="clear" w:color="auto" w:fill="FFFFFF"/>
        </w:rPr>
        <w:t xml:space="preserve"> to attend school.</w:t>
      </w:r>
      <w:r>
        <w:rPr>
          <w:shd w:val="clear" w:color="auto" w:fill="FFFFFF"/>
        </w:rPr>
        <w:t xml:space="preserve"> </w:t>
      </w:r>
    </w:p>
    <w:p w14:paraId="4552999B" w14:textId="77777777" w:rsidR="00D663CE" w:rsidRDefault="00D663CE" w:rsidP="00202A8B">
      <w:pPr>
        <w:pStyle w:val="NormalBeforeList"/>
        <w:rPr>
          <w:lang w:eastAsia="en-IE"/>
        </w:rPr>
      </w:pPr>
      <w:r>
        <w:t>To qu</w:t>
      </w:r>
      <w:r w:rsidR="00FB3236">
        <w:t xml:space="preserve">alify for </w:t>
      </w:r>
      <w:r>
        <w:t>DA an individual must:</w:t>
      </w:r>
    </w:p>
    <w:p w14:paraId="0CDB9B58" w14:textId="77777777" w:rsidR="00D663CE" w:rsidRDefault="00D663CE" w:rsidP="002D3D92">
      <w:pPr>
        <w:pStyle w:val="ListBullet"/>
      </w:pPr>
      <w:r>
        <w:t>Have an injury, disease or physical or mental disability that has continued, or may be expected to continue, for at least one year</w:t>
      </w:r>
    </w:p>
    <w:p w14:paraId="5FE34852" w14:textId="77777777" w:rsidR="00D663CE" w:rsidRDefault="00D663CE" w:rsidP="002D3D92">
      <w:pPr>
        <w:pStyle w:val="ListBullet"/>
      </w:pPr>
      <w:r>
        <w:t xml:space="preserve">As a result of this </w:t>
      </w:r>
      <w:r w:rsidRPr="00D663CE">
        <w:rPr>
          <w:color w:val="000000" w:themeColor="text1"/>
        </w:rPr>
        <w:t>disability be</w:t>
      </w:r>
      <w:r>
        <w:rPr>
          <w:color w:val="000000" w:themeColor="text1"/>
        </w:rPr>
        <w:t xml:space="preserve"> substantially restricted</w:t>
      </w:r>
      <w:r w:rsidRPr="00D663CE">
        <w:rPr>
          <w:color w:val="000000" w:themeColor="text1"/>
        </w:rPr>
        <w:t> </w:t>
      </w:r>
      <w:r>
        <w:t>in undertaking work that would otherwise be suitable for a person of their age, experience and qualifications</w:t>
      </w:r>
    </w:p>
    <w:p w14:paraId="2D5A6B53" w14:textId="77777777" w:rsidR="00D663CE" w:rsidRDefault="00D663CE" w:rsidP="002D3D92">
      <w:pPr>
        <w:pStyle w:val="ListBullet"/>
      </w:pPr>
      <w:r>
        <w:t>Be aged between 16 and 66. When an individual reaches 66 years of age, they no longer qualify for DA, but are assessed for a State pension.</w:t>
      </w:r>
    </w:p>
    <w:p w14:paraId="00D41A76" w14:textId="77777777" w:rsidR="00D663CE" w:rsidRDefault="00D663CE" w:rsidP="002D3D92">
      <w:pPr>
        <w:pStyle w:val="ListBullet"/>
      </w:pPr>
      <w:r>
        <w:t xml:space="preserve">Satisfy a means test </w:t>
      </w:r>
    </w:p>
    <w:p w14:paraId="6407C308" w14:textId="77777777" w:rsidR="00D663CE" w:rsidRDefault="00D663CE" w:rsidP="002D3D92">
      <w:pPr>
        <w:pStyle w:val="ListBullet"/>
      </w:pPr>
      <w:r>
        <w:t xml:space="preserve">Satisfy the habitual residence condition (while not defined in law, in practice this means that </w:t>
      </w:r>
      <w:r>
        <w:rPr>
          <w:lang w:val="en"/>
        </w:rPr>
        <w:t>a person has been here for some time and intends to stay here for the foreseeable future).</w:t>
      </w:r>
      <w:r>
        <w:t> </w:t>
      </w:r>
    </w:p>
    <w:p w14:paraId="18D20385" w14:textId="77777777" w:rsidR="000507F9" w:rsidRDefault="000507F9" w:rsidP="002D3D92">
      <w:pPr>
        <w:pStyle w:val="ListBullet"/>
        <w:rPr>
          <w:lang w:eastAsia="en-IE"/>
        </w:rPr>
      </w:pPr>
      <w:r>
        <w:t>If an individual receives D</w:t>
      </w:r>
      <w:r w:rsidR="00FB3236">
        <w:t>A</w:t>
      </w:r>
      <w:r>
        <w:t xml:space="preserve"> and goes into hospital or residential care, they will continue to get their DA payment as long as they meet the qualifying conditions.</w:t>
      </w:r>
    </w:p>
    <w:p w14:paraId="4BDDBCB0" w14:textId="77777777" w:rsidR="000507F9" w:rsidRDefault="000507F9" w:rsidP="00DA53E0">
      <w:pPr>
        <w:pStyle w:val="ListBullet"/>
        <w:spacing w:after="240"/>
        <w:ind w:left="357" w:hanging="357"/>
      </w:pPr>
      <w:r>
        <w:t>If an individual was not receiving D</w:t>
      </w:r>
      <w:r w:rsidR="00FB3236">
        <w:t>A</w:t>
      </w:r>
      <w:r>
        <w:t xml:space="preserve"> before living in residential care, they </w:t>
      </w:r>
      <w:r w:rsidR="00BD70A6">
        <w:t>may</w:t>
      </w:r>
      <w:r>
        <w:t xml:space="preserve"> receive D</w:t>
      </w:r>
      <w:r w:rsidR="00FB3236">
        <w:t>A</w:t>
      </w:r>
      <w:r>
        <w:t xml:space="preserve"> if they meet the qualifying conditions.</w:t>
      </w:r>
    </w:p>
    <w:p w14:paraId="149C8EB2" w14:textId="77777777" w:rsidR="000507F9" w:rsidRDefault="000507F9" w:rsidP="002D3D92">
      <w:pPr>
        <w:pStyle w:val="ListBullet"/>
        <w:numPr>
          <w:ilvl w:val="0"/>
          <w:numId w:val="0"/>
        </w:numPr>
        <w:rPr>
          <w:lang w:eastAsia="en-IE"/>
        </w:rPr>
      </w:pPr>
      <w:r>
        <w:lastRenderedPageBreak/>
        <w:t>Disability Allowance is a means-tested payment. To receive the allowance an individual’s total assessed means must be below a certain amount. The main items that count as means are:</w:t>
      </w:r>
    </w:p>
    <w:p w14:paraId="551B0593" w14:textId="77777777" w:rsidR="000507F9" w:rsidRDefault="000507F9" w:rsidP="002D3D92">
      <w:pPr>
        <w:pStyle w:val="ListBullet"/>
      </w:pPr>
      <w:r>
        <w:t xml:space="preserve">Cash income that an individual or their spouse, civil partner or cohabitant may have. </w:t>
      </w:r>
    </w:p>
    <w:p w14:paraId="08B1BA1D" w14:textId="77777777" w:rsidR="000507F9" w:rsidRDefault="000507F9" w:rsidP="002D3D92">
      <w:pPr>
        <w:pStyle w:val="ListBullet"/>
      </w:pPr>
      <w:r>
        <w:t xml:space="preserve">Capital, for example, the value of savings, investments, shares or any property an individual may have (other than their own home). However, the first €50,000 of any capital is not taken into account. </w:t>
      </w:r>
    </w:p>
    <w:p w14:paraId="253D989E" w14:textId="77777777" w:rsidR="000507F9" w:rsidRDefault="000507F9" w:rsidP="00DA53E0">
      <w:pPr>
        <w:pStyle w:val="ListBullet"/>
        <w:spacing w:after="240"/>
        <w:ind w:left="357" w:hanging="357"/>
      </w:pPr>
      <w:r>
        <w:t xml:space="preserve">Maintenance paid to the individual. </w:t>
      </w:r>
    </w:p>
    <w:p w14:paraId="4714B413" w14:textId="77777777" w:rsidR="008E5039" w:rsidRPr="000507F9" w:rsidRDefault="00013DC4" w:rsidP="00F97322">
      <w:pPr>
        <w:pStyle w:val="ListBullet"/>
        <w:numPr>
          <w:ilvl w:val="0"/>
          <w:numId w:val="0"/>
        </w:numPr>
        <w:rPr>
          <w:color w:val="000000" w:themeColor="text1"/>
          <w:szCs w:val="26"/>
        </w:rPr>
      </w:pPr>
      <w:r>
        <w:t>Disability Allowance payments, including increases for dependent adults or children and other Allowances paid with the payment, are fully exempt from income tax, PRSI and USC.</w:t>
      </w:r>
    </w:p>
    <w:p w14:paraId="004D0C1B" w14:textId="276D651F" w:rsidR="000507F9" w:rsidRDefault="004128E9" w:rsidP="004128E9">
      <w:pPr>
        <w:pStyle w:val="TableTitle"/>
      </w:pPr>
      <w:r>
        <w:t>Table 1: R</w:t>
      </w:r>
      <w:r w:rsidR="00CE2964">
        <w:t>ates of Disability Allowance</w:t>
      </w:r>
    </w:p>
    <w:tbl>
      <w:tblPr>
        <w:tblStyle w:val="TableGrid"/>
        <w:tblW w:w="0" w:type="auto"/>
        <w:tblInd w:w="360" w:type="dxa"/>
        <w:tblLook w:val="04A0" w:firstRow="1" w:lastRow="0" w:firstColumn="1" w:lastColumn="0" w:noHBand="0" w:noVBand="1"/>
        <w:tblCaption w:val="Table 1: Rates of disability Allowance"/>
        <w:tblDescription w:val="Rates of disability Allowance"/>
      </w:tblPr>
      <w:tblGrid>
        <w:gridCol w:w="4134"/>
        <w:gridCol w:w="4136"/>
      </w:tblGrid>
      <w:tr w:rsidR="00F97322" w:rsidRPr="00AC6601" w14:paraId="63B8AEE7" w14:textId="77777777" w:rsidTr="00BB112C">
        <w:trPr>
          <w:tblHeader/>
        </w:trPr>
        <w:tc>
          <w:tcPr>
            <w:tcW w:w="4134" w:type="dxa"/>
            <w:shd w:val="clear" w:color="auto" w:fill="auto"/>
          </w:tcPr>
          <w:p w14:paraId="26D61B10" w14:textId="3330F51E" w:rsidR="00F97322" w:rsidRPr="004128E9" w:rsidRDefault="00F97322" w:rsidP="00BB112C">
            <w:pPr>
              <w:pStyle w:val="TableHead"/>
            </w:pPr>
          </w:p>
        </w:tc>
        <w:tc>
          <w:tcPr>
            <w:tcW w:w="4136" w:type="dxa"/>
            <w:shd w:val="clear" w:color="auto" w:fill="auto"/>
          </w:tcPr>
          <w:p w14:paraId="7ED8F194" w14:textId="77777777" w:rsidR="00F97322" w:rsidRPr="00AC6601" w:rsidRDefault="00F97322" w:rsidP="00BB112C">
            <w:pPr>
              <w:pStyle w:val="TableHead"/>
            </w:pPr>
            <w:r>
              <w:t>Weekly rate</w:t>
            </w:r>
            <w:r w:rsidR="008F4A99">
              <w:rPr>
                <w:rStyle w:val="FootnoteReference"/>
              </w:rPr>
              <w:footnoteReference w:id="9"/>
            </w:r>
          </w:p>
        </w:tc>
      </w:tr>
      <w:tr w:rsidR="00F97322" w14:paraId="1ED10595" w14:textId="77777777" w:rsidTr="004128E9">
        <w:tc>
          <w:tcPr>
            <w:tcW w:w="4134" w:type="dxa"/>
            <w:shd w:val="clear" w:color="auto" w:fill="auto"/>
          </w:tcPr>
          <w:p w14:paraId="3F1AC2BD" w14:textId="77777777" w:rsidR="00F97322" w:rsidRPr="004128E9" w:rsidRDefault="00F97322" w:rsidP="004128E9">
            <w:pPr>
              <w:pStyle w:val="TableRowHead"/>
              <w:rPr>
                <w:rFonts w:ascii="Gill Sans MT" w:hAnsi="Gill Sans MT"/>
                <w:szCs w:val="26"/>
              </w:rPr>
            </w:pPr>
            <w:r w:rsidRPr="004128E9">
              <w:rPr>
                <w:rFonts w:ascii="Gill Sans MT" w:hAnsi="Gill Sans MT"/>
                <w:szCs w:val="26"/>
              </w:rPr>
              <w:t>Maximum personal rate</w:t>
            </w:r>
          </w:p>
        </w:tc>
        <w:tc>
          <w:tcPr>
            <w:tcW w:w="4136" w:type="dxa"/>
            <w:shd w:val="clear" w:color="auto" w:fill="auto"/>
          </w:tcPr>
          <w:p w14:paraId="00AD98F1" w14:textId="77777777" w:rsidR="00F97322" w:rsidRDefault="00F97322" w:rsidP="006718AF">
            <w:pPr>
              <w:pStyle w:val="ListBullet"/>
              <w:numPr>
                <w:ilvl w:val="0"/>
                <w:numId w:val="0"/>
              </w:numPr>
              <w:jc w:val="right"/>
            </w:pPr>
            <w:r>
              <w:t>€203.00</w:t>
            </w:r>
          </w:p>
        </w:tc>
      </w:tr>
      <w:tr w:rsidR="00F97322" w14:paraId="6E17B398" w14:textId="77777777" w:rsidTr="004128E9">
        <w:tc>
          <w:tcPr>
            <w:tcW w:w="4134" w:type="dxa"/>
            <w:shd w:val="clear" w:color="auto" w:fill="auto"/>
          </w:tcPr>
          <w:p w14:paraId="53CFE92A" w14:textId="77777777" w:rsidR="00F97322" w:rsidRPr="004128E9" w:rsidRDefault="00F97322" w:rsidP="004128E9">
            <w:pPr>
              <w:pStyle w:val="TableRowHead"/>
              <w:rPr>
                <w:rFonts w:ascii="Gill Sans MT" w:hAnsi="Gill Sans MT"/>
                <w:szCs w:val="26"/>
              </w:rPr>
            </w:pPr>
            <w:r w:rsidRPr="004128E9">
              <w:rPr>
                <w:rFonts w:ascii="Gill Sans MT" w:hAnsi="Gill Sans MT"/>
                <w:szCs w:val="26"/>
              </w:rPr>
              <w:t>Increase for a qualified adult</w:t>
            </w:r>
            <w:r w:rsidRPr="004128E9">
              <w:rPr>
                <w:rStyle w:val="FootnoteReference"/>
                <w:rFonts w:ascii="Gill Sans MT" w:hAnsi="Gill Sans MT"/>
                <w:sz w:val="26"/>
                <w:szCs w:val="26"/>
              </w:rPr>
              <w:footnoteReference w:id="10"/>
            </w:r>
          </w:p>
        </w:tc>
        <w:tc>
          <w:tcPr>
            <w:tcW w:w="4136" w:type="dxa"/>
            <w:shd w:val="clear" w:color="auto" w:fill="auto"/>
          </w:tcPr>
          <w:p w14:paraId="6A30D2E6" w14:textId="77777777" w:rsidR="00F97322" w:rsidRDefault="00F97322" w:rsidP="006718AF">
            <w:pPr>
              <w:pStyle w:val="ListBullet"/>
              <w:numPr>
                <w:ilvl w:val="0"/>
                <w:numId w:val="0"/>
              </w:numPr>
              <w:jc w:val="right"/>
            </w:pPr>
            <w:r>
              <w:t>€134.70</w:t>
            </w:r>
          </w:p>
        </w:tc>
      </w:tr>
      <w:tr w:rsidR="00F97322" w14:paraId="6375F53B" w14:textId="77777777" w:rsidTr="004128E9">
        <w:tc>
          <w:tcPr>
            <w:tcW w:w="4134" w:type="dxa"/>
            <w:shd w:val="clear" w:color="auto" w:fill="auto"/>
          </w:tcPr>
          <w:p w14:paraId="1E51B998" w14:textId="77777777" w:rsidR="00F97322" w:rsidRPr="004128E9" w:rsidRDefault="00F97322" w:rsidP="004128E9">
            <w:pPr>
              <w:pStyle w:val="TableRowHead"/>
              <w:rPr>
                <w:rFonts w:ascii="Gill Sans MT" w:hAnsi="Gill Sans MT"/>
                <w:szCs w:val="26"/>
              </w:rPr>
            </w:pPr>
            <w:r w:rsidRPr="004128E9">
              <w:rPr>
                <w:rFonts w:ascii="Gill Sans MT" w:hAnsi="Gill Sans MT"/>
                <w:szCs w:val="26"/>
              </w:rPr>
              <w:lastRenderedPageBreak/>
              <w:t>Increas</w:t>
            </w:r>
            <w:r w:rsidR="0039194F" w:rsidRPr="004128E9">
              <w:rPr>
                <w:rFonts w:ascii="Gill Sans MT" w:hAnsi="Gill Sans MT"/>
                <w:szCs w:val="26"/>
              </w:rPr>
              <w:t>e for a qualified child under 12</w:t>
            </w:r>
            <w:r w:rsidR="0039194F" w:rsidRPr="004128E9">
              <w:rPr>
                <w:rStyle w:val="FootnoteReference"/>
                <w:rFonts w:ascii="Gill Sans MT" w:hAnsi="Gill Sans MT"/>
                <w:sz w:val="26"/>
                <w:szCs w:val="26"/>
              </w:rPr>
              <w:footnoteReference w:id="11"/>
            </w:r>
          </w:p>
        </w:tc>
        <w:tc>
          <w:tcPr>
            <w:tcW w:w="4136" w:type="dxa"/>
            <w:shd w:val="clear" w:color="auto" w:fill="auto"/>
          </w:tcPr>
          <w:p w14:paraId="4049BAEF" w14:textId="77777777" w:rsidR="00F97322" w:rsidRDefault="00F97322" w:rsidP="006718AF">
            <w:pPr>
              <w:pStyle w:val="ListBullet"/>
              <w:numPr>
                <w:ilvl w:val="0"/>
                <w:numId w:val="0"/>
              </w:numPr>
              <w:jc w:val="right"/>
            </w:pPr>
            <w:r>
              <w:t>Full rate: €36.00</w:t>
            </w:r>
          </w:p>
          <w:p w14:paraId="67953DEF" w14:textId="77777777" w:rsidR="00F97322" w:rsidRDefault="00F97322" w:rsidP="006718AF">
            <w:pPr>
              <w:pStyle w:val="ListBullet"/>
              <w:numPr>
                <w:ilvl w:val="0"/>
                <w:numId w:val="0"/>
              </w:numPr>
              <w:jc w:val="right"/>
            </w:pPr>
            <w:r>
              <w:t>Half rate: €18.00</w:t>
            </w:r>
          </w:p>
        </w:tc>
      </w:tr>
      <w:tr w:rsidR="00F97322" w14:paraId="0F6867CD" w14:textId="77777777" w:rsidTr="004128E9">
        <w:tc>
          <w:tcPr>
            <w:tcW w:w="4134" w:type="dxa"/>
            <w:shd w:val="clear" w:color="auto" w:fill="auto"/>
          </w:tcPr>
          <w:p w14:paraId="3F4DB87E" w14:textId="77777777" w:rsidR="00F97322" w:rsidRPr="004128E9" w:rsidRDefault="00F97322" w:rsidP="004128E9">
            <w:pPr>
              <w:pStyle w:val="TableRowHead"/>
              <w:rPr>
                <w:rFonts w:ascii="Gill Sans MT" w:hAnsi="Gill Sans MT"/>
                <w:szCs w:val="26"/>
              </w:rPr>
            </w:pPr>
            <w:r w:rsidRPr="004128E9">
              <w:rPr>
                <w:rFonts w:ascii="Gill Sans MT" w:hAnsi="Gill Sans MT"/>
                <w:szCs w:val="26"/>
              </w:rPr>
              <w:t>Increase for a qualified child over 12</w:t>
            </w:r>
          </w:p>
        </w:tc>
        <w:tc>
          <w:tcPr>
            <w:tcW w:w="4136" w:type="dxa"/>
            <w:shd w:val="clear" w:color="auto" w:fill="auto"/>
          </w:tcPr>
          <w:p w14:paraId="23AB8E5F" w14:textId="77777777" w:rsidR="00F97322" w:rsidRDefault="00F97322" w:rsidP="006718AF">
            <w:pPr>
              <w:pStyle w:val="ListBullet"/>
              <w:numPr>
                <w:ilvl w:val="0"/>
                <w:numId w:val="0"/>
              </w:numPr>
              <w:jc w:val="right"/>
            </w:pPr>
            <w:r>
              <w:t>Full rate: €40.00</w:t>
            </w:r>
          </w:p>
          <w:p w14:paraId="078188C3" w14:textId="77777777" w:rsidR="00F97322" w:rsidRDefault="00F97322" w:rsidP="006718AF">
            <w:pPr>
              <w:pStyle w:val="ListBullet"/>
              <w:numPr>
                <w:ilvl w:val="0"/>
                <w:numId w:val="0"/>
              </w:numPr>
              <w:jc w:val="right"/>
            </w:pPr>
            <w:r>
              <w:t>Half rate: €20.00</w:t>
            </w:r>
          </w:p>
        </w:tc>
      </w:tr>
    </w:tbl>
    <w:p w14:paraId="3362D779" w14:textId="1D2C8E1C" w:rsidR="00F97322" w:rsidRDefault="00BB112C" w:rsidP="00BB112C">
      <w:pPr>
        <w:pStyle w:val="TableNote"/>
      </w:pPr>
      <w:r>
        <w:t xml:space="preserve">Source: </w:t>
      </w:r>
    </w:p>
    <w:p w14:paraId="71F1190B" w14:textId="77777777" w:rsidR="00FB3236" w:rsidRDefault="00FB3236" w:rsidP="00202A8B">
      <w:r>
        <w:t>In 2018, €1,586 million was paid in D</w:t>
      </w:r>
      <w:r w:rsidR="00021F83">
        <w:t xml:space="preserve">isability </w:t>
      </w:r>
      <w:r>
        <w:t>A</w:t>
      </w:r>
      <w:r w:rsidR="00021F83">
        <w:t>llowance</w:t>
      </w:r>
      <w:r>
        <w:t>. This is a 39% increase since 2009. There were 1</w:t>
      </w:r>
      <w:r w:rsidR="00B3591C">
        <w:t>40,835</w:t>
      </w:r>
      <w:r>
        <w:t xml:space="preserve"> </w:t>
      </w:r>
      <w:r w:rsidR="00B3591C">
        <w:t>recipients</w:t>
      </w:r>
      <w:r w:rsidR="005857FF">
        <w:t>, with 198,269 beneficiaries</w:t>
      </w:r>
      <w:r w:rsidR="00417B61">
        <w:t xml:space="preserve"> of DA in 2018.</w:t>
      </w:r>
      <w:r w:rsidR="005857FF">
        <w:t xml:space="preserve"> Recipients are people who received the allowance and beneficiaries are people who benefitted from the allowance, which include the recipient and any qualified adult or qualified child they received an increase in respect of.</w:t>
      </w:r>
      <w:r w:rsidR="002E1027">
        <w:t xml:space="preserve"> Recipients included 60,548 females and 80,287 males.</w:t>
      </w:r>
      <w:r w:rsidR="00BD70A6">
        <w:rPr>
          <w:rStyle w:val="FootnoteReference"/>
        </w:rPr>
        <w:footnoteReference w:id="12"/>
      </w:r>
    </w:p>
    <w:p w14:paraId="495A9DE7" w14:textId="77777777" w:rsidR="00BD70A6" w:rsidRPr="0039194F" w:rsidRDefault="0057499B" w:rsidP="00202A8B">
      <w:r>
        <w:lastRenderedPageBreak/>
        <w:t>Over the past two decades expenditure on Disability Allowance has increa</w:t>
      </w:r>
      <w:r w:rsidR="00296AB9">
        <w:t>sed from €185m to €1,358m (734</w:t>
      </w:r>
      <w:r>
        <w:t xml:space="preserve">%) driven by a combination of an increased number of recipients and increases in the weekly payment rate. </w:t>
      </w:r>
      <w:r w:rsidR="00BD70A6">
        <w:t>From 2012 to 2016 there has been annual average growth in expenditure of €68m or 5.7%. As payment rates were flat over the period, growth in expenditure has been due to increasing recipients. The number of recipients increased by 24,358 or 25% in this four year period.</w:t>
      </w:r>
      <w:r w:rsidR="00BD70A6">
        <w:rPr>
          <w:rStyle w:val="FootnoteReference"/>
        </w:rPr>
        <w:footnoteReference w:id="13"/>
      </w:r>
    </w:p>
    <w:p w14:paraId="346877C4" w14:textId="77777777" w:rsidR="000507F9" w:rsidRDefault="002D3D92" w:rsidP="00DB4C84">
      <w:pPr>
        <w:pStyle w:val="Heading2"/>
      </w:pPr>
      <w:bookmarkStart w:id="14" w:name="_Toc66171829"/>
      <w:r>
        <w:t>Domiciliary Care Allowance</w:t>
      </w:r>
      <w:bookmarkEnd w:id="14"/>
      <w:r>
        <w:t xml:space="preserve"> </w:t>
      </w:r>
    </w:p>
    <w:p w14:paraId="26C773AB" w14:textId="77777777" w:rsidR="000507F9" w:rsidRDefault="002D3D92" w:rsidP="008E7A13">
      <w:pPr>
        <w:rPr>
          <w:shd w:val="clear" w:color="auto" w:fill="FFFFFF"/>
        </w:rPr>
      </w:pPr>
      <w:r>
        <w:rPr>
          <w:shd w:val="clear" w:color="auto" w:fill="FFFFFF"/>
        </w:rPr>
        <w:t>Domiciliary Care Allowance (DCA) is a monthly payment for a child aged under 16 with a severe disability, who requires ongoing care and attention, substantially over and above the care and attention usually required by a child of the same age. It is not means tested.</w:t>
      </w:r>
      <w:r w:rsidR="00D47674">
        <w:rPr>
          <w:shd w:val="clear" w:color="auto" w:fill="FFFFFF"/>
        </w:rPr>
        <w:t xml:space="preserve"> The payment is not based on the type of disability but on the resulting physical or mental impairment which means that the child requires substantially more care and attention than another child of the same age. </w:t>
      </w:r>
    </w:p>
    <w:p w14:paraId="4CAD3C50" w14:textId="77777777" w:rsidR="00D47674" w:rsidRDefault="00D47674" w:rsidP="008E7A13">
      <w:pPr>
        <w:rPr>
          <w:shd w:val="clear" w:color="auto" w:fill="FFFFFF"/>
        </w:rPr>
      </w:pPr>
      <w:r>
        <w:rPr>
          <w:shd w:val="clear" w:color="auto" w:fill="FFFFFF"/>
        </w:rPr>
        <w:t>Since June 2017, all children in receipt of DCA receive a medical card without a means test.</w:t>
      </w:r>
    </w:p>
    <w:p w14:paraId="2CEFB70F" w14:textId="77777777" w:rsidR="00D47674" w:rsidRDefault="00D47674" w:rsidP="00202A8B">
      <w:pPr>
        <w:pStyle w:val="NormalBeforeList"/>
        <w:rPr>
          <w:lang w:eastAsia="en-IE"/>
        </w:rPr>
      </w:pPr>
      <w:r>
        <w:rPr>
          <w:shd w:val="clear" w:color="auto" w:fill="FFFFFF"/>
        </w:rPr>
        <w:t xml:space="preserve">To qualify for DCA, </w:t>
      </w:r>
      <w:r>
        <w:t xml:space="preserve">the child must have </w:t>
      </w:r>
      <w:r w:rsidR="00677298">
        <w:t>a severe disability that is likely to last for at least a year, and must</w:t>
      </w:r>
      <w:r>
        <w:t>:</w:t>
      </w:r>
    </w:p>
    <w:p w14:paraId="034E86CE" w14:textId="77777777" w:rsidR="00D47674" w:rsidRDefault="00D47674" w:rsidP="008E7A13">
      <w:pPr>
        <w:pStyle w:val="ListBullet"/>
      </w:pPr>
      <w:r>
        <w:t>Be aged under 16 (at 16, the child can apply for a Disability Allowance)</w:t>
      </w:r>
    </w:p>
    <w:p w14:paraId="769643D5" w14:textId="77777777" w:rsidR="00D47674" w:rsidRDefault="00D47674" w:rsidP="008E7A13">
      <w:pPr>
        <w:pStyle w:val="ListBullet"/>
      </w:pPr>
      <w:r>
        <w:t xml:space="preserve">Live at home with the person claiming the allowance for 5 or more days a week. </w:t>
      </w:r>
    </w:p>
    <w:p w14:paraId="7DB528A8" w14:textId="77777777" w:rsidR="00D47674" w:rsidRDefault="00D47674" w:rsidP="008E7A13">
      <w:pPr>
        <w:pStyle w:val="ListBullet"/>
      </w:pPr>
      <w:r>
        <w:t>Meet the medical criteria (“</w:t>
      </w:r>
      <w:r>
        <w:rPr>
          <w:shd w:val="clear" w:color="auto" w:fill="FFFFFF"/>
        </w:rPr>
        <w:t>a severe disability requiring continual or continuous care and attention substantially in excess of the care and attention normally required by a child of the same age”)</w:t>
      </w:r>
    </w:p>
    <w:p w14:paraId="29E5A38D" w14:textId="77777777" w:rsidR="00D47674" w:rsidRDefault="00D47674" w:rsidP="008E7A13">
      <w:pPr>
        <w:pStyle w:val="ListBullet"/>
      </w:pPr>
      <w:r>
        <w:t>Be ordinarily resident in the State</w:t>
      </w:r>
    </w:p>
    <w:p w14:paraId="69C02F10" w14:textId="77777777" w:rsidR="00D47674" w:rsidRDefault="00D47674" w:rsidP="008E7A13">
      <w:r>
        <w:lastRenderedPageBreak/>
        <w:t>In addition, the person claiming the allowance for the child must:</w:t>
      </w:r>
    </w:p>
    <w:p w14:paraId="0CDA66A9" w14:textId="77777777" w:rsidR="00D47674" w:rsidRDefault="00D47674" w:rsidP="008E7A13">
      <w:pPr>
        <w:pStyle w:val="ListBullet"/>
      </w:pPr>
      <w:r>
        <w:t>Provide for the care of the child</w:t>
      </w:r>
    </w:p>
    <w:p w14:paraId="0D4E2DCE" w14:textId="7012EFA6" w:rsidR="00C6076B" w:rsidRDefault="00D47674" w:rsidP="001C6893">
      <w:pPr>
        <w:pStyle w:val="ListBullet"/>
        <w:spacing w:after="240"/>
        <w:ind w:left="357" w:hanging="357"/>
      </w:pPr>
      <w:r>
        <w:t>Be</w:t>
      </w:r>
      <w:r w:rsidR="008E7A13">
        <w:t xml:space="preserve"> habitually resident</w:t>
      </w:r>
      <w:r>
        <w:t> in the State.</w:t>
      </w:r>
    </w:p>
    <w:p w14:paraId="0B3FF701" w14:textId="77777777" w:rsidR="00C6076B" w:rsidRDefault="00C6076B" w:rsidP="00202A8B">
      <w:r>
        <w:t>The Domiciliary Care Allowance (DCA) rate is €309.50 per month and there is no restriction on the number of children for whom an individual may claim DCA.</w:t>
      </w:r>
      <w:r w:rsidR="008F4A99">
        <w:rPr>
          <w:rStyle w:val="FootnoteReference"/>
        </w:rPr>
        <w:footnoteReference w:id="14"/>
      </w:r>
    </w:p>
    <w:p w14:paraId="2FF39990" w14:textId="77777777" w:rsidR="00B904FD" w:rsidRDefault="00B904FD" w:rsidP="00202A8B">
      <w:r>
        <w:t xml:space="preserve">In 2018, €168 million was paid in DCA. This is an increase of 442% since 2009. This was paid to </w:t>
      </w:r>
      <w:r w:rsidR="005857FF">
        <w:t>38,007 recipients</w:t>
      </w:r>
      <w:r w:rsidR="00F97322">
        <w:t xml:space="preserve">, with </w:t>
      </w:r>
      <w:r>
        <w:t>42,822 beneficiaries</w:t>
      </w:r>
      <w:r w:rsidR="005857FF">
        <w:t xml:space="preserve"> (children)</w:t>
      </w:r>
      <w:r>
        <w:t>.</w:t>
      </w:r>
      <w:r w:rsidR="002E1027">
        <w:rPr>
          <w:rStyle w:val="FootnoteReference"/>
        </w:rPr>
        <w:footnoteReference w:id="15"/>
      </w:r>
    </w:p>
    <w:p w14:paraId="2F56E5A2" w14:textId="77777777" w:rsidR="000B71CB" w:rsidRDefault="000B71CB" w:rsidP="00DB4C84">
      <w:pPr>
        <w:pStyle w:val="Heading2"/>
      </w:pPr>
      <w:bookmarkStart w:id="15" w:name="_Toc66171830"/>
      <w:r>
        <w:t>Blind Pension</w:t>
      </w:r>
      <w:bookmarkEnd w:id="15"/>
    </w:p>
    <w:p w14:paraId="33B433CC" w14:textId="77777777" w:rsidR="000B71CB" w:rsidRPr="007C1CEC" w:rsidRDefault="000B71CB" w:rsidP="00202A8B">
      <w:r w:rsidRPr="007C1CEC">
        <w:rPr>
          <w:shd w:val="clear" w:color="auto" w:fill="FFFFFF"/>
        </w:rPr>
        <w:t>The Blind Pension is a means-tested payment paid to blind and visually impaired people, over the age of 66, who are habitually resident in Ireland. To qualify for the Pension</w:t>
      </w:r>
      <w:r w:rsidR="00202B4E">
        <w:rPr>
          <w:shd w:val="clear" w:color="auto" w:fill="FFFFFF"/>
        </w:rPr>
        <w:t>, an individual</w:t>
      </w:r>
      <w:r w:rsidRPr="007C1CEC">
        <w:rPr>
          <w:shd w:val="clear" w:color="auto" w:fill="FFFFFF"/>
        </w:rPr>
        <w:t xml:space="preserve"> must supply an eye test from an op</w:t>
      </w:r>
      <w:r>
        <w:rPr>
          <w:shd w:val="clear" w:color="auto" w:fill="FFFFFF"/>
        </w:rPr>
        <w:t>h</w:t>
      </w:r>
      <w:r w:rsidRPr="007C1CEC">
        <w:rPr>
          <w:shd w:val="clear" w:color="auto" w:fill="FFFFFF"/>
        </w:rPr>
        <w:t xml:space="preserve">thalmic surgeon to verify </w:t>
      </w:r>
      <w:r w:rsidR="00202B4E">
        <w:rPr>
          <w:shd w:val="clear" w:color="auto" w:fill="FFFFFF"/>
        </w:rPr>
        <w:t>their</w:t>
      </w:r>
      <w:r w:rsidRPr="007C1CEC">
        <w:rPr>
          <w:shd w:val="clear" w:color="auto" w:fill="FFFFFF"/>
        </w:rPr>
        <w:t xml:space="preserve"> visual impairment.</w:t>
      </w:r>
    </w:p>
    <w:p w14:paraId="2333D893" w14:textId="77777777" w:rsidR="00212DEB" w:rsidRDefault="000B71CB" w:rsidP="00202A8B">
      <w:pPr>
        <w:rPr>
          <w:shd w:val="clear" w:color="auto" w:fill="FFFFFF"/>
        </w:rPr>
      </w:pPr>
      <w:r w:rsidRPr="007C1CEC">
        <w:rPr>
          <w:shd w:val="clear" w:color="auto" w:fill="FFFFFF"/>
        </w:rPr>
        <w:t>An individual who qualifies for the Blind Pension will automatically get a Free Travel Pass and a Companion Free Travel Pass and be also qualify for other benefits such as the Living Alone Increase and the Household Benefits Package.</w:t>
      </w:r>
    </w:p>
    <w:p w14:paraId="35771B28" w14:textId="4B60FB6E" w:rsidR="00377B44" w:rsidRDefault="009D6291" w:rsidP="009D6291">
      <w:pPr>
        <w:pStyle w:val="TableTitle"/>
        <w:rPr>
          <w:shd w:val="clear" w:color="auto" w:fill="FFFFFF"/>
        </w:rPr>
      </w:pPr>
      <w:r>
        <w:rPr>
          <w:shd w:val="clear" w:color="auto" w:fill="FFFFFF"/>
        </w:rPr>
        <w:t>Table 2: Rates of Blind Pension</w:t>
      </w:r>
    </w:p>
    <w:tbl>
      <w:tblPr>
        <w:tblStyle w:val="TableGrid"/>
        <w:tblW w:w="0" w:type="auto"/>
        <w:tblInd w:w="360" w:type="dxa"/>
        <w:tblLook w:val="04A0" w:firstRow="1" w:lastRow="0" w:firstColumn="1" w:lastColumn="0" w:noHBand="0" w:noVBand="1"/>
        <w:tblCaption w:val="Table 2: Rates of Blind Pension"/>
        <w:tblDescription w:val="Rates of Blind Pension"/>
      </w:tblPr>
      <w:tblGrid>
        <w:gridCol w:w="4134"/>
        <w:gridCol w:w="4136"/>
      </w:tblGrid>
      <w:tr w:rsidR="006053CC" w:rsidRPr="00AC6601" w14:paraId="626C54E7" w14:textId="77777777" w:rsidTr="002115D5">
        <w:trPr>
          <w:tblHeader/>
        </w:trPr>
        <w:tc>
          <w:tcPr>
            <w:tcW w:w="4134" w:type="dxa"/>
            <w:shd w:val="clear" w:color="auto" w:fill="auto"/>
          </w:tcPr>
          <w:p w14:paraId="35598AF9" w14:textId="77777777" w:rsidR="006053CC" w:rsidRDefault="006053CC" w:rsidP="002115D5">
            <w:pPr>
              <w:pStyle w:val="TableHead"/>
            </w:pPr>
          </w:p>
        </w:tc>
        <w:tc>
          <w:tcPr>
            <w:tcW w:w="4136" w:type="dxa"/>
            <w:shd w:val="clear" w:color="auto" w:fill="auto"/>
          </w:tcPr>
          <w:p w14:paraId="47354A33" w14:textId="77777777" w:rsidR="006053CC" w:rsidRPr="00AC6601" w:rsidRDefault="006053CC" w:rsidP="002115D5">
            <w:pPr>
              <w:pStyle w:val="TableHead"/>
            </w:pPr>
            <w:r>
              <w:t>Weekly rate</w:t>
            </w:r>
            <w:r w:rsidR="008F4A99">
              <w:rPr>
                <w:rStyle w:val="FootnoteReference"/>
                <w:b w:val="0"/>
              </w:rPr>
              <w:footnoteReference w:id="16"/>
            </w:r>
          </w:p>
        </w:tc>
      </w:tr>
      <w:tr w:rsidR="006053CC" w14:paraId="4A729E6A" w14:textId="77777777" w:rsidTr="009D6291">
        <w:tc>
          <w:tcPr>
            <w:tcW w:w="4134" w:type="dxa"/>
            <w:shd w:val="clear" w:color="auto" w:fill="auto"/>
          </w:tcPr>
          <w:p w14:paraId="7101FB9B" w14:textId="77777777" w:rsidR="006053CC" w:rsidRPr="009D6291" w:rsidRDefault="006053CC" w:rsidP="009D6291">
            <w:pPr>
              <w:pStyle w:val="TableRowHead"/>
              <w:rPr>
                <w:rFonts w:ascii="Gill Sans MT" w:hAnsi="Gill Sans MT"/>
              </w:rPr>
            </w:pPr>
            <w:r w:rsidRPr="009D6291">
              <w:rPr>
                <w:rFonts w:ascii="Gill Sans MT" w:hAnsi="Gill Sans MT"/>
              </w:rPr>
              <w:t>Personal rate</w:t>
            </w:r>
          </w:p>
        </w:tc>
        <w:tc>
          <w:tcPr>
            <w:tcW w:w="4136" w:type="dxa"/>
            <w:shd w:val="clear" w:color="auto" w:fill="auto"/>
          </w:tcPr>
          <w:p w14:paraId="741E5367" w14:textId="77777777" w:rsidR="006053CC" w:rsidRDefault="006053CC" w:rsidP="006718AF">
            <w:pPr>
              <w:pStyle w:val="ListBullet"/>
              <w:numPr>
                <w:ilvl w:val="0"/>
                <w:numId w:val="0"/>
              </w:numPr>
              <w:jc w:val="right"/>
            </w:pPr>
            <w:r>
              <w:t>€20</w:t>
            </w:r>
            <w:r w:rsidR="00F97322">
              <w:t>3.00</w:t>
            </w:r>
          </w:p>
        </w:tc>
      </w:tr>
      <w:tr w:rsidR="006053CC" w14:paraId="2E6A63AF" w14:textId="77777777" w:rsidTr="009D6291">
        <w:tc>
          <w:tcPr>
            <w:tcW w:w="4134" w:type="dxa"/>
            <w:shd w:val="clear" w:color="auto" w:fill="auto"/>
          </w:tcPr>
          <w:p w14:paraId="2A34160F" w14:textId="77777777" w:rsidR="006053CC" w:rsidRPr="009D6291" w:rsidRDefault="006053CC" w:rsidP="009D6291">
            <w:pPr>
              <w:pStyle w:val="TableRowHead"/>
              <w:rPr>
                <w:rFonts w:ascii="Gill Sans MT" w:hAnsi="Gill Sans MT"/>
              </w:rPr>
            </w:pPr>
            <w:r w:rsidRPr="009D6291">
              <w:rPr>
                <w:rFonts w:ascii="Gill Sans MT" w:hAnsi="Gill Sans MT"/>
              </w:rPr>
              <w:lastRenderedPageBreak/>
              <w:t>Increase for a qualified adult</w:t>
            </w:r>
          </w:p>
        </w:tc>
        <w:tc>
          <w:tcPr>
            <w:tcW w:w="4136" w:type="dxa"/>
            <w:shd w:val="clear" w:color="auto" w:fill="auto"/>
          </w:tcPr>
          <w:p w14:paraId="2B3F1737" w14:textId="77777777" w:rsidR="006053CC" w:rsidRDefault="006053CC" w:rsidP="006718AF">
            <w:pPr>
              <w:pStyle w:val="ListBullet"/>
              <w:numPr>
                <w:ilvl w:val="0"/>
                <w:numId w:val="0"/>
              </w:numPr>
              <w:jc w:val="right"/>
            </w:pPr>
            <w:r>
              <w:t>€1</w:t>
            </w:r>
            <w:r w:rsidR="00F97322">
              <w:t>34.70</w:t>
            </w:r>
          </w:p>
        </w:tc>
      </w:tr>
      <w:tr w:rsidR="006053CC" w14:paraId="11C4999C" w14:textId="77777777" w:rsidTr="009D6291">
        <w:tc>
          <w:tcPr>
            <w:tcW w:w="4134" w:type="dxa"/>
            <w:shd w:val="clear" w:color="auto" w:fill="auto"/>
          </w:tcPr>
          <w:p w14:paraId="427F0E16" w14:textId="77777777" w:rsidR="006053CC" w:rsidRPr="009D6291" w:rsidRDefault="006053CC" w:rsidP="009D6291">
            <w:pPr>
              <w:pStyle w:val="TableRowHead"/>
              <w:rPr>
                <w:rFonts w:ascii="Gill Sans MT" w:hAnsi="Gill Sans MT"/>
              </w:rPr>
            </w:pPr>
            <w:r w:rsidRPr="009D6291">
              <w:rPr>
                <w:rFonts w:ascii="Gill Sans MT" w:hAnsi="Gill Sans MT"/>
              </w:rPr>
              <w:t>Increase for a qualified child under 12</w:t>
            </w:r>
          </w:p>
        </w:tc>
        <w:tc>
          <w:tcPr>
            <w:tcW w:w="4136" w:type="dxa"/>
            <w:shd w:val="clear" w:color="auto" w:fill="auto"/>
          </w:tcPr>
          <w:p w14:paraId="1F4C2FD8" w14:textId="77777777" w:rsidR="006053CC" w:rsidRDefault="006053CC" w:rsidP="006718AF">
            <w:pPr>
              <w:pStyle w:val="ListBullet"/>
              <w:numPr>
                <w:ilvl w:val="0"/>
                <w:numId w:val="0"/>
              </w:numPr>
              <w:jc w:val="right"/>
            </w:pPr>
            <w:r>
              <w:t>Full rate: €36.00</w:t>
            </w:r>
          </w:p>
          <w:p w14:paraId="48D440BE" w14:textId="77777777" w:rsidR="006053CC" w:rsidRDefault="006053CC" w:rsidP="006718AF">
            <w:pPr>
              <w:pStyle w:val="ListBullet"/>
              <w:numPr>
                <w:ilvl w:val="0"/>
                <w:numId w:val="0"/>
              </w:numPr>
              <w:jc w:val="right"/>
            </w:pPr>
            <w:r>
              <w:t>Half rate: €18.00</w:t>
            </w:r>
          </w:p>
        </w:tc>
      </w:tr>
      <w:tr w:rsidR="006053CC" w14:paraId="0F92D756" w14:textId="77777777" w:rsidTr="009D6291">
        <w:tc>
          <w:tcPr>
            <w:tcW w:w="4134" w:type="dxa"/>
            <w:shd w:val="clear" w:color="auto" w:fill="auto"/>
          </w:tcPr>
          <w:p w14:paraId="3E45AE51" w14:textId="77777777" w:rsidR="006053CC" w:rsidRPr="009D6291" w:rsidRDefault="006053CC" w:rsidP="009D6291">
            <w:pPr>
              <w:pStyle w:val="TableRowHead"/>
              <w:rPr>
                <w:rFonts w:ascii="Gill Sans MT" w:hAnsi="Gill Sans MT"/>
              </w:rPr>
            </w:pPr>
            <w:r w:rsidRPr="009D6291">
              <w:rPr>
                <w:rFonts w:ascii="Gill Sans MT" w:hAnsi="Gill Sans MT"/>
              </w:rPr>
              <w:t>Increase for a qualified child over 12</w:t>
            </w:r>
          </w:p>
        </w:tc>
        <w:tc>
          <w:tcPr>
            <w:tcW w:w="4136" w:type="dxa"/>
            <w:shd w:val="clear" w:color="auto" w:fill="auto"/>
          </w:tcPr>
          <w:p w14:paraId="123D3F8E" w14:textId="77777777" w:rsidR="006053CC" w:rsidRDefault="006053CC" w:rsidP="006718AF">
            <w:pPr>
              <w:pStyle w:val="ListBullet"/>
              <w:numPr>
                <w:ilvl w:val="0"/>
                <w:numId w:val="0"/>
              </w:numPr>
              <w:jc w:val="right"/>
            </w:pPr>
            <w:r>
              <w:t>Full rate: €40.00</w:t>
            </w:r>
          </w:p>
          <w:p w14:paraId="52BBF42A" w14:textId="77777777" w:rsidR="006053CC" w:rsidRDefault="006053CC" w:rsidP="006718AF">
            <w:pPr>
              <w:pStyle w:val="ListBullet"/>
              <w:numPr>
                <w:ilvl w:val="0"/>
                <w:numId w:val="0"/>
              </w:numPr>
              <w:jc w:val="right"/>
            </w:pPr>
            <w:r>
              <w:t>Half rate: €20.00</w:t>
            </w:r>
          </w:p>
        </w:tc>
      </w:tr>
    </w:tbl>
    <w:p w14:paraId="0F5BBD2F" w14:textId="751167BE" w:rsidR="006053CC" w:rsidRDefault="009D6291" w:rsidP="009D6291">
      <w:pPr>
        <w:pStyle w:val="TableNote"/>
        <w:rPr>
          <w:shd w:val="clear" w:color="auto" w:fill="FFFFFF"/>
        </w:rPr>
      </w:pPr>
      <w:r>
        <w:rPr>
          <w:shd w:val="clear" w:color="auto" w:fill="FFFFFF"/>
        </w:rPr>
        <w:t>Source:</w:t>
      </w:r>
    </w:p>
    <w:p w14:paraId="4D757DBA" w14:textId="77777777" w:rsidR="000B71CB" w:rsidRPr="00952991" w:rsidRDefault="00212DEB" w:rsidP="00202A8B">
      <w:r w:rsidRPr="00212DEB">
        <w:rPr>
          <w:lang w:eastAsia="en-IE"/>
        </w:rPr>
        <w:t>€</w:t>
      </w:r>
      <w:r w:rsidR="000B71CB">
        <w:t>13.31 million was spent on Blind Pension in 2018.</w:t>
      </w:r>
      <w:r>
        <w:t xml:space="preserve"> There </w:t>
      </w:r>
      <w:r w:rsidR="005857FF">
        <w:t>were 1</w:t>
      </w:r>
      <w:r w:rsidR="002E1027">
        <w:t>,</w:t>
      </w:r>
      <w:r w:rsidR="005857FF">
        <w:t>217 recipients</w:t>
      </w:r>
      <w:r w:rsidR="00021F83">
        <w:t xml:space="preserve">, with </w:t>
      </w:r>
      <w:r>
        <w:t>1</w:t>
      </w:r>
      <w:r w:rsidR="002E1027">
        <w:t>,</w:t>
      </w:r>
      <w:r>
        <w:t>685 beneficiaries.</w:t>
      </w:r>
      <w:r w:rsidR="002E1027">
        <w:rPr>
          <w:rStyle w:val="FootnoteReference"/>
          <w:color w:val="000000" w:themeColor="text1"/>
          <w:szCs w:val="26"/>
        </w:rPr>
        <w:footnoteReference w:id="17"/>
      </w:r>
    </w:p>
    <w:p w14:paraId="2F65379E" w14:textId="77777777" w:rsidR="00A24314" w:rsidRDefault="00A24314" w:rsidP="00DB4C84">
      <w:pPr>
        <w:pStyle w:val="Heading2"/>
      </w:pPr>
      <w:bookmarkStart w:id="16" w:name="_Toc66171831"/>
      <w:r>
        <w:t>Invalidity Pension</w:t>
      </w:r>
      <w:bookmarkEnd w:id="16"/>
    </w:p>
    <w:p w14:paraId="59136337" w14:textId="77777777" w:rsidR="00A24314" w:rsidRDefault="00A24314" w:rsidP="00202A8B">
      <w:pPr>
        <w:rPr>
          <w:rFonts w:cs="Arial"/>
          <w:color w:val="000000" w:themeColor="text1"/>
          <w:spacing w:val="3"/>
          <w:szCs w:val="26"/>
          <w:lang w:eastAsia="en-IE"/>
        </w:rPr>
      </w:pPr>
      <w:r>
        <w:t>I</w:t>
      </w:r>
      <w:r w:rsidRPr="000F6DDD">
        <w:t>nvalidity Pension is a weekly payment to people who cannot work because of a long-term illness or disability and are covered by</w:t>
      </w:r>
      <w:r>
        <w:t xml:space="preserve"> social insurance (PRSI)</w:t>
      </w:r>
      <w:r w:rsidRPr="000F6DDD">
        <w:t xml:space="preserve">. At 66, </w:t>
      </w:r>
      <w:r>
        <w:t>an individual in receipt of Invalidity Pension</w:t>
      </w:r>
      <w:r w:rsidRPr="000F6DDD">
        <w:t xml:space="preserve"> transfer</w:t>
      </w:r>
      <w:r>
        <w:t>s</w:t>
      </w:r>
      <w:r w:rsidRPr="000F6DDD">
        <w:t xml:space="preserve"> automatically to</w:t>
      </w:r>
      <w:r>
        <w:t xml:space="preserve"> state pension (contributory)</w:t>
      </w:r>
      <w:r w:rsidRPr="000F6DDD">
        <w:t> at the full rate. Invalidity Pension is</w:t>
      </w:r>
      <w:r>
        <w:t xml:space="preserve"> taxable</w:t>
      </w:r>
      <w:r w:rsidRPr="000F6DDD">
        <w:t xml:space="preserve">. </w:t>
      </w:r>
      <w:r>
        <w:t>An individual in receipt of Invalidity Pension is entitled</w:t>
      </w:r>
      <w:r w:rsidRPr="000F6DDD">
        <w:t xml:space="preserve"> to a</w:t>
      </w:r>
      <w:r>
        <w:t xml:space="preserve"> free travel pass, and in some cases, extra social welfare benefits, for example, the Household Benefits Package. </w:t>
      </w:r>
      <w:r w:rsidRPr="000F6DDD">
        <w:rPr>
          <w:rFonts w:cs="Arial"/>
          <w:color w:val="000000" w:themeColor="text1"/>
          <w:spacing w:val="3"/>
          <w:szCs w:val="26"/>
          <w:lang w:eastAsia="en-IE"/>
        </w:rPr>
        <w:t xml:space="preserve">On 1 December 2017, </w:t>
      </w:r>
      <w:r>
        <w:rPr>
          <w:rFonts w:cs="Arial"/>
          <w:color w:val="000000" w:themeColor="text1"/>
          <w:spacing w:val="3"/>
          <w:szCs w:val="26"/>
          <w:lang w:eastAsia="en-IE"/>
        </w:rPr>
        <w:t xml:space="preserve">the </w:t>
      </w:r>
      <w:r w:rsidRPr="000F6DDD">
        <w:rPr>
          <w:rFonts w:cs="Arial"/>
          <w:color w:val="000000" w:themeColor="text1"/>
          <w:spacing w:val="3"/>
          <w:szCs w:val="26"/>
          <w:lang w:eastAsia="en-IE"/>
        </w:rPr>
        <w:t>Invalidity Pension was extended to the self-employed.</w:t>
      </w:r>
    </w:p>
    <w:p w14:paraId="57D2255F" w14:textId="77777777" w:rsidR="00A24314" w:rsidRPr="00A24314" w:rsidRDefault="00A24314" w:rsidP="00202A8B">
      <w:pPr>
        <w:pStyle w:val="NormalBeforeList"/>
      </w:pPr>
      <w:r w:rsidRPr="00A24314">
        <w:t>To qualify for Invalidity Pension, an individual must:</w:t>
      </w:r>
    </w:p>
    <w:p w14:paraId="33F09909" w14:textId="77777777" w:rsidR="00A24314" w:rsidRDefault="00A24314" w:rsidP="00A24314">
      <w:pPr>
        <w:pStyle w:val="ListBullet"/>
      </w:pPr>
      <w:r>
        <w:t xml:space="preserve">Have been incapable of work for at least 12 months and </w:t>
      </w:r>
      <w:r w:rsidR="001F689D">
        <w:t>be likely to be incapable of work</w:t>
      </w:r>
      <w:r>
        <w:t xml:space="preserve"> for at least another 12 months (an individual may have been receiving Illness Benefit or Disability Allowance during that time) or</w:t>
      </w:r>
    </w:p>
    <w:p w14:paraId="302BBAD9" w14:textId="77777777" w:rsidR="00A24314" w:rsidRDefault="00A24314" w:rsidP="00A24314">
      <w:pPr>
        <w:pStyle w:val="ListBullet"/>
      </w:pPr>
      <w:r>
        <w:lastRenderedPageBreak/>
        <w:t>Be permanently incapable of work (in certain cases of very serious illness or disability, an individual may transfer directly from another social welfare payment or from their job to Invalidity Pension).</w:t>
      </w:r>
    </w:p>
    <w:p w14:paraId="18ABE2BD" w14:textId="77777777" w:rsidR="00A24314" w:rsidRDefault="00A24314" w:rsidP="00202A8B">
      <w:r>
        <w:t>An individual must also have, at least:</w:t>
      </w:r>
    </w:p>
    <w:p w14:paraId="15262037" w14:textId="77777777" w:rsidR="00A24314" w:rsidRDefault="00A24314" w:rsidP="00A24314">
      <w:pPr>
        <w:pStyle w:val="ListBullet"/>
        <w:rPr>
          <w:b/>
        </w:rPr>
      </w:pPr>
      <w:r>
        <w:t xml:space="preserve">260 weeks of paid PRSI contributions (5 years) since entering social insurance </w:t>
      </w:r>
      <w:r>
        <w:rPr>
          <w:b/>
        </w:rPr>
        <w:t>and</w:t>
      </w:r>
    </w:p>
    <w:p w14:paraId="72AE9041" w14:textId="77777777" w:rsidR="00A24314" w:rsidRDefault="00A24314" w:rsidP="00A24314">
      <w:pPr>
        <w:pStyle w:val="ListBullet"/>
      </w:pPr>
      <w:r>
        <w:t>48 weeks of paid or credited PRSI contributions in the last or second-last complete contribution year before the relevant date.</w:t>
      </w:r>
    </w:p>
    <w:p w14:paraId="2DE1093F" w14:textId="77777777" w:rsidR="00AC6601" w:rsidRDefault="00AC6601" w:rsidP="00202A8B">
      <w:r>
        <w:t xml:space="preserve">A Deciding Officer will examine </w:t>
      </w:r>
      <w:r w:rsidR="00F97322">
        <w:t>an individual’s</w:t>
      </w:r>
      <w:r>
        <w:t xml:space="preserve"> claim and decide on</w:t>
      </w:r>
      <w:r w:rsidR="00F97322">
        <w:t xml:space="preserve"> their</w:t>
      </w:r>
      <w:r>
        <w:t xml:space="preserve"> entitlement based on the qualifying conditions outlined above.</w:t>
      </w:r>
    </w:p>
    <w:p w14:paraId="1FE93762" w14:textId="0AB1F4F2" w:rsidR="00F97322" w:rsidRDefault="009D6291" w:rsidP="009D6291">
      <w:pPr>
        <w:pStyle w:val="TableTitle"/>
      </w:pPr>
      <w:r>
        <w:t>Table 3: Rates of Invalidity Pension</w:t>
      </w:r>
    </w:p>
    <w:tbl>
      <w:tblPr>
        <w:tblStyle w:val="TableGrid"/>
        <w:tblW w:w="0" w:type="auto"/>
        <w:tblInd w:w="360" w:type="dxa"/>
        <w:tblLook w:val="04A0" w:firstRow="1" w:lastRow="0" w:firstColumn="1" w:lastColumn="0" w:noHBand="0" w:noVBand="1"/>
        <w:tblCaption w:val="Table 3: Rates of Invalidity Pension"/>
        <w:tblDescription w:val="Rates of Invalidity Pension"/>
      </w:tblPr>
      <w:tblGrid>
        <w:gridCol w:w="4134"/>
        <w:gridCol w:w="4136"/>
      </w:tblGrid>
      <w:tr w:rsidR="00AC6601" w14:paraId="5ECCF8F0" w14:textId="77777777" w:rsidTr="002115D5">
        <w:trPr>
          <w:tblHeader/>
        </w:trPr>
        <w:tc>
          <w:tcPr>
            <w:tcW w:w="4134" w:type="dxa"/>
            <w:shd w:val="clear" w:color="auto" w:fill="auto"/>
          </w:tcPr>
          <w:p w14:paraId="50FE8018" w14:textId="77777777" w:rsidR="00AC6601" w:rsidRDefault="00AC6601" w:rsidP="002115D5">
            <w:pPr>
              <w:pStyle w:val="TableHead"/>
            </w:pPr>
          </w:p>
        </w:tc>
        <w:tc>
          <w:tcPr>
            <w:tcW w:w="4136" w:type="dxa"/>
            <w:shd w:val="clear" w:color="auto" w:fill="auto"/>
          </w:tcPr>
          <w:p w14:paraId="4E84FC39" w14:textId="77777777" w:rsidR="00AC6601" w:rsidRPr="00AC6601" w:rsidRDefault="00AC6601" w:rsidP="002115D5">
            <w:pPr>
              <w:pStyle w:val="TableHead"/>
            </w:pPr>
            <w:r>
              <w:t>Weekly rate</w:t>
            </w:r>
            <w:r w:rsidR="008F4A99">
              <w:rPr>
                <w:rStyle w:val="FootnoteReference"/>
                <w:b w:val="0"/>
              </w:rPr>
              <w:footnoteReference w:id="18"/>
            </w:r>
          </w:p>
        </w:tc>
      </w:tr>
      <w:tr w:rsidR="00AC6601" w14:paraId="10E2651F" w14:textId="77777777" w:rsidTr="009D6291">
        <w:tc>
          <w:tcPr>
            <w:tcW w:w="4134" w:type="dxa"/>
            <w:shd w:val="clear" w:color="auto" w:fill="auto"/>
          </w:tcPr>
          <w:p w14:paraId="7876EE0B" w14:textId="77777777" w:rsidR="00AC6601" w:rsidRPr="009D6291" w:rsidRDefault="00AC6601" w:rsidP="009D6291">
            <w:pPr>
              <w:pStyle w:val="TableRowHead"/>
              <w:rPr>
                <w:rFonts w:ascii="Gill Sans MT" w:hAnsi="Gill Sans MT"/>
              </w:rPr>
            </w:pPr>
            <w:r w:rsidRPr="009D6291">
              <w:rPr>
                <w:rFonts w:ascii="Gill Sans MT" w:hAnsi="Gill Sans MT"/>
              </w:rPr>
              <w:t>Personal rate</w:t>
            </w:r>
          </w:p>
        </w:tc>
        <w:tc>
          <w:tcPr>
            <w:tcW w:w="4136" w:type="dxa"/>
            <w:shd w:val="clear" w:color="auto" w:fill="auto"/>
          </w:tcPr>
          <w:p w14:paraId="05971A8E" w14:textId="77777777" w:rsidR="00AC6601" w:rsidRDefault="00AC6601" w:rsidP="006718AF">
            <w:pPr>
              <w:pStyle w:val="ListBullet"/>
              <w:numPr>
                <w:ilvl w:val="0"/>
                <w:numId w:val="0"/>
              </w:numPr>
              <w:jc w:val="right"/>
            </w:pPr>
            <w:r>
              <w:t>€208.50</w:t>
            </w:r>
          </w:p>
        </w:tc>
      </w:tr>
      <w:tr w:rsidR="00AC6601" w14:paraId="5664A76B" w14:textId="77777777" w:rsidTr="009D6291">
        <w:tc>
          <w:tcPr>
            <w:tcW w:w="4134" w:type="dxa"/>
            <w:shd w:val="clear" w:color="auto" w:fill="auto"/>
          </w:tcPr>
          <w:p w14:paraId="584E1E31" w14:textId="77777777" w:rsidR="00AC6601" w:rsidRPr="009D6291" w:rsidRDefault="00AC6601" w:rsidP="009D6291">
            <w:pPr>
              <w:pStyle w:val="TableRowHead"/>
              <w:rPr>
                <w:rFonts w:ascii="Gill Sans MT" w:hAnsi="Gill Sans MT"/>
              </w:rPr>
            </w:pPr>
            <w:r w:rsidRPr="009D6291">
              <w:rPr>
                <w:rFonts w:ascii="Gill Sans MT" w:hAnsi="Gill Sans MT"/>
              </w:rPr>
              <w:t>Increase for a qualified adult</w:t>
            </w:r>
          </w:p>
        </w:tc>
        <w:tc>
          <w:tcPr>
            <w:tcW w:w="4136" w:type="dxa"/>
            <w:shd w:val="clear" w:color="auto" w:fill="auto"/>
          </w:tcPr>
          <w:p w14:paraId="47E92607" w14:textId="77777777" w:rsidR="00AC6601" w:rsidRDefault="00AC6601" w:rsidP="006718AF">
            <w:pPr>
              <w:pStyle w:val="ListBullet"/>
              <w:numPr>
                <w:ilvl w:val="0"/>
                <w:numId w:val="0"/>
              </w:numPr>
              <w:jc w:val="right"/>
            </w:pPr>
            <w:r>
              <w:t>€148.90</w:t>
            </w:r>
          </w:p>
        </w:tc>
      </w:tr>
      <w:tr w:rsidR="00AC6601" w14:paraId="1FAD75F2" w14:textId="77777777" w:rsidTr="009D6291">
        <w:tc>
          <w:tcPr>
            <w:tcW w:w="4134" w:type="dxa"/>
            <w:shd w:val="clear" w:color="auto" w:fill="auto"/>
          </w:tcPr>
          <w:p w14:paraId="6E779BA5" w14:textId="77777777" w:rsidR="00AC6601" w:rsidRPr="009D6291" w:rsidRDefault="00AC6601" w:rsidP="009D6291">
            <w:pPr>
              <w:pStyle w:val="TableRowHead"/>
              <w:rPr>
                <w:rFonts w:ascii="Gill Sans MT" w:hAnsi="Gill Sans MT"/>
              </w:rPr>
            </w:pPr>
            <w:r w:rsidRPr="009D6291">
              <w:rPr>
                <w:rFonts w:ascii="Gill Sans MT" w:hAnsi="Gill Sans MT"/>
              </w:rPr>
              <w:t>Increase for a qualified child under 12</w:t>
            </w:r>
          </w:p>
        </w:tc>
        <w:tc>
          <w:tcPr>
            <w:tcW w:w="4136" w:type="dxa"/>
            <w:shd w:val="clear" w:color="auto" w:fill="auto"/>
          </w:tcPr>
          <w:p w14:paraId="7D9AF8BB" w14:textId="77777777" w:rsidR="00AC6601" w:rsidRDefault="00AC6601" w:rsidP="006718AF">
            <w:pPr>
              <w:pStyle w:val="ListBullet"/>
              <w:numPr>
                <w:ilvl w:val="0"/>
                <w:numId w:val="0"/>
              </w:numPr>
              <w:jc w:val="right"/>
            </w:pPr>
            <w:r>
              <w:t>Full rate: €36.00</w:t>
            </w:r>
          </w:p>
          <w:p w14:paraId="3D451E70" w14:textId="77777777" w:rsidR="00AC6601" w:rsidRDefault="00AC6601" w:rsidP="006718AF">
            <w:pPr>
              <w:pStyle w:val="ListBullet"/>
              <w:numPr>
                <w:ilvl w:val="0"/>
                <w:numId w:val="0"/>
              </w:numPr>
              <w:jc w:val="right"/>
            </w:pPr>
            <w:r>
              <w:t>Half rate: €18.00</w:t>
            </w:r>
          </w:p>
        </w:tc>
      </w:tr>
      <w:tr w:rsidR="00AC6601" w14:paraId="5F7E7266" w14:textId="77777777" w:rsidTr="009D6291">
        <w:tc>
          <w:tcPr>
            <w:tcW w:w="4134" w:type="dxa"/>
            <w:shd w:val="clear" w:color="auto" w:fill="auto"/>
          </w:tcPr>
          <w:p w14:paraId="5C9294C9" w14:textId="77777777" w:rsidR="00AC6601" w:rsidRPr="009D6291" w:rsidRDefault="00AC6601" w:rsidP="009D6291">
            <w:pPr>
              <w:pStyle w:val="TableRowHead"/>
              <w:rPr>
                <w:rFonts w:ascii="Gill Sans MT" w:hAnsi="Gill Sans MT"/>
              </w:rPr>
            </w:pPr>
            <w:r w:rsidRPr="009D6291">
              <w:rPr>
                <w:rFonts w:ascii="Gill Sans MT" w:hAnsi="Gill Sans MT"/>
              </w:rPr>
              <w:t>Increase for a qualified child over 12</w:t>
            </w:r>
          </w:p>
        </w:tc>
        <w:tc>
          <w:tcPr>
            <w:tcW w:w="4136" w:type="dxa"/>
            <w:shd w:val="clear" w:color="auto" w:fill="auto"/>
          </w:tcPr>
          <w:p w14:paraId="7E62D4FB" w14:textId="77777777" w:rsidR="00AC6601" w:rsidRDefault="00AC6601" w:rsidP="006718AF">
            <w:pPr>
              <w:pStyle w:val="ListBullet"/>
              <w:numPr>
                <w:ilvl w:val="0"/>
                <w:numId w:val="0"/>
              </w:numPr>
              <w:jc w:val="right"/>
            </w:pPr>
            <w:r>
              <w:t>Full rate: €40.00</w:t>
            </w:r>
          </w:p>
          <w:p w14:paraId="3091ABF4" w14:textId="77777777" w:rsidR="00AC6601" w:rsidRDefault="00AC6601" w:rsidP="006718AF">
            <w:pPr>
              <w:pStyle w:val="ListBullet"/>
              <w:numPr>
                <w:ilvl w:val="0"/>
                <w:numId w:val="0"/>
              </w:numPr>
              <w:jc w:val="right"/>
            </w:pPr>
            <w:r>
              <w:t>Half rate: €20.00</w:t>
            </w:r>
          </w:p>
        </w:tc>
      </w:tr>
    </w:tbl>
    <w:p w14:paraId="10F7AD31" w14:textId="1A49B49F" w:rsidR="00AC6601" w:rsidRDefault="009D6291" w:rsidP="009D6291">
      <w:pPr>
        <w:pStyle w:val="TableNote"/>
      </w:pPr>
      <w:r>
        <w:t xml:space="preserve">Source: </w:t>
      </w:r>
    </w:p>
    <w:p w14:paraId="08BBE721" w14:textId="77777777" w:rsidR="00D47674" w:rsidRDefault="00A24314" w:rsidP="00202A8B">
      <w:r>
        <w:lastRenderedPageBreak/>
        <w:t xml:space="preserve">€694 million was spent on the Invalidity Pension in 2018. This is an increase of 58% since 2009. </w:t>
      </w:r>
      <w:r w:rsidR="00F97322">
        <w:t xml:space="preserve">This was paid </w:t>
      </w:r>
      <w:r w:rsidR="005857FF">
        <w:t>to 57,768 recipients</w:t>
      </w:r>
      <w:r w:rsidR="00F97322">
        <w:t xml:space="preserve"> with </w:t>
      </w:r>
      <w:r>
        <w:t xml:space="preserve">77,074 </w:t>
      </w:r>
      <w:r w:rsidR="005857FF">
        <w:t>beneficiaries</w:t>
      </w:r>
      <w:r>
        <w:t>.</w:t>
      </w:r>
      <w:r w:rsidR="00F97322">
        <w:t xml:space="preserve"> O</w:t>
      </w:r>
      <w:r w:rsidR="00243197">
        <w:t>f recipients, 33,281 were female and 24,487 were male</w:t>
      </w:r>
      <w:r w:rsidR="00F97322">
        <w:t>.</w:t>
      </w:r>
      <w:r w:rsidR="002E1027">
        <w:rPr>
          <w:rStyle w:val="FootnoteReference"/>
        </w:rPr>
        <w:footnoteReference w:id="19"/>
      </w:r>
    </w:p>
    <w:p w14:paraId="2B9E848D" w14:textId="77777777" w:rsidR="00FA13ED" w:rsidRDefault="00FA13ED" w:rsidP="00DB4C84">
      <w:pPr>
        <w:pStyle w:val="Heading2"/>
      </w:pPr>
      <w:bookmarkStart w:id="17" w:name="_Toc66171832"/>
      <w:r>
        <w:t>Injury Benefit</w:t>
      </w:r>
      <w:bookmarkEnd w:id="17"/>
    </w:p>
    <w:p w14:paraId="7B4FEB76" w14:textId="77777777" w:rsidR="00FA13ED" w:rsidRDefault="00FA13ED" w:rsidP="00FA13ED">
      <w:pPr>
        <w:rPr>
          <w:lang w:eastAsia="en-IE"/>
        </w:rPr>
      </w:pPr>
      <w:r>
        <w:rPr>
          <w:lang w:eastAsia="en-IE"/>
        </w:rPr>
        <w:t>Injury Payment is a payment made to an individual if they are unfit for work due to:</w:t>
      </w:r>
    </w:p>
    <w:p w14:paraId="440910B1" w14:textId="77777777" w:rsidR="00FA13ED" w:rsidRDefault="00FA13ED" w:rsidP="00FA13ED">
      <w:pPr>
        <w:pStyle w:val="ListBullet"/>
        <w:rPr>
          <w:lang w:eastAsia="en-IE"/>
        </w:rPr>
      </w:pPr>
      <w:r>
        <w:rPr>
          <w:lang w:eastAsia="en-IE"/>
        </w:rPr>
        <w:t>An accident at work</w:t>
      </w:r>
    </w:p>
    <w:p w14:paraId="2AD235D6" w14:textId="77777777" w:rsidR="00FA13ED" w:rsidRDefault="00FA13ED" w:rsidP="00FA13ED">
      <w:pPr>
        <w:pStyle w:val="ListBullet"/>
        <w:rPr>
          <w:lang w:eastAsia="en-IE"/>
        </w:rPr>
      </w:pPr>
      <w:r>
        <w:rPr>
          <w:lang w:eastAsia="en-IE"/>
        </w:rPr>
        <w:t>An accident while travelling (on a continuous journey) to or from work</w:t>
      </w:r>
    </w:p>
    <w:p w14:paraId="5D681CEB" w14:textId="77777777" w:rsidR="00FA13ED" w:rsidRDefault="00FA13ED" w:rsidP="00FA13ED">
      <w:pPr>
        <w:pStyle w:val="ListBullet"/>
        <w:rPr>
          <w:lang w:eastAsia="en-IE"/>
        </w:rPr>
      </w:pPr>
      <w:r>
        <w:rPr>
          <w:lang w:eastAsia="en-IE"/>
        </w:rPr>
        <w:t>A disease contracted in the course of employment or due to the work being carried out, known as an occupational disease.</w:t>
      </w:r>
    </w:p>
    <w:p w14:paraId="7E2A5CD4" w14:textId="77777777" w:rsidR="00FA13ED" w:rsidRDefault="00FA13ED" w:rsidP="005D0B46">
      <w:pPr>
        <w:rPr>
          <w:lang w:eastAsia="en-IE"/>
        </w:rPr>
      </w:pPr>
      <w:r>
        <w:rPr>
          <w:lang w:eastAsia="en-IE"/>
        </w:rPr>
        <w:t>To qualify, an individual must be unfit for work for more than six days.  However, even if an individual is unfit for work for six days or less, they can still register a claim as evidence that an occupational accident occurred. This safeguards an individual’s future rights to benefit under the Occupational Injuries Benefit Scheme, because an illness or disablement may develop at a later date.</w:t>
      </w:r>
    </w:p>
    <w:p w14:paraId="3A381BB7" w14:textId="77777777" w:rsidR="00FA13ED" w:rsidRDefault="00FA13ED" w:rsidP="005D0B46">
      <w:pPr>
        <w:rPr>
          <w:lang w:eastAsia="en-IE"/>
        </w:rPr>
      </w:pPr>
      <w:r>
        <w:rPr>
          <w:lang w:eastAsia="en-IE"/>
        </w:rPr>
        <w:t>When an accident occurred, or the occupational disease was contracted, an individual must have been employed under any of the contracts or service or apprenticeships that are insurable at particular social insurance (PRSI) classes.</w:t>
      </w:r>
    </w:p>
    <w:p w14:paraId="158C0823" w14:textId="0A54530D" w:rsidR="00B83822" w:rsidRDefault="009D6291" w:rsidP="009D6291">
      <w:pPr>
        <w:pStyle w:val="TableTitle"/>
      </w:pPr>
      <w:r>
        <w:t>Table 4: Rates of Injury Benefit</w:t>
      </w:r>
    </w:p>
    <w:tbl>
      <w:tblPr>
        <w:tblStyle w:val="TableGrid"/>
        <w:tblW w:w="0" w:type="auto"/>
        <w:tblLook w:val="04A0" w:firstRow="1" w:lastRow="0" w:firstColumn="1" w:lastColumn="0" w:noHBand="0" w:noVBand="1"/>
        <w:tblCaption w:val="Table 4: Rates of Injury Benefit"/>
        <w:tblDescription w:val="Rates of Injury Benefit"/>
      </w:tblPr>
      <w:tblGrid>
        <w:gridCol w:w="4315"/>
        <w:gridCol w:w="4315"/>
      </w:tblGrid>
      <w:tr w:rsidR="00F97322" w:rsidRPr="00AC6601" w14:paraId="58B09283" w14:textId="77777777" w:rsidTr="002115D5">
        <w:trPr>
          <w:tblHeader/>
        </w:trPr>
        <w:tc>
          <w:tcPr>
            <w:tcW w:w="4315" w:type="dxa"/>
            <w:shd w:val="clear" w:color="auto" w:fill="auto"/>
          </w:tcPr>
          <w:p w14:paraId="3820D339" w14:textId="77777777" w:rsidR="00F97322" w:rsidRDefault="00F97322" w:rsidP="002115D5">
            <w:pPr>
              <w:pStyle w:val="TableHead"/>
            </w:pPr>
          </w:p>
        </w:tc>
        <w:tc>
          <w:tcPr>
            <w:tcW w:w="4315" w:type="dxa"/>
            <w:shd w:val="clear" w:color="auto" w:fill="auto"/>
          </w:tcPr>
          <w:p w14:paraId="5E540780" w14:textId="77777777" w:rsidR="00F97322" w:rsidRPr="00AC6601" w:rsidRDefault="00F97322" w:rsidP="002115D5">
            <w:pPr>
              <w:pStyle w:val="TableHead"/>
            </w:pPr>
            <w:r>
              <w:t>Weekly rate</w:t>
            </w:r>
            <w:r w:rsidR="008F4A99">
              <w:rPr>
                <w:rStyle w:val="FootnoteReference"/>
                <w:b w:val="0"/>
              </w:rPr>
              <w:footnoteReference w:id="20"/>
            </w:r>
          </w:p>
        </w:tc>
      </w:tr>
      <w:tr w:rsidR="00F97322" w14:paraId="6529A211" w14:textId="77777777" w:rsidTr="009D6291">
        <w:tc>
          <w:tcPr>
            <w:tcW w:w="4315" w:type="dxa"/>
            <w:shd w:val="clear" w:color="auto" w:fill="auto"/>
          </w:tcPr>
          <w:p w14:paraId="08F1A3B4" w14:textId="77777777" w:rsidR="00F97322" w:rsidRPr="009D6291" w:rsidRDefault="00F97322" w:rsidP="009D6291">
            <w:pPr>
              <w:pStyle w:val="TableRowHead"/>
              <w:rPr>
                <w:rFonts w:ascii="Gill Sans MT" w:hAnsi="Gill Sans MT"/>
              </w:rPr>
            </w:pPr>
            <w:r w:rsidRPr="009D6291">
              <w:rPr>
                <w:rFonts w:ascii="Gill Sans MT" w:hAnsi="Gill Sans MT"/>
              </w:rPr>
              <w:t>Personal rate</w:t>
            </w:r>
          </w:p>
        </w:tc>
        <w:tc>
          <w:tcPr>
            <w:tcW w:w="4315" w:type="dxa"/>
            <w:shd w:val="clear" w:color="auto" w:fill="auto"/>
          </w:tcPr>
          <w:p w14:paraId="3921EA63" w14:textId="77777777" w:rsidR="00F97322" w:rsidRDefault="00F97322" w:rsidP="006718AF">
            <w:pPr>
              <w:pStyle w:val="ListBullet"/>
              <w:numPr>
                <w:ilvl w:val="0"/>
                <w:numId w:val="0"/>
              </w:numPr>
              <w:jc w:val="right"/>
            </w:pPr>
            <w:r>
              <w:t>€208.50</w:t>
            </w:r>
          </w:p>
        </w:tc>
      </w:tr>
      <w:tr w:rsidR="00F97322" w14:paraId="6316DA0A" w14:textId="77777777" w:rsidTr="009D6291">
        <w:tc>
          <w:tcPr>
            <w:tcW w:w="4315" w:type="dxa"/>
            <w:shd w:val="clear" w:color="auto" w:fill="auto"/>
          </w:tcPr>
          <w:p w14:paraId="093B58AB" w14:textId="77777777" w:rsidR="00F97322" w:rsidRPr="009D6291" w:rsidRDefault="00F97322" w:rsidP="009D6291">
            <w:pPr>
              <w:pStyle w:val="TableRowHead"/>
              <w:rPr>
                <w:rFonts w:ascii="Gill Sans MT" w:hAnsi="Gill Sans MT"/>
              </w:rPr>
            </w:pPr>
            <w:r w:rsidRPr="009D6291">
              <w:rPr>
                <w:rFonts w:ascii="Gill Sans MT" w:hAnsi="Gill Sans MT"/>
              </w:rPr>
              <w:lastRenderedPageBreak/>
              <w:t>Increase for a qualified adult</w:t>
            </w:r>
          </w:p>
        </w:tc>
        <w:tc>
          <w:tcPr>
            <w:tcW w:w="4315" w:type="dxa"/>
            <w:shd w:val="clear" w:color="auto" w:fill="auto"/>
          </w:tcPr>
          <w:p w14:paraId="44C56094" w14:textId="77777777" w:rsidR="00F97322" w:rsidRDefault="00F97322" w:rsidP="006718AF">
            <w:pPr>
              <w:pStyle w:val="ListBullet"/>
              <w:numPr>
                <w:ilvl w:val="0"/>
                <w:numId w:val="0"/>
              </w:numPr>
              <w:jc w:val="right"/>
            </w:pPr>
            <w:r>
              <w:t>€143.70</w:t>
            </w:r>
          </w:p>
        </w:tc>
      </w:tr>
      <w:tr w:rsidR="00F97322" w14:paraId="565E7B74" w14:textId="77777777" w:rsidTr="009D6291">
        <w:tc>
          <w:tcPr>
            <w:tcW w:w="4315" w:type="dxa"/>
            <w:shd w:val="clear" w:color="auto" w:fill="auto"/>
          </w:tcPr>
          <w:p w14:paraId="7EB7AE63" w14:textId="77777777" w:rsidR="00F97322" w:rsidRPr="009D6291" w:rsidRDefault="00F97322" w:rsidP="009D6291">
            <w:pPr>
              <w:pStyle w:val="TableRowHead"/>
              <w:rPr>
                <w:rFonts w:ascii="Gill Sans MT" w:hAnsi="Gill Sans MT"/>
              </w:rPr>
            </w:pPr>
            <w:r w:rsidRPr="009D6291">
              <w:rPr>
                <w:rFonts w:ascii="Gill Sans MT" w:hAnsi="Gill Sans MT"/>
              </w:rPr>
              <w:t>Increase for a qualified child under 12</w:t>
            </w:r>
          </w:p>
        </w:tc>
        <w:tc>
          <w:tcPr>
            <w:tcW w:w="4315" w:type="dxa"/>
            <w:shd w:val="clear" w:color="auto" w:fill="auto"/>
          </w:tcPr>
          <w:p w14:paraId="67A9F65C" w14:textId="77777777" w:rsidR="00F97322" w:rsidRDefault="00F97322" w:rsidP="006718AF">
            <w:pPr>
              <w:pStyle w:val="ListBullet"/>
              <w:numPr>
                <w:ilvl w:val="0"/>
                <w:numId w:val="0"/>
              </w:numPr>
              <w:jc w:val="right"/>
            </w:pPr>
            <w:r>
              <w:t>Full rate: €36.00</w:t>
            </w:r>
          </w:p>
          <w:p w14:paraId="7E5D24EC" w14:textId="77777777" w:rsidR="00F97322" w:rsidRDefault="00F97322" w:rsidP="006718AF">
            <w:pPr>
              <w:pStyle w:val="ListBullet"/>
              <w:numPr>
                <w:ilvl w:val="0"/>
                <w:numId w:val="0"/>
              </w:numPr>
              <w:jc w:val="right"/>
            </w:pPr>
            <w:r>
              <w:t>Half rate: €18.00</w:t>
            </w:r>
          </w:p>
        </w:tc>
      </w:tr>
      <w:tr w:rsidR="00F97322" w14:paraId="29AA72E8" w14:textId="77777777" w:rsidTr="009D6291">
        <w:tc>
          <w:tcPr>
            <w:tcW w:w="4315" w:type="dxa"/>
            <w:shd w:val="clear" w:color="auto" w:fill="auto"/>
          </w:tcPr>
          <w:p w14:paraId="01B2E597" w14:textId="77777777" w:rsidR="00F97322" w:rsidRPr="009D6291" w:rsidRDefault="00F97322" w:rsidP="009D6291">
            <w:pPr>
              <w:pStyle w:val="TableRowHead"/>
              <w:rPr>
                <w:rFonts w:ascii="Gill Sans MT" w:hAnsi="Gill Sans MT"/>
              </w:rPr>
            </w:pPr>
            <w:r w:rsidRPr="009D6291">
              <w:rPr>
                <w:rFonts w:ascii="Gill Sans MT" w:hAnsi="Gill Sans MT"/>
              </w:rPr>
              <w:t>Increase for a qualified child over 12</w:t>
            </w:r>
          </w:p>
        </w:tc>
        <w:tc>
          <w:tcPr>
            <w:tcW w:w="4315" w:type="dxa"/>
            <w:shd w:val="clear" w:color="auto" w:fill="auto"/>
          </w:tcPr>
          <w:p w14:paraId="471E7A2B" w14:textId="77777777" w:rsidR="00F97322" w:rsidRDefault="00F97322" w:rsidP="006718AF">
            <w:pPr>
              <w:pStyle w:val="ListBullet"/>
              <w:numPr>
                <w:ilvl w:val="0"/>
                <w:numId w:val="0"/>
              </w:numPr>
              <w:jc w:val="right"/>
            </w:pPr>
            <w:r>
              <w:t>Full rate: €40.00</w:t>
            </w:r>
          </w:p>
          <w:p w14:paraId="774192D2" w14:textId="77777777" w:rsidR="00F97322" w:rsidRDefault="00F97322" w:rsidP="006718AF">
            <w:pPr>
              <w:pStyle w:val="ListBullet"/>
              <w:numPr>
                <w:ilvl w:val="0"/>
                <w:numId w:val="0"/>
              </w:numPr>
              <w:jc w:val="right"/>
            </w:pPr>
            <w:r>
              <w:t>Half rate: €20.00</w:t>
            </w:r>
          </w:p>
        </w:tc>
      </w:tr>
    </w:tbl>
    <w:p w14:paraId="0B07086C" w14:textId="3ACBBCAC" w:rsidR="00952991" w:rsidRDefault="009D6291" w:rsidP="009D6291">
      <w:pPr>
        <w:pStyle w:val="TableNote"/>
        <w:rPr>
          <w:shd w:val="clear" w:color="auto" w:fill="FFFFFF"/>
        </w:rPr>
      </w:pPr>
      <w:r>
        <w:rPr>
          <w:shd w:val="clear" w:color="auto" w:fill="FFFFFF"/>
        </w:rPr>
        <w:t>Source:</w:t>
      </w:r>
    </w:p>
    <w:p w14:paraId="27DADE6B" w14:textId="77777777" w:rsidR="00B83822" w:rsidRPr="002D470A" w:rsidRDefault="00B83822" w:rsidP="005D0B46">
      <w:pPr>
        <w:rPr>
          <w:szCs w:val="26"/>
          <w:shd w:val="clear" w:color="auto" w:fill="FFFFFF"/>
        </w:rPr>
      </w:pPr>
      <w:r w:rsidRPr="00F97322">
        <w:rPr>
          <w:szCs w:val="26"/>
          <w:shd w:val="clear" w:color="auto" w:fill="FFFFFF"/>
        </w:rPr>
        <w:t xml:space="preserve">Depending on their circumstances, some or all of an individual’s Illness Benefit payment may be subject to income tax. Social insurance (PRSI) and USC are not charged on </w:t>
      </w:r>
      <w:r w:rsidRPr="002D470A">
        <w:rPr>
          <w:szCs w:val="26"/>
          <w:shd w:val="clear" w:color="auto" w:fill="FFFFFF"/>
        </w:rPr>
        <w:t>this payment.</w:t>
      </w:r>
    </w:p>
    <w:p w14:paraId="129377C8" w14:textId="77777777" w:rsidR="00FA13ED" w:rsidRPr="002D470A" w:rsidRDefault="005857FF" w:rsidP="005D0B46">
      <w:pPr>
        <w:rPr>
          <w:szCs w:val="26"/>
        </w:rPr>
      </w:pPr>
      <w:r w:rsidRPr="002D470A">
        <w:rPr>
          <w:szCs w:val="26"/>
          <w:shd w:val="clear" w:color="auto" w:fill="FFFFFF"/>
        </w:rPr>
        <w:t>€</w:t>
      </w:r>
      <w:r w:rsidR="00A1022E" w:rsidRPr="002D470A">
        <w:rPr>
          <w:szCs w:val="26"/>
          <w:shd w:val="clear" w:color="auto" w:fill="FFFFFF"/>
        </w:rPr>
        <w:t>17.85 million was</w:t>
      </w:r>
      <w:r w:rsidRPr="002D470A">
        <w:rPr>
          <w:szCs w:val="26"/>
          <w:shd w:val="clear" w:color="auto" w:fill="FFFFFF"/>
        </w:rPr>
        <w:t xml:space="preserve"> spent on Injury Benefit in 2018. There were 938 recipients, with 1,166 beneficiaries.</w:t>
      </w:r>
      <w:r w:rsidR="00243197" w:rsidRPr="002D470A">
        <w:rPr>
          <w:szCs w:val="26"/>
          <w:shd w:val="clear" w:color="auto" w:fill="FFFFFF"/>
        </w:rPr>
        <w:t xml:space="preserve"> 321 of recipients were female and 617 were male</w:t>
      </w:r>
      <w:r w:rsidR="002D470A">
        <w:rPr>
          <w:szCs w:val="26"/>
          <w:shd w:val="clear" w:color="auto" w:fill="FFFFFF"/>
        </w:rPr>
        <w:t>.</w:t>
      </w:r>
      <w:r w:rsidR="002E1027">
        <w:rPr>
          <w:rStyle w:val="FootnoteReference"/>
          <w:szCs w:val="26"/>
          <w:shd w:val="clear" w:color="auto" w:fill="FFFFFF"/>
        </w:rPr>
        <w:footnoteReference w:id="21"/>
      </w:r>
    </w:p>
    <w:p w14:paraId="3E66DD04" w14:textId="77777777" w:rsidR="00937F23" w:rsidRDefault="00937F23" w:rsidP="00DB4C84">
      <w:pPr>
        <w:pStyle w:val="Heading2"/>
      </w:pPr>
      <w:bookmarkStart w:id="18" w:name="_Toc66171833"/>
      <w:r>
        <w:t>Disablement Benefit</w:t>
      </w:r>
      <w:bookmarkEnd w:id="18"/>
    </w:p>
    <w:p w14:paraId="0B39C67C" w14:textId="77777777" w:rsidR="00937F23" w:rsidRDefault="00937F23" w:rsidP="00937F23">
      <w:r>
        <w:t xml:space="preserve">Disablement Benefit is paid if an individual loses certain physical or mental abilities as a result of something that happened to them because of their work, or while they were travelling to or from work. </w:t>
      </w:r>
    </w:p>
    <w:p w14:paraId="42804954" w14:textId="77777777" w:rsidR="00937F23" w:rsidRDefault="00937F23" w:rsidP="00937F23">
      <w:r>
        <w:t xml:space="preserve">This benefit is paid as a lump sum or a regular pension, depending on the severity of the disability and the length of time the injury or illness is expected to last.  </w:t>
      </w:r>
    </w:p>
    <w:p w14:paraId="4E8A03E4" w14:textId="77777777" w:rsidR="00937F23" w:rsidRDefault="00937F23" w:rsidP="00937F23">
      <w:r>
        <w:t>To qualify, an individual must have worked and paid social insurance (PRSI) contributions, and lost physical or mental ability because of:</w:t>
      </w:r>
    </w:p>
    <w:p w14:paraId="1FC41CA5" w14:textId="77777777" w:rsidR="00937F23" w:rsidRDefault="00937F23" w:rsidP="00937F23">
      <w:pPr>
        <w:pStyle w:val="ListBullet"/>
      </w:pPr>
      <w:r>
        <w:t>An accident at work</w:t>
      </w:r>
    </w:p>
    <w:p w14:paraId="418B9F1D" w14:textId="77777777" w:rsidR="00937F23" w:rsidRDefault="00937F23" w:rsidP="00937F23">
      <w:pPr>
        <w:pStyle w:val="ListBullet"/>
      </w:pPr>
      <w:r>
        <w:lastRenderedPageBreak/>
        <w:t>A commuter accident on a direct route between their home and workplace</w:t>
      </w:r>
    </w:p>
    <w:p w14:paraId="2463E5B7" w14:textId="77777777" w:rsidR="00937F23" w:rsidRDefault="00937F23" w:rsidP="00937F23">
      <w:pPr>
        <w:pStyle w:val="ListBullet"/>
      </w:pPr>
      <w:r>
        <w:t>Contracting a listed disease at work.</w:t>
      </w:r>
    </w:p>
    <w:p w14:paraId="27707094" w14:textId="77777777" w:rsidR="0027655E" w:rsidRPr="0027655E" w:rsidRDefault="0027655E" w:rsidP="0027655E">
      <w:pPr>
        <w:pStyle w:val="ListBullet"/>
        <w:numPr>
          <w:ilvl w:val="0"/>
          <w:numId w:val="0"/>
        </w:numPr>
        <w:rPr>
          <w:lang w:eastAsia="en-IE"/>
        </w:rPr>
      </w:pPr>
      <w:r>
        <w:rPr>
          <w:lang w:eastAsia="en-IE"/>
        </w:rPr>
        <w:t>A</w:t>
      </w:r>
      <w:r w:rsidRPr="0027655E">
        <w:rPr>
          <w:lang w:eastAsia="en-IE"/>
        </w:rPr>
        <w:t xml:space="preserve"> payment depends on the degree of </w:t>
      </w:r>
      <w:r>
        <w:rPr>
          <w:lang w:eastAsia="en-IE"/>
        </w:rPr>
        <w:t>an individual’s</w:t>
      </w:r>
      <w:r w:rsidRPr="0027655E">
        <w:rPr>
          <w:lang w:eastAsia="en-IE"/>
        </w:rPr>
        <w:t xml:space="preserve"> disablement, which</w:t>
      </w:r>
      <w:r>
        <w:rPr>
          <w:lang w:eastAsia="en-IE"/>
        </w:rPr>
        <w:t xml:space="preserve"> will be medically assessed. If a person is</w:t>
      </w:r>
      <w:r w:rsidRPr="0027655E">
        <w:rPr>
          <w:lang w:eastAsia="en-IE"/>
        </w:rPr>
        <w:t xml:space="preserve"> assessed as being disabled by less than 20% of </w:t>
      </w:r>
      <w:r>
        <w:rPr>
          <w:lang w:eastAsia="en-IE"/>
        </w:rPr>
        <w:t>‘</w:t>
      </w:r>
      <w:r w:rsidRPr="0027655E">
        <w:rPr>
          <w:lang w:eastAsia="en-IE"/>
        </w:rPr>
        <w:t>normal ability</w:t>
      </w:r>
      <w:r>
        <w:rPr>
          <w:lang w:eastAsia="en-IE"/>
        </w:rPr>
        <w:t>’</w:t>
      </w:r>
      <w:r>
        <w:rPr>
          <w:rStyle w:val="FootnoteReference"/>
          <w:lang w:eastAsia="en-IE"/>
        </w:rPr>
        <w:footnoteReference w:id="22"/>
      </w:r>
      <w:r w:rsidRPr="0027655E">
        <w:rPr>
          <w:lang w:eastAsia="en-IE"/>
        </w:rPr>
        <w:t>, Disablement Benefit will normally be a lump sum.</w:t>
      </w:r>
    </w:p>
    <w:p w14:paraId="1F9BA21A" w14:textId="77777777" w:rsidR="0027655E" w:rsidRPr="0027655E" w:rsidRDefault="0027655E" w:rsidP="005D0B46">
      <w:pPr>
        <w:rPr>
          <w:lang w:eastAsia="en-IE"/>
        </w:rPr>
      </w:pPr>
      <w:r w:rsidRPr="0027655E">
        <w:rPr>
          <w:lang w:eastAsia="en-IE"/>
        </w:rPr>
        <w:t xml:space="preserve">The size of the lump sum varies depending on the degree of disablement and how long </w:t>
      </w:r>
      <w:r>
        <w:rPr>
          <w:lang w:eastAsia="en-IE"/>
        </w:rPr>
        <w:t>an individual</w:t>
      </w:r>
      <w:r w:rsidRPr="0027655E">
        <w:rPr>
          <w:lang w:eastAsia="en-IE"/>
        </w:rPr>
        <w:t xml:space="preserve"> expect</w:t>
      </w:r>
      <w:r>
        <w:rPr>
          <w:lang w:eastAsia="en-IE"/>
        </w:rPr>
        <w:t>s</w:t>
      </w:r>
      <w:r w:rsidRPr="0027655E">
        <w:rPr>
          <w:lang w:eastAsia="en-IE"/>
        </w:rPr>
        <w:t xml:space="preserve"> to be disabled. For assessments of 20% upwards, </w:t>
      </w:r>
      <w:r>
        <w:rPr>
          <w:lang w:eastAsia="en-IE"/>
        </w:rPr>
        <w:t>the Department of Employment Affairs and Social Protection</w:t>
      </w:r>
      <w:r w:rsidRPr="0027655E">
        <w:rPr>
          <w:lang w:eastAsia="en-IE"/>
        </w:rPr>
        <w:t xml:space="preserve"> will pay </w:t>
      </w:r>
      <w:r>
        <w:rPr>
          <w:lang w:eastAsia="en-IE"/>
        </w:rPr>
        <w:t xml:space="preserve">the Disablement Benefit by means of </w:t>
      </w:r>
      <w:r w:rsidRPr="0027655E">
        <w:rPr>
          <w:lang w:eastAsia="en-IE"/>
        </w:rPr>
        <w:t>a pension.</w:t>
      </w:r>
    </w:p>
    <w:p w14:paraId="30A68C19" w14:textId="77777777" w:rsidR="0027655E" w:rsidRDefault="0027655E" w:rsidP="005D0B46">
      <w:pPr>
        <w:rPr>
          <w:lang w:eastAsia="en-IE"/>
        </w:rPr>
      </w:pPr>
      <w:r>
        <w:rPr>
          <w:lang w:eastAsia="en-IE"/>
        </w:rPr>
        <w:t>If an individual has</w:t>
      </w:r>
      <w:r w:rsidRPr="0027655E">
        <w:rPr>
          <w:lang w:eastAsia="en-IE"/>
        </w:rPr>
        <w:t xml:space="preserve"> 100% disablement, </w:t>
      </w:r>
      <w:r>
        <w:rPr>
          <w:lang w:eastAsia="en-IE"/>
        </w:rPr>
        <w:t>their</w:t>
      </w:r>
      <w:r w:rsidRPr="0027655E">
        <w:rPr>
          <w:lang w:eastAsia="en-IE"/>
        </w:rPr>
        <w:t xml:space="preserve"> personal pension is €234 per week. For cases between 20-90% disablement, personal pension</w:t>
      </w:r>
      <w:r>
        <w:rPr>
          <w:lang w:eastAsia="en-IE"/>
        </w:rPr>
        <w:t>s are</w:t>
      </w:r>
      <w:r w:rsidRPr="0027655E">
        <w:rPr>
          <w:lang w:eastAsia="en-IE"/>
        </w:rPr>
        <w:t xml:space="preserve"> as follows:</w:t>
      </w:r>
    </w:p>
    <w:p w14:paraId="00596DF5" w14:textId="41EB3A39" w:rsidR="0027655E" w:rsidRDefault="004F08D8" w:rsidP="004F08D8">
      <w:pPr>
        <w:pStyle w:val="TableTitle"/>
        <w:rPr>
          <w:lang w:eastAsia="en-IE"/>
        </w:rPr>
      </w:pPr>
      <w:r>
        <w:t>Table 5: Rates of Disablement Benefit</w:t>
      </w:r>
    </w:p>
    <w:tbl>
      <w:tblPr>
        <w:tblStyle w:val="TableGrid"/>
        <w:tblW w:w="0" w:type="auto"/>
        <w:tblLook w:val="04A0" w:firstRow="1" w:lastRow="0" w:firstColumn="1" w:lastColumn="0" w:noHBand="0" w:noVBand="1"/>
        <w:tblCaption w:val="Table 5: Rates of Disablement Benefit"/>
        <w:tblDescription w:val="Rates of Disablement Benefit"/>
      </w:tblPr>
      <w:tblGrid>
        <w:gridCol w:w="4315"/>
        <w:gridCol w:w="4315"/>
      </w:tblGrid>
      <w:tr w:rsidR="0027655E" w14:paraId="770FCFB9" w14:textId="77777777" w:rsidTr="002115D5">
        <w:trPr>
          <w:tblHeader/>
        </w:trPr>
        <w:tc>
          <w:tcPr>
            <w:tcW w:w="4315" w:type="dxa"/>
            <w:shd w:val="clear" w:color="auto" w:fill="auto"/>
          </w:tcPr>
          <w:p w14:paraId="01DBFF70" w14:textId="77777777" w:rsidR="0027655E" w:rsidRPr="0027655E" w:rsidRDefault="0027655E" w:rsidP="002115D5">
            <w:pPr>
              <w:pStyle w:val="TableHead"/>
              <w:rPr>
                <w:lang w:eastAsia="en-IE"/>
              </w:rPr>
            </w:pPr>
            <w:r>
              <w:rPr>
                <w:lang w:eastAsia="en-IE"/>
              </w:rPr>
              <w:t>Level of disablement</w:t>
            </w:r>
          </w:p>
        </w:tc>
        <w:tc>
          <w:tcPr>
            <w:tcW w:w="4315" w:type="dxa"/>
            <w:shd w:val="clear" w:color="auto" w:fill="auto"/>
          </w:tcPr>
          <w:p w14:paraId="6FE31E57" w14:textId="77777777" w:rsidR="0027655E" w:rsidRPr="0027655E" w:rsidRDefault="0027655E" w:rsidP="002115D5">
            <w:pPr>
              <w:pStyle w:val="TableHead"/>
              <w:rPr>
                <w:lang w:eastAsia="en-IE"/>
              </w:rPr>
            </w:pPr>
            <w:r w:rsidRPr="0027655E">
              <w:rPr>
                <w:lang w:eastAsia="en-IE"/>
              </w:rPr>
              <w:t>Weekly pension</w:t>
            </w:r>
            <w:r w:rsidR="008F4A99">
              <w:rPr>
                <w:rStyle w:val="FootnoteReference"/>
                <w:b w:val="0"/>
                <w:lang w:eastAsia="en-IE"/>
              </w:rPr>
              <w:footnoteReference w:id="23"/>
            </w:r>
          </w:p>
        </w:tc>
      </w:tr>
      <w:tr w:rsidR="0027655E" w14:paraId="19385159" w14:textId="77777777" w:rsidTr="004F08D8">
        <w:tc>
          <w:tcPr>
            <w:tcW w:w="4315" w:type="dxa"/>
            <w:shd w:val="clear" w:color="auto" w:fill="auto"/>
          </w:tcPr>
          <w:p w14:paraId="34A0EE5C" w14:textId="77777777" w:rsidR="0027655E" w:rsidRPr="004F08D8" w:rsidRDefault="0027655E" w:rsidP="004F08D8">
            <w:pPr>
              <w:pStyle w:val="TableRowHead"/>
              <w:rPr>
                <w:rFonts w:ascii="Gill Sans MT" w:hAnsi="Gill Sans MT"/>
                <w:lang w:eastAsia="en-IE"/>
              </w:rPr>
            </w:pPr>
            <w:r w:rsidRPr="004F08D8">
              <w:rPr>
                <w:rFonts w:ascii="Gill Sans MT" w:hAnsi="Gill Sans MT"/>
                <w:lang w:eastAsia="en-IE"/>
              </w:rPr>
              <w:t>100%</w:t>
            </w:r>
          </w:p>
        </w:tc>
        <w:tc>
          <w:tcPr>
            <w:tcW w:w="4315" w:type="dxa"/>
            <w:shd w:val="clear" w:color="auto" w:fill="auto"/>
          </w:tcPr>
          <w:p w14:paraId="1CE50688" w14:textId="77777777" w:rsidR="0027655E" w:rsidRDefault="007D2401" w:rsidP="006718AF">
            <w:pPr>
              <w:pStyle w:val="ListBullet"/>
              <w:numPr>
                <w:ilvl w:val="0"/>
                <w:numId w:val="0"/>
              </w:numPr>
              <w:jc w:val="right"/>
              <w:rPr>
                <w:lang w:eastAsia="en-IE"/>
              </w:rPr>
            </w:pPr>
            <w:r>
              <w:rPr>
                <w:lang w:eastAsia="en-IE"/>
              </w:rPr>
              <w:t>€234.00</w:t>
            </w:r>
          </w:p>
        </w:tc>
      </w:tr>
      <w:tr w:rsidR="0027655E" w14:paraId="7D559125" w14:textId="77777777" w:rsidTr="004F08D8">
        <w:tc>
          <w:tcPr>
            <w:tcW w:w="4315" w:type="dxa"/>
            <w:shd w:val="clear" w:color="auto" w:fill="auto"/>
          </w:tcPr>
          <w:p w14:paraId="209570D1" w14:textId="77777777" w:rsidR="0027655E" w:rsidRPr="004F08D8" w:rsidRDefault="0027655E" w:rsidP="004F08D8">
            <w:pPr>
              <w:pStyle w:val="TableRowHead"/>
              <w:rPr>
                <w:rFonts w:ascii="Gill Sans MT" w:hAnsi="Gill Sans MT"/>
                <w:lang w:eastAsia="en-IE"/>
              </w:rPr>
            </w:pPr>
            <w:r w:rsidRPr="004F08D8">
              <w:rPr>
                <w:rFonts w:ascii="Gill Sans MT" w:hAnsi="Gill Sans MT"/>
                <w:lang w:eastAsia="en-IE"/>
              </w:rPr>
              <w:t>90%</w:t>
            </w:r>
          </w:p>
        </w:tc>
        <w:tc>
          <w:tcPr>
            <w:tcW w:w="4315" w:type="dxa"/>
            <w:shd w:val="clear" w:color="auto" w:fill="auto"/>
          </w:tcPr>
          <w:p w14:paraId="2015BF38" w14:textId="77777777" w:rsidR="0027655E" w:rsidRDefault="007D2401" w:rsidP="006718AF">
            <w:pPr>
              <w:pStyle w:val="ListBullet"/>
              <w:numPr>
                <w:ilvl w:val="0"/>
                <w:numId w:val="0"/>
              </w:numPr>
              <w:jc w:val="right"/>
              <w:rPr>
                <w:lang w:eastAsia="en-IE"/>
              </w:rPr>
            </w:pPr>
            <w:r>
              <w:rPr>
                <w:lang w:eastAsia="en-IE"/>
              </w:rPr>
              <w:t>€210.60</w:t>
            </w:r>
          </w:p>
        </w:tc>
      </w:tr>
      <w:tr w:rsidR="0027655E" w14:paraId="7AB80E1F" w14:textId="77777777" w:rsidTr="004F08D8">
        <w:tc>
          <w:tcPr>
            <w:tcW w:w="4315" w:type="dxa"/>
            <w:shd w:val="clear" w:color="auto" w:fill="auto"/>
          </w:tcPr>
          <w:p w14:paraId="56AE356C" w14:textId="77777777" w:rsidR="0027655E" w:rsidRPr="004F08D8" w:rsidRDefault="0027655E" w:rsidP="004F08D8">
            <w:pPr>
              <w:pStyle w:val="TableRowHead"/>
              <w:rPr>
                <w:rFonts w:ascii="Gill Sans MT" w:hAnsi="Gill Sans MT"/>
                <w:lang w:eastAsia="en-IE"/>
              </w:rPr>
            </w:pPr>
            <w:r w:rsidRPr="004F08D8">
              <w:rPr>
                <w:rFonts w:ascii="Gill Sans MT" w:hAnsi="Gill Sans MT"/>
                <w:lang w:eastAsia="en-IE"/>
              </w:rPr>
              <w:t>80%</w:t>
            </w:r>
          </w:p>
        </w:tc>
        <w:tc>
          <w:tcPr>
            <w:tcW w:w="4315" w:type="dxa"/>
            <w:shd w:val="clear" w:color="auto" w:fill="auto"/>
          </w:tcPr>
          <w:p w14:paraId="7444492C" w14:textId="77777777" w:rsidR="0027655E" w:rsidRDefault="007D2401" w:rsidP="006718AF">
            <w:pPr>
              <w:pStyle w:val="ListBullet"/>
              <w:numPr>
                <w:ilvl w:val="0"/>
                <w:numId w:val="0"/>
              </w:numPr>
              <w:jc w:val="right"/>
              <w:rPr>
                <w:lang w:eastAsia="en-IE"/>
              </w:rPr>
            </w:pPr>
            <w:r>
              <w:rPr>
                <w:lang w:eastAsia="en-IE"/>
              </w:rPr>
              <w:t>€187.20</w:t>
            </w:r>
          </w:p>
        </w:tc>
      </w:tr>
      <w:tr w:rsidR="0027655E" w14:paraId="26C80870" w14:textId="77777777" w:rsidTr="004F08D8">
        <w:tc>
          <w:tcPr>
            <w:tcW w:w="4315" w:type="dxa"/>
            <w:shd w:val="clear" w:color="auto" w:fill="auto"/>
          </w:tcPr>
          <w:p w14:paraId="0202C642" w14:textId="77777777" w:rsidR="0027655E" w:rsidRPr="004F08D8" w:rsidRDefault="0027655E" w:rsidP="004F08D8">
            <w:pPr>
              <w:pStyle w:val="TableRowHead"/>
              <w:rPr>
                <w:rFonts w:ascii="Gill Sans MT" w:hAnsi="Gill Sans MT"/>
                <w:lang w:eastAsia="en-IE"/>
              </w:rPr>
            </w:pPr>
            <w:r w:rsidRPr="004F08D8">
              <w:rPr>
                <w:rFonts w:ascii="Gill Sans MT" w:hAnsi="Gill Sans MT"/>
                <w:lang w:eastAsia="en-IE"/>
              </w:rPr>
              <w:t>70%</w:t>
            </w:r>
          </w:p>
        </w:tc>
        <w:tc>
          <w:tcPr>
            <w:tcW w:w="4315" w:type="dxa"/>
            <w:shd w:val="clear" w:color="auto" w:fill="auto"/>
          </w:tcPr>
          <w:p w14:paraId="3F7C835B" w14:textId="77777777" w:rsidR="0027655E" w:rsidRDefault="007D2401" w:rsidP="006718AF">
            <w:pPr>
              <w:pStyle w:val="ListBullet"/>
              <w:numPr>
                <w:ilvl w:val="0"/>
                <w:numId w:val="0"/>
              </w:numPr>
              <w:jc w:val="right"/>
              <w:rPr>
                <w:lang w:eastAsia="en-IE"/>
              </w:rPr>
            </w:pPr>
            <w:r>
              <w:rPr>
                <w:lang w:eastAsia="en-IE"/>
              </w:rPr>
              <w:t>€163.80</w:t>
            </w:r>
          </w:p>
        </w:tc>
      </w:tr>
      <w:tr w:rsidR="0027655E" w14:paraId="5C085C80" w14:textId="77777777" w:rsidTr="004F08D8">
        <w:tc>
          <w:tcPr>
            <w:tcW w:w="4315" w:type="dxa"/>
            <w:shd w:val="clear" w:color="auto" w:fill="auto"/>
          </w:tcPr>
          <w:p w14:paraId="62F87B04" w14:textId="77777777" w:rsidR="0027655E" w:rsidRPr="004F08D8" w:rsidRDefault="0027655E" w:rsidP="004F08D8">
            <w:pPr>
              <w:pStyle w:val="TableRowHead"/>
              <w:rPr>
                <w:rFonts w:ascii="Gill Sans MT" w:hAnsi="Gill Sans MT"/>
                <w:lang w:eastAsia="en-IE"/>
              </w:rPr>
            </w:pPr>
            <w:r w:rsidRPr="004F08D8">
              <w:rPr>
                <w:rFonts w:ascii="Gill Sans MT" w:hAnsi="Gill Sans MT"/>
                <w:lang w:eastAsia="en-IE"/>
              </w:rPr>
              <w:t>60%</w:t>
            </w:r>
          </w:p>
        </w:tc>
        <w:tc>
          <w:tcPr>
            <w:tcW w:w="4315" w:type="dxa"/>
            <w:shd w:val="clear" w:color="auto" w:fill="auto"/>
          </w:tcPr>
          <w:p w14:paraId="7194297C" w14:textId="77777777" w:rsidR="0027655E" w:rsidRDefault="007D2401" w:rsidP="006718AF">
            <w:pPr>
              <w:pStyle w:val="ListBullet"/>
              <w:numPr>
                <w:ilvl w:val="0"/>
                <w:numId w:val="0"/>
              </w:numPr>
              <w:jc w:val="right"/>
              <w:rPr>
                <w:lang w:eastAsia="en-IE"/>
              </w:rPr>
            </w:pPr>
            <w:r>
              <w:rPr>
                <w:lang w:eastAsia="en-IE"/>
              </w:rPr>
              <w:t>€140.40</w:t>
            </w:r>
          </w:p>
        </w:tc>
      </w:tr>
      <w:tr w:rsidR="0027655E" w14:paraId="43CE1222" w14:textId="77777777" w:rsidTr="004F08D8">
        <w:tc>
          <w:tcPr>
            <w:tcW w:w="4315" w:type="dxa"/>
            <w:shd w:val="clear" w:color="auto" w:fill="auto"/>
          </w:tcPr>
          <w:p w14:paraId="47D18E6A" w14:textId="77777777" w:rsidR="0027655E" w:rsidRPr="004F08D8" w:rsidRDefault="0027655E" w:rsidP="004F08D8">
            <w:pPr>
              <w:pStyle w:val="TableRowHead"/>
              <w:rPr>
                <w:rFonts w:ascii="Gill Sans MT" w:hAnsi="Gill Sans MT"/>
                <w:lang w:eastAsia="en-IE"/>
              </w:rPr>
            </w:pPr>
            <w:r w:rsidRPr="004F08D8">
              <w:rPr>
                <w:rFonts w:ascii="Gill Sans MT" w:hAnsi="Gill Sans MT"/>
                <w:lang w:eastAsia="en-IE"/>
              </w:rPr>
              <w:t>50%</w:t>
            </w:r>
          </w:p>
        </w:tc>
        <w:tc>
          <w:tcPr>
            <w:tcW w:w="4315" w:type="dxa"/>
            <w:shd w:val="clear" w:color="auto" w:fill="auto"/>
          </w:tcPr>
          <w:p w14:paraId="4D515245" w14:textId="77777777" w:rsidR="0027655E" w:rsidRDefault="007D2401" w:rsidP="006718AF">
            <w:pPr>
              <w:pStyle w:val="ListBullet"/>
              <w:numPr>
                <w:ilvl w:val="0"/>
                <w:numId w:val="0"/>
              </w:numPr>
              <w:jc w:val="right"/>
              <w:rPr>
                <w:lang w:eastAsia="en-IE"/>
              </w:rPr>
            </w:pPr>
            <w:r>
              <w:rPr>
                <w:lang w:eastAsia="en-IE"/>
              </w:rPr>
              <w:t>€117.00</w:t>
            </w:r>
          </w:p>
        </w:tc>
      </w:tr>
      <w:tr w:rsidR="0027655E" w14:paraId="40D980FD" w14:textId="77777777" w:rsidTr="004F08D8">
        <w:tc>
          <w:tcPr>
            <w:tcW w:w="4315" w:type="dxa"/>
            <w:shd w:val="clear" w:color="auto" w:fill="auto"/>
          </w:tcPr>
          <w:p w14:paraId="539A7FDC" w14:textId="77777777" w:rsidR="0027655E" w:rsidRPr="004F08D8" w:rsidRDefault="0027655E" w:rsidP="004F08D8">
            <w:pPr>
              <w:pStyle w:val="TableRowHead"/>
              <w:rPr>
                <w:rFonts w:ascii="Gill Sans MT" w:hAnsi="Gill Sans MT"/>
                <w:lang w:eastAsia="en-IE"/>
              </w:rPr>
            </w:pPr>
            <w:r w:rsidRPr="004F08D8">
              <w:rPr>
                <w:rFonts w:ascii="Gill Sans MT" w:hAnsi="Gill Sans MT"/>
                <w:lang w:eastAsia="en-IE"/>
              </w:rPr>
              <w:t>40%</w:t>
            </w:r>
          </w:p>
        </w:tc>
        <w:tc>
          <w:tcPr>
            <w:tcW w:w="4315" w:type="dxa"/>
            <w:shd w:val="clear" w:color="auto" w:fill="auto"/>
          </w:tcPr>
          <w:p w14:paraId="69280F22" w14:textId="77777777" w:rsidR="0027655E" w:rsidRDefault="007D2401" w:rsidP="006718AF">
            <w:pPr>
              <w:pStyle w:val="ListBullet"/>
              <w:numPr>
                <w:ilvl w:val="0"/>
                <w:numId w:val="0"/>
              </w:numPr>
              <w:jc w:val="right"/>
              <w:rPr>
                <w:lang w:eastAsia="en-IE"/>
              </w:rPr>
            </w:pPr>
            <w:r>
              <w:rPr>
                <w:lang w:eastAsia="en-IE"/>
              </w:rPr>
              <w:t>€93.60</w:t>
            </w:r>
          </w:p>
        </w:tc>
      </w:tr>
      <w:tr w:rsidR="0027655E" w14:paraId="6C75B8C8" w14:textId="77777777" w:rsidTr="004F08D8">
        <w:tc>
          <w:tcPr>
            <w:tcW w:w="4315" w:type="dxa"/>
            <w:shd w:val="clear" w:color="auto" w:fill="auto"/>
          </w:tcPr>
          <w:p w14:paraId="73364A7D" w14:textId="77777777" w:rsidR="0027655E" w:rsidRPr="004F08D8" w:rsidRDefault="0027655E" w:rsidP="004F08D8">
            <w:pPr>
              <w:pStyle w:val="TableRowHead"/>
              <w:rPr>
                <w:rFonts w:ascii="Gill Sans MT" w:hAnsi="Gill Sans MT"/>
                <w:lang w:eastAsia="en-IE"/>
              </w:rPr>
            </w:pPr>
            <w:r w:rsidRPr="004F08D8">
              <w:rPr>
                <w:rFonts w:ascii="Gill Sans MT" w:hAnsi="Gill Sans MT"/>
                <w:lang w:eastAsia="en-IE"/>
              </w:rPr>
              <w:lastRenderedPageBreak/>
              <w:t>30%</w:t>
            </w:r>
          </w:p>
        </w:tc>
        <w:tc>
          <w:tcPr>
            <w:tcW w:w="4315" w:type="dxa"/>
            <w:shd w:val="clear" w:color="auto" w:fill="auto"/>
          </w:tcPr>
          <w:p w14:paraId="04D4A2C9" w14:textId="77777777" w:rsidR="0027655E" w:rsidRDefault="007D2401" w:rsidP="006718AF">
            <w:pPr>
              <w:pStyle w:val="ListBullet"/>
              <w:numPr>
                <w:ilvl w:val="0"/>
                <w:numId w:val="0"/>
              </w:numPr>
              <w:jc w:val="right"/>
              <w:rPr>
                <w:lang w:eastAsia="en-IE"/>
              </w:rPr>
            </w:pPr>
            <w:r>
              <w:rPr>
                <w:lang w:eastAsia="en-IE"/>
              </w:rPr>
              <w:t>€70.20</w:t>
            </w:r>
          </w:p>
        </w:tc>
      </w:tr>
      <w:tr w:rsidR="0027655E" w14:paraId="20D2F327" w14:textId="77777777" w:rsidTr="004F08D8">
        <w:tc>
          <w:tcPr>
            <w:tcW w:w="4315" w:type="dxa"/>
            <w:shd w:val="clear" w:color="auto" w:fill="auto"/>
          </w:tcPr>
          <w:p w14:paraId="7B3EC099" w14:textId="77777777" w:rsidR="0027655E" w:rsidRPr="004F08D8" w:rsidRDefault="0027655E" w:rsidP="004F08D8">
            <w:pPr>
              <w:pStyle w:val="TableRowHead"/>
              <w:rPr>
                <w:rFonts w:ascii="Gill Sans MT" w:hAnsi="Gill Sans MT"/>
                <w:lang w:eastAsia="en-IE"/>
              </w:rPr>
            </w:pPr>
            <w:r w:rsidRPr="004F08D8">
              <w:rPr>
                <w:rFonts w:ascii="Gill Sans MT" w:hAnsi="Gill Sans MT"/>
                <w:lang w:eastAsia="en-IE"/>
              </w:rPr>
              <w:t>20%</w:t>
            </w:r>
          </w:p>
        </w:tc>
        <w:tc>
          <w:tcPr>
            <w:tcW w:w="4315" w:type="dxa"/>
            <w:shd w:val="clear" w:color="auto" w:fill="auto"/>
          </w:tcPr>
          <w:p w14:paraId="316F95CF" w14:textId="77777777" w:rsidR="0027655E" w:rsidRDefault="007D2401" w:rsidP="006718AF">
            <w:pPr>
              <w:pStyle w:val="ListBullet"/>
              <w:numPr>
                <w:ilvl w:val="0"/>
                <w:numId w:val="0"/>
              </w:numPr>
              <w:jc w:val="right"/>
              <w:rPr>
                <w:lang w:eastAsia="en-IE"/>
              </w:rPr>
            </w:pPr>
            <w:r>
              <w:rPr>
                <w:lang w:eastAsia="en-IE"/>
              </w:rPr>
              <w:t>€46.80</w:t>
            </w:r>
          </w:p>
        </w:tc>
      </w:tr>
    </w:tbl>
    <w:p w14:paraId="57C6E78C" w14:textId="4B8BA04C" w:rsidR="002D470A" w:rsidRDefault="004F08D8" w:rsidP="004F08D8">
      <w:pPr>
        <w:pStyle w:val="TableNote"/>
        <w:rPr>
          <w:shd w:val="clear" w:color="auto" w:fill="FFFFFF"/>
        </w:rPr>
      </w:pPr>
      <w:r>
        <w:rPr>
          <w:shd w:val="clear" w:color="auto" w:fill="FFFFFF"/>
        </w:rPr>
        <w:t>Source:</w:t>
      </w:r>
    </w:p>
    <w:p w14:paraId="04ADD189" w14:textId="77777777" w:rsidR="0027655E" w:rsidRPr="0027655E" w:rsidRDefault="005857FF" w:rsidP="005D0B46">
      <w:pPr>
        <w:rPr>
          <w:lang w:eastAsia="en-IE"/>
        </w:rPr>
      </w:pPr>
      <w:r w:rsidRPr="00B83822">
        <w:rPr>
          <w:shd w:val="clear" w:color="auto" w:fill="FFFFFF"/>
        </w:rPr>
        <w:t>€</w:t>
      </w:r>
      <w:r w:rsidR="000B71CB">
        <w:rPr>
          <w:lang w:eastAsia="en-IE"/>
        </w:rPr>
        <w:t>76.50 million was spent on Disablement Benefit in 2018</w:t>
      </w:r>
      <w:r>
        <w:rPr>
          <w:lang w:eastAsia="en-IE"/>
        </w:rPr>
        <w:t>. It</w:t>
      </w:r>
      <w:r w:rsidR="002D470A">
        <w:rPr>
          <w:lang w:eastAsia="en-IE"/>
        </w:rPr>
        <w:t xml:space="preserve"> was paid to 14,675 recipients.</w:t>
      </w:r>
      <w:r w:rsidR="002E1027">
        <w:rPr>
          <w:rStyle w:val="FootnoteReference"/>
          <w:lang w:eastAsia="en-IE"/>
        </w:rPr>
        <w:footnoteReference w:id="24"/>
      </w:r>
    </w:p>
    <w:p w14:paraId="1B4C28EC" w14:textId="77777777" w:rsidR="00937F23" w:rsidRDefault="004D483E" w:rsidP="00DB4C84">
      <w:pPr>
        <w:pStyle w:val="Heading2"/>
      </w:pPr>
      <w:bookmarkStart w:id="19" w:name="_Toc66171834"/>
      <w:r>
        <w:t>Incapacity Supplement</w:t>
      </w:r>
      <w:bookmarkEnd w:id="19"/>
    </w:p>
    <w:p w14:paraId="53CAA965" w14:textId="77777777" w:rsidR="004D483E" w:rsidRDefault="004D483E" w:rsidP="004D483E">
      <w:pPr>
        <w:rPr>
          <w:shd w:val="clear" w:color="auto" w:fill="FFFFFF"/>
        </w:rPr>
      </w:pPr>
      <w:r>
        <w:rPr>
          <w:shd w:val="clear" w:color="auto" w:fill="FFFFFF"/>
        </w:rPr>
        <w:t>Incapacity Supplement can be paid as a supplement to people receiving Disablement Benefit. It is paid to people who are permanently incapable of work because of an accident or illness suffered at work. It is only paid to those who do not qualify for certain other social welfare payments.</w:t>
      </w:r>
    </w:p>
    <w:p w14:paraId="20D1625B" w14:textId="77777777" w:rsidR="004D483E" w:rsidRDefault="004D483E" w:rsidP="004D483E">
      <w:pPr>
        <w:rPr>
          <w:shd w:val="clear" w:color="auto" w:fill="FFFFFF"/>
        </w:rPr>
      </w:pPr>
      <w:r>
        <w:rPr>
          <w:shd w:val="clear" w:color="auto" w:fill="FFFFFF"/>
        </w:rPr>
        <w:t>An individual can qualify for this Supplement if they do not qualify for Illness Benefit, Invalidity Pension or Disability Allowance. The deciding officer will assess if an individual is incapable of work due to an injury or illness suffered as a re</w:t>
      </w:r>
      <w:r w:rsidR="001F689D">
        <w:rPr>
          <w:shd w:val="clear" w:color="auto" w:fill="FFFFFF"/>
        </w:rPr>
        <w:t>sult of work. This will involve</w:t>
      </w:r>
      <w:r>
        <w:rPr>
          <w:shd w:val="clear" w:color="auto" w:fill="FFFFFF"/>
        </w:rPr>
        <w:t xml:space="preserve"> a medical report. </w:t>
      </w:r>
    </w:p>
    <w:p w14:paraId="1BB70EA8" w14:textId="77777777" w:rsidR="004D483E" w:rsidRDefault="004D483E" w:rsidP="004D483E">
      <w:pPr>
        <w:rPr>
          <w:shd w:val="clear" w:color="auto" w:fill="FFFFFF"/>
        </w:rPr>
      </w:pPr>
      <w:r>
        <w:rPr>
          <w:shd w:val="clear" w:color="auto" w:fill="FFFFFF"/>
        </w:rPr>
        <w:t>This supplement is not means-tested. An individual may be entitled to claim an increase for a qualified adult</w:t>
      </w:r>
      <w:r w:rsidR="00444F92">
        <w:rPr>
          <w:shd w:val="clear" w:color="auto" w:fill="FFFFFF"/>
        </w:rPr>
        <w:t>, if they have a spouse, civil partner or cohabitant, and an increase for a qualified child who normally lives with them.</w:t>
      </w:r>
    </w:p>
    <w:p w14:paraId="58BA1574" w14:textId="0CD7DFA3" w:rsidR="00AC6601" w:rsidRDefault="004F08D8" w:rsidP="004F08D8">
      <w:pPr>
        <w:pStyle w:val="TableTitle"/>
      </w:pPr>
      <w:r>
        <w:lastRenderedPageBreak/>
        <w:t>Table 6: Rates of Incapacity Supplement</w:t>
      </w:r>
    </w:p>
    <w:tbl>
      <w:tblPr>
        <w:tblStyle w:val="TableGrid"/>
        <w:tblW w:w="0" w:type="auto"/>
        <w:tblLook w:val="04A0" w:firstRow="1" w:lastRow="0" w:firstColumn="1" w:lastColumn="0" w:noHBand="0" w:noVBand="1"/>
        <w:tblCaption w:val="Table 6: Rates of Incapacity Supplement"/>
        <w:tblDescription w:val="Rates of Incapacity Supplement"/>
      </w:tblPr>
      <w:tblGrid>
        <w:gridCol w:w="4315"/>
        <w:gridCol w:w="4315"/>
      </w:tblGrid>
      <w:tr w:rsidR="002D470A" w:rsidRPr="00AC6601" w14:paraId="71A80007" w14:textId="77777777" w:rsidTr="002115D5">
        <w:trPr>
          <w:tblHeader/>
        </w:trPr>
        <w:tc>
          <w:tcPr>
            <w:tcW w:w="4315" w:type="dxa"/>
            <w:shd w:val="clear" w:color="auto" w:fill="auto"/>
          </w:tcPr>
          <w:p w14:paraId="75D5D57C" w14:textId="77777777" w:rsidR="002D470A" w:rsidRPr="002D470A" w:rsidRDefault="002D470A" w:rsidP="002115D5">
            <w:pPr>
              <w:pStyle w:val="TableHead"/>
            </w:pPr>
            <w:r w:rsidRPr="002D470A">
              <w:t>Incapacity Supplement by categories</w:t>
            </w:r>
          </w:p>
        </w:tc>
        <w:tc>
          <w:tcPr>
            <w:tcW w:w="4315" w:type="dxa"/>
            <w:shd w:val="clear" w:color="auto" w:fill="auto"/>
          </w:tcPr>
          <w:p w14:paraId="276BE7CA" w14:textId="77777777" w:rsidR="002D470A" w:rsidRPr="00AC6601" w:rsidRDefault="002D470A" w:rsidP="002115D5">
            <w:pPr>
              <w:pStyle w:val="TableHead"/>
            </w:pPr>
            <w:r>
              <w:t>Weekly rate</w:t>
            </w:r>
            <w:r w:rsidR="008F4A99">
              <w:rPr>
                <w:rStyle w:val="FootnoteReference"/>
                <w:b w:val="0"/>
              </w:rPr>
              <w:footnoteReference w:id="25"/>
            </w:r>
          </w:p>
        </w:tc>
      </w:tr>
      <w:tr w:rsidR="002D470A" w14:paraId="2EE81AE1" w14:textId="77777777" w:rsidTr="004F08D8">
        <w:tc>
          <w:tcPr>
            <w:tcW w:w="4315" w:type="dxa"/>
            <w:shd w:val="clear" w:color="auto" w:fill="auto"/>
          </w:tcPr>
          <w:p w14:paraId="55160FF7" w14:textId="77777777" w:rsidR="002D470A" w:rsidRPr="004F08D8" w:rsidRDefault="002D470A" w:rsidP="004F08D8">
            <w:pPr>
              <w:pStyle w:val="TableRowHead"/>
              <w:rPr>
                <w:rFonts w:ascii="Gill Sans MT" w:hAnsi="Gill Sans MT"/>
              </w:rPr>
            </w:pPr>
            <w:r w:rsidRPr="004F08D8">
              <w:rPr>
                <w:rFonts w:ascii="Gill Sans MT" w:hAnsi="Gill Sans MT"/>
              </w:rPr>
              <w:t>Under 66 years of age</w:t>
            </w:r>
          </w:p>
        </w:tc>
        <w:tc>
          <w:tcPr>
            <w:tcW w:w="4315" w:type="dxa"/>
            <w:shd w:val="clear" w:color="auto" w:fill="auto"/>
          </w:tcPr>
          <w:p w14:paraId="4A6F67A6" w14:textId="77777777" w:rsidR="002D470A" w:rsidRDefault="002D470A" w:rsidP="006718AF">
            <w:pPr>
              <w:pStyle w:val="ListBullet"/>
              <w:numPr>
                <w:ilvl w:val="0"/>
                <w:numId w:val="0"/>
              </w:numPr>
              <w:jc w:val="right"/>
            </w:pPr>
            <w:r>
              <w:t>€20</w:t>
            </w:r>
            <w:r w:rsidR="00546548">
              <w:t>3.00</w:t>
            </w:r>
          </w:p>
        </w:tc>
      </w:tr>
      <w:tr w:rsidR="002D470A" w14:paraId="3362F18B" w14:textId="77777777" w:rsidTr="004F08D8">
        <w:tc>
          <w:tcPr>
            <w:tcW w:w="4315" w:type="dxa"/>
            <w:shd w:val="clear" w:color="auto" w:fill="auto"/>
          </w:tcPr>
          <w:p w14:paraId="195BFFD5" w14:textId="77777777" w:rsidR="002D470A" w:rsidRPr="004F08D8" w:rsidRDefault="002D470A" w:rsidP="004F08D8">
            <w:pPr>
              <w:pStyle w:val="TableRowHead"/>
              <w:rPr>
                <w:rFonts w:ascii="Gill Sans MT" w:hAnsi="Gill Sans MT"/>
              </w:rPr>
            </w:pPr>
            <w:r w:rsidRPr="004F08D8">
              <w:rPr>
                <w:rFonts w:ascii="Gill Sans MT" w:hAnsi="Gill Sans MT"/>
              </w:rPr>
              <w:t>66 years of age and over</w:t>
            </w:r>
          </w:p>
        </w:tc>
        <w:tc>
          <w:tcPr>
            <w:tcW w:w="4315" w:type="dxa"/>
            <w:shd w:val="clear" w:color="auto" w:fill="auto"/>
          </w:tcPr>
          <w:p w14:paraId="79725CE7" w14:textId="77777777" w:rsidR="002D470A" w:rsidRDefault="002D470A" w:rsidP="006718AF">
            <w:pPr>
              <w:pStyle w:val="ListBullet"/>
              <w:numPr>
                <w:ilvl w:val="0"/>
                <w:numId w:val="0"/>
              </w:numPr>
              <w:jc w:val="right"/>
            </w:pPr>
            <w:r>
              <w:t>€</w:t>
            </w:r>
            <w:r w:rsidR="00546548">
              <w:t>222.30</w:t>
            </w:r>
          </w:p>
        </w:tc>
      </w:tr>
      <w:tr w:rsidR="002D470A" w14:paraId="37114DBD" w14:textId="77777777" w:rsidTr="004F08D8">
        <w:tc>
          <w:tcPr>
            <w:tcW w:w="4315" w:type="dxa"/>
            <w:shd w:val="clear" w:color="auto" w:fill="auto"/>
          </w:tcPr>
          <w:p w14:paraId="75D9436D" w14:textId="77777777" w:rsidR="002D470A" w:rsidRPr="004F08D8" w:rsidRDefault="00546548" w:rsidP="004F08D8">
            <w:pPr>
              <w:pStyle w:val="TableRowHead"/>
              <w:rPr>
                <w:rFonts w:ascii="Gill Sans MT" w:hAnsi="Gill Sans MT"/>
              </w:rPr>
            </w:pPr>
            <w:r w:rsidRPr="004F08D8">
              <w:rPr>
                <w:rFonts w:ascii="Gill Sans MT" w:hAnsi="Gill Sans MT"/>
              </w:rPr>
              <w:t>Increase for a qualified adult under 66</w:t>
            </w:r>
          </w:p>
        </w:tc>
        <w:tc>
          <w:tcPr>
            <w:tcW w:w="4315" w:type="dxa"/>
            <w:shd w:val="clear" w:color="auto" w:fill="auto"/>
          </w:tcPr>
          <w:p w14:paraId="2AFC95F3" w14:textId="77777777" w:rsidR="002D470A" w:rsidRDefault="00546548" w:rsidP="006718AF">
            <w:pPr>
              <w:pStyle w:val="ListBullet"/>
              <w:numPr>
                <w:ilvl w:val="0"/>
                <w:numId w:val="0"/>
              </w:numPr>
              <w:jc w:val="right"/>
            </w:pPr>
            <w:r>
              <w:t>€134.70</w:t>
            </w:r>
          </w:p>
        </w:tc>
      </w:tr>
      <w:tr w:rsidR="00546548" w14:paraId="3B3BE5EC" w14:textId="77777777" w:rsidTr="004F08D8">
        <w:tc>
          <w:tcPr>
            <w:tcW w:w="4315" w:type="dxa"/>
            <w:shd w:val="clear" w:color="auto" w:fill="auto"/>
          </w:tcPr>
          <w:p w14:paraId="2DE029EC" w14:textId="77777777" w:rsidR="00546548" w:rsidRPr="004F08D8" w:rsidRDefault="00546548" w:rsidP="004F08D8">
            <w:pPr>
              <w:pStyle w:val="TableRowHead"/>
              <w:rPr>
                <w:rFonts w:ascii="Gill Sans MT" w:hAnsi="Gill Sans MT"/>
              </w:rPr>
            </w:pPr>
            <w:r w:rsidRPr="004F08D8">
              <w:rPr>
                <w:rFonts w:ascii="Gill Sans MT" w:hAnsi="Gill Sans MT"/>
              </w:rPr>
              <w:t>Increase for a qualified adult aged 66+</w:t>
            </w:r>
          </w:p>
        </w:tc>
        <w:tc>
          <w:tcPr>
            <w:tcW w:w="4315" w:type="dxa"/>
            <w:shd w:val="clear" w:color="auto" w:fill="auto"/>
          </w:tcPr>
          <w:p w14:paraId="0BB5098C" w14:textId="77777777" w:rsidR="00546548" w:rsidRDefault="00546548" w:rsidP="006718AF">
            <w:pPr>
              <w:pStyle w:val="ListBullet"/>
              <w:numPr>
                <w:ilvl w:val="0"/>
                <w:numId w:val="0"/>
              </w:numPr>
              <w:jc w:val="right"/>
            </w:pPr>
            <w:r>
              <w:t>€147.50</w:t>
            </w:r>
          </w:p>
        </w:tc>
      </w:tr>
      <w:tr w:rsidR="002D470A" w14:paraId="1E76FADC" w14:textId="77777777" w:rsidTr="004F08D8">
        <w:tc>
          <w:tcPr>
            <w:tcW w:w="4315" w:type="dxa"/>
            <w:shd w:val="clear" w:color="auto" w:fill="auto"/>
          </w:tcPr>
          <w:p w14:paraId="03F07311" w14:textId="77777777" w:rsidR="002D470A" w:rsidRPr="004F08D8" w:rsidRDefault="002D470A" w:rsidP="004F08D8">
            <w:pPr>
              <w:pStyle w:val="TableRowHead"/>
              <w:rPr>
                <w:rFonts w:ascii="Gill Sans MT" w:hAnsi="Gill Sans MT"/>
              </w:rPr>
            </w:pPr>
            <w:r w:rsidRPr="004F08D8">
              <w:rPr>
                <w:rFonts w:ascii="Gill Sans MT" w:hAnsi="Gill Sans MT"/>
              </w:rPr>
              <w:t>Increase for a qualified child under 12</w:t>
            </w:r>
          </w:p>
        </w:tc>
        <w:tc>
          <w:tcPr>
            <w:tcW w:w="4315" w:type="dxa"/>
            <w:shd w:val="clear" w:color="auto" w:fill="auto"/>
          </w:tcPr>
          <w:p w14:paraId="3A7B0EF8" w14:textId="77777777" w:rsidR="002D470A" w:rsidRDefault="002D470A" w:rsidP="006718AF">
            <w:pPr>
              <w:pStyle w:val="ListBullet"/>
              <w:numPr>
                <w:ilvl w:val="0"/>
                <w:numId w:val="0"/>
              </w:numPr>
              <w:jc w:val="right"/>
            </w:pPr>
            <w:r>
              <w:t>Full rate: €36.00</w:t>
            </w:r>
          </w:p>
          <w:p w14:paraId="1DFA17FD" w14:textId="77777777" w:rsidR="002D470A" w:rsidRDefault="002D470A" w:rsidP="006718AF">
            <w:pPr>
              <w:pStyle w:val="ListBullet"/>
              <w:numPr>
                <w:ilvl w:val="0"/>
                <w:numId w:val="0"/>
              </w:numPr>
              <w:jc w:val="right"/>
            </w:pPr>
            <w:r>
              <w:t>Half rate: €18.00</w:t>
            </w:r>
          </w:p>
        </w:tc>
      </w:tr>
      <w:tr w:rsidR="002D470A" w14:paraId="3E00AFB3" w14:textId="77777777" w:rsidTr="004F08D8">
        <w:tc>
          <w:tcPr>
            <w:tcW w:w="4315" w:type="dxa"/>
            <w:shd w:val="clear" w:color="auto" w:fill="auto"/>
          </w:tcPr>
          <w:p w14:paraId="55829B5E" w14:textId="77777777" w:rsidR="002D470A" w:rsidRPr="004F08D8" w:rsidRDefault="002D470A" w:rsidP="004F08D8">
            <w:pPr>
              <w:pStyle w:val="TableRowHead"/>
              <w:rPr>
                <w:rFonts w:ascii="Gill Sans MT" w:hAnsi="Gill Sans MT"/>
              </w:rPr>
            </w:pPr>
            <w:r w:rsidRPr="004F08D8">
              <w:rPr>
                <w:rFonts w:ascii="Gill Sans MT" w:hAnsi="Gill Sans MT"/>
              </w:rPr>
              <w:t>Increase for a qualified child over 12</w:t>
            </w:r>
          </w:p>
        </w:tc>
        <w:tc>
          <w:tcPr>
            <w:tcW w:w="4315" w:type="dxa"/>
            <w:shd w:val="clear" w:color="auto" w:fill="auto"/>
          </w:tcPr>
          <w:p w14:paraId="0E8F5000" w14:textId="77777777" w:rsidR="002D470A" w:rsidRDefault="002D470A" w:rsidP="006718AF">
            <w:pPr>
              <w:pStyle w:val="ListBullet"/>
              <w:numPr>
                <w:ilvl w:val="0"/>
                <w:numId w:val="0"/>
              </w:numPr>
              <w:jc w:val="right"/>
            </w:pPr>
            <w:r>
              <w:t>Full rate: €40.00</w:t>
            </w:r>
          </w:p>
          <w:p w14:paraId="2AFCC43A" w14:textId="77777777" w:rsidR="002D470A" w:rsidRDefault="002D470A" w:rsidP="006718AF">
            <w:pPr>
              <w:pStyle w:val="ListBullet"/>
              <w:numPr>
                <w:ilvl w:val="0"/>
                <w:numId w:val="0"/>
              </w:numPr>
              <w:jc w:val="right"/>
            </w:pPr>
            <w:r>
              <w:t>Half rate: €20.00</w:t>
            </w:r>
          </w:p>
        </w:tc>
      </w:tr>
    </w:tbl>
    <w:p w14:paraId="3B613C92" w14:textId="0B99E15A" w:rsidR="004D483E" w:rsidRDefault="004F08D8" w:rsidP="004F08D8">
      <w:pPr>
        <w:pStyle w:val="TableNote"/>
      </w:pPr>
      <w:r>
        <w:t xml:space="preserve">Source: </w:t>
      </w:r>
    </w:p>
    <w:p w14:paraId="1C5D7F03" w14:textId="77777777" w:rsidR="00FD0933" w:rsidRDefault="00FD0933" w:rsidP="00DB4C84">
      <w:pPr>
        <w:pStyle w:val="Heading2"/>
        <w:rPr>
          <w:shd w:val="clear" w:color="auto" w:fill="FFFFFF"/>
        </w:rPr>
      </w:pPr>
      <w:bookmarkStart w:id="20" w:name="_Toc66171835"/>
      <w:r>
        <w:rPr>
          <w:shd w:val="clear" w:color="auto" w:fill="FFFFFF"/>
        </w:rPr>
        <w:t>Medical Card</w:t>
      </w:r>
      <w:bookmarkEnd w:id="20"/>
    </w:p>
    <w:p w14:paraId="49DE64FD" w14:textId="77777777" w:rsidR="00FD0933" w:rsidRDefault="00FD0933" w:rsidP="00FD0933">
      <w:pPr>
        <w:rPr>
          <w:lang w:eastAsia="en-IE"/>
        </w:rPr>
      </w:pPr>
      <w:r>
        <w:t>If an individual has a medical card issued by the HSE, they can receive certain health services free of charge. Normally, their dependent spouse or partner and their children are also covered for the same range of health services.</w:t>
      </w:r>
    </w:p>
    <w:p w14:paraId="73D52203" w14:textId="77777777" w:rsidR="00FD0933" w:rsidRDefault="00FD0933" w:rsidP="00FD0933">
      <w:r>
        <w:t>To qualify for a medical card, the individual’s weekly income must be below a certain figure for their family size. </w:t>
      </w:r>
    </w:p>
    <w:p w14:paraId="5286C0B4" w14:textId="77777777" w:rsidR="00FD0933" w:rsidRDefault="00FD0933" w:rsidP="00FD0933">
      <w:pPr>
        <w:rPr>
          <w:shd w:val="clear" w:color="auto" w:fill="FFFFFF"/>
        </w:rPr>
      </w:pPr>
      <w:r>
        <w:rPr>
          <w:shd w:val="clear" w:color="auto" w:fill="FFFFFF"/>
        </w:rPr>
        <w:lastRenderedPageBreak/>
        <w:t>If an individual is in receipt of Disability Allowance and working, income they earn up to €427 per week is not taken into account in the means test for the medical card.</w:t>
      </w:r>
      <w:r w:rsidRPr="00FD0933">
        <w:rPr>
          <w:shd w:val="clear" w:color="auto" w:fill="FFFFFF"/>
        </w:rPr>
        <w:t xml:space="preserve"> </w:t>
      </w:r>
      <w:r>
        <w:rPr>
          <w:shd w:val="clear" w:color="auto" w:fill="FFFFFF"/>
        </w:rPr>
        <w:t>Before 3 December 2018, the limit was €120 per week.</w:t>
      </w:r>
    </w:p>
    <w:p w14:paraId="169B9DB9" w14:textId="77777777" w:rsidR="00FD0933" w:rsidRDefault="00FD0933" w:rsidP="00FD0933">
      <w:pPr>
        <w:rPr>
          <w:shd w:val="clear" w:color="auto" w:fill="FFFFFF"/>
        </w:rPr>
      </w:pPr>
      <w:r>
        <w:rPr>
          <w:shd w:val="clear" w:color="auto" w:fill="FFFFFF"/>
        </w:rPr>
        <w:t>If an individual has a child for whom they are in receipt of Domiciliary Care Allowance, the child is eligible for a medical card, without a means test.</w:t>
      </w:r>
    </w:p>
    <w:p w14:paraId="6AFE7DFF" w14:textId="77777777" w:rsidR="00FD0933" w:rsidRDefault="00FD0933" w:rsidP="00FD0933">
      <w:pPr>
        <w:rPr>
          <w:shd w:val="clear" w:color="auto" w:fill="FFFFFF"/>
        </w:rPr>
      </w:pPr>
      <w:r>
        <w:rPr>
          <w:shd w:val="clear" w:color="auto" w:fill="FFFFFF"/>
        </w:rPr>
        <w:t>In 2015, there were 1,</w:t>
      </w:r>
      <w:r w:rsidR="00BC2DE7">
        <w:rPr>
          <w:shd w:val="clear" w:color="auto" w:fill="FFFFFF"/>
        </w:rPr>
        <w:t>734,853 people (815,123 males and 919,730 females) in Ireland with a medical card. This is 39.2% of the population. Approximately 36% of boys and girls up to the age of 15 had medical cards.</w:t>
      </w:r>
      <w:r w:rsidR="002E1027">
        <w:rPr>
          <w:rStyle w:val="FootnoteReference"/>
          <w:shd w:val="clear" w:color="auto" w:fill="FFFFFF"/>
        </w:rPr>
        <w:footnoteReference w:id="26"/>
      </w:r>
    </w:p>
    <w:p w14:paraId="40349DE4" w14:textId="77777777" w:rsidR="00FD0933" w:rsidRDefault="00FD0933" w:rsidP="00DB4C84">
      <w:pPr>
        <w:pStyle w:val="Heading2"/>
      </w:pPr>
      <w:bookmarkStart w:id="21" w:name="_Toc66171836"/>
      <w:r>
        <w:t>Medical Care Scheme</w:t>
      </w:r>
      <w:bookmarkEnd w:id="21"/>
    </w:p>
    <w:p w14:paraId="3D9A1037" w14:textId="77777777" w:rsidR="00FD0933" w:rsidRDefault="00FD0933" w:rsidP="00FD0933">
      <w:pPr>
        <w:rPr>
          <w:shd w:val="clear" w:color="auto" w:fill="FFFFFF"/>
        </w:rPr>
      </w:pPr>
      <w:r>
        <w:rPr>
          <w:shd w:val="clear" w:color="auto" w:fill="FFFFFF"/>
        </w:rPr>
        <w:t>If an individual is injured at work, on an unbroken journey to/from work or contracts a prescribed occupational disease, they may get benefits under the Occupational Injuries Scheme. One of these benefits is Medical Care. The Medical Care Scheme allows an individual to get a refund of the costs of medical care and attention that are not paid by the HSE, or covered by the Treatment Benefit Scheme.</w:t>
      </w:r>
      <w:r w:rsidR="008F4A99">
        <w:rPr>
          <w:rStyle w:val="FootnoteReference"/>
          <w:shd w:val="clear" w:color="auto" w:fill="FFFFFF"/>
        </w:rPr>
        <w:footnoteReference w:id="27"/>
      </w:r>
      <w:r>
        <w:rPr>
          <w:shd w:val="clear" w:color="auto" w:fill="FFFFFF"/>
        </w:rPr>
        <w:t xml:space="preserve"> </w:t>
      </w:r>
    </w:p>
    <w:p w14:paraId="5A6CE665" w14:textId="77777777" w:rsidR="00FD0933" w:rsidRDefault="00FD0933" w:rsidP="00FD0933">
      <w:pPr>
        <w:rPr>
          <w:shd w:val="clear" w:color="auto" w:fill="FFFFFF"/>
        </w:rPr>
      </w:pPr>
      <w:r>
        <w:t>€</w:t>
      </w:r>
      <w:r>
        <w:rPr>
          <w:shd w:val="clear" w:color="auto" w:fill="FFFFFF"/>
        </w:rPr>
        <w:t>230,000 was spent on the Medical Care Scheme in 2018.</w:t>
      </w:r>
      <w:r w:rsidR="00AD17F1">
        <w:rPr>
          <w:rStyle w:val="FootnoteReference"/>
          <w:shd w:val="clear" w:color="auto" w:fill="FFFFFF"/>
        </w:rPr>
        <w:footnoteReference w:id="28"/>
      </w:r>
      <w:r w:rsidR="001F689D">
        <w:rPr>
          <w:shd w:val="clear" w:color="auto" w:fill="FFFFFF"/>
        </w:rPr>
        <w:t xml:space="preserve"> </w:t>
      </w:r>
    </w:p>
    <w:p w14:paraId="1ECF976C" w14:textId="77777777" w:rsidR="00235066" w:rsidRDefault="00235066" w:rsidP="00DB4C84">
      <w:pPr>
        <w:pStyle w:val="Heading2"/>
      </w:pPr>
      <w:bookmarkStart w:id="22" w:name="_Toc66171837"/>
      <w:r>
        <w:t>Constant Attendance Allowance</w:t>
      </w:r>
      <w:bookmarkEnd w:id="22"/>
    </w:p>
    <w:p w14:paraId="1CF0BED6" w14:textId="77777777" w:rsidR="00235066" w:rsidRPr="00546548" w:rsidRDefault="00235066" w:rsidP="005D0B46">
      <w:r w:rsidRPr="00546548">
        <w:t>Constant Attendance Allowance is an increase to Disablement Benefit which is paid to people who are so seriously disabled that they need someone to help them daily at their home to attend to their personal needs.</w:t>
      </w:r>
    </w:p>
    <w:p w14:paraId="5AD5DED9" w14:textId="77777777" w:rsidR="00235066" w:rsidRPr="00546548" w:rsidRDefault="00235066" w:rsidP="005D0B46">
      <w:r w:rsidRPr="00546548">
        <w:lastRenderedPageBreak/>
        <w:t>The rate of payment is currently €220 per week.</w:t>
      </w:r>
      <w:r w:rsidR="00546548" w:rsidRPr="00546548">
        <w:t xml:space="preserve"> </w:t>
      </w:r>
      <w:r w:rsidRPr="00546548">
        <w:t>To qualify, an individual must be in receipt of a Disablement Benefit of 50% or over.</w:t>
      </w:r>
      <w:r w:rsidR="00AD17F1">
        <w:rPr>
          <w:rStyle w:val="FootnoteReference"/>
          <w:szCs w:val="26"/>
        </w:rPr>
        <w:footnoteReference w:id="29"/>
      </w:r>
    </w:p>
    <w:p w14:paraId="59D31322" w14:textId="77777777" w:rsidR="00937F23" w:rsidRDefault="00937F23" w:rsidP="00DB4C84">
      <w:pPr>
        <w:pStyle w:val="Heading2"/>
      </w:pPr>
      <w:bookmarkStart w:id="23" w:name="_Toc66171838"/>
      <w:r>
        <w:t>Carers</w:t>
      </w:r>
      <w:bookmarkEnd w:id="23"/>
    </w:p>
    <w:p w14:paraId="1191D333" w14:textId="77777777" w:rsidR="00B20DD8" w:rsidRDefault="00B20DD8" w:rsidP="00DB4C84">
      <w:pPr>
        <w:pStyle w:val="Heading3"/>
      </w:pPr>
      <w:r>
        <w:t>Carer’s Allowance</w:t>
      </w:r>
    </w:p>
    <w:p w14:paraId="226008D2" w14:textId="77777777" w:rsidR="00B20DD8" w:rsidRDefault="00B20DD8" w:rsidP="00B20DD8">
      <w:pPr>
        <w:rPr>
          <w:shd w:val="clear" w:color="auto" w:fill="FFFFFF"/>
        </w:rPr>
      </w:pPr>
      <w:r>
        <w:rPr>
          <w:shd w:val="clear" w:color="auto" w:fill="FFFFFF"/>
        </w:rPr>
        <w:t>Carer's Allowance is a payment to people on low incomes who are looking after a person who needs support because of age, disability or illness (including mental illness).</w:t>
      </w:r>
    </w:p>
    <w:p w14:paraId="593F2A18" w14:textId="77777777" w:rsidR="00B20DD8" w:rsidRPr="00B20DD8" w:rsidRDefault="00B20DD8" w:rsidP="00B20DD8">
      <w:pPr>
        <w:rPr>
          <w:b/>
          <w:lang w:eastAsia="en-IE"/>
        </w:rPr>
      </w:pPr>
      <w:r>
        <w:rPr>
          <w:shd w:val="clear" w:color="auto" w:fill="FFFFFF"/>
        </w:rPr>
        <w:t xml:space="preserve">To be entitled </w:t>
      </w:r>
      <w:r w:rsidR="00546548">
        <w:rPr>
          <w:rStyle w:val="Strong"/>
          <w:rFonts w:cs="Arial"/>
          <w:b w:val="0"/>
          <w:spacing w:val="3"/>
          <w:szCs w:val="26"/>
        </w:rPr>
        <w:t xml:space="preserve">to Carer's Allowance, an individual </w:t>
      </w:r>
      <w:r w:rsidRPr="00B20DD8">
        <w:rPr>
          <w:rStyle w:val="Strong"/>
          <w:rFonts w:cs="Arial"/>
          <w:b w:val="0"/>
          <w:spacing w:val="3"/>
          <w:szCs w:val="26"/>
        </w:rPr>
        <w:t>must:</w:t>
      </w:r>
    </w:p>
    <w:p w14:paraId="673EB155" w14:textId="77777777" w:rsidR="00B20DD8" w:rsidRDefault="00B20DD8" w:rsidP="00B20DD8">
      <w:pPr>
        <w:pStyle w:val="ListBullet"/>
      </w:pPr>
      <w:r>
        <w:t>Be living with, or in a position to provide full-time care and attention to a person in need of care who does not normally live in an institution. However, an individual may continue to be regarded as providing full-time care and attention if they or the person being cared for is undergoing medical or other treatment in a hospital or other institution, for a period not longer than 13 weeks.</w:t>
      </w:r>
    </w:p>
    <w:p w14:paraId="6B26092E" w14:textId="77777777" w:rsidR="00B20DD8" w:rsidRDefault="00B20DD8" w:rsidP="00B20DD8">
      <w:pPr>
        <w:pStyle w:val="ListBullet"/>
      </w:pPr>
      <w:r>
        <w:t>Be habitually resident in the State.</w:t>
      </w:r>
    </w:p>
    <w:p w14:paraId="2D3B1ADB" w14:textId="77777777" w:rsidR="00B20DD8" w:rsidRDefault="00B20DD8" w:rsidP="00B20DD8">
      <w:pPr>
        <w:pStyle w:val="ListBullet"/>
      </w:pPr>
      <w:r>
        <w:t>Not live in a hospital, convalescent home or other similar institution.</w:t>
      </w:r>
    </w:p>
    <w:p w14:paraId="4F8201D3" w14:textId="77777777" w:rsidR="00B20DD8" w:rsidRDefault="00B20DD8" w:rsidP="00B20DD8">
      <w:pPr>
        <w:pStyle w:val="ListBullet"/>
      </w:pPr>
      <w:r>
        <w:t>Be at least 18 years old and</w:t>
      </w:r>
    </w:p>
    <w:p w14:paraId="498CD351" w14:textId="77777777" w:rsidR="00464014" w:rsidRDefault="00B20DD8" w:rsidP="00464014">
      <w:pPr>
        <w:pStyle w:val="ListBullet"/>
      </w:pPr>
      <w:r>
        <w:t xml:space="preserve">Not be engaged in employment, self-employment, training or education courses outside the home for more than 18.5 hours a week (increased from 15 hours to 18.5 hours in January 2020). During </w:t>
      </w:r>
      <w:r w:rsidR="00A07300">
        <w:t>the carer’s</w:t>
      </w:r>
      <w:r>
        <w:t xml:space="preserve"> absence, adequate care for the person requiring full-time care and attention must be arranged.</w:t>
      </w:r>
    </w:p>
    <w:p w14:paraId="3A93B832" w14:textId="77777777" w:rsidR="00B20DD8" w:rsidRPr="00464014" w:rsidRDefault="00B20DD8" w:rsidP="00464014">
      <w:pPr>
        <w:rPr>
          <w:b/>
        </w:rPr>
      </w:pPr>
      <w:r w:rsidRPr="00464014">
        <w:rPr>
          <w:rStyle w:val="Strong"/>
          <w:rFonts w:cs="Arial"/>
          <w:b w:val="0"/>
          <w:spacing w:val="3"/>
          <w:szCs w:val="26"/>
        </w:rPr>
        <w:t xml:space="preserve">The person </w:t>
      </w:r>
      <w:r w:rsidR="00464014" w:rsidRPr="00464014">
        <w:rPr>
          <w:rStyle w:val="Strong"/>
          <w:rFonts w:cs="Arial"/>
          <w:b w:val="0"/>
          <w:spacing w:val="3"/>
          <w:szCs w:val="26"/>
        </w:rPr>
        <w:t>being cared</w:t>
      </w:r>
      <w:r w:rsidRPr="00464014">
        <w:rPr>
          <w:rStyle w:val="Strong"/>
          <w:rFonts w:cs="Arial"/>
          <w:b w:val="0"/>
          <w:spacing w:val="3"/>
          <w:szCs w:val="26"/>
        </w:rPr>
        <w:t xml:space="preserve"> for must be:</w:t>
      </w:r>
    </w:p>
    <w:p w14:paraId="500E33F9" w14:textId="77777777" w:rsidR="00B20DD8" w:rsidRDefault="00B20DD8" w:rsidP="00464014">
      <w:pPr>
        <w:pStyle w:val="ListBullet"/>
      </w:pPr>
      <w:r>
        <w:t>Over the age of 16 and so incapacitated as to require full-time care and attention or</w:t>
      </w:r>
    </w:p>
    <w:p w14:paraId="4BECC12E" w14:textId="77777777" w:rsidR="00B20DD8" w:rsidRDefault="00B20DD8" w:rsidP="00464014">
      <w:pPr>
        <w:pStyle w:val="ListBullet"/>
      </w:pPr>
      <w:r>
        <w:t>Aged under 16 and getting a</w:t>
      </w:r>
      <w:r w:rsidR="00464014">
        <w:t xml:space="preserve"> Domiciliary Care Allowance</w:t>
      </w:r>
      <w:r>
        <w:t>.</w:t>
      </w:r>
    </w:p>
    <w:p w14:paraId="54BBE6DD" w14:textId="77777777" w:rsidR="00464014" w:rsidRPr="00464014" w:rsidRDefault="00464014" w:rsidP="00464014">
      <w:pPr>
        <w:shd w:val="clear" w:color="auto" w:fill="FFFFFF"/>
        <w:spacing w:before="100" w:beforeAutospacing="1" w:after="288"/>
        <w:rPr>
          <w:rFonts w:cs="Arial"/>
          <w:spacing w:val="3"/>
          <w:szCs w:val="26"/>
          <w:lang w:eastAsia="en-IE"/>
        </w:rPr>
      </w:pPr>
      <w:r w:rsidRPr="00464014">
        <w:rPr>
          <w:rFonts w:cs="Arial"/>
          <w:spacing w:val="3"/>
          <w:szCs w:val="26"/>
          <w:lang w:eastAsia="en-IE"/>
        </w:rPr>
        <w:lastRenderedPageBreak/>
        <w:t>The person receiving care is regarded as requiring full-time care and attention where</w:t>
      </w:r>
      <w:r w:rsidR="00546548">
        <w:rPr>
          <w:rFonts w:cs="Arial"/>
          <w:spacing w:val="3"/>
          <w:szCs w:val="26"/>
          <w:lang w:eastAsia="en-IE"/>
        </w:rPr>
        <w:t>:</w:t>
      </w:r>
    </w:p>
    <w:p w14:paraId="47948E5E" w14:textId="77777777" w:rsidR="00464014" w:rsidRPr="00464014" w:rsidRDefault="00464014" w:rsidP="00546548">
      <w:pPr>
        <w:pStyle w:val="ListBullet"/>
        <w:rPr>
          <w:lang w:eastAsia="en-IE"/>
        </w:rPr>
      </w:pPr>
      <w:r w:rsidRPr="00464014">
        <w:rPr>
          <w:lang w:eastAsia="en-IE"/>
        </w:rPr>
        <w:t>He or she is so incapacitated as to require continuous supervision in order to avoid danger to him or herself, or continual supervision and frequent assistance throughout the day in connection with normal bodily functions, and</w:t>
      </w:r>
    </w:p>
    <w:p w14:paraId="29267D13" w14:textId="77777777" w:rsidR="00464014" w:rsidRPr="00464014" w:rsidRDefault="00464014" w:rsidP="00546548">
      <w:pPr>
        <w:pStyle w:val="ListBullet"/>
        <w:rPr>
          <w:lang w:eastAsia="en-IE"/>
        </w:rPr>
      </w:pPr>
      <w:r w:rsidRPr="00464014">
        <w:rPr>
          <w:lang w:eastAsia="en-IE"/>
        </w:rPr>
        <w:t>He or she is so incapacitated as to be likely to require full-time care and attention for a period of at least 12 months.</w:t>
      </w:r>
    </w:p>
    <w:p w14:paraId="4498FBF9" w14:textId="77777777" w:rsidR="00B20DD8" w:rsidRDefault="00EB4E2E" w:rsidP="00B20DD8">
      <w:pPr>
        <w:rPr>
          <w:rFonts w:cs="Arial"/>
          <w:spacing w:val="3"/>
          <w:szCs w:val="26"/>
          <w:shd w:val="clear" w:color="auto" w:fill="FFFFFF"/>
        </w:rPr>
      </w:pPr>
      <w:r w:rsidRPr="00EB4E2E">
        <w:t xml:space="preserve">If an individual </w:t>
      </w:r>
      <w:r w:rsidRPr="00EB4E2E">
        <w:rPr>
          <w:rFonts w:cs="Arial"/>
          <w:spacing w:val="3"/>
          <w:szCs w:val="26"/>
          <w:shd w:val="clear" w:color="auto" w:fill="FFFFFF"/>
        </w:rPr>
        <w:t>is providi</w:t>
      </w:r>
      <w:r w:rsidR="00546548">
        <w:rPr>
          <w:rFonts w:cs="Arial"/>
          <w:spacing w:val="3"/>
          <w:szCs w:val="26"/>
          <w:shd w:val="clear" w:color="auto" w:fill="FFFFFF"/>
        </w:rPr>
        <w:t xml:space="preserve">ng care to more than one person, they </w:t>
      </w:r>
      <w:r w:rsidRPr="00EB4E2E">
        <w:rPr>
          <w:rFonts w:cs="Arial"/>
          <w:spacing w:val="3"/>
          <w:szCs w:val="26"/>
          <w:shd w:val="clear" w:color="auto" w:fill="FFFFFF"/>
        </w:rPr>
        <w:t>may be entitled to an additional 50% of the maximum rate of Carer's Allowance each week.</w:t>
      </w:r>
    </w:p>
    <w:p w14:paraId="3C075088" w14:textId="1C25135F" w:rsidR="00721CDC" w:rsidRDefault="000B5A29" w:rsidP="000B5A29">
      <w:pPr>
        <w:pStyle w:val="TableTitle"/>
        <w:rPr>
          <w:shd w:val="clear" w:color="auto" w:fill="FFFFFF"/>
        </w:rPr>
      </w:pPr>
      <w:r>
        <w:rPr>
          <w:shd w:val="clear" w:color="auto" w:fill="FFFFFF"/>
        </w:rPr>
        <w:t>Table 7: R</w:t>
      </w:r>
      <w:r w:rsidR="00721CDC">
        <w:rPr>
          <w:shd w:val="clear" w:color="auto" w:fill="FFFFFF"/>
        </w:rPr>
        <w:t>ates of Carer’s Allowance</w:t>
      </w:r>
    </w:p>
    <w:tbl>
      <w:tblPr>
        <w:tblStyle w:val="TableGrid"/>
        <w:tblW w:w="0" w:type="auto"/>
        <w:tblLook w:val="04A0" w:firstRow="1" w:lastRow="0" w:firstColumn="1" w:lastColumn="0" w:noHBand="0" w:noVBand="1"/>
        <w:tblCaption w:val="Table 7: Rates of Carer’s Allowance"/>
        <w:tblDescription w:val="Rates of Carer’s Allowance"/>
      </w:tblPr>
      <w:tblGrid>
        <w:gridCol w:w="4315"/>
        <w:gridCol w:w="4315"/>
      </w:tblGrid>
      <w:tr w:rsidR="00A503DF" w:rsidRPr="00AC6601" w14:paraId="67D8B25C" w14:textId="77777777" w:rsidTr="002115D5">
        <w:trPr>
          <w:tblHeader/>
        </w:trPr>
        <w:tc>
          <w:tcPr>
            <w:tcW w:w="4315" w:type="dxa"/>
            <w:shd w:val="clear" w:color="auto" w:fill="auto"/>
          </w:tcPr>
          <w:p w14:paraId="7FA93969" w14:textId="77777777" w:rsidR="00A503DF" w:rsidRPr="00AD4CD3" w:rsidRDefault="00A503DF" w:rsidP="000B5A29">
            <w:pPr>
              <w:pStyle w:val="TableHead"/>
            </w:pPr>
            <w:r w:rsidRPr="00AD4CD3">
              <w:t>Carer</w:t>
            </w:r>
          </w:p>
        </w:tc>
        <w:tc>
          <w:tcPr>
            <w:tcW w:w="4315" w:type="dxa"/>
            <w:shd w:val="clear" w:color="auto" w:fill="auto"/>
          </w:tcPr>
          <w:p w14:paraId="1A0C6057" w14:textId="77777777" w:rsidR="00A503DF" w:rsidRPr="00AD4CD3" w:rsidRDefault="00A503DF" w:rsidP="000B5A29">
            <w:pPr>
              <w:pStyle w:val="TableHead"/>
            </w:pPr>
            <w:r w:rsidRPr="00AD4CD3">
              <w:t>Weekly rate</w:t>
            </w:r>
            <w:r w:rsidR="008F4A99" w:rsidRPr="00AD4CD3">
              <w:rPr>
                <w:rStyle w:val="FootnoteReference"/>
                <w:b w:val="0"/>
              </w:rPr>
              <w:footnoteReference w:id="30"/>
            </w:r>
          </w:p>
        </w:tc>
      </w:tr>
      <w:tr w:rsidR="00A503DF" w14:paraId="3518AEAC" w14:textId="77777777" w:rsidTr="000B5A29">
        <w:tc>
          <w:tcPr>
            <w:tcW w:w="4315" w:type="dxa"/>
            <w:shd w:val="clear" w:color="auto" w:fill="auto"/>
          </w:tcPr>
          <w:p w14:paraId="7F3F5B92" w14:textId="77777777" w:rsidR="00A503DF" w:rsidRPr="000B5A29" w:rsidRDefault="00A503DF" w:rsidP="000B5A29">
            <w:pPr>
              <w:pStyle w:val="TableRowHead"/>
              <w:rPr>
                <w:rFonts w:ascii="Gill Sans MT" w:hAnsi="Gill Sans MT"/>
              </w:rPr>
            </w:pPr>
            <w:r w:rsidRPr="000B5A29">
              <w:rPr>
                <w:rFonts w:ascii="Gill Sans MT" w:hAnsi="Gill Sans MT"/>
              </w:rPr>
              <w:t>Under 66 years of age, caring for 1 person</w:t>
            </w:r>
          </w:p>
        </w:tc>
        <w:tc>
          <w:tcPr>
            <w:tcW w:w="4315" w:type="dxa"/>
            <w:shd w:val="clear" w:color="auto" w:fill="auto"/>
          </w:tcPr>
          <w:p w14:paraId="3CA8DC50" w14:textId="77777777" w:rsidR="00A503DF" w:rsidRPr="00AD4CD3" w:rsidRDefault="00A503DF" w:rsidP="006718AF">
            <w:pPr>
              <w:pStyle w:val="ListBullet"/>
              <w:numPr>
                <w:ilvl w:val="0"/>
                <w:numId w:val="0"/>
              </w:numPr>
              <w:jc w:val="right"/>
            </w:pPr>
            <w:r w:rsidRPr="00AD4CD3">
              <w:t>€2</w:t>
            </w:r>
            <w:r w:rsidR="00A7664E" w:rsidRPr="00AD4CD3">
              <w:t>19</w:t>
            </w:r>
            <w:r w:rsidRPr="00AD4CD3">
              <w:t>.00</w:t>
            </w:r>
          </w:p>
        </w:tc>
      </w:tr>
      <w:tr w:rsidR="00A503DF" w14:paraId="35D5EB5E" w14:textId="77777777" w:rsidTr="000B5A29">
        <w:tc>
          <w:tcPr>
            <w:tcW w:w="4315" w:type="dxa"/>
            <w:shd w:val="clear" w:color="auto" w:fill="auto"/>
          </w:tcPr>
          <w:p w14:paraId="0EF1CC83" w14:textId="77777777" w:rsidR="00A503DF" w:rsidRPr="000B5A29" w:rsidRDefault="00A503DF" w:rsidP="000B5A29">
            <w:pPr>
              <w:pStyle w:val="TableRowHead"/>
              <w:rPr>
                <w:rFonts w:ascii="Gill Sans MT" w:hAnsi="Gill Sans MT"/>
              </w:rPr>
            </w:pPr>
            <w:r w:rsidRPr="000B5A29">
              <w:rPr>
                <w:rFonts w:ascii="Gill Sans MT" w:hAnsi="Gill Sans MT"/>
              </w:rPr>
              <w:t>Under 66 years of age, caring for 2 people</w:t>
            </w:r>
          </w:p>
        </w:tc>
        <w:tc>
          <w:tcPr>
            <w:tcW w:w="4315" w:type="dxa"/>
            <w:shd w:val="clear" w:color="auto" w:fill="auto"/>
          </w:tcPr>
          <w:p w14:paraId="6D3F70C3" w14:textId="77777777" w:rsidR="00A503DF" w:rsidRPr="00AD4CD3" w:rsidRDefault="00BB341C" w:rsidP="006718AF">
            <w:pPr>
              <w:pStyle w:val="ListBullet"/>
              <w:numPr>
                <w:ilvl w:val="0"/>
                <w:numId w:val="0"/>
              </w:numPr>
              <w:jc w:val="right"/>
            </w:pPr>
            <w:r w:rsidRPr="00AD4CD3">
              <w:t>€</w:t>
            </w:r>
            <w:r w:rsidR="00A7664E" w:rsidRPr="00AD4CD3">
              <w:t>328.50</w:t>
            </w:r>
          </w:p>
        </w:tc>
      </w:tr>
      <w:tr w:rsidR="00A503DF" w14:paraId="5C46EAE1" w14:textId="77777777" w:rsidTr="000B5A29">
        <w:tc>
          <w:tcPr>
            <w:tcW w:w="4315" w:type="dxa"/>
            <w:shd w:val="clear" w:color="auto" w:fill="auto"/>
          </w:tcPr>
          <w:p w14:paraId="6AB338CE" w14:textId="77777777" w:rsidR="00A503DF" w:rsidRPr="000B5A29" w:rsidRDefault="00A7664E" w:rsidP="000B5A29">
            <w:pPr>
              <w:pStyle w:val="TableRowHead"/>
              <w:rPr>
                <w:rFonts w:ascii="Gill Sans MT" w:hAnsi="Gill Sans MT"/>
              </w:rPr>
            </w:pPr>
            <w:r w:rsidRPr="000B5A29">
              <w:rPr>
                <w:rFonts w:ascii="Gill Sans MT" w:hAnsi="Gill Sans MT"/>
              </w:rPr>
              <w:t>66+ and caring for one person</w:t>
            </w:r>
          </w:p>
        </w:tc>
        <w:tc>
          <w:tcPr>
            <w:tcW w:w="4315" w:type="dxa"/>
            <w:shd w:val="clear" w:color="auto" w:fill="auto"/>
          </w:tcPr>
          <w:p w14:paraId="789737DC" w14:textId="77777777" w:rsidR="00A503DF" w:rsidRPr="00AD4CD3" w:rsidRDefault="00A503DF" w:rsidP="006718AF">
            <w:pPr>
              <w:pStyle w:val="ListBullet"/>
              <w:numPr>
                <w:ilvl w:val="0"/>
                <w:numId w:val="0"/>
              </w:numPr>
              <w:jc w:val="right"/>
            </w:pPr>
            <w:r w:rsidRPr="00AD4CD3">
              <w:t>€</w:t>
            </w:r>
            <w:r w:rsidR="00A7664E" w:rsidRPr="00AD4CD3">
              <w:t>257.00</w:t>
            </w:r>
          </w:p>
        </w:tc>
      </w:tr>
      <w:tr w:rsidR="00A503DF" w14:paraId="785CEECF" w14:textId="77777777" w:rsidTr="000B5A29">
        <w:tc>
          <w:tcPr>
            <w:tcW w:w="4315" w:type="dxa"/>
            <w:shd w:val="clear" w:color="auto" w:fill="auto"/>
          </w:tcPr>
          <w:p w14:paraId="27ADB299" w14:textId="77777777" w:rsidR="00A503DF" w:rsidRPr="000B5A29" w:rsidRDefault="00A7664E" w:rsidP="000B5A29">
            <w:pPr>
              <w:pStyle w:val="TableRowHead"/>
              <w:rPr>
                <w:rFonts w:ascii="Gill Sans MT" w:hAnsi="Gill Sans MT"/>
              </w:rPr>
            </w:pPr>
            <w:r w:rsidRPr="000B5A29">
              <w:rPr>
                <w:rFonts w:ascii="Gill Sans MT" w:hAnsi="Gill Sans MT"/>
              </w:rPr>
              <w:t>66+ and caring for 2 people</w:t>
            </w:r>
          </w:p>
        </w:tc>
        <w:tc>
          <w:tcPr>
            <w:tcW w:w="4315" w:type="dxa"/>
            <w:shd w:val="clear" w:color="auto" w:fill="auto"/>
          </w:tcPr>
          <w:p w14:paraId="4DA970E5" w14:textId="77777777" w:rsidR="00A503DF" w:rsidRPr="00AD4CD3" w:rsidRDefault="00A503DF" w:rsidP="006718AF">
            <w:pPr>
              <w:pStyle w:val="ListBullet"/>
              <w:numPr>
                <w:ilvl w:val="0"/>
                <w:numId w:val="0"/>
              </w:numPr>
              <w:jc w:val="right"/>
            </w:pPr>
            <w:r w:rsidRPr="00AD4CD3">
              <w:t>€</w:t>
            </w:r>
            <w:r w:rsidR="00A7664E" w:rsidRPr="00AD4CD3">
              <w:t>385.50</w:t>
            </w:r>
          </w:p>
        </w:tc>
      </w:tr>
      <w:tr w:rsidR="00A503DF" w14:paraId="17AE456E" w14:textId="77777777" w:rsidTr="000B5A29">
        <w:tc>
          <w:tcPr>
            <w:tcW w:w="4315" w:type="dxa"/>
            <w:shd w:val="clear" w:color="auto" w:fill="auto"/>
          </w:tcPr>
          <w:p w14:paraId="20427170" w14:textId="77777777" w:rsidR="00A503DF" w:rsidRPr="000B5A29" w:rsidRDefault="00A503DF" w:rsidP="000B5A29">
            <w:pPr>
              <w:pStyle w:val="TableRowHead"/>
              <w:rPr>
                <w:rFonts w:ascii="Gill Sans MT" w:hAnsi="Gill Sans MT"/>
              </w:rPr>
            </w:pPr>
            <w:r w:rsidRPr="000B5A29">
              <w:rPr>
                <w:rFonts w:ascii="Gill Sans MT" w:hAnsi="Gill Sans MT"/>
              </w:rPr>
              <w:t xml:space="preserve">Increase for a child </w:t>
            </w:r>
            <w:r w:rsidR="00A7664E" w:rsidRPr="000B5A29">
              <w:rPr>
                <w:rFonts w:ascii="Gill Sans MT" w:hAnsi="Gill Sans MT"/>
              </w:rPr>
              <w:t xml:space="preserve">dependant </w:t>
            </w:r>
            <w:r w:rsidRPr="000B5A29">
              <w:rPr>
                <w:rFonts w:ascii="Gill Sans MT" w:hAnsi="Gill Sans MT"/>
              </w:rPr>
              <w:t>under 12</w:t>
            </w:r>
          </w:p>
        </w:tc>
        <w:tc>
          <w:tcPr>
            <w:tcW w:w="4315" w:type="dxa"/>
            <w:shd w:val="clear" w:color="auto" w:fill="auto"/>
          </w:tcPr>
          <w:p w14:paraId="3006A171" w14:textId="77777777" w:rsidR="00A503DF" w:rsidRPr="00AD4CD3" w:rsidRDefault="00A503DF" w:rsidP="006718AF">
            <w:pPr>
              <w:pStyle w:val="ListBullet"/>
              <w:numPr>
                <w:ilvl w:val="0"/>
                <w:numId w:val="0"/>
              </w:numPr>
              <w:jc w:val="right"/>
            </w:pPr>
            <w:r w:rsidRPr="00AD4CD3">
              <w:t>Full rate: €36.00</w:t>
            </w:r>
          </w:p>
          <w:p w14:paraId="096C3808" w14:textId="77777777" w:rsidR="00A503DF" w:rsidRPr="00AD4CD3" w:rsidRDefault="00A503DF" w:rsidP="006718AF">
            <w:pPr>
              <w:pStyle w:val="ListBullet"/>
              <w:numPr>
                <w:ilvl w:val="0"/>
                <w:numId w:val="0"/>
              </w:numPr>
              <w:jc w:val="right"/>
            </w:pPr>
            <w:r w:rsidRPr="00AD4CD3">
              <w:t>Half rate: €18.00</w:t>
            </w:r>
          </w:p>
        </w:tc>
      </w:tr>
      <w:tr w:rsidR="00A503DF" w14:paraId="2CFDBF65" w14:textId="77777777" w:rsidTr="000B5A29">
        <w:tc>
          <w:tcPr>
            <w:tcW w:w="4315" w:type="dxa"/>
            <w:shd w:val="clear" w:color="auto" w:fill="auto"/>
          </w:tcPr>
          <w:p w14:paraId="13AA3B1F" w14:textId="77777777" w:rsidR="00A503DF" w:rsidRPr="000B5A29" w:rsidRDefault="00A503DF" w:rsidP="000B5A29">
            <w:pPr>
              <w:pStyle w:val="TableRowHead"/>
              <w:rPr>
                <w:rFonts w:ascii="Gill Sans MT" w:hAnsi="Gill Sans MT"/>
              </w:rPr>
            </w:pPr>
            <w:r w:rsidRPr="000B5A29">
              <w:rPr>
                <w:rFonts w:ascii="Gill Sans MT" w:hAnsi="Gill Sans MT"/>
              </w:rPr>
              <w:t xml:space="preserve">Increase for a child </w:t>
            </w:r>
            <w:r w:rsidR="00A7664E" w:rsidRPr="000B5A29">
              <w:rPr>
                <w:rFonts w:ascii="Gill Sans MT" w:hAnsi="Gill Sans MT"/>
              </w:rPr>
              <w:t xml:space="preserve">dependant </w:t>
            </w:r>
            <w:r w:rsidRPr="000B5A29">
              <w:rPr>
                <w:rFonts w:ascii="Gill Sans MT" w:hAnsi="Gill Sans MT"/>
              </w:rPr>
              <w:t>over 12</w:t>
            </w:r>
          </w:p>
        </w:tc>
        <w:tc>
          <w:tcPr>
            <w:tcW w:w="4315" w:type="dxa"/>
            <w:shd w:val="clear" w:color="auto" w:fill="auto"/>
          </w:tcPr>
          <w:p w14:paraId="04AAC38C" w14:textId="77777777" w:rsidR="00A503DF" w:rsidRPr="00AD4CD3" w:rsidRDefault="00A503DF" w:rsidP="006718AF">
            <w:pPr>
              <w:pStyle w:val="ListBullet"/>
              <w:numPr>
                <w:ilvl w:val="0"/>
                <w:numId w:val="0"/>
              </w:numPr>
              <w:jc w:val="right"/>
            </w:pPr>
            <w:r w:rsidRPr="00AD4CD3">
              <w:t>Full rate: €40.00</w:t>
            </w:r>
          </w:p>
          <w:p w14:paraId="261C7693" w14:textId="77777777" w:rsidR="00A503DF" w:rsidRPr="00AD4CD3" w:rsidRDefault="00A503DF" w:rsidP="006718AF">
            <w:pPr>
              <w:pStyle w:val="ListBullet"/>
              <w:numPr>
                <w:ilvl w:val="0"/>
                <w:numId w:val="0"/>
              </w:numPr>
              <w:jc w:val="right"/>
            </w:pPr>
            <w:r w:rsidRPr="00AD4CD3">
              <w:t>Half rate: €20.00</w:t>
            </w:r>
          </w:p>
        </w:tc>
      </w:tr>
    </w:tbl>
    <w:p w14:paraId="1DA43EF0" w14:textId="33D4AB27" w:rsidR="00A7664E" w:rsidRDefault="000B5A29" w:rsidP="000B5A29">
      <w:pPr>
        <w:pStyle w:val="TableNote"/>
        <w:rPr>
          <w:shd w:val="clear" w:color="auto" w:fill="FFFFFF"/>
        </w:rPr>
      </w:pPr>
      <w:r>
        <w:rPr>
          <w:shd w:val="clear" w:color="auto" w:fill="FFFFFF"/>
        </w:rPr>
        <w:t>Source:</w:t>
      </w:r>
    </w:p>
    <w:p w14:paraId="410F4E56" w14:textId="77777777" w:rsidR="001F1E12" w:rsidRPr="001F1E12" w:rsidRDefault="001F1E12" w:rsidP="00B20DD8">
      <w:pPr>
        <w:rPr>
          <w:rFonts w:cs="Arial"/>
          <w:spacing w:val="3"/>
          <w:szCs w:val="26"/>
          <w:shd w:val="clear" w:color="auto" w:fill="FFFFFF"/>
        </w:rPr>
      </w:pPr>
      <w:r w:rsidRPr="001F1E12">
        <w:rPr>
          <w:rFonts w:cs="Arial"/>
          <w:spacing w:val="3"/>
          <w:szCs w:val="26"/>
          <w:shd w:val="clear" w:color="auto" w:fill="FFFFFF"/>
        </w:rPr>
        <w:lastRenderedPageBreak/>
        <w:t>A carer may claim a full-rate increase in thei</w:t>
      </w:r>
      <w:r w:rsidR="001F689D">
        <w:rPr>
          <w:rFonts w:cs="Arial"/>
          <w:spacing w:val="3"/>
          <w:szCs w:val="26"/>
          <w:shd w:val="clear" w:color="auto" w:fill="FFFFFF"/>
        </w:rPr>
        <w:t xml:space="preserve">r payment for a child dependant </w:t>
      </w:r>
      <w:r w:rsidRPr="001F1E12">
        <w:rPr>
          <w:rFonts w:cs="Arial"/>
          <w:spacing w:val="3"/>
          <w:szCs w:val="26"/>
          <w:shd w:val="clear" w:color="auto" w:fill="FFFFFF"/>
        </w:rPr>
        <w:t>if they are single, widowed, separated or a civil partner who is not living with the other civil partner. A carer may claim a half-rate increase in their payment for a child dependant if they are living with their spouse, civil partner or cohabitant.</w:t>
      </w:r>
    </w:p>
    <w:p w14:paraId="033D0838" w14:textId="77777777" w:rsidR="00243197" w:rsidRDefault="00A7664E" w:rsidP="005D0B46">
      <w:r>
        <w:t xml:space="preserve">In 2018, </w:t>
      </w:r>
      <w:r w:rsidR="001F1E12">
        <w:t xml:space="preserve">€795 million </w:t>
      </w:r>
      <w:r>
        <w:t xml:space="preserve">was paid in Carer’s Allowance. This is an increase of 58% since 2009. This was paid to </w:t>
      </w:r>
      <w:r w:rsidR="00B3591C">
        <w:t>79,914 recipients i</w:t>
      </w:r>
      <w:r w:rsidR="001F1E12">
        <w:t>n 2018</w:t>
      </w:r>
      <w:r w:rsidR="005857FF">
        <w:t>, with 127,887 beneficiaries.</w:t>
      </w:r>
      <w:r>
        <w:t xml:space="preserve"> </w:t>
      </w:r>
      <w:r w:rsidR="00243197">
        <w:t>Recipients included 61,107 females and 18,807 males</w:t>
      </w:r>
      <w:r w:rsidR="00EC22FB">
        <w:t>.</w:t>
      </w:r>
      <w:r w:rsidR="00EC22FB">
        <w:rPr>
          <w:rStyle w:val="FootnoteReference"/>
        </w:rPr>
        <w:footnoteReference w:id="31"/>
      </w:r>
    </w:p>
    <w:p w14:paraId="5771110D" w14:textId="77777777" w:rsidR="001A25D7" w:rsidRDefault="001A25D7" w:rsidP="00DB4C84">
      <w:pPr>
        <w:pStyle w:val="Heading3"/>
      </w:pPr>
      <w:r>
        <w:t>Carer’s Benefit</w:t>
      </w:r>
    </w:p>
    <w:p w14:paraId="27A80F38" w14:textId="77777777" w:rsidR="001A25D7" w:rsidRDefault="001A25D7" w:rsidP="00A7664E">
      <w:r>
        <w:t>Carer’s Benefit is €220 a week. It is a payment made to insured people who may be required to leave the workforce or reduce their working hours to care for a person(s) in need of full time care.</w:t>
      </w:r>
      <w:r w:rsidR="00473ADC">
        <w:rPr>
          <w:rStyle w:val="FootnoteReference"/>
        </w:rPr>
        <w:footnoteReference w:id="32"/>
      </w:r>
    </w:p>
    <w:p w14:paraId="755CAC9C" w14:textId="77777777" w:rsidR="00A7664E" w:rsidRDefault="001A25D7" w:rsidP="00A7664E">
      <w:r>
        <w:t>It is payable for a period of 2 years (104 weeks) for each care recipient and may be claimed over separate periods up to a total of 2 years (104 weeks).</w:t>
      </w:r>
    </w:p>
    <w:p w14:paraId="7F56D1A2" w14:textId="77777777" w:rsidR="00A1022E" w:rsidRDefault="00A1022E" w:rsidP="00A7664E">
      <w:r>
        <w:t>In 2018, €3</w:t>
      </w:r>
      <w:r w:rsidR="000B71CB">
        <w:t>9</w:t>
      </w:r>
      <w:r>
        <w:t xml:space="preserve"> million was spent on Carer’s Benefit, an increase of 6.2% compared to 2017.</w:t>
      </w:r>
      <w:r w:rsidR="00051105">
        <w:t xml:space="preserve"> This was paid to 2,750 recipients with 3,871 beneficiaries</w:t>
      </w:r>
      <w:r w:rsidR="00EC22FB">
        <w:t>.</w:t>
      </w:r>
      <w:r w:rsidR="00EC22FB">
        <w:rPr>
          <w:rStyle w:val="FootnoteReference"/>
        </w:rPr>
        <w:footnoteReference w:id="33"/>
      </w:r>
    </w:p>
    <w:p w14:paraId="40B52285" w14:textId="77777777" w:rsidR="000507F9" w:rsidRDefault="001A25D7" w:rsidP="00DB4C84">
      <w:pPr>
        <w:pStyle w:val="Heading3"/>
      </w:pPr>
      <w:r>
        <w:t>Carer’s Support Grant</w:t>
      </w:r>
    </w:p>
    <w:p w14:paraId="7FFA2D17" w14:textId="77777777" w:rsidR="001A25D7" w:rsidRPr="001A25D7" w:rsidRDefault="001A25D7" w:rsidP="001A25D7">
      <w:r>
        <w:t>The Carer’s Support Grant</w:t>
      </w:r>
      <w:r w:rsidR="00A7664E">
        <w:t xml:space="preserve"> is €1,700 for each person an individual is </w:t>
      </w:r>
      <w:r>
        <w:t xml:space="preserve">caring for. It is an annual payment made to carers who get Carer's Allowance, Carer's Benefit </w:t>
      </w:r>
      <w:r w:rsidR="00A7664E">
        <w:t xml:space="preserve">or Domiciliary </w:t>
      </w:r>
      <w:r w:rsidR="00A7664E">
        <w:lastRenderedPageBreak/>
        <w:t>Care Allowance</w:t>
      </w:r>
      <w:r>
        <w:t>.</w:t>
      </w:r>
      <w:r w:rsidR="00A7664E">
        <w:t xml:space="preserve"> </w:t>
      </w:r>
      <w:r>
        <w:t>It is an automatic payment made each June.</w:t>
      </w:r>
      <w:r w:rsidR="00A7664E">
        <w:t xml:space="preserve"> €</w:t>
      </w:r>
      <w:r w:rsidR="000B71CB">
        <w:t xml:space="preserve">204 million was spent on </w:t>
      </w:r>
      <w:r w:rsidR="00A7664E">
        <w:t xml:space="preserve">the </w:t>
      </w:r>
      <w:r w:rsidR="000B71CB">
        <w:t>Carer’s Support Grant in 2018.</w:t>
      </w:r>
      <w:r w:rsidR="00EC22FB">
        <w:rPr>
          <w:rStyle w:val="FootnoteReference"/>
        </w:rPr>
        <w:footnoteReference w:id="34"/>
      </w:r>
    </w:p>
    <w:p w14:paraId="3BA0D752" w14:textId="77777777" w:rsidR="000507F9" w:rsidRDefault="00926259" w:rsidP="00937F23">
      <w:pPr>
        <w:pStyle w:val="Heading1"/>
      </w:pPr>
      <w:bookmarkStart w:id="24" w:name="_Toc66171839"/>
      <w:r>
        <w:t>Other allowances and benefits</w:t>
      </w:r>
      <w:bookmarkEnd w:id="24"/>
    </w:p>
    <w:p w14:paraId="24714A52" w14:textId="77777777" w:rsidR="00926259" w:rsidRPr="00926259" w:rsidRDefault="00926259" w:rsidP="00926259">
      <w:r>
        <w:t xml:space="preserve">Other allowances and benefits that may be paid alongside the </w:t>
      </w:r>
      <w:r w:rsidR="009E2650">
        <w:t>payments</w:t>
      </w:r>
      <w:r>
        <w:t xml:space="preserve"> outlined above include:</w:t>
      </w:r>
    </w:p>
    <w:p w14:paraId="293CE3FD" w14:textId="77777777" w:rsidR="00926259" w:rsidRDefault="00926259" w:rsidP="00952991">
      <w:pPr>
        <w:pStyle w:val="Heading2"/>
      </w:pPr>
      <w:bookmarkStart w:id="25" w:name="_Toc66171840"/>
      <w:r>
        <w:t>Living Alone Increase</w:t>
      </w:r>
      <w:bookmarkEnd w:id="25"/>
    </w:p>
    <w:p w14:paraId="20031D3B" w14:textId="77777777" w:rsidR="005973B9" w:rsidRDefault="005973B9" w:rsidP="005973B9">
      <w:r>
        <w:t>The Living Alone Increase is an extra payment for people on social welfare payments (including Disability Allowance, Invalidity Pension, Incapacity Supplement and Blind Pension) who are living alone.</w:t>
      </w:r>
    </w:p>
    <w:p w14:paraId="32851C61" w14:textId="77777777" w:rsidR="005973B9" w:rsidRPr="005973B9" w:rsidRDefault="005973B9" w:rsidP="005973B9">
      <w:r>
        <w:t>The rate of payment is a weekly increase of €14.</w:t>
      </w:r>
      <w:r w:rsidR="00473ADC">
        <w:rPr>
          <w:rStyle w:val="FootnoteReference"/>
        </w:rPr>
        <w:footnoteReference w:id="35"/>
      </w:r>
    </w:p>
    <w:p w14:paraId="379E74B4" w14:textId="77777777" w:rsidR="00926259" w:rsidRDefault="00926259" w:rsidP="00952991">
      <w:pPr>
        <w:pStyle w:val="Heading2"/>
      </w:pPr>
      <w:bookmarkStart w:id="26" w:name="_Toc66171841"/>
      <w:r>
        <w:t>Telephone Support Allowance</w:t>
      </w:r>
      <w:bookmarkEnd w:id="26"/>
    </w:p>
    <w:p w14:paraId="54EFF176" w14:textId="77777777" w:rsidR="00A160AA" w:rsidRPr="00BB341C" w:rsidRDefault="00A160AA" w:rsidP="00BB341C">
      <w:r w:rsidRPr="00BB341C">
        <w:t>Telephone Support Allowance is a weekly payment for people who live alone and are already in receipt of certain other social welfare payments</w:t>
      </w:r>
      <w:r w:rsidR="00235066" w:rsidRPr="00BB341C">
        <w:t>, including Disability Allowance, Inval</w:t>
      </w:r>
      <w:r w:rsidR="00BB341C">
        <w:t>idity Pension and Blind Pension</w:t>
      </w:r>
      <w:r w:rsidRPr="00BB341C">
        <w:t>. It assists the cost of communications and or home security solutions.</w:t>
      </w:r>
    </w:p>
    <w:p w14:paraId="140F0E11" w14:textId="77777777" w:rsidR="00A160AA" w:rsidRPr="00BB341C" w:rsidRDefault="00A160AA" w:rsidP="00BB341C">
      <w:r w:rsidRPr="00BB341C">
        <w:t>It is paid at a single rate of €2.50 a week</w:t>
      </w:r>
      <w:r w:rsidR="00235066" w:rsidRPr="00BB341C">
        <w:t xml:space="preserve"> (€130 annually)</w:t>
      </w:r>
      <w:r w:rsidRPr="00BB341C">
        <w:t>.</w:t>
      </w:r>
      <w:r w:rsidR="00473ADC">
        <w:rPr>
          <w:rStyle w:val="FootnoteReference"/>
        </w:rPr>
        <w:footnoteReference w:id="36"/>
      </w:r>
      <w:r w:rsidRPr="00BB341C">
        <w:t xml:space="preserve"> </w:t>
      </w:r>
    </w:p>
    <w:p w14:paraId="209B5F9F" w14:textId="77777777" w:rsidR="00926259" w:rsidRDefault="00926259" w:rsidP="00952991">
      <w:pPr>
        <w:pStyle w:val="Heading2"/>
      </w:pPr>
      <w:bookmarkStart w:id="27" w:name="_Toc66171842"/>
      <w:r>
        <w:lastRenderedPageBreak/>
        <w:t>Increase for Living on a Specified Island</w:t>
      </w:r>
      <w:bookmarkEnd w:id="27"/>
    </w:p>
    <w:p w14:paraId="03B00825" w14:textId="77777777" w:rsidR="00235066" w:rsidRDefault="00235066" w:rsidP="00BB341C">
      <w:r>
        <w:t>The Increase for Living on a Specified Island is sometimes called an Island Allowance. The rate of payment is €12.70.</w:t>
      </w:r>
      <w:r w:rsidR="00473ADC">
        <w:rPr>
          <w:rStyle w:val="FootnoteReference"/>
        </w:rPr>
        <w:footnoteReference w:id="37"/>
      </w:r>
    </w:p>
    <w:p w14:paraId="13351B75" w14:textId="77777777" w:rsidR="00235066" w:rsidRDefault="00235066" w:rsidP="00BB341C">
      <w:r>
        <w:t>People living on islands can face extra expenses travelling to the mainland to avail of services.</w:t>
      </w:r>
      <w:r w:rsidR="00BB341C">
        <w:t xml:space="preserve"> </w:t>
      </w:r>
      <w:r>
        <w:t>The increase is to compensate for the additional costs of living on an island off the coast of Ireland.</w:t>
      </w:r>
    </w:p>
    <w:p w14:paraId="776B0AD4" w14:textId="77777777" w:rsidR="00235066" w:rsidRDefault="00235066" w:rsidP="00BB341C">
      <w:r>
        <w:t xml:space="preserve">To qualify for an increase in the rate of </w:t>
      </w:r>
      <w:r w:rsidR="00BB341C">
        <w:t xml:space="preserve">an individual’s </w:t>
      </w:r>
      <w:r>
        <w:t xml:space="preserve">social welfare payment </w:t>
      </w:r>
      <w:r w:rsidR="00BB341C">
        <w:t>they</w:t>
      </w:r>
      <w:r>
        <w:t xml:space="preserve"> must:</w:t>
      </w:r>
    </w:p>
    <w:p w14:paraId="608B511D" w14:textId="77777777" w:rsidR="00235066" w:rsidRDefault="00BB341C" w:rsidP="00BB341C">
      <w:pPr>
        <w:pStyle w:val="ListBullet"/>
      </w:pPr>
      <w:r>
        <w:t>L</w:t>
      </w:r>
      <w:r w:rsidR="00235066">
        <w:t xml:space="preserve">ive on a particular island off the coast of Ireland </w:t>
      </w:r>
    </w:p>
    <w:p w14:paraId="5BB3A72A" w14:textId="77777777" w:rsidR="00235066" w:rsidRDefault="00BB341C" w:rsidP="00BB341C">
      <w:pPr>
        <w:pStyle w:val="ListBullet"/>
      </w:pPr>
      <w:r>
        <w:t>B</w:t>
      </w:r>
      <w:r w:rsidR="00235066">
        <w:t>e 66 years of age or over</w:t>
      </w:r>
    </w:p>
    <w:p w14:paraId="1620EA1A" w14:textId="77777777" w:rsidR="00235066" w:rsidRDefault="00BB341C" w:rsidP="00BB341C">
      <w:pPr>
        <w:pStyle w:val="ListBullet"/>
      </w:pPr>
      <w:r>
        <w:t>B</w:t>
      </w:r>
      <w:r w:rsidR="00235066">
        <w:t>e in receipt of another payment, including Blind Pension, Invalidity Pension and Carer’s Allowance.</w:t>
      </w:r>
    </w:p>
    <w:p w14:paraId="07C193E2" w14:textId="77777777" w:rsidR="00926259" w:rsidRDefault="00235066" w:rsidP="00926259">
      <w:r>
        <w:t xml:space="preserve">If </w:t>
      </w:r>
      <w:r w:rsidR="00BB341C">
        <w:t>an individual</w:t>
      </w:r>
      <w:r w:rsidR="00AF2D32">
        <w:t xml:space="preserve"> is</w:t>
      </w:r>
      <w:r>
        <w:t xml:space="preserve"> under 66 years of age, </w:t>
      </w:r>
      <w:r w:rsidR="00AF2D32">
        <w:t>they</w:t>
      </w:r>
      <w:r>
        <w:t xml:space="preserve"> may still receive the Increase, if </w:t>
      </w:r>
      <w:r w:rsidR="00AF2D32">
        <w:t>they</w:t>
      </w:r>
      <w:r>
        <w:t xml:space="preserve"> are already in receipt of Disability Allowance, Invalidity Pension, Blind Pension or Incapacity Supplement.  </w:t>
      </w:r>
    </w:p>
    <w:p w14:paraId="2852ED91" w14:textId="77777777" w:rsidR="00926259" w:rsidRDefault="00926259" w:rsidP="00952991">
      <w:pPr>
        <w:pStyle w:val="Heading2"/>
      </w:pPr>
      <w:bookmarkStart w:id="28" w:name="_Toc66171843"/>
      <w:r>
        <w:t>Fuel Allowance</w:t>
      </w:r>
      <w:bookmarkEnd w:id="28"/>
    </w:p>
    <w:p w14:paraId="10708A74" w14:textId="77777777" w:rsidR="007D2401" w:rsidRDefault="007D2401" w:rsidP="007D2401">
      <w:r>
        <w:t>Fuel Allowance is a means-tested payment to help with the cost of heating a home during the winter months. It is paid to people who are receiving a long-term (15 months or more) social welfare payment.</w:t>
      </w:r>
    </w:p>
    <w:p w14:paraId="487C2F26" w14:textId="77777777" w:rsidR="004D483E" w:rsidRDefault="004D483E" w:rsidP="007D2401">
      <w:r>
        <w:t>The rate of payment is €24.50 per week from October to April each year, which is usually paid in two lumps sums (October and January).</w:t>
      </w:r>
      <w:r w:rsidR="00473ADC">
        <w:rPr>
          <w:rStyle w:val="FootnoteReference"/>
        </w:rPr>
        <w:footnoteReference w:id="38"/>
      </w:r>
      <w:r>
        <w:t xml:space="preserve"> Only one Fuel Allowance is paid to each household.</w:t>
      </w:r>
    </w:p>
    <w:p w14:paraId="5F29A8AF" w14:textId="77777777" w:rsidR="00CA716A" w:rsidRPr="007D2401" w:rsidRDefault="00CA716A" w:rsidP="007D2401">
      <w:r>
        <w:lastRenderedPageBreak/>
        <w:t>In 2018, 240 million was spent on Fuel Allowance</w:t>
      </w:r>
      <w:r w:rsidR="00473ADC">
        <w:t>.</w:t>
      </w:r>
      <w:r w:rsidR="00473ADC">
        <w:rPr>
          <w:rStyle w:val="FootnoteReference"/>
        </w:rPr>
        <w:footnoteReference w:id="39"/>
      </w:r>
    </w:p>
    <w:p w14:paraId="5C392048" w14:textId="77777777" w:rsidR="00926259" w:rsidRDefault="00A70A73" w:rsidP="00A70A73">
      <w:pPr>
        <w:pStyle w:val="Heading2"/>
      </w:pPr>
      <w:bookmarkStart w:id="29" w:name="_Toc66171844"/>
      <w:r>
        <w:t>Partial Capacity Benefit</w:t>
      </w:r>
      <w:bookmarkEnd w:id="29"/>
    </w:p>
    <w:p w14:paraId="16985AC7" w14:textId="77777777" w:rsidR="00A70A73" w:rsidRDefault="00A70A73" w:rsidP="00A70A73">
      <w:r>
        <w:t xml:space="preserve">Partial Capacity Benefit is paid if </w:t>
      </w:r>
      <w:r w:rsidR="00AF2D32">
        <w:t>an individual</w:t>
      </w:r>
      <w:r>
        <w:t xml:space="preserve"> cannot work to </w:t>
      </w:r>
      <w:r w:rsidR="00AF2D32">
        <w:t>their</w:t>
      </w:r>
      <w:r>
        <w:t xml:space="preserve"> full capacity but </w:t>
      </w:r>
      <w:r w:rsidR="00AF2D32">
        <w:t>has</w:t>
      </w:r>
      <w:r>
        <w:t xml:space="preserve"> received permission to return to work. The rate of payment is based upon a medical assessment of whether the restriction on an individual’s capacity for work is moderate, sever</w:t>
      </w:r>
      <w:r w:rsidR="00AF2D32">
        <w:t>e</w:t>
      </w:r>
      <w:r>
        <w:t xml:space="preserve"> or profound. If the restriction is assessed as mild, the individual will not receive the Partial Capacity Benefit.</w:t>
      </w:r>
    </w:p>
    <w:p w14:paraId="6DDF37FE" w14:textId="77777777" w:rsidR="0075086E" w:rsidRDefault="00A70A73" w:rsidP="00A70A73">
      <w:r>
        <w:t>To qualify for the</w:t>
      </w:r>
      <w:r w:rsidR="00AF2D32">
        <w:t xml:space="preserve"> Partial Capacity</w:t>
      </w:r>
      <w:r>
        <w:t xml:space="preserve"> Benefit, an individual must also be in receipt of either Illness Benefit or Invalidity Pension. </w:t>
      </w:r>
    </w:p>
    <w:p w14:paraId="2773F1DA" w14:textId="77777777" w:rsidR="00A70A73" w:rsidRPr="00A70A73" w:rsidRDefault="0075086E" w:rsidP="00A70A73">
      <w:r>
        <w:t xml:space="preserve">An individual may work any amount of hours and earn any amount of money. </w:t>
      </w:r>
      <w:r w:rsidR="004670DB">
        <w:t xml:space="preserve">An individual may also work in a self-employed capacity. Rates of </w:t>
      </w:r>
      <w:r w:rsidR="00051105">
        <w:t>Partial</w:t>
      </w:r>
      <w:r w:rsidR="004670DB">
        <w:t xml:space="preserve"> Capacity Benefits payments range from €101 to €208 per week.</w:t>
      </w:r>
      <w:r w:rsidR="00473ADC">
        <w:rPr>
          <w:rStyle w:val="FootnoteReference"/>
        </w:rPr>
        <w:footnoteReference w:id="40"/>
      </w:r>
      <w:r w:rsidR="004670DB">
        <w:t xml:space="preserve"> </w:t>
      </w:r>
    </w:p>
    <w:p w14:paraId="2612054C" w14:textId="77777777" w:rsidR="000F6DDD" w:rsidRDefault="00235066" w:rsidP="00235066">
      <w:pPr>
        <w:pStyle w:val="Heading2"/>
      </w:pPr>
      <w:bookmarkStart w:id="30" w:name="_Toc66171845"/>
      <w:r>
        <w:t>Free Travel Scheme</w:t>
      </w:r>
      <w:bookmarkEnd w:id="30"/>
    </w:p>
    <w:p w14:paraId="1C620AEE" w14:textId="77777777" w:rsidR="00235066" w:rsidRDefault="00235066" w:rsidP="00A11074">
      <w:r>
        <w:t xml:space="preserve">The Free Travel Scheme allows </w:t>
      </w:r>
      <w:r w:rsidR="00A11074">
        <w:t xml:space="preserve">an individual </w:t>
      </w:r>
      <w:r>
        <w:t>to travel free of charge on all public transport owned by the State. This includes bus, rail and Dublin’s LUAS with some exceptions.</w:t>
      </w:r>
    </w:p>
    <w:p w14:paraId="784A0986" w14:textId="77777777" w:rsidR="00235066" w:rsidRDefault="00235066" w:rsidP="00A11074">
      <w:pPr>
        <w:rPr>
          <w:shd w:val="clear" w:color="auto" w:fill="FFFFFF"/>
        </w:rPr>
      </w:pPr>
      <w:r>
        <w:t xml:space="preserve">Everyone aged 66 and over, legally living permanently in the State, is entitled to the Free Travel Scheme. Some people under 66 also qualify. </w:t>
      </w:r>
      <w:r>
        <w:rPr>
          <w:shd w:val="clear" w:color="auto" w:fill="FFFFFF"/>
        </w:rPr>
        <w:t xml:space="preserve">In some cases, a Free Travel Companion Card is available. This card allows a companion to travel with </w:t>
      </w:r>
      <w:r w:rsidR="00A11074">
        <w:rPr>
          <w:shd w:val="clear" w:color="auto" w:fill="FFFFFF"/>
        </w:rPr>
        <w:t>the recipient</w:t>
      </w:r>
      <w:r>
        <w:rPr>
          <w:shd w:val="clear" w:color="auto" w:fill="FFFFFF"/>
        </w:rPr>
        <w:t xml:space="preserve"> for free. </w:t>
      </w:r>
    </w:p>
    <w:p w14:paraId="4B5C5B4E" w14:textId="77777777" w:rsidR="00235066" w:rsidRDefault="00A11074" w:rsidP="00A11074">
      <w:pPr>
        <w:rPr>
          <w:shd w:val="clear" w:color="auto" w:fill="FFFFFF"/>
        </w:rPr>
      </w:pPr>
      <w:r>
        <w:rPr>
          <w:shd w:val="clear" w:color="auto" w:fill="FFFFFF"/>
        </w:rPr>
        <w:lastRenderedPageBreak/>
        <w:t>An individual</w:t>
      </w:r>
      <w:r w:rsidR="00235066">
        <w:rPr>
          <w:shd w:val="clear" w:color="auto" w:fill="FFFFFF"/>
        </w:rPr>
        <w:t xml:space="preserve"> may be entitled to the Scheme if </w:t>
      </w:r>
      <w:r>
        <w:rPr>
          <w:shd w:val="clear" w:color="auto" w:fill="FFFFFF"/>
        </w:rPr>
        <w:t>they</w:t>
      </w:r>
      <w:r w:rsidR="00235066">
        <w:rPr>
          <w:shd w:val="clear" w:color="auto" w:fill="FFFFFF"/>
        </w:rPr>
        <w:t xml:space="preserve"> are in receipt of Disability Allowance, Blind Pension, Carer’s Allowance,</w:t>
      </w:r>
      <w:r w:rsidR="001A25D7">
        <w:rPr>
          <w:shd w:val="clear" w:color="auto" w:fill="FFFFFF"/>
        </w:rPr>
        <w:t xml:space="preserve"> Constant Attendance Allowance, </w:t>
      </w:r>
      <w:r w:rsidR="00235066">
        <w:rPr>
          <w:shd w:val="clear" w:color="auto" w:fill="FFFFFF"/>
        </w:rPr>
        <w:t>Invalidity Pension, Incapacity Supplement or Disablement Benefit.</w:t>
      </w:r>
      <w:r w:rsidR="00473ADC">
        <w:rPr>
          <w:rStyle w:val="FootnoteReference"/>
          <w:shd w:val="clear" w:color="auto" w:fill="FFFFFF"/>
        </w:rPr>
        <w:footnoteReference w:id="41"/>
      </w:r>
      <w:r w:rsidR="00235066">
        <w:rPr>
          <w:shd w:val="clear" w:color="auto" w:fill="FFFFFF"/>
        </w:rPr>
        <w:t xml:space="preserve"> </w:t>
      </w:r>
    </w:p>
    <w:p w14:paraId="3127A278" w14:textId="77777777" w:rsidR="00CA716A" w:rsidRDefault="00CA716A" w:rsidP="00A11074">
      <w:r>
        <w:rPr>
          <w:shd w:val="clear" w:color="auto" w:fill="FFFFFF"/>
        </w:rPr>
        <w:t xml:space="preserve">In 2018, </w:t>
      </w:r>
      <w:r w:rsidR="00A11074">
        <w:t>€</w:t>
      </w:r>
      <w:r>
        <w:rPr>
          <w:shd w:val="clear" w:color="auto" w:fill="FFFFFF"/>
        </w:rPr>
        <w:t>86 million was spent on Free Travel</w:t>
      </w:r>
      <w:r w:rsidR="00A11074">
        <w:rPr>
          <w:shd w:val="clear" w:color="auto" w:fill="FFFFFF"/>
        </w:rPr>
        <w:t>.</w:t>
      </w:r>
      <w:r w:rsidR="00473ADC">
        <w:rPr>
          <w:rStyle w:val="FootnoteReference"/>
          <w:shd w:val="clear" w:color="auto" w:fill="FFFFFF"/>
        </w:rPr>
        <w:footnoteReference w:id="42"/>
      </w:r>
    </w:p>
    <w:p w14:paraId="589094FB" w14:textId="77777777" w:rsidR="00235066" w:rsidRDefault="001A25D7" w:rsidP="001A25D7">
      <w:pPr>
        <w:pStyle w:val="Heading2"/>
      </w:pPr>
      <w:bookmarkStart w:id="31" w:name="_Toc66171846"/>
      <w:r>
        <w:t>Household Benefits Package</w:t>
      </w:r>
      <w:bookmarkEnd w:id="31"/>
    </w:p>
    <w:p w14:paraId="3DB054A6" w14:textId="77777777" w:rsidR="001A25D7" w:rsidRDefault="001A25D7" w:rsidP="00A11074">
      <w:r>
        <w:t xml:space="preserve">The Household Benefits Package is a set of allowances which help </w:t>
      </w:r>
      <w:r w:rsidR="00A11074">
        <w:t>an individual</w:t>
      </w:r>
      <w:r>
        <w:t xml:space="preserve"> with the costs of running </w:t>
      </w:r>
      <w:r w:rsidR="00A11074">
        <w:t>their</w:t>
      </w:r>
      <w:r>
        <w:t xml:space="preserve"> household. It includes allowances towards covering electricity or gas costs as well as the television licence.</w:t>
      </w:r>
    </w:p>
    <w:p w14:paraId="30AC3AA0" w14:textId="77777777" w:rsidR="001A25D7" w:rsidRDefault="001A25D7" w:rsidP="00A11074">
      <w:r>
        <w:t xml:space="preserve">The package is available to everyone aged over 70 and to people under 70 in certain circumstances, including those in receipt of Carer’s Allowance, Constant </w:t>
      </w:r>
      <w:r w:rsidR="00CA716A">
        <w:t>Attendance</w:t>
      </w:r>
      <w:r>
        <w:t xml:space="preserve"> Allowance, Incapacity Supplement, State Pension, Disability Allowance or Blind Pension.</w:t>
      </w:r>
    </w:p>
    <w:p w14:paraId="5A51C931" w14:textId="77777777" w:rsidR="00CA716A" w:rsidRDefault="00CA716A" w:rsidP="00A11074">
      <w:r>
        <w:t xml:space="preserve">In 2018, </w:t>
      </w:r>
      <w:r w:rsidR="00A11074">
        <w:t>€</w:t>
      </w:r>
      <w:r>
        <w:t>248 million was spent on Household Benefits</w:t>
      </w:r>
      <w:r w:rsidR="00A11074">
        <w:t>.</w:t>
      </w:r>
      <w:r w:rsidR="00473ADC">
        <w:rPr>
          <w:rStyle w:val="FootnoteReference"/>
        </w:rPr>
        <w:footnoteReference w:id="43"/>
      </w:r>
    </w:p>
    <w:p w14:paraId="0EA03811" w14:textId="0A33A8D5" w:rsidR="00A11074" w:rsidRDefault="00A11074" w:rsidP="000B5A29">
      <w:pPr>
        <w:pStyle w:val="TableTitle"/>
      </w:pPr>
      <w:r>
        <w:t>T</w:t>
      </w:r>
      <w:r w:rsidR="000B5A29">
        <w:t xml:space="preserve">able 8: Rates for the </w:t>
      </w:r>
      <w:r w:rsidR="000B5A29" w:rsidRPr="000B5A29">
        <w:t>Household Benefits Package</w:t>
      </w:r>
    </w:p>
    <w:tbl>
      <w:tblPr>
        <w:tblStyle w:val="TableGrid"/>
        <w:tblW w:w="0" w:type="auto"/>
        <w:tblLook w:val="04A0" w:firstRow="1" w:lastRow="0" w:firstColumn="1" w:lastColumn="0" w:noHBand="0" w:noVBand="1"/>
        <w:tblCaption w:val="Table 8: Rates for the Household Benefits Package"/>
        <w:tblDescription w:val="Rates for the Household Benefits Package"/>
      </w:tblPr>
      <w:tblGrid>
        <w:gridCol w:w="2263"/>
        <w:gridCol w:w="6367"/>
      </w:tblGrid>
      <w:tr w:rsidR="00A11074" w14:paraId="41D460A8" w14:textId="77777777" w:rsidTr="002115D5">
        <w:trPr>
          <w:tblHeader/>
        </w:trPr>
        <w:tc>
          <w:tcPr>
            <w:tcW w:w="2263" w:type="dxa"/>
            <w:shd w:val="clear" w:color="auto" w:fill="auto"/>
          </w:tcPr>
          <w:p w14:paraId="3393A0CB" w14:textId="77777777" w:rsidR="00A11074" w:rsidRDefault="00A11074" w:rsidP="002115D5">
            <w:pPr>
              <w:pStyle w:val="TableHead"/>
              <w:rPr>
                <w:lang w:eastAsia="en-IE"/>
              </w:rPr>
            </w:pPr>
            <w:r>
              <w:rPr>
                <w:lang w:eastAsia="en-IE"/>
              </w:rPr>
              <w:t>Allowance</w:t>
            </w:r>
          </w:p>
        </w:tc>
        <w:tc>
          <w:tcPr>
            <w:tcW w:w="6367" w:type="dxa"/>
            <w:shd w:val="clear" w:color="auto" w:fill="auto"/>
          </w:tcPr>
          <w:p w14:paraId="418C6390" w14:textId="77777777" w:rsidR="00A11074" w:rsidRDefault="00A11074" w:rsidP="002115D5">
            <w:pPr>
              <w:pStyle w:val="TableHead"/>
              <w:rPr>
                <w:lang w:eastAsia="en-IE"/>
              </w:rPr>
            </w:pPr>
            <w:r>
              <w:rPr>
                <w:lang w:eastAsia="en-IE"/>
              </w:rPr>
              <w:t>Rate</w:t>
            </w:r>
            <w:r w:rsidR="00473ADC">
              <w:rPr>
                <w:rStyle w:val="FootnoteReference"/>
                <w:lang w:eastAsia="en-IE"/>
              </w:rPr>
              <w:footnoteReference w:id="44"/>
            </w:r>
          </w:p>
        </w:tc>
      </w:tr>
      <w:tr w:rsidR="00A11074" w14:paraId="7B9BE131" w14:textId="77777777" w:rsidTr="000B5A29">
        <w:tc>
          <w:tcPr>
            <w:tcW w:w="2263" w:type="dxa"/>
            <w:shd w:val="clear" w:color="auto" w:fill="auto"/>
          </w:tcPr>
          <w:p w14:paraId="0B8CE29A" w14:textId="77777777" w:rsidR="00A11074" w:rsidRPr="000B5A29" w:rsidRDefault="00A11074" w:rsidP="000B5A29">
            <w:pPr>
              <w:pStyle w:val="TableRowHead"/>
              <w:rPr>
                <w:rFonts w:ascii="Gill Sans MT" w:hAnsi="Gill Sans MT"/>
                <w:lang w:eastAsia="en-IE"/>
              </w:rPr>
            </w:pPr>
            <w:r w:rsidRPr="000B5A29">
              <w:rPr>
                <w:rFonts w:ascii="Gill Sans MT" w:hAnsi="Gill Sans MT"/>
                <w:lang w:eastAsia="en-IE"/>
              </w:rPr>
              <w:t>Electricity or gas</w:t>
            </w:r>
          </w:p>
        </w:tc>
        <w:tc>
          <w:tcPr>
            <w:tcW w:w="6367" w:type="dxa"/>
            <w:shd w:val="clear" w:color="auto" w:fill="auto"/>
          </w:tcPr>
          <w:p w14:paraId="36DDF20E" w14:textId="77777777" w:rsidR="00A11074" w:rsidRDefault="00A11074" w:rsidP="00A11074">
            <w:pPr>
              <w:pStyle w:val="ListBullet"/>
              <w:numPr>
                <w:ilvl w:val="0"/>
                <w:numId w:val="0"/>
              </w:numPr>
              <w:rPr>
                <w:lang w:eastAsia="en-IE"/>
              </w:rPr>
            </w:pPr>
            <w:r>
              <w:rPr>
                <w:lang w:eastAsia="en-IE"/>
              </w:rPr>
              <w:t>€1.15 a day, payable monthly</w:t>
            </w:r>
          </w:p>
        </w:tc>
      </w:tr>
      <w:tr w:rsidR="00A11074" w14:paraId="74296FA8" w14:textId="77777777" w:rsidTr="000B5A29">
        <w:tc>
          <w:tcPr>
            <w:tcW w:w="2263" w:type="dxa"/>
            <w:shd w:val="clear" w:color="auto" w:fill="auto"/>
          </w:tcPr>
          <w:p w14:paraId="261B1A66" w14:textId="77777777" w:rsidR="00A11074" w:rsidRPr="000B5A29" w:rsidRDefault="00A11074" w:rsidP="000B5A29">
            <w:pPr>
              <w:pStyle w:val="TableRowHead"/>
              <w:rPr>
                <w:rFonts w:ascii="Gill Sans MT" w:hAnsi="Gill Sans MT"/>
                <w:lang w:eastAsia="en-IE"/>
              </w:rPr>
            </w:pPr>
            <w:r w:rsidRPr="000B5A29">
              <w:rPr>
                <w:rFonts w:ascii="Gill Sans MT" w:hAnsi="Gill Sans MT"/>
                <w:lang w:eastAsia="en-IE"/>
              </w:rPr>
              <w:lastRenderedPageBreak/>
              <w:t>TV Licence</w:t>
            </w:r>
          </w:p>
        </w:tc>
        <w:tc>
          <w:tcPr>
            <w:tcW w:w="6367" w:type="dxa"/>
            <w:shd w:val="clear" w:color="auto" w:fill="auto"/>
          </w:tcPr>
          <w:p w14:paraId="78D08FCC" w14:textId="77777777" w:rsidR="00A11074" w:rsidRDefault="00A11074" w:rsidP="00A11074">
            <w:pPr>
              <w:pStyle w:val="ListBullet"/>
              <w:numPr>
                <w:ilvl w:val="0"/>
                <w:numId w:val="0"/>
              </w:numPr>
              <w:rPr>
                <w:lang w:eastAsia="en-IE"/>
              </w:rPr>
            </w:pPr>
            <w:r>
              <w:rPr>
                <w:lang w:eastAsia="en-IE"/>
              </w:rPr>
              <w:t xml:space="preserve">Once an individual qualified for the Household Benefits Package, they qualify for a free Television Licence from its next renewal date. </w:t>
            </w:r>
          </w:p>
        </w:tc>
      </w:tr>
    </w:tbl>
    <w:p w14:paraId="56830277" w14:textId="0F48767A" w:rsidR="000B5A29" w:rsidRDefault="000B5A29" w:rsidP="000B5A29">
      <w:pPr>
        <w:pStyle w:val="TableNote"/>
      </w:pPr>
      <w:r>
        <w:t>Source:</w:t>
      </w:r>
    </w:p>
    <w:p w14:paraId="2128792F" w14:textId="05BA48AF" w:rsidR="0092564C" w:rsidRDefault="0092564C" w:rsidP="004670DB">
      <w:pPr>
        <w:pStyle w:val="Heading1"/>
      </w:pPr>
      <w:bookmarkStart w:id="32" w:name="_Toc66171847"/>
      <w:r>
        <w:t>C</w:t>
      </w:r>
      <w:r w:rsidR="00591A15">
        <w:t>OVID</w:t>
      </w:r>
      <w:r>
        <w:t>-19 Payments</w:t>
      </w:r>
      <w:bookmarkEnd w:id="32"/>
    </w:p>
    <w:p w14:paraId="35BDFEE2" w14:textId="7DB967BD" w:rsidR="00591A15" w:rsidRPr="00591A15" w:rsidRDefault="00591A15" w:rsidP="00591A15">
      <w:r>
        <w:t>A number of new payments were introduced in 2020 in response to the number of people unable to work due to the COVID-19 pandemic. These are outlined below.</w:t>
      </w:r>
    </w:p>
    <w:p w14:paraId="25E9D047" w14:textId="0B42E737" w:rsidR="00433ABE" w:rsidRDefault="00433ABE" w:rsidP="00591A15">
      <w:pPr>
        <w:pStyle w:val="Heading2"/>
        <w:rPr>
          <w:shd w:val="clear" w:color="auto" w:fill="FFFFFF"/>
        </w:rPr>
      </w:pPr>
      <w:bookmarkStart w:id="33" w:name="_Toc66171848"/>
      <w:r>
        <w:rPr>
          <w:shd w:val="clear" w:color="auto" w:fill="FFFFFF"/>
        </w:rPr>
        <w:t>C</w:t>
      </w:r>
      <w:r w:rsidR="00591A15">
        <w:rPr>
          <w:shd w:val="clear" w:color="auto" w:fill="FFFFFF"/>
        </w:rPr>
        <w:t>OVID</w:t>
      </w:r>
      <w:r>
        <w:rPr>
          <w:shd w:val="clear" w:color="auto" w:fill="FFFFFF"/>
        </w:rPr>
        <w:t>-19 Pandemic Unemployment Payment</w:t>
      </w:r>
      <w:bookmarkEnd w:id="33"/>
    </w:p>
    <w:p w14:paraId="4101AA59" w14:textId="4E4AC80F" w:rsidR="0092564C" w:rsidRDefault="00210403" w:rsidP="00591A15">
      <w:pPr>
        <w:rPr>
          <w:shd w:val="clear" w:color="auto" w:fill="FFFFFF"/>
        </w:rPr>
      </w:pPr>
      <w:r>
        <w:rPr>
          <w:shd w:val="clear" w:color="auto" w:fill="FFFFFF"/>
        </w:rPr>
        <w:t>The COVID-19 Pandemic Unemployment Payment is available to employees and the self-employed who have lost their job on or after 13 March due to the COVID-19 pandemic.</w:t>
      </w:r>
    </w:p>
    <w:p w14:paraId="0B1DC581" w14:textId="118151DC" w:rsidR="00210403" w:rsidRPr="00210403" w:rsidRDefault="00591A15" w:rsidP="00591A15">
      <w:pPr>
        <w:rPr>
          <w:lang w:eastAsia="en-IE"/>
        </w:rPr>
      </w:pPr>
      <w:r>
        <w:rPr>
          <w:lang w:eastAsia="en-IE"/>
        </w:rPr>
        <w:t>An individual</w:t>
      </w:r>
      <w:r w:rsidR="00210403" w:rsidRPr="00210403">
        <w:rPr>
          <w:lang w:eastAsia="en-IE"/>
        </w:rPr>
        <w:t xml:space="preserve"> can apply for the COVID-19 Pandemic Unemployment Payment if </w:t>
      </w:r>
      <w:r>
        <w:rPr>
          <w:lang w:eastAsia="en-IE"/>
        </w:rPr>
        <w:t>they</w:t>
      </w:r>
      <w:r w:rsidR="00210403" w:rsidRPr="00210403">
        <w:rPr>
          <w:lang w:eastAsia="en-IE"/>
        </w:rPr>
        <w:t>:</w:t>
      </w:r>
    </w:p>
    <w:p w14:paraId="102EA8A1" w14:textId="77777777" w:rsidR="00210403" w:rsidRPr="00210403" w:rsidRDefault="00210403" w:rsidP="00591A15">
      <w:pPr>
        <w:pStyle w:val="ListBullet"/>
        <w:rPr>
          <w:lang w:eastAsia="en-IE"/>
        </w:rPr>
      </w:pPr>
      <w:r w:rsidRPr="00210403">
        <w:rPr>
          <w:lang w:eastAsia="en-IE"/>
        </w:rPr>
        <w:t>are aged between 18 and 66 years old </w:t>
      </w:r>
      <w:r w:rsidRPr="00210403">
        <w:rPr>
          <w:b/>
          <w:bCs/>
          <w:lang w:eastAsia="en-IE"/>
        </w:rPr>
        <w:t>and</w:t>
      </w:r>
    </w:p>
    <w:p w14:paraId="6907D5E5" w14:textId="77777777" w:rsidR="00210403" w:rsidRPr="00210403" w:rsidRDefault="00210403" w:rsidP="00591A15">
      <w:pPr>
        <w:pStyle w:val="ListBullet"/>
        <w:rPr>
          <w:lang w:eastAsia="en-IE"/>
        </w:rPr>
      </w:pPr>
      <w:r w:rsidRPr="00210403">
        <w:rPr>
          <w:lang w:eastAsia="en-IE"/>
        </w:rPr>
        <w:t>are currently living in the Republic of Ireland </w:t>
      </w:r>
      <w:r w:rsidRPr="00210403">
        <w:rPr>
          <w:b/>
          <w:bCs/>
          <w:lang w:eastAsia="en-IE"/>
        </w:rPr>
        <w:t>and</w:t>
      </w:r>
    </w:p>
    <w:p w14:paraId="6CA58EE0" w14:textId="05033FDD" w:rsidR="00210403" w:rsidRPr="00210403" w:rsidRDefault="00210403" w:rsidP="00591A15">
      <w:pPr>
        <w:pStyle w:val="ListBullet"/>
        <w:rPr>
          <w:lang w:eastAsia="en-IE"/>
        </w:rPr>
      </w:pPr>
      <w:r w:rsidRPr="00210403">
        <w:rPr>
          <w:lang w:eastAsia="en-IE"/>
        </w:rPr>
        <w:t xml:space="preserve">have lost </w:t>
      </w:r>
      <w:r w:rsidR="00591A15">
        <w:rPr>
          <w:lang w:eastAsia="en-IE"/>
        </w:rPr>
        <w:t>their</w:t>
      </w:r>
      <w:r w:rsidRPr="00210403">
        <w:rPr>
          <w:lang w:eastAsia="en-IE"/>
        </w:rPr>
        <w:t xml:space="preserve"> job due to the COVID-19 pandemic </w:t>
      </w:r>
      <w:r w:rsidRPr="00210403">
        <w:rPr>
          <w:b/>
          <w:bCs/>
          <w:lang w:eastAsia="en-IE"/>
        </w:rPr>
        <w:t>or</w:t>
      </w:r>
    </w:p>
    <w:p w14:paraId="26671BAA" w14:textId="77777777" w:rsidR="00210403" w:rsidRPr="00210403" w:rsidRDefault="00210403" w:rsidP="00591A15">
      <w:pPr>
        <w:pStyle w:val="ListBullet"/>
        <w:rPr>
          <w:lang w:eastAsia="en-IE"/>
        </w:rPr>
      </w:pPr>
      <w:r w:rsidRPr="00210403">
        <w:rPr>
          <w:lang w:eastAsia="en-IE"/>
        </w:rPr>
        <w:t>have been temporarily laid off due to the COVID-19 pandemic </w:t>
      </w:r>
      <w:r w:rsidRPr="00210403">
        <w:rPr>
          <w:b/>
          <w:bCs/>
          <w:lang w:eastAsia="en-IE"/>
        </w:rPr>
        <w:t>or</w:t>
      </w:r>
    </w:p>
    <w:p w14:paraId="5C9D1F00" w14:textId="72C05466" w:rsidR="00210403" w:rsidRPr="00210403" w:rsidRDefault="00210403" w:rsidP="00591A15">
      <w:pPr>
        <w:pStyle w:val="ListBullet"/>
        <w:rPr>
          <w:lang w:eastAsia="en-IE"/>
        </w:rPr>
      </w:pPr>
      <w:r w:rsidRPr="00210403">
        <w:rPr>
          <w:lang w:eastAsia="en-IE"/>
        </w:rPr>
        <w:t xml:space="preserve">were self-employed and </w:t>
      </w:r>
      <w:r w:rsidR="00591A15">
        <w:rPr>
          <w:lang w:eastAsia="en-IE"/>
        </w:rPr>
        <w:t>their</w:t>
      </w:r>
      <w:r w:rsidRPr="00210403">
        <w:rPr>
          <w:lang w:eastAsia="en-IE"/>
        </w:rPr>
        <w:t xml:space="preserve"> trading income has ceased or reduced due to COVID-19 to the extent that </w:t>
      </w:r>
      <w:r w:rsidR="00591A15">
        <w:rPr>
          <w:lang w:eastAsia="en-IE"/>
        </w:rPr>
        <w:t>they</w:t>
      </w:r>
      <w:r w:rsidRPr="00210403">
        <w:rPr>
          <w:lang w:eastAsia="en-IE"/>
        </w:rPr>
        <w:t xml:space="preserve"> would be available to take up full-time employment </w:t>
      </w:r>
      <w:r w:rsidRPr="00210403">
        <w:rPr>
          <w:b/>
          <w:bCs/>
          <w:lang w:eastAsia="en-IE"/>
        </w:rPr>
        <w:t>and</w:t>
      </w:r>
    </w:p>
    <w:p w14:paraId="12BB1F77" w14:textId="77777777" w:rsidR="00210403" w:rsidRPr="00210403" w:rsidRDefault="00210403" w:rsidP="00591A15">
      <w:pPr>
        <w:pStyle w:val="ListBullet"/>
        <w:rPr>
          <w:lang w:eastAsia="en-IE"/>
        </w:rPr>
      </w:pPr>
      <w:r w:rsidRPr="00210403">
        <w:rPr>
          <w:lang w:eastAsia="en-IE"/>
        </w:rPr>
        <w:t>are not in receipt of any income from an employer </w:t>
      </w:r>
      <w:r w:rsidRPr="00210403">
        <w:rPr>
          <w:b/>
          <w:bCs/>
          <w:lang w:eastAsia="en-IE"/>
        </w:rPr>
        <w:t>and</w:t>
      </w:r>
    </w:p>
    <w:p w14:paraId="2FB2D141" w14:textId="6FA99D94" w:rsidR="00210403" w:rsidRPr="00210403" w:rsidRDefault="00210403" w:rsidP="00591A15">
      <w:pPr>
        <w:pStyle w:val="ListBullet"/>
        <w:rPr>
          <w:lang w:eastAsia="en-IE"/>
        </w:rPr>
      </w:pPr>
      <w:r w:rsidRPr="00210403">
        <w:rPr>
          <w:lang w:eastAsia="en-IE"/>
        </w:rPr>
        <w:t>are genuinely seeking work</w:t>
      </w:r>
      <w:r w:rsidR="00591A15">
        <w:rPr>
          <w:lang w:eastAsia="en-IE"/>
        </w:rPr>
        <w:t>.</w:t>
      </w:r>
    </w:p>
    <w:p w14:paraId="75B9E2A7" w14:textId="55408BBD" w:rsidR="00210403" w:rsidRPr="00210403" w:rsidRDefault="00591A15" w:rsidP="00591A15">
      <w:pPr>
        <w:rPr>
          <w:lang w:eastAsia="en-IE"/>
        </w:rPr>
      </w:pPr>
      <w:r>
        <w:rPr>
          <w:lang w:eastAsia="en-IE"/>
        </w:rPr>
        <w:t>F</w:t>
      </w:r>
      <w:r w:rsidR="00210403" w:rsidRPr="00210403">
        <w:rPr>
          <w:lang w:eastAsia="en-IE"/>
        </w:rPr>
        <w:t>rom 2 October 2020 until 31 January 2021 the COVID-19 Pandemic Unemployment Payment will be paid at 4 rates.</w:t>
      </w:r>
    </w:p>
    <w:p w14:paraId="7739219E" w14:textId="19BCE223" w:rsidR="00210403" w:rsidRPr="00210403" w:rsidRDefault="00591A15" w:rsidP="00591A15">
      <w:pPr>
        <w:pStyle w:val="ListBullet"/>
        <w:rPr>
          <w:lang w:eastAsia="en-IE"/>
        </w:rPr>
      </w:pPr>
      <w:r>
        <w:rPr>
          <w:lang w:eastAsia="en-IE"/>
        </w:rPr>
        <w:lastRenderedPageBreak/>
        <w:t xml:space="preserve">Individuals who had earned €400 or more per week </w:t>
      </w:r>
      <w:r w:rsidR="00210403" w:rsidRPr="00210403">
        <w:rPr>
          <w:lang w:eastAsia="en-IE"/>
        </w:rPr>
        <w:t>will receive €350</w:t>
      </w:r>
      <w:r>
        <w:rPr>
          <w:lang w:eastAsia="en-IE"/>
        </w:rPr>
        <w:t xml:space="preserve"> per week</w:t>
      </w:r>
    </w:p>
    <w:p w14:paraId="65CB9B77" w14:textId="40E29D42" w:rsidR="00210403" w:rsidRPr="00210403" w:rsidRDefault="00591A15" w:rsidP="00591A15">
      <w:pPr>
        <w:pStyle w:val="ListBullet"/>
        <w:rPr>
          <w:lang w:eastAsia="en-IE"/>
        </w:rPr>
      </w:pPr>
      <w:r>
        <w:rPr>
          <w:lang w:eastAsia="en-IE"/>
        </w:rPr>
        <w:t xml:space="preserve">Individuals who had </w:t>
      </w:r>
      <w:r w:rsidR="00210403" w:rsidRPr="00210403">
        <w:rPr>
          <w:lang w:eastAsia="en-IE"/>
        </w:rPr>
        <w:t>earned between €300 and €399.99 per week</w:t>
      </w:r>
      <w:r>
        <w:rPr>
          <w:lang w:eastAsia="en-IE"/>
        </w:rPr>
        <w:t xml:space="preserve"> will receive</w:t>
      </w:r>
      <w:r w:rsidR="00210403" w:rsidRPr="00210403">
        <w:rPr>
          <w:lang w:eastAsia="en-IE"/>
        </w:rPr>
        <w:t xml:space="preserve"> €300 per week</w:t>
      </w:r>
    </w:p>
    <w:p w14:paraId="4F1801D1" w14:textId="3E2C9C36" w:rsidR="00210403" w:rsidRPr="00210403" w:rsidRDefault="00591A15" w:rsidP="00591A15">
      <w:pPr>
        <w:pStyle w:val="ListBullet"/>
        <w:rPr>
          <w:lang w:eastAsia="en-IE"/>
        </w:rPr>
      </w:pPr>
      <w:r>
        <w:rPr>
          <w:lang w:eastAsia="en-IE"/>
        </w:rPr>
        <w:t xml:space="preserve">Individuals who had </w:t>
      </w:r>
      <w:r w:rsidR="00210403" w:rsidRPr="00210403">
        <w:rPr>
          <w:lang w:eastAsia="en-IE"/>
        </w:rPr>
        <w:t>earned betw</w:t>
      </w:r>
      <w:r>
        <w:rPr>
          <w:lang w:eastAsia="en-IE"/>
        </w:rPr>
        <w:t>een €200 and €299.99 per week will receive</w:t>
      </w:r>
      <w:r w:rsidR="00210403" w:rsidRPr="00210403">
        <w:rPr>
          <w:lang w:eastAsia="en-IE"/>
        </w:rPr>
        <w:t xml:space="preserve"> €250 per week</w:t>
      </w:r>
    </w:p>
    <w:p w14:paraId="1337BD16" w14:textId="206551FE" w:rsidR="00210403" w:rsidRPr="00591A15" w:rsidRDefault="00591A15" w:rsidP="00591A15">
      <w:pPr>
        <w:pStyle w:val="ListBullet"/>
        <w:shd w:val="clear" w:color="auto" w:fill="FFFFFF"/>
        <w:spacing w:before="100" w:beforeAutospacing="1" w:after="150"/>
        <w:rPr>
          <w:rFonts w:ascii="Lato" w:hAnsi="Lato"/>
          <w:color w:val="000000"/>
          <w:sz w:val="27"/>
          <w:szCs w:val="27"/>
          <w:lang w:eastAsia="en-IE"/>
        </w:rPr>
      </w:pPr>
      <w:r>
        <w:rPr>
          <w:lang w:eastAsia="en-IE"/>
        </w:rPr>
        <w:t xml:space="preserve">Individuals who had </w:t>
      </w:r>
      <w:r w:rsidR="00210403" w:rsidRPr="00210403">
        <w:rPr>
          <w:lang w:eastAsia="en-IE"/>
        </w:rPr>
        <w:t>earned less than €200 per week</w:t>
      </w:r>
      <w:r>
        <w:rPr>
          <w:lang w:eastAsia="en-IE"/>
        </w:rPr>
        <w:t xml:space="preserve"> will</w:t>
      </w:r>
      <w:r w:rsidR="00210403" w:rsidRPr="00210403">
        <w:rPr>
          <w:lang w:eastAsia="en-IE"/>
        </w:rPr>
        <w:t xml:space="preserve"> receive €203 per week, which is the same as the primary rate of</w:t>
      </w:r>
      <w:r w:rsidR="00210403">
        <w:rPr>
          <w:lang w:eastAsia="en-IE"/>
        </w:rPr>
        <w:t xml:space="preserve"> Jobseeker’s Benefit.</w:t>
      </w:r>
    </w:p>
    <w:p w14:paraId="7C2BBD22" w14:textId="216ECD48" w:rsidR="00210403" w:rsidRDefault="00210403" w:rsidP="00894DB3">
      <w:r>
        <w:rPr>
          <w:lang w:eastAsia="en-IE"/>
        </w:rPr>
        <w:t xml:space="preserve">If </w:t>
      </w:r>
      <w:r w:rsidR="00591A15">
        <w:rPr>
          <w:shd w:val="clear" w:color="auto" w:fill="FFFFFF"/>
        </w:rPr>
        <w:t>an individual was</w:t>
      </w:r>
      <w:r>
        <w:rPr>
          <w:shd w:val="clear" w:color="auto" w:fill="FFFFFF"/>
        </w:rPr>
        <w:t xml:space="preserve"> working and </w:t>
      </w:r>
      <w:r w:rsidR="00591A15">
        <w:rPr>
          <w:shd w:val="clear" w:color="auto" w:fill="FFFFFF"/>
        </w:rPr>
        <w:t>was</w:t>
      </w:r>
      <w:r>
        <w:rPr>
          <w:shd w:val="clear" w:color="auto" w:fill="FFFFFF"/>
        </w:rPr>
        <w:t xml:space="preserve"> also in receipt of any social welfare payment such as </w:t>
      </w:r>
      <w:r w:rsidR="00591A15">
        <w:rPr>
          <w:shd w:val="clear" w:color="auto" w:fill="FFFFFF"/>
        </w:rPr>
        <w:t xml:space="preserve">Disability Allowance or </w:t>
      </w:r>
      <w:r>
        <w:rPr>
          <w:shd w:val="clear" w:color="auto" w:fill="FFFFFF"/>
        </w:rPr>
        <w:t>a Carer's Payment</w:t>
      </w:r>
      <w:r w:rsidR="00591A15">
        <w:rPr>
          <w:shd w:val="clear" w:color="auto" w:fill="FFFFFF"/>
        </w:rPr>
        <w:t>, they</w:t>
      </w:r>
      <w:r>
        <w:rPr>
          <w:shd w:val="clear" w:color="auto" w:fill="FFFFFF"/>
        </w:rPr>
        <w:t xml:space="preserve">, provided </w:t>
      </w:r>
      <w:r w:rsidR="00591A15">
        <w:rPr>
          <w:shd w:val="clear" w:color="auto" w:fill="FFFFFF"/>
        </w:rPr>
        <w:t xml:space="preserve">they had </w:t>
      </w:r>
      <w:r>
        <w:rPr>
          <w:shd w:val="clear" w:color="auto" w:fill="FFFFFF"/>
        </w:rPr>
        <w:t xml:space="preserve">lost </w:t>
      </w:r>
      <w:r w:rsidR="00591A15">
        <w:rPr>
          <w:shd w:val="clear" w:color="auto" w:fill="FFFFFF"/>
        </w:rPr>
        <w:t>their</w:t>
      </w:r>
      <w:r>
        <w:rPr>
          <w:shd w:val="clear" w:color="auto" w:fill="FFFFFF"/>
        </w:rPr>
        <w:t xml:space="preserve"> job due to COVID-19, also claim the COVID-19 emergency payment, in addition to</w:t>
      </w:r>
      <w:r w:rsidR="00894DB3">
        <w:rPr>
          <w:shd w:val="clear" w:color="auto" w:fill="FFFFFF"/>
        </w:rPr>
        <w:t xml:space="preserve"> </w:t>
      </w:r>
      <w:r>
        <w:rPr>
          <w:shd w:val="clear" w:color="auto" w:fill="FFFFFF"/>
        </w:rPr>
        <w:t xml:space="preserve">retaining </w:t>
      </w:r>
      <w:r w:rsidR="00894DB3">
        <w:rPr>
          <w:shd w:val="clear" w:color="auto" w:fill="FFFFFF"/>
        </w:rPr>
        <w:t>the</w:t>
      </w:r>
      <w:r>
        <w:rPr>
          <w:shd w:val="clear" w:color="auto" w:fill="FFFFFF"/>
        </w:rPr>
        <w:t xml:space="preserve"> existing welfare payment.</w:t>
      </w:r>
      <w:r w:rsidRPr="00210403">
        <w:rPr>
          <w:lang w:eastAsia="en-IE"/>
        </w:rPr>
        <w:t> </w:t>
      </w:r>
    </w:p>
    <w:p w14:paraId="44F2008D" w14:textId="6EA75223" w:rsidR="00433ABE" w:rsidRDefault="00433ABE" w:rsidP="00894DB3">
      <w:pPr>
        <w:pStyle w:val="Heading2"/>
      </w:pPr>
      <w:bookmarkStart w:id="34" w:name="_Toc66171849"/>
      <w:r>
        <w:t>Enhanced Illness Benefit</w:t>
      </w:r>
      <w:bookmarkEnd w:id="34"/>
    </w:p>
    <w:p w14:paraId="31583326" w14:textId="7284E9A6" w:rsidR="00433ABE" w:rsidRDefault="00433ABE" w:rsidP="00894DB3">
      <w:r>
        <w:t>When a worker is told to</w:t>
      </w:r>
      <w:r w:rsidR="00894DB3">
        <w:t xml:space="preserve"> self-isolate or restrict movements </w:t>
      </w:r>
      <w:r>
        <w:t>by a doctor or the HSE due to being a probable source of infection or ha</w:t>
      </w:r>
      <w:r w:rsidR="00894DB3">
        <w:t>s been diagnosed with COVID-19</w:t>
      </w:r>
      <w:r>
        <w:t xml:space="preserve"> by a doctor, they can apply for an enhanced Illness Benefit payment of €350 per week.</w:t>
      </w:r>
    </w:p>
    <w:p w14:paraId="16044850" w14:textId="6E487214" w:rsidR="00433ABE" w:rsidRDefault="00433ABE" w:rsidP="00894DB3">
      <w:r>
        <w:t>All employees (other than some public sector employees who pay a modified rate of social insurance) and self-employed, including non-nationals and people living in Direct Provision, are entitled to claim and receive the enhanced COVID-19 Illness Benefit payment where conditions are met.</w:t>
      </w:r>
      <w:r w:rsidR="00894DB3">
        <w:t xml:space="preserve"> </w:t>
      </w:r>
      <w:r>
        <w:t>To be eligible for this payment a person</w:t>
      </w:r>
      <w:r w:rsidR="00894DB3">
        <w:t xml:space="preserve"> must</w:t>
      </w:r>
      <w:r>
        <w:t> be confined to their home or a medical facility.</w:t>
      </w:r>
    </w:p>
    <w:p w14:paraId="2406EF72" w14:textId="2D13AFB6" w:rsidR="00433ABE" w:rsidRPr="00433ABE" w:rsidRDefault="00433ABE" w:rsidP="00894DB3">
      <w:pPr>
        <w:rPr>
          <w:b/>
        </w:rPr>
      </w:pPr>
      <w:r>
        <w:t>The personal rate for this payment is €350 per week, as compared with the normal Illness Benefit rate of €203.</w:t>
      </w:r>
      <w:r w:rsidR="00894DB3">
        <w:t xml:space="preserve"> </w:t>
      </w:r>
      <w:r>
        <w:t>It will be paid for a maximum of 2 weeks where a person is self-isolating due to being a probable source of infection, and for a maximum of 10 weeks if a person ha</w:t>
      </w:r>
      <w:r w:rsidR="00894DB3">
        <w:t>s been diagnosed with COVID-19</w:t>
      </w:r>
      <w:r>
        <w:t>. If a person has been certified for less than 10 weeks, they will be paid for the duration of their certificate.</w:t>
      </w:r>
    </w:p>
    <w:p w14:paraId="74AD6542" w14:textId="35895DEC" w:rsidR="004670DB" w:rsidRDefault="000B5A29" w:rsidP="004670DB">
      <w:pPr>
        <w:pStyle w:val="Heading1"/>
      </w:pPr>
      <w:bookmarkStart w:id="35" w:name="_Toc66171850"/>
      <w:r>
        <w:lastRenderedPageBreak/>
        <w:t>Article 28 in the Irish context:</w:t>
      </w:r>
      <w:r w:rsidR="007B6487">
        <w:t xml:space="preserve"> </w:t>
      </w:r>
      <w:r w:rsidR="004670DB">
        <w:t>R</w:t>
      </w:r>
      <w:r w:rsidR="001F7267">
        <w:t>e</w:t>
      </w:r>
      <w:r w:rsidR="004670DB">
        <w:t>tirement</w:t>
      </w:r>
      <w:bookmarkEnd w:id="35"/>
    </w:p>
    <w:p w14:paraId="3B127E1A" w14:textId="77777777" w:rsidR="001F7267" w:rsidRDefault="001F7267" w:rsidP="001F7267">
      <w:pPr>
        <w:pStyle w:val="Heading2"/>
      </w:pPr>
      <w:bookmarkStart w:id="36" w:name="_Toc66171851"/>
      <w:r>
        <w:t>State pension (Contributory)</w:t>
      </w:r>
      <w:bookmarkEnd w:id="36"/>
    </w:p>
    <w:p w14:paraId="4F7C7F4A" w14:textId="77777777" w:rsidR="001F7267" w:rsidRDefault="001F7267" w:rsidP="00F407F4">
      <w:pPr>
        <w:rPr>
          <w:shd w:val="clear" w:color="auto" w:fill="FFFFFF"/>
        </w:rPr>
      </w:pPr>
      <w:r>
        <w:rPr>
          <w:shd w:val="clear" w:color="auto" w:fill="FFFFFF"/>
        </w:rPr>
        <w:t>State Pension (Contributory) is a payment which an individual may qualify for when they reach a certain age (66/67/68 depending on when they were born)</w:t>
      </w:r>
    </w:p>
    <w:p w14:paraId="762C1D89" w14:textId="77777777" w:rsidR="001F7267" w:rsidRDefault="001F7267" w:rsidP="00F407F4">
      <w:pPr>
        <w:rPr>
          <w:shd w:val="clear" w:color="auto" w:fill="FFFFFF"/>
        </w:rPr>
      </w:pPr>
      <w:r>
        <w:rPr>
          <w:shd w:val="clear" w:color="auto" w:fill="FFFFFF"/>
        </w:rPr>
        <w:t xml:space="preserve">This pension is based on an individual’s social insurance (PRSI) contributions. It is not means tested, so the payment of the pension is not affected by other income </w:t>
      </w:r>
      <w:r w:rsidR="00F407F4">
        <w:rPr>
          <w:shd w:val="clear" w:color="auto" w:fill="FFFFFF"/>
        </w:rPr>
        <w:t>an individual</w:t>
      </w:r>
      <w:r>
        <w:rPr>
          <w:shd w:val="clear" w:color="auto" w:fill="FFFFFF"/>
        </w:rPr>
        <w:t xml:space="preserve"> may have, such as an occupational pension.</w:t>
      </w:r>
    </w:p>
    <w:p w14:paraId="157600F1" w14:textId="77777777" w:rsidR="001F7267" w:rsidRPr="001F7267" w:rsidRDefault="001F7267" w:rsidP="00F407F4">
      <w:pPr>
        <w:rPr>
          <w:lang w:eastAsia="en-IE"/>
        </w:rPr>
      </w:pPr>
      <w:r w:rsidRPr="001F7267">
        <w:rPr>
          <w:lang w:eastAsia="en-IE"/>
        </w:rPr>
        <w:t xml:space="preserve">To qualify for the State Pension (Contributory), </w:t>
      </w:r>
      <w:r w:rsidR="00F407F4">
        <w:rPr>
          <w:lang w:eastAsia="en-IE"/>
        </w:rPr>
        <w:t>an individual</w:t>
      </w:r>
      <w:r w:rsidR="00952991">
        <w:rPr>
          <w:lang w:eastAsia="en-IE"/>
        </w:rPr>
        <w:t xml:space="preserve"> must meet </w:t>
      </w:r>
      <w:r w:rsidRPr="001F7267">
        <w:rPr>
          <w:b/>
          <w:bCs/>
          <w:lang w:eastAsia="en-IE"/>
        </w:rPr>
        <w:t>both</w:t>
      </w:r>
      <w:r w:rsidR="00952991">
        <w:rPr>
          <w:lang w:eastAsia="en-IE"/>
        </w:rPr>
        <w:t xml:space="preserve"> </w:t>
      </w:r>
      <w:r w:rsidRPr="001F7267">
        <w:rPr>
          <w:lang w:eastAsia="en-IE"/>
        </w:rPr>
        <w:t>of the following conditions:</w:t>
      </w:r>
    </w:p>
    <w:p w14:paraId="6B0ECDE1" w14:textId="77777777" w:rsidR="001F7267" w:rsidRPr="001F7267" w:rsidRDefault="00F407F4" w:rsidP="00F407F4">
      <w:pPr>
        <w:pStyle w:val="ListBullet"/>
        <w:rPr>
          <w:lang w:eastAsia="en-IE"/>
        </w:rPr>
      </w:pPr>
      <w:r>
        <w:rPr>
          <w:lang w:eastAsia="en-IE"/>
        </w:rPr>
        <w:t>They</w:t>
      </w:r>
      <w:r w:rsidR="001F7267" w:rsidRPr="001F7267">
        <w:rPr>
          <w:lang w:eastAsia="en-IE"/>
        </w:rPr>
        <w:t xml:space="preserve"> must have entered insurable employment before </w:t>
      </w:r>
      <w:r>
        <w:rPr>
          <w:lang w:eastAsia="en-IE"/>
        </w:rPr>
        <w:t>they</w:t>
      </w:r>
      <w:r w:rsidR="001F7267" w:rsidRPr="001F7267">
        <w:rPr>
          <w:lang w:eastAsia="en-IE"/>
        </w:rPr>
        <w:t xml:space="preserve"> turn 56 years old</w:t>
      </w:r>
    </w:p>
    <w:p w14:paraId="31FD10A6" w14:textId="77777777" w:rsidR="001F7267" w:rsidRDefault="00F407F4" w:rsidP="00F407F4">
      <w:pPr>
        <w:pStyle w:val="ListBullet"/>
        <w:rPr>
          <w:lang w:eastAsia="en-IE"/>
        </w:rPr>
      </w:pPr>
      <w:r>
        <w:rPr>
          <w:lang w:eastAsia="en-IE"/>
        </w:rPr>
        <w:t>They</w:t>
      </w:r>
      <w:r w:rsidR="001F7267" w:rsidRPr="001F7267">
        <w:rPr>
          <w:lang w:eastAsia="en-IE"/>
        </w:rPr>
        <w:t xml:space="preserve"> must have at least 520 full-rate social insurance (PRSI) contributions paid since entering into insurable employment. (If </w:t>
      </w:r>
      <w:r>
        <w:rPr>
          <w:lang w:eastAsia="en-IE"/>
        </w:rPr>
        <w:t>they</w:t>
      </w:r>
      <w:r w:rsidR="001F7267" w:rsidRPr="001F7267">
        <w:rPr>
          <w:lang w:eastAsia="en-IE"/>
        </w:rPr>
        <w:t xml:space="preserve"> turned 66 before 6 April 2012, </w:t>
      </w:r>
      <w:r w:rsidR="00A07300">
        <w:rPr>
          <w:lang w:eastAsia="en-IE"/>
        </w:rPr>
        <w:t>they</w:t>
      </w:r>
      <w:r w:rsidR="001F7267" w:rsidRPr="001F7267">
        <w:rPr>
          <w:lang w:eastAsia="en-IE"/>
        </w:rPr>
        <w:t xml:space="preserve"> need 260 paid full-rate contributions)</w:t>
      </w:r>
    </w:p>
    <w:p w14:paraId="547476F6" w14:textId="77777777" w:rsidR="00115D4E" w:rsidRPr="001F7267" w:rsidRDefault="00115D4E" w:rsidP="00F407F4">
      <w:pPr>
        <w:rPr>
          <w:lang w:eastAsia="en-IE"/>
        </w:rPr>
      </w:pPr>
      <w:r>
        <w:rPr>
          <w:lang w:eastAsia="en-IE"/>
        </w:rPr>
        <w:t xml:space="preserve">In 2018, </w:t>
      </w:r>
      <w:r w:rsidR="00F407F4">
        <w:rPr>
          <w:lang w:eastAsia="en-IE"/>
        </w:rPr>
        <w:t>€</w:t>
      </w:r>
      <w:r>
        <w:rPr>
          <w:lang w:eastAsia="en-IE"/>
        </w:rPr>
        <w:t>5</w:t>
      </w:r>
      <w:r w:rsidR="00F407F4">
        <w:rPr>
          <w:lang w:eastAsia="en-IE"/>
        </w:rPr>
        <w:t>,</w:t>
      </w:r>
      <w:r>
        <w:rPr>
          <w:lang w:eastAsia="en-IE"/>
        </w:rPr>
        <w:t xml:space="preserve">217 million spent on State pension (contributory). </w:t>
      </w:r>
      <w:r w:rsidR="00F407F4">
        <w:rPr>
          <w:lang w:eastAsia="en-IE"/>
        </w:rPr>
        <w:t xml:space="preserve">This was paid to </w:t>
      </w:r>
      <w:r>
        <w:rPr>
          <w:lang w:eastAsia="en-IE"/>
        </w:rPr>
        <w:t>411,660 recipients, with 476,992 beneficiaries</w:t>
      </w:r>
      <w:r w:rsidR="00F407F4">
        <w:rPr>
          <w:lang w:eastAsia="en-IE"/>
        </w:rPr>
        <w:t>.</w:t>
      </w:r>
      <w:r w:rsidR="00473ADC">
        <w:rPr>
          <w:rStyle w:val="FootnoteReference"/>
          <w:lang w:eastAsia="en-IE"/>
        </w:rPr>
        <w:footnoteReference w:id="45"/>
      </w:r>
    </w:p>
    <w:p w14:paraId="1304A039" w14:textId="77777777" w:rsidR="001F7267" w:rsidRDefault="00952991" w:rsidP="001F7267">
      <w:pPr>
        <w:pStyle w:val="Heading2"/>
      </w:pPr>
      <w:bookmarkStart w:id="37" w:name="_Toc66171852"/>
      <w:r>
        <w:t>State pension (N</w:t>
      </w:r>
      <w:r w:rsidR="001F7267">
        <w:t>on-contributory)</w:t>
      </w:r>
      <w:bookmarkEnd w:id="37"/>
    </w:p>
    <w:p w14:paraId="338370EA" w14:textId="77777777" w:rsidR="001F7267" w:rsidRDefault="00952991" w:rsidP="00F407F4">
      <w:pPr>
        <w:rPr>
          <w:shd w:val="clear" w:color="auto" w:fill="FFFFFF"/>
        </w:rPr>
      </w:pPr>
      <w:r>
        <w:rPr>
          <w:shd w:val="clear" w:color="auto" w:fill="FFFFFF"/>
        </w:rPr>
        <w:t>The State Pension (N</w:t>
      </w:r>
      <w:r w:rsidR="001F7267">
        <w:rPr>
          <w:shd w:val="clear" w:color="auto" w:fill="FFFFFF"/>
        </w:rPr>
        <w:t>on-contributory) is a means-tested payment for individuals who do not qualify for a contributory pension, based on their social insurance (PRSI) contribution record or if they only qualify for a reduced rate.</w:t>
      </w:r>
    </w:p>
    <w:p w14:paraId="548FA26A" w14:textId="77777777" w:rsidR="001F7267" w:rsidRDefault="001F7267" w:rsidP="00F407F4">
      <w:pPr>
        <w:rPr>
          <w:shd w:val="clear" w:color="auto" w:fill="FFFFFF"/>
        </w:rPr>
      </w:pPr>
      <w:r>
        <w:rPr>
          <w:shd w:val="clear" w:color="auto" w:fill="FFFFFF"/>
        </w:rPr>
        <w:t>To qualify, an individual must:</w:t>
      </w:r>
    </w:p>
    <w:p w14:paraId="25569B72" w14:textId="77777777" w:rsidR="001F7267" w:rsidRPr="001F7267" w:rsidRDefault="001F7267" w:rsidP="00F407F4">
      <w:pPr>
        <w:pStyle w:val="ListBullet"/>
        <w:rPr>
          <w:lang w:eastAsia="en-IE"/>
        </w:rPr>
      </w:pPr>
      <w:r w:rsidRPr="001F7267">
        <w:rPr>
          <w:lang w:eastAsia="en-IE"/>
        </w:rPr>
        <w:lastRenderedPageBreak/>
        <w:t>be 66 or over</w:t>
      </w:r>
    </w:p>
    <w:p w14:paraId="06961D37" w14:textId="77777777" w:rsidR="001F7267" w:rsidRPr="001F7267" w:rsidRDefault="001F7267" w:rsidP="00F407F4">
      <w:pPr>
        <w:pStyle w:val="ListBullet"/>
        <w:rPr>
          <w:lang w:eastAsia="en-IE"/>
        </w:rPr>
      </w:pPr>
      <w:r w:rsidRPr="001F7267">
        <w:rPr>
          <w:lang w:eastAsia="en-IE"/>
        </w:rPr>
        <w:t>satisfy a means test</w:t>
      </w:r>
    </w:p>
    <w:p w14:paraId="47EB6E51" w14:textId="77777777" w:rsidR="001F7267" w:rsidRPr="001F7267" w:rsidRDefault="001F7267" w:rsidP="00F407F4">
      <w:pPr>
        <w:pStyle w:val="ListBullet"/>
        <w:rPr>
          <w:lang w:eastAsia="en-IE"/>
        </w:rPr>
      </w:pPr>
      <w:r w:rsidRPr="001F7267">
        <w:rPr>
          <w:lang w:eastAsia="en-IE"/>
        </w:rPr>
        <w:t>be legally and habitually resident in the State</w:t>
      </w:r>
    </w:p>
    <w:p w14:paraId="2DF40121" w14:textId="77777777" w:rsidR="001F7267" w:rsidRPr="001F7267" w:rsidRDefault="001F7267" w:rsidP="00F407F4">
      <w:pPr>
        <w:rPr>
          <w:lang w:eastAsia="en-IE"/>
        </w:rPr>
      </w:pPr>
      <w:r>
        <w:rPr>
          <w:lang w:eastAsia="en-IE"/>
        </w:rPr>
        <w:t>The</w:t>
      </w:r>
      <w:r w:rsidRPr="001F7267">
        <w:rPr>
          <w:lang w:eastAsia="en-IE"/>
        </w:rPr>
        <w:t xml:space="preserve"> rate of payment will depend on the outcome of the means test. The below shows the maximum personal weekly rate of payment a person </w:t>
      </w:r>
      <w:r w:rsidR="00F407F4">
        <w:rPr>
          <w:lang w:eastAsia="en-IE"/>
        </w:rPr>
        <w:t>may</w:t>
      </w:r>
      <w:r w:rsidRPr="001F7267">
        <w:rPr>
          <w:lang w:eastAsia="en-IE"/>
        </w:rPr>
        <w:t xml:space="preserve"> receive if the</w:t>
      </w:r>
      <w:r>
        <w:rPr>
          <w:lang w:eastAsia="en-IE"/>
        </w:rPr>
        <w:t>y</w:t>
      </w:r>
      <w:r w:rsidRPr="001F7267">
        <w:rPr>
          <w:lang w:eastAsia="en-IE"/>
        </w:rPr>
        <w:t xml:space="preserve"> have no income from any source.</w:t>
      </w:r>
    </w:p>
    <w:p w14:paraId="04DC1174" w14:textId="77777777" w:rsidR="001F7267" w:rsidRPr="001F7267" w:rsidRDefault="00F407F4" w:rsidP="00F407F4">
      <w:pPr>
        <w:pStyle w:val="ListBullet"/>
        <w:rPr>
          <w:lang w:eastAsia="en-IE"/>
        </w:rPr>
      </w:pPr>
      <w:r>
        <w:rPr>
          <w:lang w:eastAsia="en-IE"/>
        </w:rPr>
        <w:t>Aged 66-80:</w:t>
      </w:r>
      <w:r w:rsidR="001F7267" w:rsidRPr="001F7267">
        <w:rPr>
          <w:lang w:eastAsia="en-IE"/>
        </w:rPr>
        <w:t xml:space="preserve"> €237</w:t>
      </w:r>
    </w:p>
    <w:p w14:paraId="0996470A" w14:textId="77777777" w:rsidR="001F7267" w:rsidRPr="001F7267" w:rsidRDefault="00F407F4" w:rsidP="00F407F4">
      <w:pPr>
        <w:pStyle w:val="ListBullet"/>
        <w:rPr>
          <w:lang w:eastAsia="en-IE"/>
        </w:rPr>
      </w:pPr>
      <w:r>
        <w:rPr>
          <w:lang w:eastAsia="en-IE"/>
        </w:rPr>
        <w:t xml:space="preserve">Aged 80+: </w:t>
      </w:r>
      <w:r w:rsidR="001F7267" w:rsidRPr="001F7267">
        <w:rPr>
          <w:lang w:eastAsia="en-IE"/>
        </w:rPr>
        <w:t>€247</w:t>
      </w:r>
    </w:p>
    <w:p w14:paraId="65301170" w14:textId="77777777" w:rsidR="001F7267" w:rsidRPr="001F7267" w:rsidRDefault="00115D4E" w:rsidP="001F7267">
      <w:r>
        <w:t xml:space="preserve">In 2018, </w:t>
      </w:r>
      <w:r w:rsidR="00F407F4">
        <w:rPr>
          <w:lang w:eastAsia="en-IE"/>
        </w:rPr>
        <w:t>€</w:t>
      </w:r>
      <w:r>
        <w:t>1</w:t>
      </w:r>
      <w:r w:rsidR="00F407F4">
        <w:t>,020 million spent on S</w:t>
      </w:r>
      <w:r>
        <w:t>tate pension (non-contributory).</w:t>
      </w:r>
      <w:r w:rsidR="00F407F4">
        <w:t xml:space="preserve"> This was paid to 95,263 recipients, with </w:t>
      </w:r>
      <w:r>
        <w:t>99,034 beneficiaries</w:t>
      </w:r>
      <w:r w:rsidR="00F407F4">
        <w:t>.</w:t>
      </w:r>
      <w:r w:rsidR="00A16614">
        <w:rPr>
          <w:rStyle w:val="FootnoteReference"/>
        </w:rPr>
        <w:footnoteReference w:id="46"/>
      </w:r>
    </w:p>
    <w:p w14:paraId="0019E87B" w14:textId="642E66F5" w:rsidR="007C1CEC" w:rsidRDefault="000B5A29" w:rsidP="005F265D">
      <w:pPr>
        <w:pStyle w:val="Heading1"/>
      </w:pPr>
      <w:bookmarkStart w:id="38" w:name="_Toc66171853"/>
      <w:r>
        <w:t>Article 28 in the Irish context:</w:t>
      </w:r>
      <w:r w:rsidR="005F265D">
        <w:t xml:space="preserve"> Access to public housing programmes</w:t>
      </w:r>
      <w:bookmarkEnd w:id="38"/>
    </w:p>
    <w:p w14:paraId="7CF874A5" w14:textId="77777777" w:rsidR="00406A13" w:rsidRDefault="00406A13" w:rsidP="00406A13">
      <w:pPr>
        <w:pStyle w:val="Heading2"/>
      </w:pPr>
      <w:bookmarkStart w:id="39" w:name="_Toc66171854"/>
      <w:r>
        <w:t>Housing</w:t>
      </w:r>
      <w:bookmarkEnd w:id="39"/>
    </w:p>
    <w:p w14:paraId="629FE676" w14:textId="77777777" w:rsidR="00FE1764" w:rsidRPr="002F3AA9" w:rsidRDefault="009E3928" w:rsidP="007B6487">
      <w:r w:rsidRPr="002F3AA9">
        <w:t>Of the 643,131 persons with a disability</w:t>
      </w:r>
      <w:r w:rsidR="00652890" w:rsidRPr="002F3AA9">
        <w:t>,</w:t>
      </w:r>
      <w:r w:rsidRPr="002F3AA9">
        <w:t xml:space="preserve"> 598,600 were living in private accommodation and 44,531 were living in a communal establishment.</w:t>
      </w:r>
      <w:r w:rsidR="00652890" w:rsidRPr="002F3AA9">
        <w:rPr>
          <w:rStyle w:val="FootnoteReference"/>
          <w:rFonts w:ascii="Gill Sans MT" w:hAnsi="Gill Sans MT"/>
          <w:sz w:val="26"/>
          <w:szCs w:val="26"/>
        </w:rPr>
        <w:footnoteReference w:id="47"/>
      </w:r>
      <w:r w:rsidR="002F3AA9" w:rsidRPr="002F3AA9">
        <w:t xml:space="preserve"> The latter figure equates to 6.9% of all people with a disability. This compares to just 2% of </w:t>
      </w:r>
      <w:r w:rsidR="00952991">
        <w:t xml:space="preserve">people without a disability. </w:t>
      </w:r>
      <w:r w:rsidR="00FE1764" w:rsidRPr="002F3AA9">
        <w:t>In the 2016 Census, communal establishments included:</w:t>
      </w:r>
    </w:p>
    <w:p w14:paraId="2B59228C" w14:textId="77777777" w:rsidR="00FE1764" w:rsidRPr="002F3AA9" w:rsidRDefault="00FE1764" w:rsidP="007B6487">
      <w:pPr>
        <w:pStyle w:val="ListBullet"/>
      </w:pPr>
      <w:r w:rsidRPr="002F3AA9">
        <w:t xml:space="preserve">Hotels </w:t>
      </w:r>
    </w:p>
    <w:p w14:paraId="158F1AFF" w14:textId="77777777" w:rsidR="00FE1764" w:rsidRPr="002F3AA9" w:rsidRDefault="00FE1764" w:rsidP="007B6487">
      <w:pPr>
        <w:pStyle w:val="ListBullet"/>
      </w:pPr>
      <w:r w:rsidRPr="002F3AA9">
        <w:t>Guesthouses, boarding houses or B&amp;Bs</w:t>
      </w:r>
    </w:p>
    <w:p w14:paraId="2E0B5CB7" w14:textId="77777777" w:rsidR="00FE1764" w:rsidRPr="002F3AA9" w:rsidRDefault="00FE1764" w:rsidP="007B6487">
      <w:pPr>
        <w:pStyle w:val="ListBullet"/>
      </w:pPr>
      <w:r w:rsidRPr="002F3AA9">
        <w:lastRenderedPageBreak/>
        <w:t>Tourist/ youth hostel or campsite</w:t>
      </w:r>
    </w:p>
    <w:p w14:paraId="04F0952D" w14:textId="77777777" w:rsidR="00FE1764" w:rsidRPr="002F3AA9" w:rsidRDefault="00FE1764" w:rsidP="007B6487">
      <w:pPr>
        <w:pStyle w:val="ListBullet"/>
      </w:pPr>
      <w:r w:rsidRPr="002F3AA9">
        <w:t>Educational establishment</w:t>
      </w:r>
    </w:p>
    <w:p w14:paraId="1C9797C5" w14:textId="77777777" w:rsidR="00FE1764" w:rsidRPr="002F3AA9" w:rsidRDefault="00FE1764" w:rsidP="007B6487">
      <w:pPr>
        <w:pStyle w:val="ListBullet"/>
      </w:pPr>
      <w:r w:rsidRPr="002F3AA9">
        <w:t>Religious community</w:t>
      </w:r>
    </w:p>
    <w:p w14:paraId="7EA631C9" w14:textId="77777777" w:rsidR="00FE1764" w:rsidRPr="002F3AA9" w:rsidRDefault="00FE1764" w:rsidP="007B6487">
      <w:pPr>
        <w:pStyle w:val="ListBullet"/>
      </w:pPr>
      <w:r w:rsidRPr="002F3AA9">
        <w:t>Nursing home/children’s home</w:t>
      </w:r>
    </w:p>
    <w:p w14:paraId="48D0E853" w14:textId="77777777" w:rsidR="00FE1764" w:rsidRPr="002F3AA9" w:rsidRDefault="00FE1764" w:rsidP="007B6487">
      <w:pPr>
        <w:pStyle w:val="ListBullet"/>
      </w:pPr>
      <w:r w:rsidRPr="002F3AA9">
        <w:t>Hospital</w:t>
      </w:r>
    </w:p>
    <w:p w14:paraId="116D9F2F" w14:textId="77777777" w:rsidR="00FE1764" w:rsidRPr="002F3AA9" w:rsidRDefault="00FE1764" w:rsidP="007B6487">
      <w:pPr>
        <w:pStyle w:val="ListBullet"/>
      </w:pPr>
      <w:r w:rsidRPr="002F3AA9">
        <w:t>Defence establishment</w:t>
      </w:r>
    </w:p>
    <w:p w14:paraId="3580782F" w14:textId="77777777" w:rsidR="00FE1764" w:rsidRPr="002F3AA9" w:rsidRDefault="00FE1764" w:rsidP="007B6487">
      <w:pPr>
        <w:pStyle w:val="ListBullet"/>
      </w:pPr>
      <w:r w:rsidRPr="002F3AA9">
        <w:t>Prison</w:t>
      </w:r>
    </w:p>
    <w:p w14:paraId="1C8F8010" w14:textId="77777777" w:rsidR="00FE1764" w:rsidRPr="002F3AA9" w:rsidRDefault="00FE1764" w:rsidP="007B6487">
      <w:pPr>
        <w:pStyle w:val="ListBullet"/>
      </w:pPr>
      <w:r w:rsidRPr="002F3AA9">
        <w:t>Shelter or refuge (including accommodation for homeless persons)</w:t>
      </w:r>
    </w:p>
    <w:p w14:paraId="4830A93F" w14:textId="77777777" w:rsidR="00FE1764" w:rsidRPr="002F3AA9" w:rsidRDefault="00FE1764" w:rsidP="007B6487">
      <w:pPr>
        <w:pStyle w:val="ListBullet"/>
      </w:pPr>
      <w:r w:rsidRPr="002F3AA9">
        <w:t>Civilian ships, boats and barges</w:t>
      </w:r>
    </w:p>
    <w:p w14:paraId="0DD9C203" w14:textId="77777777" w:rsidR="00FE1764" w:rsidRPr="002F3AA9" w:rsidRDefault="00FE1764" w:rsidP="007B6487">
      <w:pPr>
        <w:pStyle w:val="ListBullet"/>
      </w:pPr>
      <w:r w:rsidRPr="002F3AA9">
        <w:t>Other types of establishments</w:t>
      </w:r>
      <w:r w:rsidR="002F3AA9" w:rsidRPr="002F3AA9">
        <w:t>.</w:t>
      </w:r>
    </w:p>
    <w:p w14:paraId="75F4A4AF" w14:textId="77777777" w:rsidR="009E3928" w:rsidRPr="002F3AA9" w:rsidRDefault="002F3AA9" w:rsidP="009E3928">
      <w:pPr>
        <w:rPr>
          <w:szCs w:val="26"/>
        </w:rPr>
      </w:pPr>
      <w:r w:rsidRPr="002F3AA9">
        <w:rPr>
          <w:szCs w:val="26"/>
        </w:rPr>
        <w:t>B</w:t>
      </w:r>
      <w:r w:rsidR="009E3928" w:rsidRPr="002F3AA9">
        <w:rPr>
          <w:szCs w:val="26"/>
        </w:rPr>
        <w:t>reaking down each establishment by the percent of residents by a disability highlights that the following have a higher than expected representation from people with a disability:</w:t>
      </w:r>
    </w:p>
    <w:p w14:paraId="455EC53C" w14:textId="77777777" w:rsidR="009E3928" w:rsidRPr="002F3AA9" w:rsidRDefault="002F3AA9" w:rsidP="007B6487">
      <w:pPr>
        <w:pStyle w:val="ListBullet"/>
      </w:pPr>
      <w:r w:rsidRPr="002F3AA9">
        <w:t>Nursing home/children's home:</w:t>
      </w:r>
      <w:r w:rsidR="009E3928" w:rsidRPr="002F3AA9">
        <w:t xml:space="preserve"> 87%</w:t>
      </w:r>
    </w:p>
    <w:p w14:paraId="5FC16BC8" w14:textId="77777777" w:rsidR="009E3928" w:rsidRPr="002F3AA9" w:rsidRDefault="002F3AA9" w:rsidP="007B6487">
      <w:pPr>
        <w:pStyle w:val="ListBullet"/>
      </w:pPr>
      <w:r w:rsidRPr="002F3AA9">
        <w:t>Hospital:</w:t>
      </w:r>
      <w:r w:rsidR="009E3928" w:rsidRPr="002F3AA9">
        <w:t xml:space="preserve"> 55%</w:t>
      </w:r>
    </w:p>
    <w:p w14:paraId="1A50C175" w14:textId="77777777" w:rsidR="009E3928" w:rsidRPr="002F3AA9" w:rsidRDefault="009E3928" w:rsidP="007B6487">
      <w:pPr>
        <w:pStyle w:val="ListBullet"/>
      </w:pPr>
      <w:r w:rsidRPr="002F3AA9">
        <w:t>Religious community</w:t>
      </w:r>
      <w:r w:rsidR="002F3AA9" w:rsidRPr="002F3AA9">
        <w:t>:</w:t>
      </w:r>
      <w:r w:rsidRPr="002F3AA9">
        <w:t xml:space="preserve"> 41%</w:t>
      </w:r>
    </w:p>
    <w:p w14:paraId="271A6B44" w14:textId="77777777" w:rsidR="009E3928" w:rsidRPr="002F3AA9" w:rsidRDefault="009E3928" w:rsidP="007B6487">
      <w:pPr>
        <w:pStyle w:val="ListBullet"/>
      </w:pPr>
      <w:r w:rsidRPr="002F3AA9">
        <w:t>Other types of establishments</w:t>
      </w:r>
      <w:r w:rsidR="002F3AA9" w:rsidRPr="002F3AA9">
        <w:t>:</w:t>
      </w:r>
      <w:r w:rsidRPr="002F3AA9">
        <w:t xml:space="preserve"> 28%</w:t>
      </w:r>
    </w:p>
    <w:p w14:paraId="3B91C74D" w14:textId="77777777" w:rsidR="009E3928" w:rsidRPr="002F3AA9" w:rsidRDefault="009E3928" w:rsidP="007B6487">
      <w:pPr>
        <w:pStyle w:val="ListBullet"/>
      </w:pPr>
      <w:r w:rsidRPr="002F3AA9">
        <w:t>Shelter or refuge (including accommodation for homeless persons)</w:t>
      </w:r>
      <w:r w:rsidR="002F3AA9" w:rsidRPr="002F3AA9">
        <w:t>:</w:t>
      </w:r>
      <w:r w:rsidRPr="002F3AA9">
        <w:t xml:space="preserve"> 27%</w:t>
      </w:r>
    </w:p>
    <w:p w14:paraId="6297A645" w14:textId="77777777" w:rsidR="009E3928" w:rsidRPr="002F3AA9" w:rsidRDefault="002F3AA9" w:rsidP="007B6487">
      <w:pPr>
        <w:pStyle w:val="ListBullet"/>
      </w:pPr>
      <w:r w:rsidRPr="002F3AA9">
        <w:t>Prison:</w:t>
      </w:r>
      <w:r w:rsidR="009E3928" w:rsidRPr="002F3AA9">
        <w:t xml:space="preserve"> 17%.</w:t>
      </w:r>
    </w:p>
    <w:p w14:paraId="6ED281FA" w14:textId="77777777" w:rsidR="009E3928" w:rsidRPr="00F96722" w:rsidRDefault="009E3928" w:rsidP="009E3928">
      <w:pPr>
        <w:rPr>
          <w:szCs w:val="26"/>
        </w:rPr>
      </w:pPr>
      <w:r w:rsidRPr="00F96722">
        <w:rPr>
          <w:szCs w:val="26"/>
        </w:rPr>
        <w:t>Religious community probably have a high number of people with a disability because of the old</w:t>
      </w:r>
      <w:r w:rsidR="002F3AA9" w:rsidRPr="00F96722">
        <w:rPr>
          <w:szCs w:val="26"/>
        </w:rPr>
        <w:t>er</w:t>
      </w:r>
      <w:r w:rsidRPr="00F96722">
        <w:rPr>
          <w:szCs w:val="26"/>
        </w:rPr>
        <w:t xml:space="preserve"> age profiles of their congregations. Shelter or refuge and prisons also have a disproportionate number of people with a disability, however both these categories only have a small number of people with a disability (1,920 and 650 respectively).</w:t>
      </w:r>
    </w:p>
    <w:p w14:paraId="1CD136A7" w14:textId="77777777" w:rsidR="009E3928" w:rsidRPr="00F96722" w:rsidRDefault="00F96722" w:rsidP="009E3928">
      <w:pPr>
        <w:rPr>
          <w:szCs w:val="26"/>
        </w:rPr>
      </w:pPr>
      <w:r w:rsidRPr="00F96722">
        <w:rPr>
          <w:szCs w:val="26"/>
        </w:rPr>
        <w:t>L</w:t>
      </w:r>
      <w:r w:rsidR="009E3928" w:rsidRPr="00F96722">
        <w:rPr>
          <w:szCs w:val="26"/>
        </w:rPr>
        <w:t xml:space="preserve">ooking at the 25,356 people with a disability who live in a nursing home by age, it is clear that the likelihood of living in a nursing home increases with age and particularly from the </w:t>
      </w:r>
      <w:r w:rsidR="009E3928" w:rsidRPr="00F96722">
        <w:rPr>
          <w:szCs w:val="26"/>
        </w:rPr>
        <w:lastRenderedPageBreak/>
        <w:t>age of 75. Up to 75, less than one in a 100 people are in a nursing home but by 85 and over it is one in six people. Turning to look at those age</w:t>
      </w:r>
      <w:r w:rsidR="00952991">
        <w:rPr>
          <w:szCs w:val="26"/>
        </w:rPr>
        <w:t>d</w:t>
      </w:r>
      <w:r w:rsidR="009E3928" w:rsidRPr="00F96722">
        <w:rPr>
          <w:szCs w:val="26"/>
        </w:rPr>
        <w:t xml:space="preserve"> 20-64, there are 12,153 people aged 20 to 64 in communal establishments of which 4,451 are in nursing homes.</w:t>
      </w:r>
    </w:p>
    <w:p w14:paraId="212A6EA0" w14:textId="77777777" w:rsidR="009E3928" w:rsidRPr="00F96722" w:rsidRDefault="009E3928" w:rsidP="009E3928">
      <w:pPr>
        <w:rPr>
          <w:szCs w:val="26"/>
        </w:rPr>
      </w:pPr>
      <w:r w:rsidRPr="00F96722">
        <w:rPr>
          <w:szCs w:val="26"/>
        </w:rPr>
        <w:t>Figures from the ESRI show that 73.4% of persons with a disability are home owners, 11.4% are in private rented accommodation and 15.2% are in local authority housing. These figures are represented in the general population as 73.9%, 17.7% and 8.4% respectively.</w:t>
      </w:r>
    </w:p>
    <w:p w14:paraId="73E2AE50" w14:textId="77777777" w:rsidR="009E3928" w:rsidRPr="00F96722" w:rsidRDefault="009E3928" w:rsidP="009E3928">
      <w:pPr>
        <w:rPr>
          <w:szCs w:val="26"/>
        </w:rPr>
      </w:pPr>
      <w:r w:rsidRPr="00F96722">
        <w:rPr>
          <w:szCs w:val="26"/>
        </w:rPr>
        <w:t>The ESRI also found that housing deprivation was greater among persons with disabilities; 34% compared to 23%. They qualify deprivation as one or more of these items</w:t>
      </w:r>
      <w:r w:rsidR="00F96722" w:rsidRPr="00F96722">
        <w:rPr>
          <w:szCs w:val="26"/>
        </w:rPr>
        <w:t>:</w:t>
      </w:r>
    </w:p>
    <w:p w14:paraId="5A462A1F" w14:textId="77777777" w:rsidR="009E3928" w:rsidRPr="00F96722" w:rsidRDefault="009E3928" w:rsidP="00F96722">
      <w:pPr>
        <w:pStyle w:val="ListBullet"/>
        <w:rPr>
          <w:szCs w:val="26"/>
        </w:rPr>
      </w:pPr>
      <w:r w:rsidRPr="00F96722">
        <w:rPr>
          <w:szCs w:val="26"/>
        </w:rPr>
        <w:t>Leaking roof/damp walls, floor or foundation/rot in windows frames or floor;</w:t>
      </w:r>
    </w:p>
    <w:p w14:paraId="50CAD93A" w14:textId="77777777" w:rsidR="009E3928" w:rsidRPr="00F96722" w:rsidRDefault="00F96722" w:rsidP="00F96722">
      <w:pPr>
        <w:pStyle w:val="ListBullet"/>
        <w:rPr>
          <w:szCs w:val="26"/>
        </w:rPr>
      </w:pPr>
      <w:r>
        <w:rPr>
          <w:szCs w:val="26"/>
        </w:rPr>
        <w:t>D</w:t>
      </w:r>
      <w:r w:rsidR="009E3928" w:rsidRPr="00F96722">
        <w:rPr>
          <w:szCs w:val="26"/>
        </w:rPr>
        <w:t>ark rooms;</w:t>
      </w:r>
    </w:p>
    <w:p w14:paraId="10FC6A7A" w14:textId="77777777" w:rsidR="009E3928" w:rsidRPr="00F96722" w:rsidRDefault="00F96722" w:rsidP="00F96722">
      <w:pPr>
        <w:pStyle w:val="ListBullet"/>
        <w:rPr>
          <w:szCs w:val="26"/>
        </w:rPr>
      </w:pPr>
      <w:r>
        <w:rPr>
          <w:szCs w:val="26"/>
        </w:rPr>
        <w:t>N</w:t>
      </w:r>
      <w:r w:rsidR="009E3928" w:rsidRPr="00F96722">
        <w:rPr>
          <w:szCs w:val="26"/>
        </w:rPr>
        <w:t>o central heating;</w:t>
      </w:r>
    </w:p>
    <w:p w14:paraId="3E8D8D15" w14:textId="77777777" w:rsidR="009E3928" w:rsidRPr="00F96722" w:rsidRDefault="00F96722" w:rsidP="00F96722">
      <w:pPr>
        <w:pStyle w:val="ListBullet"/>
        <w:rPr>
          <w:szCs w:val="26"/>
        </w:rPr>
      </w:pPr>
      <w:r>
        <w:rPr>
          <w:szCs w:val="26"/>
        </w:rPr>
        <w:t>N</w:t>
      </w:r>
      <w:r w:rsidR="009E3928" w:rsidRPr="00F96722">
        <w:rPr>
          <w:szCs w:val="26"/>
        </w:rPr>
        <w:t>o double glazing</w:t>
      </w:r>
    </w:p>
    <w:p w14:paraId="576A3266" w14:textId="77777777" w:rsidR="009E3928" w:rsidRPr="00F96722" w:rsidRDefault="009E3928" w:rsidP="009E3928">
      <w:pPr>
        <w:rPr>
          <w:szCs w:val="26"/>
        </w:rPr>
      </w:pPr>
      <w:r w:rsidRPr="00F96722">
        <w:rPr>
          <w:szCs w:val="26"/>
        </w:rPr>
        <w:t>In addition the ESRI found that person were disabilities are 7% more likely to live in areas that experience all or some of these problems:</w:t>
      </w:r>
    </w:p>
    <w:p w14:paraId="201C4FBE" w14:textId="77777777" w:rsidR="009E3928" w:rsidRPr="00F96722" w:rsidRDefault="00F96722" w:rsidP="00F96722">
      <w:pPr>
        <w:pStyle w:val="ListBullet"/>
        <w:rPr>
          <w:szCs w:val="26"/>
        </w:rPr>
      </w:pPr>
      <w:r>
        <w:rPr>
          <w:szCs w:val="26"/>
        </w:rPr>
        <w:t>C</w:t>
      </w:r>
      <w:r w:rsidR="009E3928" w:rsidRPr="00F96722">
        <w:rPr>
          <w:szCs w:val="26"/>
        </w:rPr>
        <w:t xml:space="preserve">rime/ vandalism; </w:t>
      </w:r>
    </w:p>
    <w:p w14:paraId="792BF9F2" w14:textId="77777777" w:rsidR="009E3928" w:rsidRPr="00F96722" w:rsidRDefault="00F96722" w:rsidP="00F96722">
      <w:pPr>
        <w:pStyle w:val="ListBullet"/>
        <w:rPr>
          <w:szCs w:val="26"/>
        </w:rPr>
      </w:pPr>
      <w:r>
        <w:rPr>
          <w:szCs w:val="26"/>
        </w:rPr>
        <w:t>P</w:t>
      </w:r>
      <w:r w:rsidR="009E3928" w:rsidRPr="00F96722">
        <w:rPr>
          <w:szCs w:val="26"/>
        </w:rPr>
        <w:t xml:space="preserve">ollution/grime caused by traffic or industry; and </w:t>
      </w:r>
    </w:p>
    <w:p w14:paraId="2720B586" w14:textId="77777777" w:rsidR="009E3928" w:rsidRPr="00F96722" w:rsidRDefault="00F96722" w:rsidP="00F96722">
      <w:pPr>
        <w:pStyle w:val="ListBullet"/>
        <w:rPr>
          <w:szCs w:val="26"/>
        </w:rPr>
      </w:pPr>
      <w:r>
        <w:rPr>
          <w:szCs w:val="26"/>
        </w:rPr>
        <w:t>N</w:t>
      </w:r>
      <w:r w:rsidR="009E3928" w:rsidRPr="00F96722">
        <w:rPr>
          <w:szCs w:val="26"/>
        </w:rPr>
        <w:t>oise from neighbours or the street.</w:t>
      </w:r>
    </w:p>
    <w:p w14:paraId="2CE08BDB" w14:textId="77777777" w:rsidR="009E3928" w:rsidRDefault="009E3928" w:rsidP="009E3928">
      <w:pPr>
        <w:rPr>
          <w:szCs w:val="26"/>
        </w:rPr>
      </w:pPr>
      <w:r w:rsidRPr="00842F80">
        <w:rPr>
          <w:szCs w:val="26"/>
        </w:rPr>
        <w:t>The proportion of people whose main need for social housing support is related to their disability has increased from 6.3% in 2016 to 7.87% in 2019 (5,319 out of a total wait</w:t>
      </w:r>
      <w:r w:rsidR="00406A13">
        <w:rPr>
          <w:szCs w:val="26"/>
        </w:rPr>
        <w:t>ing list population of 68,693).</w:t>
      </w:r>
      <w:r w:rsidRPr="00842F80">
        <w:rPr>
          <w:szCs w:val="26"/>
        </w:rPr>
        <w:t xml:space="preserve"> This increase, although minor, may be due to a number of factors. There has been a move by some residential disability services to put residents on the housing list as part of the decongregation process. The increase in the housing crisis over the past number of years may also have influenced the increase with people with disabilities more likely to be poorer and less likely to be working than the rest of the population and therefore may find access to housing more difficult. The 2016 Census found that proportion </w:t>
      </w:r>
      <w:r w:rsidRPr="00842F80">
        <w:rPr>
          <w:szCs w:val="26"/>
        </w:rPr>
        <w:lastRenderedPageBreak/>
        <w:t>of persons with a disability among the homeless population, at 27.1%, was higher than for the general population at 13.5%.</w:t>
      </w:r>
    </w:p>
    <w:p w14:paraId="3D62108C" w14:textId="77777777" w:rsidR="00406A13" w:rsidRPr="00842F80" w:rsidRDefault="00406A13" w:rsidP="00406A13">
      <w:pPr>
        <w:pStyle w:val="Heading2"/>
      </w:pPr>
      <w:bookmarkStart w:id="40" w:name="_Toc66171855"/>
      <w:r>
        <w:t>Housing Adaptations</w:t>
      </w:r>
      <w:bookmarkEnd w:id="40"/>
    </w:p>
    <w:p w14:paraId="7621A957" w14:textId="77777777" w:rsidR="005F265D" w:rsidRPr="00036FEF" w:rsidRDefault="0013603E" w:rsidP="005F265D">
      <w:pPr>
        <w:rPr>
          <w:rFonts w:cs="Arial"/>
          <w:color w:val="222222"/>
          <w:shd w:val="clear" w:color="auto" w:fill="FFFFFF"/>
        </w:rPr>
      </w:pPr>
      <w:r w:rsidRPr="00036FEF">
        <w:rPr>
          <w:rFonts w:cs="Arial"/>
          <w:color w:val="222222"/>
          <w:shd w:val="clear" w:color="auto" w:fill="FFFFFF"/>
        </w:rPr>
        <w:t>The Housing Adaptation Grant for People with a D</w:t>
      </w:r>
      <w:r w:rsidR="00952991">
        <w:rPr>
          <w:rFonts w:cs="Arial"/>
          <w:color w:val="222222"/>
          <w:shd w:val="clear" w:color="auto" w:fill="FFFFFF"/>
        </w:rPr>
        <w:t xml:space="preserve">isability scheme provides grant </w:t>
      </w:r>
      <w:r w:rsidRPr="00036FEF">
        <w:rPr>
          <w:rFonts w:cs="Arial"/>
          <w:color w:val="222222"/>
          <w:shd w:val="clear" w:color="auto" w:fill="FFFFFF"/>
        </w:rPr>
        <w:t>aid to applicants to assist in the carrying out of works that are reasonably necessary for the purposes of rendering a house more suitable for the</w:t>
      </w:r>
      <w:r w:rsidR="00036FEF" w:rsidRPr="00036FEF">
        <w:rPr>
          <w:rFonts w:cs="Arial"/>
          <w:color w:val="222222"/>
          <w:shd w:val="clear" w:color="auto" w:fill="FFFFFF"/>
        </w:rPr>
        <w:t xml:space="preserve"> accommodation</w:t>
      </w:r>
      <w:r w:rsidRPr="00036FEF">
        <w:rPr>
          <w:rFonts w:cs="Arial"/>
          <w:color w:val="222222"/>
          <w:shd w:val="clear" w:color="auto" w:fill="FFFFFF"/>
        </w:rPr>
        <w:t> needs of a person with a disability</w:t>
      </w:r>
      <w:r w:rsidR="00036FEF" w:rsidRPr="00036FEF">
        <w:rPr>
          <w:rFonts w:cs="Arial"/>
          <w:color w:val="222222"/>
          <w:shd w:val="clear" w:color="auto" w:fill="FFFFFF"/>
        </w:rPr>
        <w:t>.</w:t>
      </w:r>
    </w:p>
    <w:p w14:paraId="046A70AF" w14:textId="7F16CE02" w:rsidR="0013603E" w:rsidRDefault="000B5A29" w:rsidP="005D0B46">
      <w:pPr>
        <w:pStyle w:val="TableTitle"/>
      </w:pPr>
      <w:r>
        <w:t xml:space="preserve">Table 9: </w:t>
      </w:r>
      <w:r w:rsidR="0013603E">
        <w:t>Housing Adaptation Grants paid</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9: Housing Adaptation Grants paid"/>
        <w:tblDescription w:val="Housing Adaptation Grants paid 2015-2018"/>
      </w:tblPr>
      <w:tblGrid>
        <w:gridCol w:w="1726"/>
        <w:gridCol w:w="1727"/>
        <w:gridCol w:w="1726"/>
        <w:gridCol w:w="1726"/>
        <w:gridCol w:w="1725"/>
      </w:tblGrid>
      <w:tr w:rsidR="0013603E" w14:paraId="5D45AAA0" w14:textId="77777777" w:rsidTr="00402D92">
        <w:trPr>
          <w:tblHeader/>
          <w:jc w:val="center"/>
        </w:trPr>
        <w:tc>
          <w:tcPr>
            <w:tcW w:w="1728" w:type="dxa"/>
            <w:tcMar>
              <w:top w:w="0" w:type="dxa"/>
              <w:left w:w="108" w:type="dxa"/>
              <w:bottom w:w="0" w:type="dxa"/>
              <w:right w:w="108" w:type="dxa"/>
            </w:tcMar>
          </w:tcPr>
          <w:p w14:paraId="0271A9A4" w14:textId="7B40906E" w:rsidR="0013603E" w:rsidRPr="00036FEF" w:rsidRDefault="0013603E" w:rsidP="00DD11AB">
            <w:pPr>
              <w:pStyle w:val="TableHead"/>
            </w:pPr>
          </w:p>
        </w:tc>
        <w:tc>
          <w:tcPr>
            <w:tcW w:w="1728" w:type="dxa"/>
            <w:tcMar>
              <w:top w:w="0" w:type="dxa"/>
              <w:left w:w="108" w:type="dxa"/>
              <w:bottom w:w="0" w:type="dxa"/>
              <w:right w:w="108" w:type="dxa"/>
            </w:tcMar>
            <w:hideMark/>
          </w:tcPr>
          <w:p w14:paraId="5D85B7AB" w14:textId="77777777" w:rsidR="0013603E" w:rsidRPr="00036FEF" w:rsidRDefault="0013603E" w:rsidP="00DD11AB">
            <w:pPr>
              <w:pStyle w:val="TableHead"/>
            </w:pPr>
            <w:r w:rsidRPr="00036FEF">
              <w:t>People with a Disability</w:t>
            </w:r>
          </w:p>
        </w:tc>
        <w:tc>
          <w:tcPr>
            <w:tcW w:w="1728" w:type="dxa"/>
            <w:tcMar>
              <w:top w:w="0" w:type="dxa"/>
              <w:left w:w="108" w:type="dxa"/>
              <w:bottom w:w="0" w:type="dxa"/>
              <w:right w:w="108" w:type="dxa"/>
            </w:tcMar>
            <w:hideMark/>
          </w:tcPr>
          <w:p w14:paraId="6DE3F2B6" w14:textId="77777777" w:rsidR="0013603E" w:rsidRPr="00036FEF" w:rsidRDefault="0013603E" w:rsidP="00DD11AB">
            <w:pPr>
              <w:pStyle w:val="TableHead"/>
            </w:pPr>
            <w:r w:rsidRPr="00036FEF">
              <w:t>Older People</w:t>
            </w:r>
          </w:p>
        </w:tc>
        <w:tc>
          <w:tcPr>
            <w:tcW w:w="1728" w:type="dxa"/>
            <w:tcMar>
              <w:top w:w="0" w:type="dxa"/>
              <w:left w:w="108" w:type="dxa"/>
              <w:bottom w:w="0" w:type="dxa"/>
              <w:right w:w="108" w:type="dxa"/>
            </w:tcMar>
            <w:hideMark/>
          </w:tcPr>
          <w:p w14:paraId="5CE32DEC" w14:textId="77777777" w:rsidR="0013603E" w:rsidRPr="00036FEF" w:rsidRDefault="0013603E" w:rsidP="00DD11AB">
            <w:pPr>
              <w:pStyle w:val="TableHead"/>
            </w:pPr>
            <w:r w:rsidRPr="00036FEF">
              <w:t>Mobility Aids</w:t>
            </w:r>
          </w:p>
        </w:tc>
        <w:tc>
          <w:tcPr>
            <w:tcW w:w="1728" w:type="dxa"/>
            <w:tcMar>
              <w:top w:w="0" w:type="dxa"/>
              <w:left w:w="108" w:type="dxa"/>
              <w:bottom w:w="0" w:type="dxa"/>
              <w:right w:w="108" w:type="dxa"/>
            </w:tcMar>
            <w:hideMark/>
          </w:tcPr>
          <w:p w14:paraId="12658FAD" w14:textId="77777777" w:rsidR="0013603E" w:rsidRPr="00036FEF" w:rsidRDefault="0013603E" w:rsidP="00DD11AB">
            <w:pPr>
              <w:pStyle w:val="TableHead"/>
            </w:pPr>
            <w:r w:rsidRPr="00036FEF">
              <w:t>Total</w:t>
            </w:r>
          </w:p>
        </w:tc>
      </w:tr>
      <w:tr w:rsidR="0013603E" w14:paraId="71ECB546" w14:textId="77777777" w:rsidTr="00402D92">
        <w:trPr>
          <w:jc w:val="center"/>
        </w:trPr>
        <w:tc>
          <w:tcPr>
            <w:tcW w:w="1728" w:type="dxa"/>
            <w:tcMar>
              <w:top w:w="0" w:type="dxa"/>
              <w:left w:w="108" w:type="dxa"/>
              <w:bottom w:w="0" w:type="dxa"/>
              <w:right w:w="108" w:type="dxa"/>
            </w:tcMar>
            <w:hideMark/>
          </w:tcPr>
          <w:p w14:paraId="54AFA09A" w14:textId="77777777" w:rsidR="0013603E" w:rsidRPr="00402D92" w:rsidRDefault="0013603E" w:rsidP="00402D92">
            <w:pPr>
              <w:pStyle w:val="TableRowHead"/>
              <w:rPr>
                <w:rFonts w:ascii="Gill Sans MT" w:hAnsi="Gill Sans MT"/>
                <w:lang w:eastAsia="en-IE"/>
              </w:rPr>
            </w:pPr>
            <w:r w:rsidRPr="00402D92">
              <w:rPr>
                <w:rFonts w:ascii="Gill Sans MT" w:hAnsi="Gill Sans MT"/>
                <w:lang w:eastAsia="en-IE"/>
              </w:rPr>
              <w:t xml:space="preserve">2015 </w:t>
            </w:r>
          </w:p>
        </w:tc>
        <w:tc>
          <w:tcPr>
            <w:tcW w:w="1728" w:type="dxa"/>
            <w:tcMar>
              <w:top w:w="0" w:type="dxa"/>
              <w:left w:w="108" w:type="dxa"/>
              <w:bottom w:w="0" w:type="dxa"/>
              <w:right w:w="108" w:type="dxa"/>
            </w:tcMar>
            <w:hideMark/>
          </w:tcPr>
          <w:p w14:paraId="70B12409" w14:textId="77777777" w:rsidR="0013603E" w:rsidRPr="00036FEF" w:rsidRDefault="0013603E" w:rsidP="006718AF">
            <w:pPr>
              <w:autoSpaceDE w:val="0"/>
              <w:autoSpaceDN w:val="0"/>
              <w:jc w:val="right"/>
              <w:rPr>
                <w:rFonts w:cs="Arial"/>
                <w:szCs w:val="26"/>
                <w:lang w:eastAsia="en-IE"/>
              </w:rPr>
            </w:pPr>
            <w:r w:rsidRPr="00036FEF">
              <w:rPr>
                <w:rFonts w:cs="Arial"/>
                <w:szCs w:val="26"/>
                <w:lang w:eastAsia="en-IE"/>
              </w:rPr>
              <w:t>2600</w:t>
            </w:r>
          </w:p>
        </w:tc>
        <w:tc>
          <w:tcPr>
            <w:tcW w:w="1728" w:type="dxa"/>
            <w:tcMar>
              <w:top w:w="0" w:type="dxa"/>
              <w:left w:w="108" w:type="dxa"/>
              <w:bottom w:w="0" w:type="dxa"/>
              <w:right w:w="108" w:type="dxa"/>
            </w:tcMar>
            <w:hideMark/>
          </w:tcPr>
          <w:p w14:paraId="56C06348" w14:textId="77777777" w:rsidR="0013603E" w:rsidRPr="00036FEF" w:rsidRDefault="0013603E" w:rsidP="006718AF">
            <w:pPr>
              <w:autoSpaceDE w:val="0"/>
              <w:autoSpaceDN w:val="0"/>
              <w:jc w:val="right"/>
              <w:rPr>
                <w:rFonts w:cs="Arial"/>
                <w:szCs w:val="26"/>
                <w:lang w:eastAsia="en-IE"/>
              </w:rPr>
            </w:pPr>
            <w:r w:rsidRPr="00036FEF">
              <w:rPr>
                <w:rFonts w:cs="Arial"/>
                <w:szCs w:val="26"/>
                <w:lang w:eastAsia="en-IE"/>
              </w:rPr>
              <w:t>3127</w:t>
            </w:r>
          </w:p>
        </w:tc>
        <w:tc>
          <w:tcPr>
            <w:tcW w:w="1728" w:type="dxa"/>
            <w:tcMar>
              <w:top w:w="0" w:type="dxa"/>
              <w:left w:w="108" w:type="dxa"/>
              <w:bottom w:w="0" w:type="dxa"/>
              <w:right w:w="108" w:type="dxa"/>
            </w:tcMar>
            <w:hideMark/>
          </w:tcPr>
          <w:p w14:paraId="2DAD9E4B" w14:textId="77777777" w:rsidR="0013603E" w:rsidRPr="00036FEF" w:rsidRDefault="0013603E" w:rsidP="006718AF">
            <w:pPr>
              <w:autoSpaceDE w:val="0"/>
              <w:autoSpaceDN w:val="0"/>
              <w:jc w:val="right"/>
              <w:rPr>
                <w:rFonts w:cs="Arial"/>
                <w:szCs w:val="26"/>
                <w:lang w:eastAsia="en-IE"/>
              </w:rPr>
            </w:pPr>
            <w:r w:rsidRPr="00036FEF">
              <w:rPr>
                <w:rFonts w:cs="Arial"/>
                <w:szCs w:val="26"/>
                <w:lang w:eastAsia="en-IE"/>
              </w:rPr>
              <w:t>1869</w:t>
            </w:r>
          </w:p>
        </w:tc>
        <w:tc>
          <w:tcPr>
            <w:tcW w:w="1728" w:type="dxa"/>
            <w:tcMar>
              <w:top w:w="0" w:type="dxa"/>
              <w:left w:w="108" w:type="dxa"/>
              <w:bottom w:w="0" w:type="dxa"/>
              <w:right w:w="108" w:type="dxa"/>
            </w:tcMar>
            <w:hideMark/>
          </w:tcPr>
          <w:p w14:paraId="789E749D" w14:textId="77777777" w:rsidR="0013603E" w:rsidRPr="00036FEF" w:rsidRDefault="0013603E" w:rsidP="006718AF">
            <w:pPr>
              <w:autoSpaceDE w:val="0"/>
              <w:autoSpaceDN w:val="0"/>
              <w:jc w:val="right"/>
              <w:rPr>
                <w:rFonts w:cs="Arial"/>
                <w:szCs w:val="26"/>
                <w:lang w:eastAsia="en-IE"/>
              </w:rPr>
            </w:pPr>
            <w:r w:rsidRPr="00036FEF">
              <w:rPr>
                <w:rFonts w:cs="Arial"/>
                <w:szCs w:val="26"/>
                <w:lang w:eastAsia="en-IE"/>
              </w:rPr>
              <w:t>7596</w:t>
            </w:r>
          </w:p>
        </w:tc>
      </w:tr>
      <w:tr w:rsidR="0013603E" w14:paraId="65A6002D" w14:textId="77777777" w:rsidTr="00402D92">
        <w:trPr>
          <w:jc w:val="center"/>
        </w:trPr>
        <w:tc>
          <w:tcPr>
            <w:tcW w:w="1728" w:type="dxa"/>
            <w:tcMar>
              <w:top w:w="0" w:type="dxa"/>
              <w:left w:w="108" w:type="dxa"/>
              <w:bottom w:w="0" w:type="dxa"/>
              <w:right w:w="108" w:type="dxa"/>
            </w:tcMar>
            <w:hideMark/>
          </w:tcPr>
          <w:p w14:paraId="20F34394" w14:textId="77777777" w:rsidR="0013603E" w:rsidRPr="00402D92" w:rsidRDefault="0013603E" w:rsidP="00402D92">
            <w:pPr>
              <w:pStyle w:val="TableRowHead"/>
              <w:rPr>
                <w:rFonts w:ascii="Gill Sans MT" w:hAnsi="Gill Sans MT"/>
                <w:lang w:eastAsia="en-IE"/>
              </w:rPr>
            </w:pPr>
            <w:r w:rsidRPr="00402D92">
              <w:rPr>
                <w:rFonts w:ascii="Gill Sans MT" w:hAnsi="Gill Sans MT"/>
                <w:lang w:eastAsia="en-IE"/>
              </w:rPr>
              <w:t xml:space="preserve">2016 </w:t>
            </w:r>
          </w:p>
        </w:tc>
        <w:tc>
          <w:tcPr>
            <w:tcW w:w="1728" w:type="dxa"/>
            <w:tcMar>
              <w:top w:w="0" w:type="dxa"/>
              <w:left w:w="108" w:type="dxa"/>
              <w:bottom w:w="0" w:type="dxa"/>
              <w:right w:w="108" w:type="dxa"/>
            </w:tcMar>
            <w:hideMark/>
          </w:tcPr>
          <w:p w14:paraId="2F745610" w14:textId="77777777" w:rsidR="0013603E" w:rsidRPr="00036FEF" w:rsidRDefault="0013603E" w:rsidP="006718AF">
            <w:pPr>
              <w:autoSpaceDE w:val="0"/>
              <w:autoSpaceDN w:val="0"/>
              <w:jc w:val="right"/>
              <w:rPr>
                <w:rFonts w:cs="Arial"/>
                <w:szCs w:val="26"/>
                <w:lang w:eastAsia="en-IE"/>
              </w:rPr>
            </w:pPr>
            <w:r w:rsidRPr="00036FEF">
              <w:rPr>
                <w:rFonts w:cs="Arial"/>
                <w:szCs w:val="26"/>
                <w:lang w:eastAsia="en-IE"/>
              </w:rPr>
              <w:t>2714</w:t>
            </w:r>
          </w:p>
        </w:tc>
        <w:tc>
          <w:tcPr>
            <w:tcW w:w="1728" w:type="dxa"/>
            <w:tcMar>
              <w:top w:w="0" w:type="dxa"/>
              <w:left w:w="108" w:type="dxa"/>
              <w:bottom w:w="0" w:type="dxa"/>
              <w:right w:w="108" w:type="dxa"/>
            </w:tcMar>
            <w:hideMark/>
          </w:tcPr>
          <w:p w14:paraId="1D1680BA" w14:textId="77777777" w:rsidR="0013603E" w:rsidRPr="00036FEF" w:rsidRDefault="0013603E" w:rsidP="006718AF">
            <w:pPr>
              <w:autoSpaceDE w:val="0"/>
              <w:autoSpaceDN w:val="0"/>
              <w:jc w:val="right"/>
              <w:rPr>
                <w:rFonts w:cs="Arial"/>
                <w:szCs w:val="26"/>
                <w:lang w:eastAsia="en-IE"/>
              </w:rPr>
            </w:pPr>
            <w:r w:rsidRPr="00036FEF">
              <w:rPr>
                <w:rFonts w:cs="Arial"/>
                <w:szCs w:val="26"/>
                <w:lang w:eastAsia="en-IE"/>
              </w:rPr>
              <w:t>3425</w:t>
            </w:r>
          </w:p>
        </w:tc>
        <w:tc>
          <w:tcPr>
            <w:tcW w:w="1728" w:type="dxa"/>
            <w:tcMar>
              <w:top w:w="0" w:type="dxa"/>
              <w:left w:w="108" w:type="dxa"/>
              <w:bottom w:w="0" w:type="dxa"/>
              <w:right w:w="108" w:type="dxa"/>
            </w:tcMar>
            <w:hideMark/>
          </w:tcPr>
          <w:p w14:paraId="03551C0B" w14:textId="77777777" w:rsidR="0013603E" w:rsidRPr="00036FEF" w:rsidRDefault="0013603E" w:rsidP="006718AF">
            <w:pPr>
              <w:autoSpaceDE w:val="0"/>
              <w:autoSpaceDN w:val="0"/>
              <w:jc w:val="right"/>
              <w:rPr>
                <w:rFonts w:cs="Arial"/>
                <w:szCs w:val="26"/>
                <w:lang w:eastAsia="en-IE"/>
              </w:rPr>
            </w:pPr>
            <w:r w:rsidRPr="00036FEF">
              <w:rPr>
                <w:rFonts w:cs="Arial"/>
                <w:szCs w:val="26"/>
                <w:lang w:eastAsia="en-IE"/>
              </w:rPr>
              <w:t>1871</w:t>
            </w:r>
          </w:p>
        </w:tc>
        <w:tc>
          <w:tcPr>
            <w:tcW w:w="1728" w:type="dxa"/>
            <w:tcMar>
              <w:top w:w="0" w:type="dxa"/>
              <w:left w:w="108" w:type="dxa"/>
              <w:bottom w:w="0" w:type="dxa"/>
              <w:right w:w="108" w:type="dxa"/>
            </w:tcMar>
            <w:hideMark/>
          </w:tcPr>
          <w:p w14:paraId="73217582" w14:textId="77777777" w:rsidR="0013603E" w:rsidRPr="00036FEF" w:rsidRDefault="0013603E" w:rsidP="006718AF">
            <w:pPr>
              <w:autoSpaceDE w:val="0"/>
              <w:autoSpaceDN w:val="0"/>
              <w:jc w:val="right"/>
              <w:rPr>
                <w:rFonts w:cs="Arial"/>
                <w:szCs w:val="26"/>
                <w:lang w:eastAsia="en-IE"/>
              </w:rPr>
            </w:pPr>
            <w:r w:rsidRPr="00036FEF">
              <w:rPr>
                <w:rFonts w:cs="Arial"/>
                <w:szCs w:val="26"/>
                <w:lang w:eastAsia="en-IE"/>
              </w:rPr>
              <w:t>8010</w:t>
            </w:r>
          </w:p>
        </w:tc>
      </w:tr>
      <w:tr w:rsidR="0013603E" w14:paraId="1FF7D2FD" w14:textId="77777777" w:rsidTr="00402D92">
        <w:trPr>
          <w:jc w:val="center"/>
        </w:trPr>
        <w:tc>
          <w:tcPr>
            <w:tcW w:w="1728" w:type="dxa"/>
            <w:tcMar>
              <w:top w:w="0" w:type="dxa"/>
              <w:left w:w="108" w:type="dxa"/>
              <w:bottom w:w="0" w:type="dxa"/>
              <w:right w:w="108" w:type="dxa"/>
            </w:tcMar>
            <w:hideMark/>
          </w:tcPr>
          <w:p w14:paraId="2C61AA2C" w14:textId="77777777" w:rsidR="0013603E" w:rsidRPr="00402D92" w:rsidRDefault="0013603E" w:rsidP="00402D92">
            <w:pPr>
              <w:pStyle w:val="TableRowHead"/>
              <w:rPr>
                <w:rFonts w:ascii="Gill Sans MT" w:hAnsi="Gill Sans MT"/>
                <w:lang w:eastAsia="en-IE"/>
              </w:rPr>
            </w:pPr>
            <w:r w:rsidRPr="00402D92">
              <w:rPr>
                <w:rFonts w:ascii="Gill Sans MT" w:hAnsi="Gill Sans MT"/>
                <w:lang w:eastAsia="en-IE"/>
              </w:rPr>
              <w:t xml:space="preserve">2017 </w:t>
            </w:r>
          </w:p>
        </w:tc>
        <w:tc>
          <w:tcPr>
            <w:tcW w:w="1728" w:type="dxa"/>
            <w:tcMar>
              <w:top w:w="0" w:type="dxa"/>
              <w:left w:w="108" w:type="dxa"/>
              <w:bottom w:w="0" w:type="dxa"/>
              <w:right w:w="108" w:type="dxa"/>
            </w:tcMar>
            <w:hideMark/>
          </w:tcPr>
          <w:p w14:paraId="39CA1C12" w14:textId="77777777" w:rsidR="0013603E" w:rsidRPr="00036FEF" w:rsidRDefault="0013603E" w:rsidP="006718AF">
            <w:pPr>
              <w:autoSpaceDE w:val="0"/>
              <w:autoSpaceDN w:val="0"/>
              <w:jc w:val="right"/>
              <w:rPr>
                <w:rFonts w:cs="Arial"/>
                <w:szCs w:val="26"/>
                <w:lang w:eastAsia="en-IE"/>
              </w:rPr>
            </w:pPr>
            <w:r w:rsidRPr="00036FEF">
              <w:rPr>
                <w:rFonts w:cs="Arial"/>
                <w:szCs w:val="26"/>
                <w:lang w:eastAsia="en-IE"/>
              </w:rPr>
              <w:t>3449</w:t>
            </w:r>
          </w:p>
        </w:tc>
        <w:tc>
          <w:tcPr>
            <w:tcW w:w="1728" w:type="dxa"/>
            <w:tcMar>
              <w:top w:w="0" w:type="dxa"/>
              <w:left w:w="108" w:type="dxa"/>
              <w:bottom w:w="0" w:type="dxa"/>
              <w:right w:w="108" w:type="dxa"/>
            </w:tcMar>
            <w:hideMark/>
          </w:tcPr>
          <w:p w14:paraId="19A3C053" w14:textId="77777777" w:rsidR="0013603E" w:rsidRPr="00036FEF" w:rsidRDefault="0013603E" w:rsidP="006718AF">
            <w:pPr>
              <w:autoSpaceDE w:val="0"/>
              <w:autoSpaceDN w:val="0"/>
              <w:jc w:val="right"/>
              <w:rPr>
                <w:rFonts w:cs="Arial"/>
                <w:szCs w:val="26"/>
                <w:lang w:eastAsia="en-IE"/>
              </w:rPr>
            </w:pPr>
            <w:r w:rsidRPr="00036FEF">
              <w:rPr>
                <w:rFonts w:cs="Arial"/>
                <w:szCs w:val="26"/>
                <w:lang w:eastAsia="en-IE"/>
              </w:rPr>
              <w:t>3558</w:t>
            </w:r>
          </w:p>
        </w:tc>
        <w:tc>
          <w:tcPr>
            <w:tcW w:w="1728" w:type="dxa"/>
            <w:tcMar>
              <w:top w:w="0" w:type="dxa"/>
              <w:left w:w="108" w:type="dxa"/>
              <w:bottom w:w="0" w:type="dxa"/>
              <w:right w:w="108" w:type="dxa"/>
            </w:tcMar>
            <w:hideMark/>
          </w:tcPr>
          <w:p w14:paraId="3A15E534" w14:textId="77777777" w:rsidR="0013603E" w:rsidRPr="00036FEF" w:rsidRDefault="0013603E" w:rsidP="006718AF">
            <w:pPr>
              <w:autoSpaceDE w:val="0"/>
              <w:autoSpaceDN w:val="0"/>
              <w:jc w:val="right"/>
              <w:rPr>
                <w:rFonts w:cs="Arial"/>
                <w:szCs w:val="26"/>
                <w:lang w:eastAsia="en-IE"/>
              </w:rPr>
            </w:pPr>
            <w:r w:rsidRPr="00036FEF">
              <w:rPr>
                <w:rFonts w:cs="Arial"/>
                <w:szCs w:val="26"/>
                <w:lang w:eastAsia="en-IE"/>
              </w:rPr>
              <w:t>2073</w:t>
            </w:r>
          </w:p>
        </w:tc>
        <w:tc>
          <w:tcPr>
            <w:tcW w:w="1728" w:type="dxa"/>
            <w:tcMar>
              <w:top w:w="0" w:type="dxa"/>
              <w:left w:w="108" w:type="dxa"/>
              <w:bottom w:w="0" w:type="dxa"/>
              <w:right w:w="108" w:type="dxa"/>
            </w:tcMar>
            <w:hideMark/>
          </w:tcPr>
          <w:p w14:paraId="7506C671" w14:textId="77777777" w:rsidR="0013603E" w:rsidRPr="00036FEF" w:rsidRDefault="0013603E" w:rsidP="006718AF">
            <w:pPr>
              <w:autoSpaceDE w:val="0"/>
              <w:autoSpaceDN w:val="0"/>
              <w:jc w:val="right"/>
              <w:rPr>
                <w:rFonts w:cs="Arial"/>
                <w:szCs w:val="26"/>
                <w:lang w:eastAsia="en-IE"/>
              </w:rPr>
            </w:pPr>
            <w:r w:rsidRPr="00036FEF">
              <w:rPr>
                <w:rFonts w:cs="Arial"/>
                <w:szCs w:val="26"/>
                <w:lang w:eastAsia="en-IE"/>
              </w:rPr>
              <w:t>9080</w:t>
            </w:r>
          </w:p>
        </w:tc>
      </w:tr>
      <w:tr w:rsidR="0013603E" w14:paraId="08586D85" w14:textId="77777777" w:rsidTr="00402D92">
        <w:trPr>
          <w:jc w:val="center"/>
        </w:trPr>
        <w:tc>
          <w:tcPr>
            <w:tcW w:w="1728" w:type="dxa"/>
            <w:tcMar>
              <w:top w:w="0" w:type="dxa"/>
              <w:left w:w="108" w:type="dxa"/>
              <w:bottom w:w="0" w:type="dxa"/>
              <w:right w:w="108" w:type="dxa"/>
            </w:tcMar>
            <w:hideMark/>
          </w:tcPr>
          <w:p w14:paraId="01660A28" w14:textId="77777777" w:rsidR="0013603E" w:rsidRPr="00402D92" w:rsidRDefault="0013603E" w:rsidP="00402D92">
            <w:pPr>
              <w:pStyle w:val="TableRowHead"/>
              <w:rPr>
                <w:rFonts w:ascii="Gill Sans MT" w:hAnsi="Gill Sans MT"/>
                <w:lang w:eastAsia="en-IE"/>
              </w:rPr>
            </w:pPr>
            <w:r w:rsidRPr="00402D92">
              <w:rPr>
                <w:rFonts w:ascii="Gill Sans MT" w:hAnsi="Gill Sans MT"/>
                <w:lang w:eastAsia="en-IE"/>
              </w:rPr>
              <w:t>2018</w:t>
            </w:r>
          </w:p>
        </w:tc>
        <w:tc>
          <w:tcPr>
            <w:tcW w:w="1728" w:type="dxa"/>
            <w:tcMar>
              <w:top w:w="0" w:type="dxa"/>
              <w:left w:w="108" w:type="dxa"/>
              <w:bottom w:w="0" w:type="dxa"/>
              <w:right w:w="108" w:type="dxa"/>
            </w:tcMar>
            <w:hideMark/>
          </w:tcPr>
          <w:p w14:paraId="42A056A1" w14:textId="77777777" w:rsidR="0013603E" w:rsidRPr="00036FEF" w:rsidRDefault="0013603E" w:rsidP="006718AF">
            <w:pPr>
              <w:autoSpaceDE w:val="0"/>
              <w:autoSpaceDN w:val="0"/>
              <w:jc w:val="right"/>
              <w:rPr>
                <w:rFonts w:cs="Arial"/>
                <w:szCs w:val="26"/>
                <w:lang w:eastAsia="en-IE"/>
              </w:rPr>
            </w:pPr>
            <w:r w:rsidRPr="00036FEF">
              <w:rPr>
                <w:rFonts w:cs="Arial"/>
                <w:szCs w:val="26"/>
                <w:lang w:eastAsia="en-IE"/>
              </w:rPr>
              <w:t>3640</w:t>
            </w:r>
          </w:p>
        </w:tc>
        <w:tc>
          <w:tcPr>
            <w:tcW w:w="1728" w:type="dxa"/>
            <w:tcMar>
              <w:top w:w="0" w:type="dxa"/>
              <w:left w:w="108" w:type="dxa"/>
              <w:bottom w:w="0" w:type="dxa"/>
              <w:right w:w="108" w:type="dxa"/>
            </w:tcMar>
            <w:hideMark/>
          </w:tcPr>
          <w:p w14:paraId="1C283DE0" w14:textId="77777777" w:rsidR="0013603E" w:rsidRPr="00036FEF" w:rsidRDefault="0013603E" w:rsidP="006718AF">
            <w:pPr>
              <w:autoSpaceDE w:val="0"/>
              <w:autoSpaceDN w:val="0"/>
              <w:jc w:val="right"/>
              <w:rPr>
                <w:rFonts w:cs="Arial"/>
                <w:szCs w:val="26"/>
                <w:lang w:eastAsia="en-IE"/>
              </w:rPr>
            </w:pPr>
            <w:r w:rsidRPr="00036FEF">
              <w:rPr>
                <w:rFonts w:cs="Arial"/>
                <w:szCs w:val="26"/>
                <w:lang w:eastAsia="en-IE"/>
              </w:rPr>
              <w:t>3622</w:t>
            </w:r>
          </w:p>
        </w:tc>
        <w:tc>
          <w:tcPr>
            <w:tcW w:w="1728" w:type="dxa"/>
            <w:tcMar>
              <w:top w:w="0" w:type="dxa"/>
              <w:left w:w="108" w:type="dxa"/>
              <w:bottom w:w="0" w:type="dxa"/>
              <w:right w:w="108" w:type="dxa"/>
            </w:tcMar>
            <w:hideMark/>
          </w:tcPr>
          <w:p w14:paraId="4EDA8215" w14:textId="77777777" w:rsidR="0013603E" w:rsidRPr="00036FEF" w:rsidRDefault="0013603E" w:rsidP="006718AF">
            <w:pPr>
              <w:autoSpaceDE w:val="0"/>
              <w:autoSpaceDN w:val="0"/>
              <w:jc w:val="right"/>
              <w:rPr>
                <w:rFonts w:cs="Arial"/>
                <w:szCs w:val="26"/>
                <w:lang w:eastAsia="en-IE"/>
              </w:rPr>
            </w:pPr>
            <w:r w:rsidRPr="00036FEF">
              <w:rPr>
                <w:rFonts w:cs="Arial"/>
                <w:szCs w:val="26"/>
                <w:lang w:eastAsia="en-IE"/>
              </w:rPr>
              <w:t>2151</w:t>
            </w:r>
          </w:p>
        </w:tc>
        <w:tc>
          <w:tcPr>
            <w:tcW w:w="1728" w:type="dxa"/>
            <w:tcMar>
              <w:top w:w="0" w:type="dxa"/>
              <w:left w:w="108" w:type="dxa"/>
              <w:bottom w:w="0" w:type="dxa"/>
              <w:right w:w="108" w:type="dxa"/>
            </w:tcMar>
            <w:hideMark/>
          </w:tcPr>
          <w:p w14:paraId="2FBD32F3" w14:textId="77777777" w:rsidR="0013603E" w:rsidRPr="00036FEF" w:rsidRDefault="0013603E" w:rsidP="006718AF">
            <w:pPr>
              <w:autoSpaceDE w:val="0"/>
              <w:autoSpaceDN w:val="0"/>
              <w:jc w:val="right"/>
              <w:rPr>
                <w:rFonts w:cs="Arial"/>
                <w:szCs w:val="26"/>
                <w:lang w:eastAsia="en-IE"/>
              </w:rPr>
            </w:pPr>
            <w:r w:rsidRPr="00036FEF">
              <w:rPr>
                <w:rFonts w:cs="Arial"/>
                <w:szCs w:val="26"/>
                <w:lang w:eastAsia="en-IE"/>
              </w:rPr>
              <w:t>9413</w:t>
            </w:r>
          </w:p>
        </w:tc>
      </w:tr>
    </w:tbl>
    <w:p w14:paraId="436E479B" w14:textId="77777777" w:rsidR="0013603E" w:rsidRDefault="0013603E" w:rsidP="005D0B46">
      <w:pPr>
        <w:pStyle w:val="TableNote"/>
        <w:rPr>
          <w:rFonts w:eastAsiaTheme="minorHAnsi" w:cs="Calibri"/>
        </w:rPr>
      </w:pPr>
      <w:r>
        <w:t xml:space="preserve">Source: DHPLG </w:t>
      </w:r>
    </w:p>
    <w:p w14:paraId="78BDD94D" w14:textId="77777777" w:rsidR="002C6647" w:rsidRPr="00952991" w:rsidRDefault="00036FEF" w:rsidP="005F265D">
      <w:pPr>
        <w:rPr>
          <w:shd w:val="clear" w:color="auto" w:fill="FFFFFF"/>
        </w:rPr>
      </w:pPr>
      <w:r>
        <w:rPr>
          <w:shd w:val="clear" w:color="auto" w:fill="FFFFFF"/>
        </w:rPr>
        <w:t xml:space="preserve">The Mobility Aids Grant Scheme provides grants for works designed to address mobility problems in the home, such as the purchase and installation of grab-rails, a level access shower, access ramps or a stair-lift. The scheme is primarily for older people, but people with a disability can also apply for it. </w:t>
      </w:r>
      <w:r w:rsidRPr="00036FEF">
        <w:rPr>
          <w:shd w:val="clear" w:color="auto" w:fill="FFFFFF"/>
        </w:rPr>
        <w:t>The Mobility Aids Grant Scheme is available to people with a household income of</w:t>
      </w:r>
      <w:r w:rsidR="0015402D">
        <w:rPr>
          <w:shd w:val="clear" w:color="auto" w:fill="FFFFFF"/>
        </w:rPr>
        <w:t xml:space="preserve"> less than</w:t>
      </w:r>
      <w:r w:rsidR="00952991">
        <w:rPr>
          <w:shd w:val="clear" w:color="auto" w:fill="FFFFFF"/>
        </w:rPr>
        <w:t xml:space="preserve"> </w:t>
      </w:r>
      <w:r w:rsidRPr="00036FEF">
        <w:rPr>
          <w:shd w:val="clear" w:color="auto" w:fill="FFFFFF"/>
        </w:rPr>
        <w:t>€30,000 per year.</w:t>
      </w:r>
    </w:p>
    <w:p w14:paraId="26465091" w14:textId="77777777" w:rsidR="002C6647" w:rsidRDefault="002C6647" w:rsidP="002C6647">
      <w:pPr>
        <w:pStyle w:val="Heading1"/>
      </w:pPr>
      <w:bookmarkStart w:id="41" w:name="_Toc66171856"/>
      <w:r>
        <w:lastRenderedPageBreak/>
        <w:t>Homelessness</w:t>
      </w:r>
      <w:bookmarkEnd w:id="41"/>
    </w:p>
    <w:p w14:paraId="728D8C3C" w14:textId="77777777" w:rsidR="002C6647" w:rsidRDefault="002C6647" w:rsidP="002C6647">
      <w:r>
        <w:t>People with a disability emerge to be among the most disadvantaged groups. They experience high risks of discrimination and housing and environmental deprivation, and are particularly over-represented among the homeless population: more than one-in-four homeless people have a disability.</w:t>
      </w:r>
      <w:r>
        <w:rPr>
          <w:rStyle w:val="FootnoteReference"/>
        </w:rPr>
        <w:footnoteReference w:id="48"/>
      </w:r>
    </w:p>
    <w:p w14:paraId="3B49D787" w14:textId="77777777" w:rsidR="005F265D" w:rsidRDefault="00B931AB" w:rsidP="005F265D">
      <w:r>
        <w:rPr>
          <w:rFonts w:eastAsia="SimSun"/>
          <w:lang w:eastAsia="en-IE"/>
        </w:rPr>
        <w:t>To be considered for social housing in Dublin City Council, the household’s net income must be below a certain level. This level is defined by household type. Households must also have a long-term right to reside in Ireland. Once an application is deemed eligible, the household is placed in a priority band. People experiencing a range of housing difficulties such as homelessness are placed in the first band. Disability and Membership of the Traveller Community can also be cited as grounds for inclusion in the first band. There are two other bands. Dublin City Council allocates 30% of the available housing stock to each band. The final 10% is allocated at the Council’s discretion.</w:t>
      </w:r>
    </w:p>
    <w:p w14:paraId="1ADE2818" w14:textId="6F3051D2" w:rsidR="005F265D" w:rsidRDefault="005F265D" w:rsidP="005F265D">
      <w:pPr>
        <w:pStyle w:val="Heading1"/>
      </w:pPr>
      <w:bookmarkStart w:id="42" w:name="_Toc66171857"/>
      <w:r>
        <w:t>A</w:t>
      </w:r>
      <w:r w:rsidR="00402D92">
        <w:t xml:space="preserve">rticle 28 in the Irish context: </w:t>
      </w:r>
      <w:r>
        <w:t>Access to clean water</w:t>
      </w:r>
      <w:bookmarkEnd w:id="42"/>
    </w:p>
    <w:p w14:paraId="57B4D039" w14:textId="59EC7077" w:rsidR="005F265D" w:rsidRDefault="007E1515" w:rsidP="005F265D">
      <w:r>
        <w:t>Irish Water is a water utility company in I</w:t>
      </w:r>
      <w:r w:rsidR="00402D92">
        <w:t>reland. It is a subsidiary of Bórd Gá</w:t>
      </w:r>
      <w:r>
        <w:t xml:space="preserve">is Energy and its function is to provide clean, safe and affordable water and waste water services. </w:t>
      </w:r>
      <w:r w:rsidR="00EE3F83">
        <w:t xml:space="preserve">In its Domestic Vulnerable Customer Code of Practice, </w:t>
      </w:r>
      <w:r w:rsidR="00DB65A6">
        <w:t>Irish</w:t>
      </w:r>
      <w:r w:rsidR="00EE3F83">
        <w:t xml:space="preserve"> Water</w:t>
      </w:r>
      <w:r w:rsidR="00DB65A6">
        <w:t xml:space="preserve"> informs </w:t>
      </w:r>
      <w:r w:rsidR="00EE3F83">
        <w:t>particular</w:t>
      </w:r>
      <w:r w:rsidR="00DB65A6">
        <w:t xml:space="preserve"> customers</w:t>
      </w:r>
      <w:r w:rsidR="00EE3F83">
        <w:t xml:space="preserve"> about</w:t>
      </w:r>
      <w:r w:rsidR="00DB65A6">
        <w:t xml:space="preserve"> how </w:t>
      </w:r>
      <w:r w:rsidR="00EE3F83">
        <w:t>it will respond to their needs. Irish Water has developed two registers to provide extra support to these customers:</w:t>
      </w:r>
    </w:p>
    <w:p w14:paraId="4EA4FAB1" w14:textId="77777777" w:rsidR="00DB65A6" w:rsidRDefault="00DB65A6" w:rsidP="00EE3F83">
      <w:pPr>
        <w:pStyle w:val="ListBullet"/>
        <w:rPr>
          <w:sz w:val="24"/>
          <w:lang w:eastAsia="en-IE"/>
        </w:rPr>
      </w:pPr>
      <w:r>
        <w:t>The Special Services Register is for customers who are aged 66, blind or vision impaired, deaf or hard of hearing, have mobility difficulties, an intellectual disability or a mental health difficulty.</w:t>
      </w:r>
    </w:p>
    <w:p w14:paraId="2A3225EE" w14:textId="77777777" w:rsidR="00DB65A6" w:rsidRDefault="00DB65A6" w:rsidP="00EE3F83">
      <w:pPr>
        <w:pStyle w:val="ListBullet"/>
      </w:pPr>
      <w:r>
        <w:lastRenderedPageBreak/>
        <w:t>The Priority Services Register is for those who have a critical dependency on water as a resul</w:t>
      </w:r>
      <w:r w:rsidR="004B245C">
        <w:t>t of their medical condition. They</w:t>
      </w:r>
      <w:r>
        <w:t xml:space="preserve"> will contact these customers at least two days in advance of planned disruptions, and for unplanned interruptions that may last longer than four hours to determine how best we can help them.</w:t>
      </w:r>
    </w:p>
    <w:p w14:paraId="60E5D5D4" w14:textId="77777777" w:rsidR="00DB65A6" w:rsidRPr="005F265D" w:rsidRDefault="00EE3F83" w:rsidP="005F265D">
      <w:r>
        <w:t xml:space="preserve">Irish Water provides the option of </w:t>
      </w:r>
      <w:r w:rsidR="005B6F04">
        <w:t xml:space="preserve">receiving communication in multiple formats including </w:t>
      </w:r>
      <w:r>
        <w:t>Braille</w:t>
      </w:r>
      <w:r w:rsidR="005B6F04">
        <w:t>, voice and electronic documents</w:t>
      </w:r>
      <w:r>
        <w:t>. It provides an audio version of its all its key information.</w:t>
      </w:r>
      <w:r w:rsidR="003E21A3">
        <w:t xml:space="preserve"> It allows customers to nominate a named alternative person to deal with bills and correspondence on their behalf. </w:t>
      </w:r>
      <w:r>
        <w:t xml:space="preserve"> </w:t>
      </w:r>
    </w:p>
    <w:p w14:paraId="6C4912F5" w14:textId="77777777" w:rsidR="005F265D" w:rsidRDefault="003E21A3" w:rsidP="005F265D">
      <w:r>
        <w:t xml:space="preserve">Irish Water has committed to promoting this Code of Practice, so that customers are aware of the extra supports they can avail of. </w:t>
      </w:r>
    </w:p>
    <w:p w14:paraId="4A694541" w14:textId="28B7D202" w:rsidR="005F265D" w:rsidRDefault="00402D92" w:rsidP="005F265D">
      <w:pPr>
        <w:pStyle w:val="Heading1"/>
      </w:pPr>
      <w:bookmarkStart w:id="43" w:name="_Toc66171858"/>
      <w:r>
        <w:t>Article 28 in the Irish context:</w:t>
      </w:r>
      <w:r w:rsidR="005F265D">
        <w:t xml:space="preserve"> Assistance from the State for disability-related expenses</w:t>
      </w:r>
      <w:bookmarkEnd w:id="43"/>
    </w:p>
    <w:p w14:paraId="43929904" w14:textId="77777777" w:rsidR="00824331" w:rsidRDefault="00824331" w:rsidP="00824331">
      <w:r>
        <w:t>In 1996, the Commission on the Status of People with Disabilities published “A Strategy for Equality”, in which it recommended that a ‘Costs of Disability Payment’ be made available. The Strategy recommended that the Payment be a graduated payment to meet the additional every day costs associated with disability. This payment would be made irrespective of whether the person is at work or not. The Commission singled out five areas where the cost of living for people with a disability could be higher than for people without a disability:</w:t>
      </w:r>
    </w:p>
    <w:p w14:paraId="6A051674" w14:textId="77777777" w:rsidR="00824331" w:rsidRDefault="00824331" w:rsidP="00824331">
      <w:pPr>
        <w:pStyle w:val="ListBullet"/>
      </w:pPr>
      <w:r>
        <w:t xml:space="preserve">Equipment </w:t>
      </w:r>
    </w:p>
    <w:p w14:paraId="603B3E79" w14:textId="77777777" w:rsidR="00824331" w:rsidRDefault="00824331" w:rsidP="00824331">
      <w:pPr>
        <w:pStyle w:val="ListBullet"/>
      </w:pPr>
      <w:r>
        <w:t>Mobility and communication</w:t>
      </w:r>
    </w:p>
    <w:p w14:paraId="5BD89C18" w14:textId="77777777" w:rsidR="00824331" w:rsidRDefault="00824331" w:rsidP="00824331">
      <w:pPr>
        <w:pStyle w:val="ListBullet"/>
      </w:pPr>
      <w:r>
        <w:t>Living costs</w:t>
      </w:r>
    </w:p>
    <w:p w14:paraId="1FE93364" w14:textId="77777777" w:rsidR="00824331" w:rsidRDefault="00824331" w:rsidP="00824331">
      <w:pPr>
        <w:pStyle w:val="ListBullet"/>
      </w:pPr>
      <w:r>
        <w:t>Medical</w:t>
      </w:r>
    </w:p>
    <w:p w14:paraId="506541AB" w14:textId="77777777" w:rsidR="00824331" w:rsidRDefault="00824331" w:rsidP="005F265D">
      <w:pPr>
        <w:pStyle w:val="ListBullet"/>
      </w:pPr>
      <w:r>
        <w:t>Care and assistance.</w:t>
      </w:r>
    </w:p>
    <w:p w14:paraId="57951BC1" w14:textId="77777777" w:rsidR="009A08C2" w:rsidRDefault="009A08C2" w:rsidP="005F265D">
      <w:r>
        <w:lastRenderedPageBreak/>
        <w:t>The ‘cost of disability’ can be defined as the amount it costs a disabled person to achieve the same standard of living as a non-disabled person</w:t>
      </w:r>
      <w:r w:rsidR="007A3E92">
        <w:t>.</w:t>
      </w:r>
      <w:r>
        <w:rPr>
          <w:rStyle w:val="FootnoteReference"/>
        </w:rPr>
        <w:footnoteReference w:id="49"/>
      </w:r>
      <w:r w:rsidR="0021268E">
        <w:t xml:space="preserve"> Based on the research carried out</w:t>
      </w:r>
      <w:r w:rsidR="006F1B7D">
        <w:t xml:space="preserve"> by Indecon</w:t>
      </w:r>
      <w:r w:rsidR="0021268E">
        <w:t xml:space="preserve"> in the Report on the Cost of Disability, the NDA “believes that the research evidence presented in the Report supports the introduction of a Cost of Disability Payment to meet the extra costs of day to day living and of transport. Cash support towards care needs might also be covered under such a payment. The international evidence shows a clear link between the severity of disability and the scale of extra costs, so a cost of disability payment should be graded by reference to the degree of need.”</w:t>
      </w:r>
      <w:r w:rsidR="0021268E">
        <w:rPr>
          <w:rStyle w:val="FootnoteReference"/>
        </w:rPr>
        <w:footnoteReference w:id="50"/>
      </w:r>
    </w:p>
    <w:p w14:paraId="0E56A4C4" w14:textId="77777777" w:rsidR="00824331" w:rsidRPr="006F1B7D" w:rsidRDefault="00824331" w:rsidP="005D0B46">
      <w:r w:rsidRPr="006F1B7D">
        <w:rPr>
          <w:shd w:val="clear" w:color="auto" w:fill="FFFFFF"/>
        </w:rPr>
        <w:t>Because of gaps in the report’s data on disability, and the wide variation in the needs of different individuals, the Indecon report could not establish a definitive figure of the average cost of disability. However, it showed that people in Ireland face extra costs of living related to disability over and above those which are currently met by state services or supports, for example extra costs for heating or transport. The report was able to show that, for people with a high level of disability, the lowest figure the international studies put on their extra cost of living was €40 a week.</w:t>
      </w:r>
    </w:p>
    <w:p w14:paraId="2CFBAB07" w14:textId="77777777" w:rsidR="00927B18" w:rsidRDefault="006B022A" w:rsidP="005D0B46">
      <w:r>
        <w:t xml:space="preserve">In Budget 2019, the </w:t>
      </w:r>
      <w:r w:rsidRPr="006B022A">
        <w:rPr>
          <w:szCs w:val="26"/>
        </w:rPr>
        <w:t xml:space="preserve">Government announced the provision of </w:t>
      </w:r>
      <w:r w:rsidRPr="006B022A">
        <w:rPr>
          <w:szCs w:val="26"/>
          <w:shd w:val="clear" w:color="auto" w:fill="FFFFFF"/>
        </w:rPr>
        <w:t>€300,000 to commission research in 2019 on the additional costs of living with a disability.</w:t>
      </w:r>
      <w:r>
        <w:rPr>
          <w:szCs w:val="26"/>
          <w:shd w:val="clear" w:color="auto" w:fill="FFFFFF"/>
        </w:rPr>
        <w:t xml:space="preserve"> This research was included as a commitment in the Roadmap for Social Inclusion 2020-2025.</w:t>
      </w:r>
    </w:p>
    <w:p w14:paraId="4DDCEB62" w14:textId="77777777" w:rsidR="005F265D" w:rsidRDefault="005A7A8A" w:rsidP="005F265D">
      <w:pPr>
        <w:pStyle w:val="Heading1"/>
      </w:pPr>
      <w:bookmarkStart w:id="44" w:name="_Toc66171859"/>
      <w:r>
        <w:t>Social Inclusion</w:t>
      </w:r>
      <w:bookmarkEnd w:id="44"/>
    </w:p>
    <w:p w14:paraId="2F3EDF27" w14:textId="77777777" w:rsidR="000066FA" w:rsidRDefault="005A7A8A" w:rsidP="005F265D">
      <w:r>
        <w:t>On 14 January 2020, the Minister for Employment Affairs and Social Protection published the Roadmap for Social Inclusion 2020-2025, which set out the Government’s ambition for Ire</w:t>
      </w:r>
      <w:r>
        <w:lastRenderedPageBreak/>
        <w:t xml:space="preserve">land to become one of the most socially inclusive </w:t>
      </w:r>
      <w:r w:rsidR="000066FA">
        <w:t>States in the EU, defined a number of specific targets to be achieved and detailed a number of key commitments to deliver on this ambition and these targets.</w:t>
      </w:r>
      <w:r w:rsidR="00607565">
        <w:rPr>
          <w:rStyle w:val="FootnoteReference"/>
        </w:rPr>
        <w:footnoteReference w:id="51"/>
      </w:r>
    </w:p>
    <w:p w14:paraId="1A0398C3" w14:textId="77777777" w:rsidR="000066FA" w:rsidRDefault="000066FA" w:rsidP="005F265D">
      <w:r>
        <w:t xml:space="preserve">The Roadmap includes a chapter on ‘Supporting People with Disabilities’. The goal of this chapter is to improve social inclusion of people with disabilities by reducing poverty rates, improving employment outcomes and delivering better services. </w:t>
      </w:r>
      <w:r w:rsidR="00DD0F89">
        <w:t>The primary target is to reduce the percentage of people with disabilities at risk of poverty or social exclusion from a rate of 36.9% in 2018 to no more than 28.7% for the year 2025 and to no more than 22.7% by 2030. In achieving this final target, Ireland would become a top 5 country in EU rankings.</w:t>
      </w:r>
    </w:p>
    <w:p w14:paraId="17083028" w14:textId="77777777" w:rsidR="00AA6732" w:rsidRDefault="00DD0F89" w:rsidP="004B245C">
      <w:pPr>
        <w:shd w:val="clear" w:color="auto" w:fill="FFFFFF"/>
      </w:pPr>
      <w:r>
        <w:t xml:space="preserve">The Roadmap includes a commitment to review the current structure of Disability Allowance and Invalidity Pension payments. The Government recognises that both payments can be confusing with their varying criteria. Both payments also take a binary </w:t>
      </w:r>
      <w:r w:rsidR="00DB5FB2">
        <w:t xml:space="preserve">approach to </w:t>
      </w:r>
      <w:r>
        <w:t>disability- an individual is either</w:t>
      </w:r>
      <w:r w:rsidR="00DB5FB2">
        <w:t xml:space="preserve"> fully incapable of working, or fully capable, with no recognition that work capabilities can vary among different people with different types of disabilities. Both schemes also adopt a ‘one size fits all’ approach to the issue of living costs, taking no account of the differing costs incurred by people living with different types of disabilities.  The Make Work Pay report states that “the current system of supports for people with disabilities, across a range of schemes provided by government departments and other states agencies, is a complex one. It reflects the variety and span of different needs people with disabilities can have, as well as the separate evolution of the different schemes. The outcome is that people find the</w:t>
      </w:r>
      <w:r w:rsidR="008241E1">
        <w:t xml:space="preserve"> system difficult to navigate.”</w:t>
      </w:r>
    </w:p>
    <w:p w14:paraId="302C34AA" w14:textId="4B3529E0" w:rsidR="009254AC" w:rsidRDefault="00AA6732" w:rsidP="004B245C">
      <w:pPr>
        <w:shd w:val="clear" w:color="auto" w:fill="FFFFFF"/>
      </w:pPr>
      <w:r>
        <w:t xml:space="preserve">The commitments of the Government, which will be subject to monitoring and reporting under the governance process for </w:t>
      </w:r>
      <w:r w:rsidR="004B245C">
        <w:t xml:space="preserve">the Roadmap, are set out </w:t>
      </w:r>
      <w:r w:rsidR="001F4452">
        <w:t>in Table 10.</w:t>
      </w:r>
    </w:p>
    <w:p w14:paraId="7A00F034" w14:textId="25C2E58B" w:rsidR="001F4452" w:rsidRDefault="001F4452" w:rsidP="001F4452">
      <w:pPr>
        <w:pStyle w:val="TableTitle"/>
      </w:pPr>
      <w:r>
        <w:lastRenderedPageBreak/>
        <w:t>Table 10: Government Commitments under the Roadmap for Social Inclusion 2020-2025</w:t>
      </w:r>
    </w:p>
    <w:tbl>
      <w:tblPr>
        <w:tblStyle w:val="TableGrid"/>
        <w:tblW w:w="0" w:type="auto"/>
        <w:tblLook w:val="04A0" w:firstRow="1" w:lastRow="0" w:firstColumn="1" w:lastColumn="0" w:noHBand="0" w:noVBand="1"/>
        <w:tblCaption w:val="Table 10: Government Commitments under the Roadmap for Social Inclusion 2020-2025"/>
        <w:tblDescription w:val="Government Commitments under the Roadmap for Social Inclusion 2020-2025"/>
      </w:tblPr>
      <w:tblGrid>
        <w:gridCol w:w="704"/>
        <w:gridCol w:w="4371"/>
        <w:gridCol w:w="2124"/>
        <w:gridCol w:w="1431"/>
      </w:tblGrid>
      <w:tr w:rsidR="009254AC" w14:paraId="6A03FC8F" w14:textId="77777777" w:rsidTr="002115D5">
        <w:trPr>
          <w:tblHeader/>
        </w:trPr>
        <w:tc>
          <w:tcPr>
            <w:tcW w:w="704" w:type="dxa"/>
          </w:tcPr>
          <w:p w14:paraId="2AED3833" w14:textId="77777777" w:rsidR="009254AC" w:rsidRPr="00AA6732" w:rsidRDefault="009254AC" w:rsidP="001F4452">
            <w:pPr>
              <w:pStyle w:val="TableHead"/>
            </w:pPr>
            <w:r w:rsidRPr="00AA6732">
              <w:t>No.</w:t>
            </w:r>
          </w:p>
        </w:tc>
        <w:tc>
          <w:tcPr>
            <w:tcW w:w="4394" w:type="dxa"/>
          </w:tcPr>
          <w:p w14:paraId="6991B938" w14:textId="77777777" w:rsidR="009254AC" w:rsidRPr="00AA6732" w:rsidRDefault="009254AC" w:rsidP="001F4452">
            <w:pPr>
              <w:pStyle w:val="TableHead"/>
            </w:pPr>
            <w:r w:rsidRPr="00AA6732">
              <w:t>Commitment</w:t>
            </w:r>
          </w:p>
        </w:tc>
        <w:tc>
          <w:tcPr>
            <w:tcW w:w="2127" w:type="dxa"/>
          </w:tcPr>
          <w:p w14:paraId="167B7822" w14:textId="77777777" w:rsidR="009254AC" w:rsidRPr="00AA6732" w:rsidRDefault="009254AC" w:rsidP="001F4452">
            <w:pPr>
              <w:pStyle w:val="TableHead"/>
            </w:pPr>
            <w:r w:rsidRPr="00AA6732">
              <w:t>Responsible Departments</w:t>
            </w:r>
          </w:p>
        </w:tc>
        <w:tc>
          <w:tcPr>
            <w:tcW w:w="1405" w:type="dxa"/>
          </w:tcPr>
          <w:p w14:paraId="19BC5B37" w14:textId="77777777" w:rsidR="009254AC" w:rsidRPr="00AA6732" w:rsidRDefault="009254AC" w:rsidP="001F4452">
            <w:pPr>
              <w:pStyle w:val="TableHead"/>
            </w:pPr>
            <w:r w:rsidRPr="00AA6732">
              <w:t>Timeline</w:t>
            </w:r>
          </w:p>
        </w:tc>
      </w:tr>
      <w:tr w:rsidR="009254AC" w14:paraId="4326B630" w14:textId="77777777" w:rsidTr="009254AC">
        <w:tc>
          <w:tcPr>
            <w:tcW w:w="704" w:type="dxa"/>
          </w:tcPr>
          <w:p w14:paraId="35FCE0E7" w14:textId="77777777" w:rsidR="009254AC" w:rsidRPr="001F4452" w:rsidRDefault="009254AC" w:rsidP="001F4452">
            <w:pPr>
              <w:pStyle w:val="TableRowHead"/>
              <w:rPr>
                <w:rFonts w:ascii="Gill Sans MT" w:hAnsi="Gill Sans MT"/>
              </w:rPr>
            </w:pPr>
            <w:r w:rsidRPr="001F4452">
              <w:rPr>
                <w:rFonts w:ascii="Gill Sans MT" w:hAnsi="Gill Sans MT"/>
              </w:rPr>
              <w:t>41</w:t>
            </w:r>
          </w:p>
        </w:tc>
        <w:tc>
          <w:tcPr>
            <w:tcW w:w="4394" w:type="dxa"/>
          </w:tcPr>
          <w:p w14:paraId="414CC76C" w14:textId="77777777" w:rsidR="009254AC" w:rsidRPr="00AA6732" w:rsidRDefault="009254AC" w:rsidP="00DB5FB2">
            <w:pPr>
              <w:spacing w:after="0"/>
              <w:rPr>
                <w:sz w:val="24"/>
              </w:rPr>
            </w:pPr>
            <w:r w:rsidRPr="00AA6732">
              <w:rPr>
                <w:sz w:val="24"/>
              </w:rPr>
              <w:t>The Government commits to the continued implementation of the National Disability Inclusion and Comprehensive Employment Strategies and to their review in 2021</w:t>
            </w:r>
          </w:p>
        </w:tc>
        <w:tc>
          <w:tcPr>
            <w:tcW w:w="2127" w:type="dxa"/>
          </w:tcPr>
          <w:p w14:paraId="398B5B58" w14:textId="77777777" w:rsidR="009254AC" w:rsidRPr="00AA6732" w:rsidRDefault="009254AC" w:rsidP="00DB5FB2">
            <w:pPr>
              <w:spacing w:after="0"/>
              <w:rPr>
                <w:sz w:val="24"/>
              </w:rPr>
            </w:pPr>
            <w:r w:rsidRPr="00AA6732">
              <w:rPr>
                <w:sz w:val="24"/>
              </w:rPr>
              <w:t>Department of Justice and Equality</w:t>
            </w:r>
          </w:p>
        </w:tc>
        <w:tc>
          <w:tcPr>
            <w:tcW w:w="1405" w:type="dxa"/>
          </w:tcPr>
          <w:p w14:paraId="323C0208" w14:textId="77777777" w:rsidR="009254AC" w:rsidRPr="00AA6732" w:rsidRDefault="00AA6732" w:rsidP="00DB5FB2">
            <w:pPr>
              <w:spacing w:after="0"/>
              <w:rPr>
                <w:sz w:val="24"/>
              </w:rPr>
            </w:pPr>
            <w:r w:rsidRPr="00AA6732">
              <w:rPr>
                <w:sz w:val="24"/>
              </w:rPr>
              <w:t>Q4 2021</w:t>
            </w:r>
          </w:p>
        </w:tc>
      </w:tr>
      <w:tr w:rsidR="009254AC" w14:paraId="16C080F9" w14:textId="77777777" w:rsidTr="009254AC">
        <w:tc>
          <w:tcPr>
            <w:tcW w:w="704" w:type="dxa"/>
          </w:tcPr>
          <w:p w14:paraId="3F281BA4" w14:textId="77777777" w:rsidR="009254AC" w:rsidRPr="001F4452" w:rsidRDefault="009254AC" w:rsidP="001F4452">
            <w:pPr>
              <w:pStyle w:val="TableRowHead"/>
              <w:rPr>
                <w:rFonts w:ascii="Gill Sans MT" w:hAnsi="Gill Sans MT"/>
              </w:rPr>
            </w:pPr>
            <w:r w:rsidRPr="001F4452">
              <w:rPr>
                <w:rFonts w:ascii="Gill Sans MT" w:hAnsi="Gill Sans MT"/>
              </w:rPr>
              <w:t>42</w:t>
            </w:r>
          </w:p>
        </w:tc>
        <w:tc>
          <w:tcPr>
            <w:tcW w:w="4394" w:type="dxa"/>
          </w:tcPr>
          <w:p w14:paraId="00B93202" w14:textId="77777777" w:rsidR="009254AC" w:rsidRPr="00AA6732" w:rsidRDefault="009254AC" w:rsidP="00DB5FB2">
            <w:pPr>
              <w:spacing w:after="0"/>
              <w:rPr>
                <w:sz w:val="24"/>
              </w:rPr>
            </w:pPr>
            <w:r w:rsidRPr="00AA6732">
              <w:rPr>
                <w:sz w:val="24"/>
              </w:rPr>
              <w:t>Specific poverty reduction and employment targets will be set for people with disabilities: Reduce the AROPE (“at risk of poverty or social exclusion”) rate from 36.9% first to 28.7% (2025) and then to 22.7% (2030); and increase the employment rate from 22.3% first to 25% (2021) and then to 33% (2027)</w:t>
            </w:r>
          </w:p>
        </w:tc>
        <w:tc>
          <w:tcPr>
            <w:tcW w:w="2127" w:type="dxa"/>
          </w:tcPr>
          <w:p w14:paraId="5BC01885" w14:textId="77777777" w:rsidR="009254AC" w:rsidRPr="00AA6732" w:rsidRDefault="009254AC" w:rsidP="00DB5FB2">
            <w:pPr>
              <w:spacing w:after="0"/>
              <w:rPr>
                <w:sz w:val="24"/>
              </w:rPr>
            </w:pPr>
            <w:r w:rsidRPr="00AA6732">
              <w:rPr>
                <w:sz w:val="24"/>
              </w:rPr>
              <w:t>Department of Employment Affairs and Social Protection</w:t>
            </w:r>
          </w:p>
        </w:tc>
        <w:tc>
          <w:tcPr>
            <w:tcW w:w="1405" w:type="dxa"/>
          </w:tcPr>
          <w:p w14:paraId="73797D15" w14:textId="77777777" w:rsidR="009254AC" w:rsidRPr="00AA6732" w:rsidRDefault="00AA6732" w:rsidP="00DB5FB2">
            <w:pPr>
              <w:spacing w:after="0"/>
              <w:rPr>
                <w:sz w:val="24"/>
              </w:rPr>
            </w:pPr>
            <w:r w:rsidRPr="00AA6732">
              <w:rPr>
                <w:sz w:val="24"/>
              </w:rPr>
              <w:t>Ongoing</w:t>
            </w:r>
          </w:p>
        </w:tc>
      </w:tr>
      <w:tr w:rsidR="009254AC" w14:paraId="1832C507" w14:textId="77777777" w:rsidTr="009254AC">
        <w:tc>
          <w:tcPr>
            <w:tcW w:w="704" w:type="dxa"/>
          </w:tcPr>
          <w:p w14:paraId="72208B20" w14:textId="77777777" w:rsidR="009254AC" w:rsidRPr="001F4452" w:rsidRDefault="009254AC" w:rsidP="001F4452">
            <w:pPr>
              <w:pStyle w:val="TableRowHead"/>
              <w:rPr>
                <w:rFonts w:ascii="Gill Sans MT" w:hAnsi="Gill Sans MT"/>
              </w:rPr>
            </w:pPr>
            <w:r w:rsidRPr="001F4452">
              <w:rPr>
                <w:rFonts w:ascii="Gill Sans MT" w:hAnsi="Gill Sans MT"/>
              </w:rPr>
              <w:t>43</w:t>
            </w:r>
          </w:p>
        </w:tc>
        <w:tc>
          <w:tcPr>
            <w:tcW w:w="4394" w:type="dxa"/>
          </w:tcPr>
          <w:p w14:paraId="65862D14" w14:textId="77777777" w:rsidR="009254AC" w:rsidRPr="00AA6732" w:rsidRDefault="009254AC" w:rsidP="00DB5FB2">
            <w:pPr>
              <w:spacing w:after="0"/>
              <w:rPr>
                <w:sz w:val="24"/>
              </w:rPr>
            </w:pPr>
            <w:r w:rsidRPr="00AA6732">
              <w:rPr>
                <w:sz w:val="24"/>
              </w:rPr>
              <w:t>Develop and consult on a ‘strawman’ proposal for the restructuring of long term disability payments to simplify the system and take account of the concerns expressed in the Make Work Pay report</w:t>
            </w:r>
          </w:p>
        </w:tc>
        <w:tc>
          <w:tcPr>
            <w:tcW w:w="2127" w:type="dxa"/>
          </w:tcPr>
          <w:p w14:paraId="677C4C2D" w14:textId="77777777" w:rsidR="009254AC" w:rsidRPr="00AA6732" w:rsidRDefault="009254AC" w:rsidP="00DB5FB2">
            <w:pPr>
              <w:spacing w:after="0"/>
              <w:rPr>
                <w:sz w:val="24"/>
              </w:rPr>
            </w:pPr>
            <w:r w:rsidRPr="00AA6732">
              <w:rPr>
                <w:sz w:val="24"/>
              </w:rPr>
              <w:t>Department of Employment Affairs and Social Protection</w:t>
            </w:r>
          </w:p>
        </w:tc>
        <w:tc>
          <w:tcPr>
            <w:tcW w:w="1405" w:type="dxa"/>
          </w:tcPr>
          <w:p w14:paraId="26835A7A" w14:textId="77777777" w:rsidR="009254AC" w:rsidRPr="00AA6732" w:rsidRDefault="00AA6732" w:rsidP="00DB5FB2">
            <w:pPr>
              <w:spacing w:after="0"/>
              <w:rPr>
                <w:sz w:val="24"/>
              </w:rPr>
            </w:pPr>
            <w:r w:rsidRPr="00AA6732">
              <w:rPr>
                <w:sz w:val="24"/>
              </w:rPr>
              <w:t>Q4 2020</w:t>
            </w:r>
          </w:p>
        </w:tc>
      </w:tr>
      <w:tr w:rsidR="009254AC" w14:paraId="02AEF9A0" w14:textId="77777777" w:rsidTr="009254AC">
        <w:tc>
          <w:tcPr>
            <w:tcW w:w="704" w:type="dxa"/>
          </w:tcPr>
          <w:p w14:paraId="6EBD54B0" w14:textId="77777777" w:rsidR="009254AC" w:rsidRPr="001F4452" w:rsidRDefault="009254AC" w:rsidP="001F4452">
            <w:pPr>
              <w:pStyle w:val="TableRowHead"/>
              <w:rPr>
                <w:rFonts w:ascii="Gill Sans MT" w:hAnsi="Gill Sans MT"/>
              </w:rPr>
            </w:pPr>
            <w:r w:rsidRPr="001F4452">
              <w:rPr>
                <w:rFonts w:ascii="Gill Sans MT" w:hAnsi="Gill Sans MT"/>
              </w:rPr>
              <w:t>44</w:t>
            </w:r>
          </w:p>
        </w:tc>
        <w:tc>
          <w:tcPr>
            <w:tcW w:w="4394" w:type="dxa"/>
          </w:tcPr>
          <w:p w14:paraId="7066D826" w14:textId="77777777" w:rsidR="009254AC" w:rsidRPr="00AA6732" w:rsidRDefault="009254AC" w:rsidP="00DB5FB2">
            <w:pPr>
              <w:spacing w:after="0"/>
              <w:rPr>
                <w:sz w:val="24"/>
              </w:rPr>
            </w:pPr>
            <w:r w:rsidRPr="00AA6732">
              <w:rPr>
                <w:sz w:val="24"/>
              </w:rPr>
              <w:t>Commission a study on the cost of disability and publish a final report with recommendations</w:t>
            </w:r>
          </w:p>
        </w:tc>
        <w:tc>
          <w:tcPr>
            <w:tcW w:w="2127" w:type="dxa"/>
          </w:tcPr>
          <w:p w14:paraId="347F1F85" w14:textId="77777777" w:rsidR="009254AC" w:rsidRPr="00AA6732" w:rsidRDefault="00AA6732" w:rsidP="00DB5FB2">
            <w:pPr>
              <w:spacing w:after="0"/>
              <w:rPr>
                <w:sz w:val="24"/>
              </w:rPr>
            </w:pPr>
            <w:r w:rsidRPr="00AA6732">
              <w:rPr>
                <w:sz w:val="24"/>
              </w:rPr>
              <w:t>Department of Employment Affairs and Social Protection; Department of Public Expenditure and Reform</w:t>
            </w:r>
          </w:p>
        </w:tc>
        <w:tc>
          <w:tcPr>
            <w:tcW w:w="1405" w:type="dxa"/>
          </w:tcPr>
          <w:p w14:paraId="0BE8F295" w14:textId="77777777" w:rsidR="009254AC" w:rsidRPr="00AA6732" w:rsidRDefault="00AA6732" w:rsidP="00DB5FB2">
            <w:pPr>
              <w:spacing w:after="0"/>
              <w:rPr>
                <w:sz w:val="24"/>
              </w:rPr>
            </w:pPr>
            <w:r w:rsidRPr="00AA6732">
              <w:rPr>
                <w:sz w:val="24"/>
              </w:rPr>
              <w:t>Commission Q2 2019, Report Q1 2020</w:t>
            </w:r>
          </w:p>
        </w:tc>
      </w:tr>
    </w:tbl>
    <w:p w14:paraId="192F59D0" w14:textId="7F75B7F8" w:rsidR="00B156B5" w:rsidRPr="00731B62" w:rsidRDefault="00DF3C4D" w:rsidP="00731B62">
      <w:pPr>
        <w:pStyle w:val="TableNote"/>
      </w:pPr>
      <w:r>
        <w:t>Source:</w:t>
      </w:r>
      <w:r w:rsidR="00B156B5">
        <w:br w:type="page"/>
      </w:r>
    </w:p>
    <w:p w14:paraId="2E93BCF3" w14:textId="5D336ED2" w:rsidR="00C44C6D" w:rsidRDefault="00C44C6D" w:rsidP="00C44C6D">
      <w:pPr>
        <w:pStyle w:val="Heading1"/>
      </w:pPr>
      <w:bookmarkStart w:id="45" w:name="_Toc66171860"/>
      <w:r>
        <w:lastRenderedPageBreak/>
        <w:t>Conclusion</w:t>
      </w:r>
      <w:bookmarkEnd w:id="45"/>
    </w:p>
    <w:p w14:paraId="3E19A974" w14:textId="58231F6D" w:rsidR="00C44C6D" w:rsidRDefault="00C44C6D" w:rsidP="005D0B46">
      <w:pPr>
        <w:rPr>
          <w:shd w:val="clear" w:color="auto" w:fill="FFFFFF"/>
        </w:rPr>
      </w:pPr>
      <w:r>
        <w:rPr>
          <w:shd w:val="clear" w:color="auto" w:fill="FFFFFF"/>
        </w:rPr>
        <w:t xml:space="preserve">While there are a range of supports available for persons with disabilities and carers it is well recognised that the cost of living amongst many persons with disabilities is higher than amongst the general population, and the Commission on the Status of People with Disabilities recommended that a ‘cost of disability’ payment be made available. The </w:t>
      </w:r>
      <w:r>
        <w:t>NDA previously researched what would be involved in a cost of disability payment, noting the challenges of agreeing a fixed universal amount that would address the varying range of needs.</w:t>
      </w:r>
      <w:r>
        <w:rPr>
          <w:shd w:val="clear" w:color="auto" w:fill="FFFFFF"/>
        </w:rPr>
        <w:t xml:space="preserve"> Research on what this kind of payment might look like is included as an action in the Roadmap for Social Inclusion 2020-2025. </w:t>
      </w:r>
    </w:p>
    <w:p w14:paraId="6F16130C" w14:textId="20CCD284" w:rsidR="00C44C6D" w:rsidRDefault="00C44C6D" w:rsidP="005D0B46">
      <w:pPr>
        <w:rPr>
          <w:shd w:val="clear" w:color="auto" w:fill="FFFFFF"/>
        </w:rPr>
      </w:pPr>
      <w:r>
        <w:rPr>
          <w:shd w:val="clear" w:color="auto" w:fill="FFFFFF"/>
        </w:rPr>
        <w:t xml:space="preserve">Article 28 recognises the rights of persons with disabilities to adequate housing, however, in Ireland, studies show that </w:t>
      </w:r>
      <w:r w:rsidRPr="00F96722">
        <w:t>housing deprivation was greater among persons with disabilities</w:t>
      </w:r>
      <w:r>
        <w:t xml:space="preserve"> than it is for the general population. It is also shown that persons with disabilities are more likely to live in areas where crime, vandalism, noise or pollution occurs. </w:t>
      </w:r>
      <w:r w:rsidRPr="00842F80">
        <w:t>The proportion of people whose main need for social housing support is related to their disability increased</w:t>
      </w:r>
      <w:r>
        <w:t xml:space="preserve"> in 2019.</w:t>
      </w:r>
    </w:p>
    <w:p w14:paraId="3C38E989" w14:textId="276F160C" w:rsidR="00C44C6D" w:rsidRPr="00C44C6D" w:rsidRDefault="00C44C6D" w:rsidP="005D0B46">
      <w:r>
        <w:rPr>
          <w:shd w:val="clear" w:color="auto" w:fill="FFFFFF"/>
        </w:rPr>
        <w:t xml:space="preserve">Studies have shown that the level of deprivation is high amongst persons with disabilities. In the </w:t>
      </w:r>
      <w:r>
        <w:t xml:space="preserve">2017 Survey on Income and Living Conditions (SILC), those who were not at work due to illness or disability had the highest deprivation rate in 2017 at 45.9%. </w:t>
      </w:r>
      <w:r>
        <w:rPr>
          <w:shd w:val="clear" w:color="auto" w:fill="FFFFFF"/>
        </w:rPr>
        <w:t>While some of our indicators are average when compared to other European countries there are still high levels of deprivations among this population and the recently published Roadmap for Social Inclusion 2020-2025 i</w:t>
      </w:r>
      <w:r w:rsidR="002115D5">
        <w:rPr>
          <w:shd w:val="clear" w:color="auto" w:fill="FFFFFF"/>
        </w:rPr>
        <w:t>s one strategy to rectify this.</w:t>
      </w:r>
    </w:p>
    <w:sectPr w:rsidR="00C44C6D" w:rsidRPr="00C44C6D">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13A7B" w14:textId="77777777" w:rsidR="000B4C45" w:rsidRDefault="000B4C45">
      <w:r>
        <w:separator/>
      </w:r>
    </w:p>
  </w:endnote>
  <w:endnote w:type="continuationSeparator" w:id="0">
    <w:p w14:paraId="22489A6C" w14:textId="77777777" w:rsidR="000B4C45" w:rsidRDefault="000B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B6CB7" w14:textId="1BB94793" w:rsidR="000B4C45" w:rsidRDefault="000B4C45">
    <w:pPr>
      <w:pStyle w:val="Footer"/>
    </w:pPr>
    <w:r>
      <w:tab/>
    </w:r>
    <w:r>
      <w:tab/>
    </w:r>
    <w:r>
      <w:fldChar w:fldCharType="begin"/>
    </w:r>
    <w:r>
      <w:instrText xml:space="preserve"> PAGE  \* Arabic  \* MERGEFORMAT </w:instrText>
    </w:r>
    <w:r>
      <w:fldChar w:fldCharType="separate"/>
    </w:r>
    <w:r w:rsidR="00E236C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10195" w14:textId="77777777" w:rsidR="000B4C45" w:rsidRDefault="000B4C45">
      <w:r>
        <w:separator/>
      </w:r>
    </w:p>
  </w:footnote>
  <w:footnote w:type="continuationSeparator" w:id="0">
    <w:p w14:paraId="1D74C176" w14:textId="77777777" w:rsidR="000B4C45" w:rsidRDefault="000B4C45">
      <w:r>
        <w:continuationSeparator/>
      </w:r>
    </w:p>
  </w:footnote>
  <w:footnote w:id="1">
    <w:p w14:paraId="4AE16B99" w14:textId="77777777" w:rsidR="000B4C45" w:rsidRPr="00A168E7" w:rsidRDefault="000B4C45">
      <w:pPr>
        <w:pStyle w:val="FootnoteText"/>
        <w:rPr>
          <w:lang w:val="en-US"/>
        </w:rPr>
      </w:pPr>
      <w:r>
        <w:rPr>
          <w:rStyle w:val="FootnoteReference"/>
        </w:rPr>
        <w:footnoteRef/>
      </w:r>
      <w:r>
        <w:t xml:space="preserve"> </w:t>
      </w:r>
      <w:r>
        <w:rPr>
          <w:lang w:val="en-US"/>
        </w:rPr>
        <w:t xml:space="preserve">UN Convention on the Rights of Persons with Disabilities, Article 28 </w:t>
      </w:r>
      <w:hyperlink r:id="rId1" w:history="1">
        <w:r>
          <w:rPr>
            <w:rStyle w:val="Hyperlink"/>
          </w:rPr>
          <w:t>https://www.un.org/disabilities/documents/convention/convoptprot-e.pdf</w:t>
        </w:r>
      </w:hyperlink>
    </w:p>
  </w:footnote>
  <w:footnote w:id="2">
    <w:p w14:paraId="44E9AB84" w14:textId="77777777" w:rsidR="000B4C45" w:rsidRPr="00A168E7" w:rsidRDefault="000B4C45">
      <w:pPr>
        <w:pStyle w:val="FootnoteText"/>
        <w:rPr>
          <w:lang w:val="en-US"/>
        </w:rPr>
      </w:pPr>
      <w:r>
        <w:rPr>
          <w:rStyle w:val="FootnoteReference"/>
        </w:rPr>
        <w:footnoteRef/>
      </w:r>
      <w:r>
        <w:t xml:space="preserve"> </w:t>
      </w:r>
      <w:r>
        <w:rPr>
          <w:lang w:val="en-US"/>
        </w:rPr>
        <w:t xml:space="preserve">Central Statistics Office, Survey on Income and Living Conditions (SILC) 2017, Poverty and Deprivation </w:t>
      </w:r>
      <w:hyperlink r:id="rId2" w:history="1">
        <w:r w:rsidRPr="002E438C">
          <w:rPr>
            <w:rStyle w:val="Hyperlink"/>
            <w:lang w:val="en-US"/>
          </w:rPr>
          <w:t>https://www.cso.ie/en/releasesandpublications/ep/p-silc/surveyonincomeandlivingconditionssilc2017/povertyanddeprivation/</w:t>
        </w:r>
      </w:hyperlink>
      <w:r>
        <w:rPr>
          <w:lang w:val="en-US"/>
        </w:rPr>
        <w:t xml:space="preserve"> </w:t>
      </w:r>
    </w:p>
  </w:footnote>
  <w:footnote w:id="3">
    <w:p w14:paraId="5365C61C" w14:textId="77777777" w:rsidR="000B4C45" w:rsidRDefault="000B4C45" w:rsidP="00202B4E">
      <w:pPr>
        <w:pStyle w:val="FootnoteText"/>
      </w:pPr>
      <w:r>
        <w:rPr>
          <w:rStyle w:val="FootnoteReference"/>
        </w:rPr>
        <w:footnoteRef/>
      </w:r>
      <w:r>
        <w:t xml:space="preserve"> Central Statistics Office, Census of Population 2016, Profile 11 Employment, Occupations and Industry </w:t>
      </w:r>
      <w:hyperlink r:id="rId3" w:history="1">
        <w:r>
          <w:rPr>
            <w:rStyle w:val="Hyperlink"/>
          </w:rPr>
          <w:t>https://www.cso.ie/en/releasesandpublications/ep/p-cp11eoi/cp11eoi/pec/</w:t>
        </w:r>
      </w:hyperlink>
    </w:p>
  </w:footnote>
  <w:footnote w:id="4">
    <w:p w14:paraId="026E143D" w14:textId="77777777" w:rsidR="000B4C45" w:rsidRPr="00A65F30" w:rsidRDefault="000B4C45">
      <w:pPr>
        <w:pStyle w:val="FootnoteText"/>
        <w:rPr>
          <w:i/>
          <w:lang w:val="en-US"/>
        </w:rPr>
      </w:pPr>
      <w:r>
        <w:rPr>
          <w:rStyle w:val="FootnoteReference"/>
        </w:rPr>
        <w:footnoteRef/>
      </w:r>
      <w:r>
        <w:t xml:space="preserve"> </w:t>
      </w:r>
      <w:r>
        <w:rPr>
          <w:i/>
          <w:lang w:val="en-US"/>
        </w:rPr>
        <w:t>Ibid.</w:t>
      </w:r>
    </w:p>
  </w:footnote>
  <w:footnote w:id="5">
    <w:p w14:paraId="6AE64AAE" w14:textId="0D17A10E" w:rsidR="000B4C45" w:rsidRPr="00F220B4" w:rsidRDefault="000B4C45">
      <w:pPr>
        <w:pStyle w:val="FootnoteText"/>
        <w:rPr>
          <w:lang w:val="en-GB"/>
        </w:rPr>
      </w:pPr>
      <w:r>
        <w:rPr>
          <w:rStyle w:val="FootnoteReference"/>
        </w:rPr>
        <w:footnoteRef/>
      </w:r>
      <w:r>
        <w:t xml:space="preserve"> </w:t>
      </w:r>
      <w:r>
        <w:rPr>
          <w:lang w:val="en-GB"/>
        </w:rPr>
        <w:t xml:space="preserve">Eurostat, (2020) Income Poverty Statistics- Statistics Explained, </w:t>
      </w:r>
      <w:hyperlink r:id="rId4" w:history="1">
        <w:r w:rsidRPr="00A0205B">
          <w:rPr>
            <w:rStyle w:val="Hyperlink"/>
            <w:lang w:val="en-GB"/>
          </w:rPr>
          <w:t>https://ec.europa.eu/eurostat/statistics-explained/pdfscache/1156.pdf</w:t>
        </w:r>
      </w:hyperlink>
      <w:r>
        <w:rPr>
          <w:lang w:val="en-GB"/>
        </w:rPr>
        <w:t xml:space="preserve"> </w:t>
      </w:r>
    </w:p>
  </w:footnote>
  <w:footnote w:id="6">
    <w:p w14:paraId="482052F6" w14:textId="6A838D65" w:rsidR="000B4C45" w:rsidRPr="005772D3" w:rsidRDefault="000B4C45">
      <w:pPr>
        <w:pStyle w:val="FootnoteText"/>
        <w:rPr>
          <w:lang w:val="en-GB"/>
        </w:rPr>
      </w:pPr>
      <w:r>
        <w:rPr>
          <w:rStyle w:val="FootnoteReference"/>
        </w:rPr>
        <w:footnoteRef/>
      </w:r>
      <w:r>
        <w:t xml:space="preserve"> </w:t>
      </w:r>
      <w:r>
        <w:rPr>
          <w:lang w:val="en-GB"/>
        </w:rPr>
        <w:t xml:space="preserve">Eurostat, Statistics Explained- Disability Statistics, Poverty and Income Inequalities </w:t>
      </w:r>
      <w:hyperlink r:id="rId5" w:anchor="Being_at-risk-of-poverty_or_social_exclusion_.28AROPE.29:_higher_prevalence_among_the_population_with_activity_limitation" w:history="1">
        <w:r w:rsidRPr="00A0205B">
          <w:rPr>
            <w:rStyle w:val="Hyperlink"/>
            <w:lang w:val="en-GB"/>
          </w:rPr>
          <w:t>https://ec.europa.eu/eurostat/statistics-explained/index.php/Disability_statistics_-_poverty_and_income_inequalities#Being_at-risk-of-poverty_or_social_exclusion_.28AROPE.29:_higher_prevalence_among_the_population_with_activity_limitation</w:t>
        </w:r>
      </w:hyperlink>
      <w:r>
        <w:rPr>
          <w:lang w:val="en-GB"/>
        </w:rPr>
        <w:t xml:space="preserve"> </w:t>
      </w:r>
    </w:p>
  </w:footnote>
  <w:footnote w:id="7">
    <w:p w14:paraId="4DBBBBF8" w14:textId="37C26CF3" w:rsidR="000B4C45" w:rsidRPr="00476C3E" w:rsidRDefault="000B4C45">
      <w:pPr>
        <w:pStyle w:val="FootnoteText"/>
        <w:rPr>
          <w:i/>
          <w:lang w:val="en-GB"/>
        </w:rPr>
      </w:pPr>
      <w:r>
        <w:rPr>
          <w:rStyle w:val="FootnoteReference"/>
        </w:rPr>
        <w:footnoteRef/>
      </w:r>
      <w:r>
        <w:t xml:space="preserve"> </w:t>
      </w:r>
      <w:r>
        <w:rPr>
          <w:i/>
          <w:lang w:val="en-GB"/>
        </w:rPr>
        <w:t>Ibid.</w:t>
      </w:r>
    </w:p>
  </w:footnote>
  <w:footnote w:id="8">
    <w:p w14:paraId="540B297F" w14:textId="77777777" w:rsidR="000B4C45" w:rsidRPr="00587E8A" w:rsidRDefault="000B4C45">
      <w:pPr>
        <w:pStyle w:val="FootnoteText"/>
      </w:pPr>
      <w:r>
        <w:rPr>
          <w:rStyle w:val="FootnoteReference"/>
        </w:rPr>
        <w:footnoteRef/>
      </w:r>
      <w:r>
        <w:t xml:space="preserve"> Department of Employment Affairs and Social Protection, Social Protection- Overview </w:t>
      </w:r>
      <w:hyperlink r:id="rId6" w:history="1">
        <w:r>
          <w:rPr>
            <w:rStyle w:val="Hyperlink"/>
          </w:rPr>
          <w:t>https://www.gov.ie/en/policy/9569bc-policy/</w:t>
        </w:r>
      </w:hyperlink>
    </w:p>
  </w:footnote>
  <w:footnote w:id="9">
    <w:p w14:paraId="4B43D5F7" w14:textId="77777777" w:rsidR="000B4C45" w:rsidRPr="00296AB9" w:rsidRDefault="000B4C45">
      <w:pPr>
        <w:pStyle w:val="FootnoteText"/>
        <w:rPr>
          <w:lang w:val="en-US"/>
        </w:rPr>
      </w:pPr>
      <w:r>
        <w:rPr>
          <w:rStyle w:val="FootnoteReference"/>
        </w:rPr>
        <w:footnoteRef/>
      </w:r>
      <w:r>
        <w:t xml:space="preserve"> </w:t>
      </w:r>
      <w:r w:rsidRPr="00296AB9">
        <w:t xml:space="preserve">Gov.ie, Disability Allowance </w:t>
      </w:r>
      <w:hyperlink r:id="rId7" w:history="1">
        <w:r w:rsidRPr="00296AB9">
          <w:rPr>
            <w:rStyle w:val="Hyperlink"/>
            <w:color w:val="auto"/>
          </w:rPr>
          <w:t>https://www.gov.ie/en/service/df6811-disability-allowance/</w:t>
        </w:r>
      </w:hyperlink>
    </w:p>
  </w:footnote>
  <w:footnote w:id="10">
    <w:p w14:paraId="047433A2" w14:textId="77777777" w:rsidR="000B4C45" w:rsidRPr="00296AB9" w:rsidRDefault="000B4C45" w:rsidP="0039194F">
      <w:pPr>
        <w:pStyle w:val="ListBullet"/>
        <w:numPr>
          <w:ilvl w:val="0"/>
          <w:numId w:val="0"/>
        </w:numPr>
        <w:rPr>
          <w:sz w:val="22"/>
          <w:szCs w:val="22"/>
          <w:lang w:val="en-US"/>
        </w:rPr>
      </w:pPr>
      <w:r w:rsidRPr="00296AB9">
        <w:rPr>
          <w:rStyle w:val="FootnoteReference"/>
          <w:rFonts w:ascii="Gill Sans MT" w:hAnsi="Gill Sans MT"/>
        </w:rPr>
        <w:footnoteRef/>
      </w:r>
      <w:r w:rsidRPr="00296AB9">
        <w:t xml:space="preserve"> </w:t>
      </w:r>
      <w:r w:rsidRPr="00296AB9">
        <w:rPr>
          <w:sz w:val="22"/>
          <w:szCs w:val="22"/>
          <w:shd w:val="clear" w:color="auto" w:fill="FFFFFF"/>
        </w:rPr>
        <w:t>A ‘qualified adult’ means that an individual’s spouse’s or partner’s income is below a certain level; the individual will receive an increase in their payment for them.</w:t>
      </w:r>
    </w:p>
  </w:footnote>
  <w:footnote w:id="11">
    <w:p w14:paraId="78ED8B97" w14:textId="77777777" w:rsidR="000B4C45" w:rsidRPr="00296AB9" w:rsidRDefault="000B4C45">
      <w:pPr>
        <w:pStyle w:val="FootnoteText"/>
        <w:rPr>
          <w:szCs w:val="22"/>
          <w:lang w:val="en-US"/>
        </w:rPr>
      </w:pPr>
      <w:r w:rsidRPr="00296AB9">
        <w:rPr>
          <w:rStyle w:val="FootnoteReference"/>
          <w:rFonts w:ascii="Gill Sans MT" w:hAnsi="Gill Sans MT"/>
          <w:szCs w:val="22"/>
        </w:rPr>
        <w:footnoteRef/>
      </w:r>
      <w:r w:rsidRPr="00296AB9">
        <w:rPr>
          <w:szCs w:val="22"/>
        </w:rPr>
        <w:t xml:space="preserve"> </w:t>
      </w:r>
      <w:r w:rsidRPr="00296AB9">
        <w:rPr>
          <w:szCs w:val="22"/>
          <w:lang w:val="en-US"/>
        </w:rPr>
        <w:t>To get an Increase for a Qualified Child, an individual’s child must:</w:t>
      </w:r>
    </w:p>
    <w:p w14:paraId="4C111378" w14:textId="77777777" w:rsidR="000B4C45" w:rsidRPr="00296AB9" w:rsidRDefault="000B4C45" w:rsidP="0039194F">
      <w:pPr>
        <w:pStyle w:val="ListBullet"/>
        <w:rPr>
          <w:sz w:val="22"/>
          <w:szCs w:val="22"/>
          <w:lang w:val="en-US"/>
        </w:rPr>
      </w:pPr>
      <w:r w:rsidRPr="00296AB9">
        <w:rPr>
          <w:sz w:val="22"/>
          <w:szCs w:val="22"/>
          <w:lang w:val="en-US"/>
        </w:rPr>
        <w:t>Be resident in the State</w:t>
      </w:r>
    </w:p>
    <w:p w14:paraId="4624C6EC" w14:textId="77777777" w:rsidR="000B4C45" w:rsidRPr="00296AB9" w:rsidRDefault="000B4C45" w:rsidP="0039194F">
      <w:pPr>
        <w:pStyle w:val="ListBullet"/>
        <w:rPr>
          <w:sz w:val="22"/>
          <w:szCs w:val="22"/>
          <w:lang w:val="en-US"/>
        </w:rPr>
      </w:pPr>
      <w:r w:rsidRPr="00296AB9">
        <w:rPr>
          <w:sz w:val="22"/>
          <w:szCs w:val="22"/>
          <w:lang w:val="en-US"/>
        </w:rPr>
        <w:t>Not be in legal custody</w:t>
      </w:r>
    </w:p>
    <w:p w14:paraId="0BF02DE5" w14:textId="77777777" w:rsidR="000B4C45" w:rsidRPr="00296AB9" w:rsidRDefault="000B4C45" w:rsidP="0039194F">
      <w:pPr>
        <w:pStyle w:val="ListBullet"/>
        <w:rPr>
          <w:sz w:val="22"/>
          <w:szCs w:val="22"/>
          <w:lang w:val="en-US"/>
        </w:rPr>
      </w:pPr>
      <w:r w:rsidRPr="00296AB9">
        <w:rPr>
          <w:sz w:val="22"/>
          <w:szCs w:val="22"/>
          <w:lang w:val="en-US"/>
        </w:rPr>
        <w:t>Satisfy the age condition for that payment</w:t>
      </w:r>
    </w:p>
    <w:p w14:paraId="181D5BB9" w14:textId="77777777" w:rsidR="000B4C45" w:rsidRPr="00296AB9" w:rsidRDefault="000B4C45" w:rsidP="0039194F">
      <w:pPr>
        <w:pStyle w:val="ListBullet"/>
        <w:rPr>
          <w:sz w:val="22"/>
          <w:szCs w:val="22"/>
          <w:lang w:val="en-US"/>
        </w:rPr>
      </w:pPr>
      <w:r w:rsidRPr="00296AB9">
        <w:rPr>
          <w:sz w:val="22"/>
          <w:szCs w:val="22"/>
          <w:lang w:val="en-US"/>
        </w:rPr>
        <w:t>Live with the recipient of the payment.</w:t>
      </w:r>
    </w:p>
    <w:p w14:paraId="39547E28" w14:textId="77777777" w:rsidR="000B4C45" w:rsidRPr="0039194F" w:rsidRDefault="000B4C45" w:rsidP="008F4A99">
      <w:pPr>
        <w:pStyle w:val="ListBullet"/>
        <w:numPr>
          <w:ilvl w:val="0"/>
          <w:numId w:val="0"/>
        </w:numPr>
        <w:rPr>
          <w:lang w:val="en-US"/>
        </w:rPr>
      </w:pPr>
      <w:r w:rsidRPr="00296AB9">
        <w:rPr>
          <w:sz w:val="22"/>
          <w:szCs w:val="22"/>
          <w:lang w:val="en-US"/>
        </w:rPr>
        <w:t xml:space="preserve">A child does not have to be financially dependent on the recipient- a child can work and earn money and this does not affect the increase paid to the recipient. A child dependant is usually a child up to 18 who lives with the recipient. However, if a child is in full-time education, the Increase may be paid up to the age of 22. A full-rate Increase for a Qualified Child will be paid to recipients receiving an Increase for a Qualified Adult, or recipients parenting alone. A half-rate </w:t>
      </w:r>
      <w:r w:rsidRPr="00202B4E">
        <w:rPr>
          <w:sz w:val="22"/>
          <w:szCs w:val="22"/>
          <w:lang w:val="en-US"/>
        </w:rPr>
        <w:t xml:space="preserve">Increase for a Qualified Child will be paid to recipients whose spouse, civil partner or cohabitant has an income of between </w:t>
      </w:r>
      <w:r w:rsidRPr="00202B4E">
        <w:rPr>
          <w:rFonts w:cs="Arial"/>
          <w:spacing w:val="3"/>
          <w:sz w:val="22"/>
          <w:szCs w:val="22"/>
        </w:rPr>
        <w:t>€310 and €400 a week.</w:t>
      </w:r>
    </w:p>
  </w:footnote>
  <w:footnote w:id="12">
    <w:p w14:paraId="797895FA" w14:textId="77777777" w:rsidR="000B4C45" w:rsidRDefault="000B4C45">
      <w:pPr>
        <w:pStyle w:val="FootnoteText"/>
      </w:pPr>
      <w:r>
        <w:rPr>
          <w:rStyle w:val="FootnoteReference"/>
        </w:rPr>
        <w:footnoteRef/>
      </w:r>
      <w:r>
        <w:t xml:space="preserve"> Department of Employment Affairs and Social Protection, Statistical Information on Social Welfare Services, Annual Report 2018, pages 43-50 </w:t>
      </w:r>
      <w:hyperlink r:id="rId8" w:history="1">
        <w:r>
          <w:rPr>
            <w:rStyle w:val="Hyperlink"/>
          </w:rPr>
          <w:t>http://www.dsfa.ie/en/downloads/2018-Report.pdf</w:t>
        </w:r>
      </w:hyperlink>
      <w:r>
        <w:t xml:space="preserve"> </w:t>
      </w:r>
    </w:p>
  </w:footnote>
  <w:footnote w:id="13">
    <w:p w14:paraId="221E82AC" w14:textId="77777777" w:rsidR="000B4C45" w:rsidRDefault="000B4C45">
      <w:pPr>
        <w:pStyle w:val="FootnoteText"/>
      </w:pPr>
      <w:r>
        <w:rPr>
          <w:rStyle w:val="FootnoteReference"/>
        </w:rPr>
        <w:footnoteRef/>
      </w:r>
      <w:r>
        <w:t xml:space="preserve"> Niamh Callaghan, Department of Public Expenditure and Reform and IGEES, Disability Allowance Expenditure Drivers, Spending Review 2017, </w:t>
      </w:r>
      <w:hyperlink r:id="rId9" w:history="1">
        <w:r>
          <w:rPr>
            <w:rStyle w:val="Hyperlink"/>
          </w:rPr>
          <w:t>https://assets.gov.ie/7268/48351e0c87ef4600a615494e152f1ba8.pdf</w:t>
        </w:r>
      </w:hyperlink>
    </w:p>
  </w:footnote>
  <w:footnote w:id="14">
    <w:p w14:paraId="0787B4DD" w14:textId="77777777" w:rsidR="000B4C45" w:rsidRPr="008F4A99" w:rsidRDefault="000B4C45">
      <w:pPr>
        <w:pStyle w:val="FootnoteText"/>
        <w:rPr>
          <w:lang w:val="en-US"/>
        </w:rPr>
      </w:pPr>
      <w:r>
        <w:rPr>
          <w:rStyle w:val="FootnoteReference"/>
        </w:rPr>
        <w:footnoteRef/>
      </w:r>
      <w:r>
        <w:t xml:space="preserve"> Gov.ie, Domiciliary Care Allowance </w:t>
      </w:r>
      <w:hyperlink r:id="rId10" w:history="1">
        <w:r>
          <w:rPr>
            <w:rStyle w:val="Hyperlink"/>
          </w:rPr>
          <w:t>https://www.gov.ie/en/publication/31af56-operational-guidelines-domiciliary-care-allowance/</w:t>
        </w:r>
      </w:hyperlink>
    </w:p>
  </w:footnote>
  <w:footnote w:id="15">
    <w:p w14:paraId="7C32347C" w14:textId="77777777" w:rsidR="000B4C45" w:rsidRDefault="000B4C45">
      <w:pPr>
        <w:pStyle w:val="FootnoteText"/>
      </w:pPr>
      <w:r>
        <w:rPr>
          <w:rStyle w:val="FootnoteReference"/>
        </w:rPr>
        <w:footnoteRef/>
      </w:r>
      <w:r>
        <w:t xml:space="preserve"> Department of Employment Affairs and Social Protection, Statistical Information on Social Welfare Services, Annual Report 2018, pages 43-50 </w:t>
      </w:r>
      <w:hyperlink r:id="rId11" w:history="1">
        <w:r>
          <w:rPr>
            <w:rStyle w:val="Hyperlink"/>
          </w:rPr>
          <w:t>http://www.dsfa.ie/en/downloads/2018-Report.pdf</w:t>
        </w:r>
      </w:hyperlink>
    </w:p>
  </w:footnote>
  <w:footnote w:id="16">
    <w:p w14:paraId="2D146DB6" w14:textId="77777777" w:rsidR="000B4C45" w:rsidRPr="008F4A99" w:rsidRDefault="000B4C45">
      <w:pPr>
        <w:pStyle w:val="FootnoteText"/>
        <w:rPr>
          <w:lang w:val="en-US"/>
        </w:rPr>
      </w:pPr>
      <w:r>
        <w:rPr>
          <w:rStyle w:val="FootnoteReference"/>
        </w:rPr>
        <w:footnoteRef/>
      </w:r>
      <w:r>
        <w:t xml:space="preserve">Gov.ie, Blind Pension </w:t>
      </w:r>
      <w:hyperlink r:id="rId12" w:history="1">
        <w:r>
          <w:rPr>
            <w:rStyle w:val="Hyperlink"/>
          </w:rPr>
          <w:t>https://www.gov.ie/en/service/619221-blind-pension/</w:t>
        </w:r>
      </w:hyperlink>
    </w:p>
  </w:footnote>
  <w:footnote w:id="17">
    <w:p w14:paraId="03C1B1EB" w14:textId="77777777" w:rsidR="000B4C45" w:rsidRDefault="000B4C45">
      <w:pPr>
        <w:pStyle w:val="FootnoteText"/>
      </w:pPr>
      <w:r>
        <w:rPr>
          <w:rStyle w:val="FootnoteReference"/>
        </w:rPr>
        <w:footnoteRef/>
      </w:r>
      <w:r>
        <w:t xml:space="preserve"> Department of Employment Affairs and Social Protection, Statistical Information on Social Welfare Services, Annual Report 2018, pages 43-50 </w:t>
      </w:r>
      <w:hyperlink r:id="rId13" w:history="1">
        <w:r>
          <w:rPr>
            <w:rStyle w:val="Hyperlink"/>
          </w:rPr>
          <w:t>http://www.dsfa.ie/en/downloads/2018-Report.pdf</w:t>
        </w:r>
      </w:hyperlink>
    </w:p>
  </w:footnote>
  <w:footnote w:id="18">
    <w:p w14:paraId="38D32CD5" w14:textId="77777777" w:rsidR="000B4C45" w:rsidRPr="008F4A99" w:rsidRDefault="000B4C45">
      <w:pPr>
        <w:pStyle w:val="FootnoteText"/>
        <w:rPr>
          <w:lang w:val="en-US"/>
        </w:rPr>
      </w:pPr>
      <w:r>
        <w:rPr>
          <w:rStyle w:val="FootnoteReference"/>
        </w:rPr>
        <w:footnoteRef/>
      </w:r>
      <w:r>
        <w:t xml:space="preserve"> Gov.ie, Invalidity Pension </w:t>
      </w:r>
      <w:hyperlink r:id="rId14" w:history="1">
        <w:r>
          <w:rPr>
            <w:rStyle w:val="Hyperlink"/>
          </w:rPr>
          <w:t>https://www.gov.ie/en/service/d148b9-invalidity-pension/</w:t>
        </w:r>
      </w:hyperlink>
    </w:p>
  </w:footnote>
  <w:footnote w:id="19">
    <w:p w14:paraId="186BC484" w14:textId="77777777" w:rsidR="000B4C45" w:rsidRDefault="000B4C45">
      <w:pPr>
        <w:pStyle w:val="FootnoteText"/>
      </w:pPr>
      <w:r>
        <w:rPr>
          <w:rStyle w:val="FootnoteReference"/>
        </w:rPr>
        <w:footnoteRef/>
      </w:r>
      <w:r>
        <w:t xml:space="preserve"> Department of Employment Affairs and Social Protection, Statistical Information on Social Welfare Services, Annual Report 2018, pages 43-50 </w:t>
      </w:r>
      <w:hyperlink r:id="rId15" w:history="1">
        <w:r>
          <w:rPr>
            <w:rStyle w:val="Hyperlink"/>
          </w:rPr>
          <w:t>http://www.dsfa.ie/en/downloads/2018-Report.pdf</w:t>
        </w:r>
      </w:hyperlink>
    </w:p>
  </w:footnote>
  <w:footnote w:id="20">
    <w:p w14:paraId="795ECD52" w14:textId="77777777" w:rsidR="000B4C45" w:rsidRPr="008F4A99" w:rsidRDefault="000B4C45">
      <w:pPr>
        <w:pStyle w:val="FootnoteText"/>
        <w:rPr>
          <w:lang w:val="en-US"/>
        </w:rPr>
      </w:pPr>
      <w:r>
        <w:rPr>
          <w:rStyle w:val="FootnoteReference"/>
        </w:rPr>
        <w:footnoteRef/>
      </w:r>
      <w:r>
        <w:t xml:space="preserve"> Gov.ie, Injury Benefit </w:t>
      </w:r>
      <w:hyperlink r:id="rId16" w:history="1">
        <w:r>
          <w:rPr>
            <w:rStyle w:val="Hyperlink"/>
          </w:rPr>
          <w:t>https://www.gov.ie/en/service/fcdb1e-injury-benefit/</w:t>
        </w:r>
      </w:hyperlink>
    </w:p>
  </w:footnote>
  <w:footnote w:id="21">
    <w:p w14:paraId="44F7CD08" w14:textId="77777777" w:rsidR="000B4C45" w:rsidRDefault="000B4C45">
      <w:pPr>
        <w:pStyle w:val="FootnoteText"/>
      </w:pPr>
      <w:r>
        <w:rPr>
          <w:rStyle w:val="FootnoteReference"/>
        </w:rPr>
        <w:footnoteRef/>
      </w:r>
      <w:r>
        <w:t xml:space="preserve"> Department of Employment Affairs and Social Protection, Statistical Information on Social Welfare Services, Annual Report 2018, pages 43-50 </w:t>
      </w:r>
      <w:hyperlink r:id="rId17" w:history="1">
        <w:r>
          <w:rPr>
            <w:rStyle w:val="Hyperlink"/>
          </w:rPr>
          <w:t>http://www.dsfa.ie/en/downloads/2018-Report.pdf</w:t>
        </w:r>
      </w:hyperlink>
    </w:p>
  </w:footnote>
  <w:footnote w:id="22">
    <w:p w14:paraId="71818AB0" w14:textId="77777777" w:rsidR="000B4C45" w:rsidRDefault="000B4C45">
      <w:pPr>
        <w:pStyle w:val="FootnoteText"/>
      </w:pPr>
      <w:r>
        <w:rPr>
          <w:rStyle w:val="FootnoteReference"/>
        </w:rPr>
        <w:footnoteRef/>
      </w:r>
      <w:r>
        <w:t xml:space="preserve"> Language taken from gov.ie: </w:t>
      </w:r>
      <w:hyperlink r:id="rId18" w:history="1">
        <w:r>
          <w:rPr>
            <w:rStyle w:val="Hyperlink"/>
          </w:rPr>
          <w:t>https://www.gov.ie/en/service/ef9299-disablement-benefit/</w:t>
        </w:r>
      </w:hyperlink>
    </w:p>
  </w:footnote>
  <w:footnote w:id="23">
    <w:p w14:paraId="11B27987" w14:textId="77777777" w:rsidR="000B4C45" w:rsidRPr="008F4A99" w:rsidRDefault="000B4C45">
      <w:pPr>
        <w:pStyle w:val="FootnoteText"/>
        <w:rPr>
          <w:lang w:val="en-US"/>
        </w:rPr>
      </w:pPr>
      <w:r>
        <w:rPr>
          <w:rStyle w:val="FootnoteReference"/>
        </w:rPr>
        <w:footnoteRef/>
      </w:r>
      <w:r>
        <w:t xml:space="preserve"> Gov.ie, Disablement Benefit </w:t>
      </w:r>
      <w:hyperlink r:id="rId19" w:history="1">
        <w:r>
          <w:rPr>
            <w:rStyle w:val="Hyperlink"/>
          </w:rPr>
          <w:t>https://www.gov.ie/en/service/ef9299-disablement-benefit/</w:t>
        </w:r>
      </w:hyperlink>
    </w:p>
  </w:footnote>
  <w:footnote w:id="24">
    <w:p w14:paraId="06ECDFA0" w14:textId="77777777" w:rsidR="000B4C45" w:rsidRDefault="000B4C45">
      <w:pPr>
        <w:pStyle w:val="FootnoteText"/>
      </w:pPr>
      <w:r>
        <w:rPr>
          <w:rStyle w:val="FootnoteReference"/>
        </w:rPr>
        <w:footnoteRef/>
      </w:r>
      <w:r>
        <w:t xml:space="preserve"> Department of Employment Affairs and Social Protection, Statistical Information on Social Welfare Services, Annual Report 2018, pages 43-50 </w:t>
      </w:r>
      <w:hyperlink r:id="rId20" w:history="1">
        <w:r>
          <w:rPr>
            <w:rStyle w:val="Hyperlink"/>
          </w:rPr>
          <w:t>http://www.dsfa.ie/en/downloads/2018-Report.pdf</w:t>
        </w:r>
      </w:hyperlink>
    </w:p>
  </w:footnote>
  <w:footnote w:id="25">
    <w:p w14:paraId="484BBDB7" w14:textId="77777777" w:rsidR="000B4C45" w:rsidRPr="008F4A99" w:rsidRDefault="000B4C45">
      <w:pPr>
        <w:pStyle w:val="FootnoteText"/>
        <w:rPr>
          <w:lang w:val="en-US"/>
        </w:rPr>
      </w:pPr>
      <w:r>
        <w:rPr>
          <w:rStyle w:val="FootnoteReference"/>
        </w:rPr>
        <w:footnoteRef/>
      </w:r>
      <w:r>
        <w:t xml:space="preserve"> Gov.ie, Incapacity Supplement </w:t>
      </w:r>
      <w:hyperlink r:id="rId21" w:history="1">
        <w:r>
          <w:rPr>
            <w:rStyle w:val="Hyperlink"/>
          </w:rPr>
          <w:t>https://www.gov.ie/en/service/23f2b0-incapacity-supplement/</w:t>
        </w:r>
      </w:hyperlink>
    </w:p>
  </w:footnote>
  <w:footnote w:id="26">
    <w:p w14:paraId="1CB9DEFD" w14:textId="77777777" w:rsidR="000B4C45" w:rsidRDefault="000B4C45">
      <w:pPr>
        <w:pStyle w:val="FootnoteText"/>
      </w:pPr>
      <w:r>
        <w:rPr>
          <w:rStyle w:val="FootnoteReference"/>
        </w:rPr>
        <w:footnoteRef/>
      </w:r>
      <w:r>
        <w:t xml:space="preserve"> Central Statistics Office, Men and Women in Ireland in 2016, ‘Health’, </w:t>
      </w:r>
      <w:hyperlink r:id="rId22" w:history="1">
        <w:r>
          <w:rPr>
            <w:rStyle w:val="Hyperlink"/>
          </w:rPr>
          <w:t>https://www.cso.ie/en/releasesandpublications/ep/p-wamii/womenandmeninireland2016/health/</w:t>
        </w:r>
      </w:hyperlink>
    </w:p>
  </w:footnote>
  <w:footnote w:id="27">
    <w:p w14:paraId="21AC4AA8" w14:textId="77777777" w:rsidR="000B4C45" w:rsidRPr="008F4A99" w:rsidRDefault="000B4C45">
      <w:pPr>
        <w:pStyle w:val="FootnoteText"/>
        <w:rPr>
          <w:lang w:val="en-US"/>
        </w:rPr>
      </w:pPr>
      <w:r>
        <w:rPr>
          <w:rStyle w:val="FootnoteReference"/>
        </w:rPr>
        <w:footnoteRef/>
      </w:r>
      <w:r>
        <w:t xml:space="preserve"> </w:t>
      </w:r>
      <w:r>
        <w:rPr>
          <w:lang w:val="en-US"/>
        </w:rPr>
        <w:t xml:space="preserve">Gov.ie, Medical Care Scheme </w:t>
      </w:r>
      <w:hyperlink r:id="rId23" w:history="1">
        <w:r>
          <w:rPr>
            <w:rStyle w:val="Hyperlink"/>
          </w:rPr>
          <w:t>https://www.gov.ie/en/service/c75cf6-medical-care-scheme/</w:t>
        </w:r>
      </w:hyperlink>
    </w:p>
  </w:footnote>
  <w:footnote w:id="28">
    <w:p w14:paraId="69B8D217" w14:textId="77777777" w:rsidR="000B4C45" w:rsidRDefault="000B4C45">
      <w:pPr>
        <w:pStyle w:val="FootnoteText"/>
      </w:pPr>
      <w:r>
        <w:rPr>
          <w:rStyle w:val="FootnoteReference"/>
        </w:rPr>
        <w:footnoteRef/>
      </w:r>
      <w:r>
        <w:t xml:space="preserve"> Department of Employment Affairs and Social Protection, Statistical Information on Social Welfare Services, Annual Report 2018, pages 43-50 </w:t>
      </w:r>
      <w:hyperlink r:id="rId24" w:history="1">
        <w:r>
          <w:rPr>
            <w:rStyle w:val="Hyperlink"/>
          </w:rPr>
          <w:t>http://www.dsfa.ie/en/downloads/2018-Report.pdf</w:t>
        </w:r>
      </w:hyperlink>
    </w:p>
  </w:footnote>
  <w:footnote w:id="29">
    <w:p w14:paraId="7260ABFF" w14:textId="77777777" w:rsidR="000B4C45" w:rsidRDefault="000B4C45">
      <w:pPr>
        <w:pStyle w:val="FootnoteText"/>
      </w:pPr>
      <w:r>
        <w:rPr>
          <w:rStyle w:val="FootnoteReference"/>
        </w:rPr>
        <w:footnoteRef/>
      </w:r>
      <w:r>
        <w:t xml:space="preserve"> Gov.ie, Constant Attendance Allowance </w:t>
      </w:r>
      <w:hyperlink r:id="rId25" w:history="1">
        <w:r>
          <w:rPr>
            <w:rStyle w:val="Hyperlink"/>
          </w:rPr>
          <w:t>https://www.gov.ie/en/service/0aad20-constant-attendance-allowance/</w:t>
        </w:r>
      </w:hyperlink>
    </w:p>
  </w:footnote>
  <w:footnote w:id="30">
    <w:p w14:paraId="01B34835" w14:textId="77777777" w:rsidR="000B4C45" w:rsidRPr="008F4A99" w:rsidRDefault="000B4C45">
      <w:pPr>
        <w:pStyle w:val="FootnoteText"/>
        <w:rPr>
          <w:lang w:val="en-US"/>
        </w:rPr>
      </w:pPr>
      <w:r>
        <w:rPr>
          <w:rStyle w:val="FootnoteReference"/>
        </w:rPr>
        <w:footnoteRef/>
      </w:r>
      <w:r>
        <w:t xml:space="preserve"> </w:t>
      </w:r>
      <w:r>
        <w:rPr>
          <w:lang w:val="en-US"/>
        </w:rPr>
        <w:t xml:space="preserve">Gov.ie, Carer’s Allowance </w:t>
      </w:r>
      <w:hyperlink r:id="rId26" w:history="1">
        <w:r>
          <w:rPr>
            <w:rStyle w:val="Hyperlink"/>
          </w:rPr>
          <w:t>https://www.gov.ie/en/publication/b95008-operational-guidelines-carers-allowance/</w:t>
        </w:r>
      </w:hyperlink>
      <w:r>
        <w:rPr>
          <w:lang w:val="en-US"/>
        </w:rPr>
        <w:t xml:space="preserve"> </w:t>
      </w:r>
    </w:p>
  </w:footnote>
  <w:footnote w:id="31">
    <w:p w14:paraId="55E5C263" w14:textId="77777777" w:rsidR="000B4C45" w:rsidRDefault="000B4C45">
      <w:pPr>
        <w:pStyle w:val="FootnoteText"/>
      </w:pPr>
      <w:r>
        <w:rPr>
          <w:rStyle w:val="FootnoteReference"/>
        </w:rPr>
        <w:footnoteRef/>
      </w:r>
      <w:r>
        <w:t xml:space="preserve"> Department of Employment Affairs and Social Protection, Statistical Information on Social Welfare Services, Annual Report 2018, pages 43-50 </w:t>
      </w:r>
      <w:hyperlink r:id="rId27" w:history="1">
        <w:r>
          <w:rPr>
            <w:rStyle w:val="Hyperlink"/>
          </w:rPr>
          <w:t>http://www.dsfa.ie/en/downloads/2018-Report.pdf</w:t>
        </w:r>
      </w:hyperlink>
    </w:p>
  </w:footnote>
  <w:footnote w:id="32">
    <w:p w14:paraId="6A5F4574" w14:textId="77777777" w:rsidR="000B4C45" w:rsidRPr="00473ADC" w:rsidRDefault="000B4C45">
      <w:pPr>
        <w:pStyle w:val="FootnoteText"/>
        <w:rPr>
          <w:lang w:val="en-US"/>
        </w:rPr>
      </w:pPr>
      <w:r>
        <w:rPr>
          <w:rStyle w:val="FootnoteReference"/>
        </w:rPr>
        <w:footnoteRef/>
      </w:r>
      <w:r>
        <w:t xml:space="preserve"> </w:t>
      </w:r>
      <w:r>
        <w:rPr>
          <w:lang w:val="en-US"/>
        </w:rPr>
        <w:t xml:space="preserve">Gov.ie, Carer’s Benefit </w:t>
      </w:r>
      <w:hyperlink r:id="rId28" w:history="1">
        <w:r>
          <w:rPr>
            <w:rStyle w:val="Hyperlink"/>
          </w:rPr>
          <w:t>https://www.gov.ie/en/service/455c16-carers-benefit/</w:t>
        </w:r>
      </w:hyperlink>
    </w:p>
  </w:footnote>
  <w:footnote w:id="33">
    <w:p w14:paraId="63F85CCA" w14:textId="77777777" w:rsidR="000B4C45" w:rsidRPr="00EC22FB" w:rsidRDefault="000B4C45">
      <w:pPr>
        <w:pStyle w:val="FootnoteText"/>
        <w:rPr>
          <w:i/>
        </w:rPr>
      </w:pPr>
      <w:r>
        <w:rPr>
          <w:rStyle w:val="FootnoteReference"/>
        </w:rPr>
        <w:footnoteRef/>
      </w:r>
      <w:r>
        <w:t xml:space="preserve"> Department of Employment Affairs and Social Protection, Statistical Information on Social Welfare Services, Annual Report 2018, pages 43-50 </w:t>
      </w:r>
      <w:hyperlink r:id="rId29" w:history="1">
        <w:r>
          <w:rPr>
            <w:rStyle w:val="Hyperlink"/>
          </w:rPr>
          <w:t>http://www.dsfa.ie/en/downloads/2018-Report.pdf</w:t>
        </w:r>
      </w:hyperlink>
      <w:r>
        <w:rPr>
          <w:i/>
        </w:rPr>
        <w:t>.</w:t>
      </w:r>
    </w:p>
  </w:footnote>
  <w:footnote w:id="34">
    <w:p w14:paraId="4A0C8F91" w14:textId="77777777" w:rsidR="000B4C45" w:rsidRDefault="000B4C45">
      <w:pPr>
        <w:pStyle w:val="FootnoteText"/>
      </w:pPr>
      <w:r>
        <w:rPr>
          <w:rStyle w:val="FootnoteReference"/>
        </w:rPr>
        <w:footnoteRef/>
      </w:r>
      <w:r w:rsidRPr="00EC22FB">
        <w:rPr>
          <w:i/>
        </w:rPr>
        <w:t xml:space="preserve"> </w:t>
      </w:r>
      <w:r>
        <w:t xml:space="preserve">Department of Employment Affairs and Social Protection, Statistical Information on Social Welfare Services, Annual Report 2018, pages 43-50 </w:t>
      </w:r>
      <w:hyperlink r:id="rId30" w:history="1">
        <w:r>
          <w:rPr>
            <w:rStyle w:val="Hyperlink"/>
          </w:rPr>
          <w:t>http://www.dsfa.ie/en/downloads/2018-Report.pdf</w:t>
        </w:r>
      </w:hyperlink>
      <w:r>
        <w:t>.</w:t>
      </w:r>
    </w:p>
  </w:footnote>
  <w:footnote w:id="35">
    <w:p w14:paraId="5EEC93E0" w14:textId="77777777" w:rsidR="000B4C45" w:rsidRPr="00473ADC" w:rsidRDefault="000B4C45">
      <w:pPr>
        <w:pStyle w:val="FootnoteText"/>
        <w:rPr>
          <w:lang w:val="en-US"/>
        </w:rPr>
      </w:pPr>
      <w:r>
        <w:rPr>
          <w:rStyle w:val="FootnoteReference"/>
        </w:rPr>
        <w:footnoteRef/>
      </w:r>
      <w:r>
        <w:t xml:space="preserve"> </w:t>
      </w:r>
      <w:r>
        <w:rPr>
          <w:lang w:val="en-US"/>
        </w:rPr>
        <w:t xml:space="preserve">Gov.ie, Living Alone Allowance </w:t>
      </w:r>
      <w:hyperlink r:id="rId31" w:history="1">
        <w:r>
          <w:rPr>
            <w:rStyle w:val="Hyperlink"/>
          </w:rPr>
          <w:t>https://www.gov.ie/en/publication/f532d4-operational-guidelines-living-alone-increase/</w:t>
        </w:r>
      </w:hyperlink>
    </w:p>
  </w:footnote>
  <w:footnote w:id="36">
    <w:p w14:paraId="34F1EF4A" w14:textId="77777777" w:rsidR="000B4C45" w:rsidRPr="00473ADC" w:rsidRDefault="000B4C45">
      <w:pPr>
        <w:pStyle w:val="FootnoteText"/>
        <w:rPr>
          <w:lang w:val="en-US"/>
        </w:rPr>
      </w:pPr>
      <w:r>
        <w:rPr>
          <w:rStyle w:val="FootnoteReference"/>
        </w:rPr>
        <w:footnoteRef/>
      </w:r>
      <w:r>
        <w:t xml:space="preserve"> </w:t>
      </w:r>
      <w:r>
        <w:rPr>
          <w:lang w:val="en-US"/>
        </w:rPr>
        <w:t xml:space="preserve">Gov.ie, Telephone Support Allowance </w:t>
      </w:r>
      <w:hyperlink r:id="rId32" w:history="1">
        <w:r>
          <w:rPr>
            <w:rStyle w:val="Hyperlink"/>
          </w:rPr>
          <w:t>https://www.gov.ie/en/service/4d2773-telephone-support-allowance/</w:t>
        </w:r>
      </w:hyperlink>
    </w:p>
  </w:footnote>
  <w:footnote w:id="37">
    <w:p w14:paraId="4075A779" w14:textId="77777777" w:rsidR="000B4C45" w:rsidRPr="00473ADC" w:rsidRDefault="000B4C45">
      <w:pPr>
        <w:pStyle w:val="FootnoteText"/>
        <w:rPr>
          <w:lang w:val="en-US"/>
        </w:rPr>
      </w:pPr>
      <w:r>
        <w:rPr>
          <w:rStyle w:val="FootnoteReference"/>
        </w:rPr>
        <w:footnoteRef/>
      </w:r>
      <w:r>
        <w:t xml:space="preserve"> </w:t>
      </w:r>
      <w:r>
        <w:rPr>
          <w:lang w:val="en-US"/>
        </w:rPr>
        <w:t xml:space="preserve">Gov.ie, Increase for Living on a Specified Island </w:t>
      </w:r>
      <w:hyperlink r:id="rId33" w:history="1">
        <w:r>
          <w:rPr>
            <w:rStyle w:val="Hyperlink"/>
          </w:rPr>
          <w:t>https://www.gov.ie/en/publication/371e50-operational-guidelines-increase-for-living-on-a-specified-island/</w:t>
        </w:r>
      </w:hyperlink>
    </w:p>
  </w:footnote>
  <w:footnote w:id="38">
    <w:p w14:paraId="7CA6B2A2" w14:textId="77777777" w:rsidR="000B4C45" w:rsidRPr="00473ADC" w:rsidRDefault="000B4C45">
      <w:pPr>
        <w:pStyle w:val="FootnoteText"/>
        <w:rPr>
          <w:lang w:val="en-US"/>
        </w:rPr>
      </w:pPr>
      <w:r>
        <w:rPr>
          <w:rStyle w:val="FootnoteReference"/>
        </w:rPr>
        <w:footnoteRef/>
      </w:r>
      <w:r>
        <w:t xml:space="preserve"> </w:t>
      </w:r>
      <w:r>
        <w:rPr>
          <w:lang w:val="en-US"/>
        </w:rPr>
        <w:t xml:space="preserve">Gov.ie Fuel Allowance </w:t>
      </w:r>
      <w:hyperlink r:id="rId34" w:history="1">
        <w:r>
          <w:rPr>
            <w:rStyle w:val="Hyperlink"/>
          </w:rPr>
          <w:t>https://www.gov.ie/en/service/00aa38-fuel-allowance/</w:t>
        </w:r>
      </w:hyperlink>
    </w:p>
  </w:footnote>
  <w:footnote w:id="39">
    <w:p w14:paraId="221FDD5A" w14:textId="77777777" w:rsidR="000B4C45" w:rsidRPr="00473ADC" w:rsidRDefault="000B4C45">
      <w:pPr>
        <w:pStyle w:val="FootnoteText"/>
        <w:rPr>
          <w:lang w:val="en-US"/>
        </w:rPr>
      </w:pPr>
      <w:r>
        <w:rPr>
          <w:rStyle w:val="FootnoteReference"/>
        </w:rPr>
        <w:footnoteRef/>
      </w:r>
      <w:r>
        <w:t xml:space="preserve"> Department of Employment Affairs and Social Protection, Statistical Information on Social Welfare Services, Annual Report 2018, page 58 </w:t>
      </w:r>
      <w:hyperlink r:id="rId35" w:history="1">
        <w:r>
          <w:rPr>
            <w:rStyle w:val="Hyperlink"/>
          </w:rPr>
          <w:t>http://www.dsfa.ie/en/downloads/2018-Report.pdf</w:t>
        </w:r>
      </w:hyperlink>
      <w:r>
        <w:t>.</w:t>
      </w:r>
    </w:p>
  </w:footnote>
  <w:footnote w:id="40">
    <w:p w14:paraId="3B7B79C5" w14:textId="77777777" w:rsidR="000B4C45" w:rsidRPr="00473ADC" w:rsidRDefault="000B4C45">
      <w:pPr>
        <w:pStyle w:val="FootnoteText"/>
        <w:rPr>
          <w:lang w:val="en-US"/>
        </w:rPr>
      </w:pPr>
      <w:r>
        <w:rPr>
          <w:rStyle w:val="FootnoteReference"/>
        </w:rPr>
        <w:footnoteRef/>
      </w:r>
      <w:r>
        <w:t xml:space="preserve"> </w:t>
      </w:r>
      <w:r>
        <w:rPr>
          <w:lang w:val="en-US"/>
        </w:rPr>
        <w:t xml:space="preserve">Gov.ie, Partial Capacity Benefit </w:t>
      </w:r>
      <w:hyperlink r:id="rId36" w:history="1">
        <w:r>
          <w:rPr>
            <w:rStyle w:val="Hyperlink"/>
          </w:rPr>
          <w:t>https://www.gov.ie/en/service/c79268-partial-capacity-benefit/</w:t>
        </w:r>
      </w:hyperlink>
      <w:r>
        <w:t>.</w:t>
      </w:r>
    </w:p>
  </w:footnote>
  <w:footnote w:id="41">
    <w:p w14:paraId="0AFB5DA0" w14:textId="77777777" w:rsidR="000B4C45" w:rsidRPr="00473ADC" w:rsidRDefault="000B4C45">
      <w:pPr>
        <w:pStyle w:val="FootnoteText"/>
        <w:rPr>
          <w:lang w:val="en-US"/>
        </w:rPr>
      </w:pPr>
      <w:r>
        <w:rPr>
          <w:rStyle w:val="FootnoteReference"/>
        </w:rPr>
        <w:footnoteRef/>
      </w:r>
      <w:r>
        <w:t xml:space="preserve"> Gov.ie, Free Travel Scheme </w:t>
      </w:r>
      <w:hyperlink r:id="rId37" w:history="1">
        <w:r>
          <w:rPr>
            <w:rStyle w:val="Hyperlink"/>
          </w:rPr>
          <w:t>https://www.gov.ie/en/service/9bba61-free-travel-scheme/</w:t>
        </w:r>
      </w:hyperlink>
      <w:r>
        <w:t>.</w:t>
      </w:r>
    </w:p>
  </w:footnote>
  <w:footnote w:id="42">
    <w:p w14:paraId="68437B8B" w14:textId="77777777" w:rsidR="000B4C45" w:rsidRPr="00473ADC" w:rsidRDefault="000B4C45">
      <w:pPr>
        <w:pStyle w:val="FootnoteText"/>
        <w:rPr>
          <w:lang w:val="en-US"/>
        </w:rPr>
      </w:pPr>
      <w:r>
        <w:rPr>
          <w:rStyle w:val="FootnoteReference"/>
        </w:rPr>
        <w:footnoteRef/>
      </w:r>
      <w:r>
        <w:t xml:space="preserve"> Department of Employment Affairs and Social Protection, Statistical Information on Social Welfare Services, Annual Report 2018, page 58 </w:t>
      </w:r>
      <w:hyperlink r:id="rId38" w:history="1">
        <w:r>
          <w:rPr>
            <w:rStyle w:val="Hyperlink"/>
          </w:rPr>
          <w:t>http://www.dsfa.ie/en/downloads/2018-Report.pdf</w:t>
        </w:r>
      </w:hyperlink>
      <w:r>
        <w:t>.</w:t>
      </w:r>
    </w:p>
  </w:footnote>
  <w:footnote w:id="43">
    <w:p w14:paraId="7FE77B14" w14:textId="77777777" w:rsidR="000B4C45" w:rsidRPr="00473ADC" w:rsidRDefault="000B4C45">
      <w:pPr>
        <w:pStyle w:val="FootnoteText"/>
        <w:rPr>
          <w:lang w:val="en-US"/>
        </w:rPr>
      </w:pPr>
      <w:r>
        <w:rPr>
          <w:rStyle w:val="FootnoteReference"/>
        </w:rPr>
        <w:footnoteRef/>
      </w:r>
      <w:r>
        <w:t xml:space="preserve"> Department of Employment Affairs and Social Protection, Statistical Information on Social Welfare Services, Annual Report 2018, page 58 </w:t>
      </w:r>
      <w:hyperlink r:id="rId39" w:history="1">
        <w:r>
          <w:rPr>
            <w:rStyle w:val="Hyperlink"/>
          </w:rPr>
          <w:t>http://www.dsfa.ie/en/downloads/2018-Report.pdf</w:t>
        </w:r>
      </w:hyperlink>
      <w:r>
        <w:t>.</w:t>
      </w:r>
    </w:p>
  </w:footnote>
  <w:footnote w:id="44">
    <w:p w14:paraId="6E69AA92" w14:textId="77777777" w:rsidR="000B4C45" w:rsidRPr="00473ADC" w:rsidRDefault="000B4C45">
      <w:pPr>
        <w:pStyle w:val="FootnoteText"/>
        <w:rPr>
          <w:lang w:val="en-US"/>
        </w:rPr>
      </w:pPr>
      <w:r>
        <w:rPr>
          <w:rStyle w:val="FootnoteReference"/>
        </w:rPr>
        <w:footnoteRef/>
      </w:r>
      <w:r>
        <w:t xml:space="preserve"> </w:t>
      </w:r>
      <w:r>
        <w:rPr>
          <w:lang w:val="en-US"/>
        </w:rPr>
        <w:t xml:space="preserve">Gov.ie, Household Benefits Package </w:t>
      </w:r>
      <w:hyperlink r:id="rId40" w:history="1">
        <w:r>
          <w:rPr>
            <w:rStyle w:val="Hyperlink"/>
          </w:rPr>
          <w:t>https://www.gov.ie/en/service/e87d27-household-benefits-package/</w:t>
        </w:r>
      </w:hyperlink>
    </w:p>
  </w:footnote>
  <w:footnote w:id="45">
    <w:p w14:paraId="66C18A10" w14:textId="77777777" w:rsidR="000B4C45" w:rsidRPr="00473ADC" w:rsidRDefault="000B4C45">
      <w:pPr>
        <w:pStyle w:val="FootnoteText"/>
        <w:rPr>
          <w:lang w:val="en-US"/>
        </w:rPr>
      </w:pPr>
      <w:r>
        <w:rPr>
          <w:rStyle w:val="FootnoteReference"/>
        </w:rPr>
        <w:footnoteRef/>
      </w:r>
      <w:r>
        <w:t xml:space="preserve"> Department of Employment Affairs and Social Protection, Statistical Information on Social Welfare Services, Annual Report 2018, pages 23-27 </w:t>
      </w:r>
      <w:hyperlink r:id="rId41" w:history="1">
        <w:r>
          <w:rPr>
            <w:rStyle w:val="Hyperlink"/>
          </w:rPr>
          <w:t>http://www.dsfa.ie/en/downloads/2018-Report.pdf</w:t>
        </w:r>
      </w:hyperlink>
      <w:r>
        <w:t>.</w:t>
      </w:r>
    </w:p>
  </w:footnote>
  <w:footnote w:id="46">
    <w:p w14:paraId="29DA7EBA" w14:textId="77777777" w:rsidR="000B4C45" w:rsidRPr="00A16614" w:rsidRDefault="000B4C45">
      <w:pPr>
        <w:pStyle w:val="FootnoteText"/>
        <w:rPr>
          <w:lang w:val="en-US"/>
        </w:rPr>
      </w:pPr>
      <w:r>
        <w:rPr>
          <w:rStyle w:val="FootnoteReference"/>
        </w:rPr>
        <w:footnoteRef/>
      </w:r>
      <w:r>
        <w:t xml:space="preserve"> Department of Employment Affairs and Social Protection, Statistical Information on Social Welfare Services, Annual Report 2018, pages 23-27 </w:t>
      </w:r>
      <w:hyperlink r:id="rId42" w:history="1">
        <w:r>
          <w:rPr>
            <w:rStyle w:val="Hyperlink"/>
          </w:rPr>
          <w:t>http://www.dsfa.ie/en/downloads/2018-Report.pdf</w:t>
        </w:r>
      </w:hyperlink>
      <w:r>
        <w:t>.</w:t>
      </w:r>
    </w:p>
  </w:footnote>
  <w:footnote w:id="47">
    <w:p w14:paraId="3E3C6329" w14:textId="77777777" w:rsidR="000B4C45" w:rsidRDefault="000B4C45">
      <w:pPr>
        <w:pStyle w:val="FootnoteText"/>
      </w:pPr>
      <w:r>
        <w:rPr>
          <w:rStyle w:val="FootnoteReference"/>
        </w:rPr>
        <w:footnoteRef/>
      </w:r>
      <w:r>
        <w:t xml:space="preserve"> Census 2016</w:t>
      </w:r>
    </w:p>
  </w:footnote>
  <w:footnote w:id="48">
    <w:p w14:paraId="2DB50193" w14:textId="77777777" w:rsidR="000B4C45" w:rsidRDefault="000B4C45">
      <w:pPr>
        <w:pStyle w:val="FootnoteText"/>
      </w:pPr>
      <w:r>
        <w:rPr>
          <w:rStyle w:val="FootnoteReference"/>
        </w:rPr>
        <w:footnoteRef/>
      </w:r>
      <w:r>
        <w:t xml:space="preserve"> ESRI, “Discrimination and Housing in Ireland” June 2018, page ix </w:t>
      </w:r>
      <w:hyperlink r:id="rId43" w:history="1">
        <w:r>
          <w:rPr>
            <w:rStyle w:val="Hyperlink"/>
          </w:rPr>
          <w:t>https://www.esri.ie/system/files/media/file-uploads/2018-06/BKMNEXT361.pdf</w:t>
        </w:r>
      </w:hyperlink>
    </w:p>
  </w:footnote>
  <w:footnote w:id="49">
    <w:p w14:paraId="140A2A8A" w14:textId="77777777" w:rsidR="000B4C45" w:rsidRPr="009A08C2" w:rsidRDefault="000B4C45">
      <w:pPr>
        <w:pStyle w:val="FootnoteText"/>
        <w:rPr>
          <w:lang w:val="en-US"/>
        </w:rPr>
      </w:pPr>
      <w:r>
        <w:rPr>
          <w:rStyle w:val="FootnoteReference"/>
        </w:rPr>
        <w:footnoteRef/>
      </w:r>
      <w:r>
        <w:t xml:space="preserve"> </w:t>
      </w:r>
      <w:r>
        <w:rPr>
          <w:lang w:val="en-US"/>
        </w:rPr>
        <w:t xml:space="preserve">Indecon, Report on the Cost of Disability (2004) page 21. </w:t>
      </w:r>
      <w:hyperlink r:id="rId44" w:history="1">
        <w:r>
          <w:rPr>
            <w:rStyle w:val="Hyperlink"/>
          </w:rPr>
          <w:t>http://nda.ie/File-upload/Indecon-Report-on-the-Cost-of-Disability.pdf</w:t>
        </w:r>
      </w:hyperlink>
    </w:p>
  </w:footnote>
  <w:footnote w:id="50">
    <w:p w14:paraId="650EA435" w14:textId="77777777" w:rsidR="000B4C45" w:rsidRPr="0021268E" w:rsidRDefault="000B4C45">
      <w:pPr>
        <w:pStyle w:val="FootnoteText"/>
        <w:rPr>
          <w:lang w:val="en-US"/>
        </w:rPr>
      </w:pPr>
      <w:r>
        <w:rPr>
          <w:rStyle w:val="FootnoteReference"/>
        </w:rPr>
        <w:footnoteRef/>
      </w:r>
      <w:r>
        <w:t xml:space="preserve"> </w:t>
      </w:r>
      <w:r>
        <w:rPr>
          <w:i/>
          <w:lang w:val="en-US"/>
        </w:rPr>
        <w:t>Ibid</w:t>
      </w:r>
      <w:r>
        <w:rPr>
          <w:lang w:val="en-US"/>
        </w:rPr>
        <w:t>, section F9.</w:t>
      </w:r>
    </w:p>
  </w:footnote>
  <w:footnote w:id="51">
    <w:p w14:paraId="7DBE684E" w14:textId="77777777" w:rsidR="000B4C45" w:rsidRDefault="000B4C45">
      <w:pPr>
        <w:pStyle w:val="FootnoteText"/>
      </w:pPr>
      <w:r>
        <w:rPr>
          <w:rStyle w:val="FootnoteReference"/>
        </w:rPr>
        <w:footnoteRef/>
      </w:r>
      <w:r>
        <w:t xml:space="preserve"> Department of Employment Affairs and Social Protection, Roadmap for Social Inclusion 2020-2025, </w:t>
      </w:r>
      <w:hyperlink r:id="rId45" w:anchor="page=1" w:history="1">
        <w:r>
          <w:rPr>
            <w:rStyle w:val="Hyperlink"/>
          </w:rPr>
          <w:t>https://www.gov.ie/pdf/?file=https://assets.gov.ie/46557/bf7011904ede4562b925f98b15c4f1b5.pdf#page=1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8B95A66"/>
    <w:multiLevelType w:val="hybridMultilevel"/>
    <w:tmpl w:val="97E49E8E"/>
    <w:lvl w:ilvl="0" w:tplc="18090017">
      <w:start w:val="1"/>
      <w:numFmt w:val="lowerLetter"/>
      <w:lvlText w:val="%1)"/>
      <w:lvlJc w:val="left"/>
      <w:pPr>
        <w:ind w:left="644" w:hanging="360"/>
      </w:p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1" w15:restartNumberingAfterBreak="0">
    <w:nsid w:val="0A2B4C94"/>
    <w:multiLevelType w:val="multilevel"/>
    <w:tmpl w:val="0F30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991845"/>
    <w:multiLevelType w:val="multilevel"/>
    <w:tmpl w:val="6A6E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9A3360"/>
    <w:multiLevelType w:val="multilevel"/>
    <w:tmpl w:val="485E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073016"/>
    <w:multiLevelType w:val="multilevel"/>
    <w:tmpl w:val="0562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F73797"/>
    <w:multiLevelType w:val="multilevel"/>
    <w:tmpl w:val="A57E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3AA04CF"/>
    <w:multiLevelType w:val="multilevel"/>
    <w:tmpl w:val="2FF0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0E3E38"/>
    <w:multiLevelType w:val="multilevel"/>
    <w:tmpl w:val="4810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583F46"/>
    <w:multiLevelType w:val="multilevel"/>
    <w:tmpl w:val="3C90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9C274D"/>
    <w:multiLevelType w:val="multilevel"/>
    <w:tmpl w:val="E55E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440C88"/>
    <w:multiLevelType w:val="hybridMultilevel"/>
    <w:tmpl w:val="FBC092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8BB3E5E"/>
    <w:multiLevelType w:val="multilevel"/>
    <w:tmpl w:val="B1B4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F2629F"/>
    <w:multiLevelType w:val="multilevel"/>
    <w:tmpl w:val="75D4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3C4512"/>
    <w:multiLevelType w:val="multilevel"/>
    <w:tmpl w:val="0844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F94CC0"/>
    <w:multiLevelType w:val="multilevel"/>
    <w:tmpl w:val="6928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3C7A14"/>
    <w:multiLevelType w:val="multilevel"/>
    <w:tmpl w:val="6B146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B07612"/>
    <w:multiLevelType w:val="multilevel"/>
    <w:tmpl w:val="B07C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024245"/>
    <w:multiLevelType w:val="multilevel"/>
    <w:tmpl w:val="1308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E296D"/>
    <w:multiLevelType w:val="hybridMultilevel"/>
    <w:tmpl w:val="6BF64A5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E2E79E4"/>
    <w:multiLevelType w:val="multilevel"/>
    <w:tmpl w:val="0352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0B0992"/>
    <w:multiLevelType w:val="multilevel"/>
    <w:tmpl w:val="A2BA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137AD0"/>
    <w:multiLevelType w:val="multilevel"/>
    <w:tmpl w:val="B2DA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0A45A6"/>
    <w:multiLevelType w:val="multilevel"/>
    <w:tmpl w:val="7F90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7B51CA"/>
    <w:multiLevelType w:val="multilevel"/>
    <w:tmpl w:val="1610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256126"/>
    <w:multiLevelType w:val="multilevel"/>
    <w:tmpl w:val="633A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1E0B2F"/>
    <w:multiLevelType w:val="multilevel"/>
    <w:tmpl w:val="6F08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28"/>
  </w:num>
  <w:num w:numId="18">
    <w:abstractNumId w:val="14"/>
  </w:num>
  <w:num w:numId="19">
    <w:abstractNumId w:val="29"/>
  </w:num>
  <w:num w:numId="20">
    <w:abstractNumId w:val="34"/>
  </w:num>
  <w:num w:numId="21">
    <w:abstractNumId w:val="15"/>
  </w:num>
  <w:num w:numId="22">
    <w:abstractNumId w:val="31"/>
  </w:num>
  <w:num w:numId="23">
    <w:abstractNumId w:val="20"/>
  </w:num>
  <w:num w:numId="24">
    <w:abstractNumId w:val="12"/>
  </w:num>
  <w:num w:numId="25">
    <w:abstractNumId w:val="25"/>
  </w:num>
  <w:num w:numId="26">
    <w:abstractNumId w:val="17"/>
  </w:num>
  <w:num w:numId="27">
    <w:abstractNumId w:val="22"/>
  </w:num>
  <w:num w:numId="28">
    <w:abstractNumId w:val="24"/>
  </w:num>
  <w:num w:numId="29">
    <w:abstractNumId w:val="18"/>
  </w:num>
  <w:num w:numId="30">
    <w:abstractNumId w:val="13"/>
  </w:num>
  <w:num w:numId="31">
    <w:abstractNumId w:val="27"/>
  </w:num>
  <w:num w:numId="32">
    <w:abstractNumId w:val="26"/>
  </w:num>
  <w:num w:numId="33">
    <w:abstractNumId w:val="32"/>
  </w:num>
  <w:num w:numId="34">
    <w:abstractNumId w:val="11"/>
  </w:num>
  <w:num w:numId="35">
    <w:abstractNumId w:val="21"/>
  </w:num>
  <w:num w:numId="36">
    <w:abstractNumId w:val="16"/>
  </w:num>
  <w:num w:numId="37">
    <w:abstractNumId w:val="19"/>
  </w:num>
  <w:num w:numId="38">
    <w:abstractNumId w:val="23"/>
  </w:num>
  <w:num w:numId="39">
    <w:abstractNumId w:val="30"/>
  </w:num>
  <w:num w:numId="40">
    <w:abstractNumId w:val="35"/>
  </w:num>
  <w:num w:numId="41">
    <w:abstractNumId w:val="33"/>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D5"/>
    <w:rsid w:val="000066FA"/>
    <w:rsid w:val="00013DC4"/>
    <w:rsid w:val="00021F83"/>
    <w:rsid w:val="00023144"/>
    <w:rsid w:val="00036FEF"/>
    <w:rsid w:val="0004612E"/>
    <w:rsid w:val="000507F9"/>
    <w:rsid w:val="00051105"/>
    <w:rsid w:val="00075447"/>
    <w:rsid w:val="00096AFE"/>
    <w:rsid w:val="000B4C45"/>
    <w:rsid w:val="000B4EE2"/>
    <w:rsid w:val="000B5A29"/>
    <w:rsid w:val="000B71CB"/>
    <w:rsid w:val="000E594E"/>
    <w:rsid w:val="000F6DDD"/>
    <w:rsid w:val="00103BE9"/>
    <w:rsid w:val="0011327C"/>
    <w:rsid w:val="00115D4E"/>
    <w:rsid w:val="0013603E"/>
    <w:rsid w:val="0015183F"/>
    <w:rsid w:val="0015402D"/>
    <w:rsid w:val="00181FE6"/>
    <w:rsid w:val="001A25D7"/>
    <w:rsid w:val="001A7742"/>
    <w:rsid w:val="001B1AE0"/>
    <w:rsid w:val="001C3058"/>
    <w:rsid w:val="001C6893"/>
    <w:rsid w:val="001E467E"/>
    <w:rsid w:val="001F1E12"/>
    <w:rsid w:val="001F3612"/>
    <w:rsid w:val="001F4452"/>
    <w:rsid w:val="001F689D"/>
    <w:rsid w:val="001F7267"/>
    <w:rsid w:val="00201E5F"/>
    <w:rsid w:val="00202A8B"/>
    <w:rsid w:val="00202B4E"/>
    <w:rsid w:val="00210403"/>
    <w:rsid w:val="002115D5"/>
    <w:rsid w:val="00211DB8"/>
    <w:rsid w:val="0021268E"/>
    <w:rsid w:val="00212DEB"/>
    <w:rsid w:val="00235066"/>
    <w:rsid w:val="00243197"/>
    <w:rsid w:val="002604A4"/>
    <w:rsid w:val="0026780E"/>
    <w:rsid w:val="0027655E"/>
    <w:rsid w:val="00287B8E"/>
    <w:rsid w:val="00296AB9"/>
    <w:rsid w:val="002B0BD5"/>
    <w:rsid w:val="002B6096"/>
    <w:rsid w:val="002C6647"/>
    <w:rsid w:val="002D3D92"/>
    <w:rsid w:val="002D470A"/>
    <w:rsid w:val="002E1027"/>
    <w:rsid w:val="002E24B3"/>
    <w:rsid w:val="002F0942"/>
    <w:rsid w:val="002F3AA9"/>
    <w:rsid w:val="00377B44"/>
    <w:rsid w:val="00381502"/>
    <w:rsid w:val="0039194F"/>
    <w:rsid w:val="003A44C8"/>
    <w:rsid w:val="003B10EC"/>
    <w:rsid w:val="003E21A3"/>
    <w:rsid w:val="00401C3E"/>
    <w:rsid w:val="00402D92"/>
    <w:rsid w:val="00406A13"/>
    <w:rsid w:val="004128E9"/>
    <w:rsid w:val="00417B61"/>
    <w:rsid w:val="00421D9B"/>
    <w:rsid w:val="00425AC4"/>
    <w:rsid w:val="00432FE7"/>
    <w:rsid w:val="00433ABE"/>
    <w:rsid w:val="00444F92"/>
    <w:rsid w:val="00447D11"/>
    <w:rsid w:val="00464014"/>
    <w:rsid w:val="004670DB"/>
    <w:rsid w:val="00473ADC"/>
    <w:rsid w:val="00476C3E"/>
    <w:rsid w:val="004934C9"/>
    <w:rsid w:val="004B245C"/>
    <w:rsid w:val="004C5836"/>
    <w:rsid w:val="004D483E"/>
    <w:rsid w:val="004D501D"/>
    <w:rsid w:val="004F08D8"/>
    <w:rsid w:val="004F1514"/>
    <w:rsid w:val="0052441C"/>
    <w:rsid w:val="00546548"/>
    <w:rsid w:val="00566B3D"/>
    <w:rsid w:val="0057499B"/>
    <w:rsid w:val="005772D3"/>
    <w:rsid w:val="005857FF"/>
    <w:rsid w:val="00587E8A"/>
    <w:rsid w:val="00591A15"/>
    <w:rsid w:val="005973B9"/>
    <w:rsid w:val="005A7A8A"/>
    <w:rsid w:val="005B6F04"/>
    <w:rsid w:val="005D0B46"/>
    <w:rsid w:val="005D6054"/>
    <w:rsid w:val="005E02D1"/>
    <w:rsid w:val="005F265D"/>
    <w:rsid w:val="006053CC"/>
    <w:rsid w:val="00607565"/>
    <w:rsid w:val="006349ED"/>
    <w:rsid w:val="00641EDA"/>
    <w:rsid w:val="00652890"/>
    <w:rsid w:val="006718AF"/>
    <w:rsid w:val="00677298"/>
    <w:rsid w:val="006B022A"/>
    <w:rsid w:val="006C700E"/>
    <w:rsid w:val="006F1B7D"/>
    <w:rsid w:val="0070687A"/>
    <w:rsid w:val="00721CDC"/>
    <w:rsid w:val="007259FA"/>
    <w:rsid w:val="00731B62"/>
    <w:rsid w:val="0075086E"/>
    <w:rsid w:val="00761FA4"/>
    <w:rsid w:val="0078401F"/>
    <w:rsid w:val="007A3E92"/>
    <w:rsid w:val="007A69A2"/>
    <w:rsid w:val="007B0AA9"/>
    <w:rsid w:val="007B465D"/>
    <w:rsid w:val="007B6487"/>
    <w:rsid w:val="007C1CEC"/>
    <w:rsid w:val="007C1D90"/>
    <w:rsid w:val="007D2401"/>
    <w:rsid w:val="007E1515"/>
    <w:rsid w:val="008103C0"/>
    <w:rsid w:val="008241E1"/>
    <w:rsid w:val="00824331"/>
    <w:rsid w:val="00831FA1"/>
    <w:rsid w:val="008333AC"/>
    <w:rsid w:val="00842F80"/>
    <w:rsid w:val="00865B12"/>
    <w:rsid w:val="008804C8"/>
    <w:rsid w:val="00894DB3"/>
    <w:rsid w:val="008E5039"/>
    <w:rsid w:val="008E7A13"/>
    <w:rsid w:val="008F29EC"/>
    <w:rsid w:val="008F4A99"/>
    <w:rsid w:val="008F55E2"/>
    <w:rsid w:val="009050F7"/>
    <w:rsid w:val="009254AC"/>
    <w:rsid w:val="0092564C"/>
    <w:rsid w:val="00926259"/>
    <w:rsid w:val="00927B18"/>
    <w:rsid w:val="00937F23"/>
    <w:rsid w:val="00952566"/>
    <w:rsid w:val="00952991"/>
    <w:rsid w:val="009A08C2"/>
    <w:rsid w:val="009C3BD7"/>
    <w:rsid w:val="009C4D62"/>
    <w:rsid w:val="009D6291"/>
    <w:rsid w:val="009E2650"/>
    <w:rsid w:val="009E3928"/>
    <w:rsid w:val="00A05270"/>
    <w:rsid w:val="00A07300"/>
    <w:rsid w:val="00A1022E"/>
    <w:rsid w:val="00A11074"/>
    <w:rsid w:val="00A160AA"/>
    <w:rsid w:val="00A16614"/>
    <w:rsid w:val="00A168E7"/>
    <w:rsid w:val="00A24314"/>
    <w:rsid w:val="00A268FD"/>
    <w:rsid w:val="00A503DF"/>
    <w:rsid w:val="00A65F30"/>
    <w:rsid w:val="00A70A73"/>
    <w:rsid w:val="00A7664E"/>
    <w:rsid w:val="00A9716D"/>
    <w:rsid w:val="00AA6732"/>
    <w:rsid w:val="00AC6601"/>
    <w:rsid w:val="00AD17F1"/>
    <w:rsid w:val="00AD42D1"/>
    <w:rsid w:val="00AD4CD3"/>
    <w:rsid w:val="00AD7AC0"/>
    <w:rsid w:val="00AF2D32"/>
    <w:rsid w:val="00B13308"/>
    <w:rsid w:val="00B14618"/>
    <w:rsid w:val="00B156B5"/>
    <w:rsid w:val="00B20DD8"/>
    <w:rsid w:val="00B26ADA"/>
    <w:rsid w:val="00B3591C"/>
    <w:rsid w:val="00B414AB"/>
    <w:rsid w:val="00B76547"/>
    <w:rsid w:val="00B83822"/>
    <w:rsid w:val="00B904FD"/>
    <w:rsid w:val="00B931AB"/>
    <w:rsid w:val="00B96C92"/>
    <w:rsid w:val="00BA2579"/>
    <w:rsid w:val="00BB112C"/>
    <w:rsid w:val="00BB341C"/>
    <w:rsid w:val="00BC2DE7"/>
    <w:rsid w:val="00BC74C2"/>
    <w:rsid w:val="00BD70A6"/>
    <w:rsid w:val="00BE3DCC"/>
    <w:rsid w:val="00BF34FE"/>
    <w:rsid w:val="00C154AE"/>
    <w:rsid w:val="00C36E99"/>
    <w:rsid w:val="00C44C6D"/>
    <w:rsid w:val="00C57ADD"/>
    <w:rsid w:val="00C6076B"/>
    <w:rsid w:val="00C8447E"/>
    <w:rsid w:val="00C867C9"/>
    <w:rsid w:val="00C971C7"/>
    <w:rsid w:val="00CA5C52"/>
    <w:rsid w:val="00CA716A"/>
    <w:rsid w:val="00CB1ECB"/>
    <w:rsid w:val="00CC4856"/>
    <w:rsid w:val="00CE2964"/>
    <w:rsid w:val="00CF39FB"/>
    <w:rsid w:val="00D04382"/>
    <w:rsid w:val="00D05048"/>
    <w:rsid w:val="00D12816"/>
    <w:rsid w:val="00D47674"/>
    <w:rsid w:val="00D663CE"/>
    <w:rsid w:val="00D70522"/>
    <w:rsid w:val="00DA53E0"/>
    <w:rsid w:val="00DB4C84"/>
    <w:rsid w:val="00DB5FB2"/>
    <w:rsid w:val="00DB65A6"/>
    <w:rsid w:val="00DD0F89"/>
    <w:rsid w:val="00DD11AB"/>
    <w:rsid w:val="00DF00F3"/>
    <w:rsid w:val="00DF3C4D"/>
    <w:rsid w:val="00DF4DC0"/>
    <w:rsid w:val="00E236CC"/>
    <w:rsid w:val="00E41E23"/>
    <w:rsid w:val="00E44B1A"/>
    <w:rsid w:val="00E5245A"/>
    <w:rsid w:val="00E72F4F"/>
    <w:rsid w:val="00E816A0"/>
    <w:rsid w:val="00EA6641"/>
    <w:rsid w:val="00EB4E2E"/>
    <w:rsid w:val="00EC22FB"/>
    <w:rsid w:val="00EE3F83"/>
    <w:rsid w:val="00F220B4"/>
    <w:rsid w:val="00F25859"/>
    <w:rsid w:val="00F351D6"/>
    <w:rsid w:val="00F407F4"/>
    <w:rsid w:val="00F45E1A"/>
    <w:rsid w:val="00F96722"/>
    <w:rsid w:val="00F97322"/>
    <w:rsid w:val="00FA13ED"/>
    <w:rsid w:val="00FB3236"/>
    <w:rsid w:val="00FC7484"/>
    <w:rsid w:val="00FD0933"/>
    <w:rsid w:val="00FD1036"/>
    <w:rsid w:val="00FD2DA5"/>
    <w:rsid w:val="00FE17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53FE2"/>
  <w15:chartTrackingRefBased/>
  <w15:docId w15:val="{F091175F-2A10-4EFD-A8C6-62555FF1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uiPriority w:val="20"/>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semiHidden/>
    <w:rsid w:val="00287B8E"/>
    <w:pPr>
      <w:spacing w:after="12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uiPriority w:val="22"/>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NormalWeb">
    <w:name w:val="Normal (Web)"/>
    <w:basedOn w:val="Normal"/>
    <w:uiPriority w:val="99"/>
    <w:unhideWhenUsed/>
    <w:rsid w:val="00E816A0"/>
    <w:pPr>
      <w:spacing w:before="100" w:beforeAutospacing="1" w:after="100" w:afterAutospacing="1"/>
    </w:pPr>
    <w:rPr>
      <w:rFonts w:ascii="Times New Roman" w:hAnsi="Times New Roman"/>
      <w:sz w:val="24"/>
      <w:lang w:eastAsia="en-IE"/>
    </w:rPr>
  </w:style>
  <w:style w:type="paragraph" w:styleId="ListParagraph">
    <w:name w:val="List Paragraph"/>
    <w:basedOn w:val="Normal"/>
    <w:uiPriority w:val="34"/>
    <w:qFormat/>
    <w:rsid w:val="008E5039"/>
    <w:pPr>
      <w:ind w:left="720"/>
      <w:contextualSpacing/>
    </w:pPr>
  </w:style>
  <w:style w:type="table" w:styleId="TableGrid">
    <w:name w:val="Table Grid"/>
    <w:basedOn w:val="TableNormal"/>
    <w:rsid w:val="00721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8">
    <w:name w:val="text-18"/>
    <w:basedOn w:val="Normal"/>
    <w:rsid w:val="00937F23"/>
    <w:pPr>
      <w:spacing w:before="100" w:beforeAutospacing="1" w:after="100" w:afterAutospacing="1"/>
    </w:pPr>
    <w:rPr>
      <w:rFonts w:ascii="Times New Roman" w:hAnsi="Times New Roman"/>
      <w:sz w:val="24"/>
      <w:lang w:eastAsia="en-IE"/>
    </w:rPr>
  </w:style>
  <w:style w:type="character" w:styleId="CommentReference">
    <w:name w:val="annotation reference"/>
    <w:basedOn w:val="DefaultParagraphFont"/>
    <w:rsid w:val="00201E5F"/>
    <w:rPr>
      <w:sz w:val="16"/>
      <w:szCs w:val="16"/>
    </w:rPr>
  </w:style>
  <w:style w:type="paragraph" w:styleId="CommentSubject">
    <w:name w:val="annotation subject"/>
    <w:basedOn w:val="CommentText"/>
    <w:next w:val="CommentText"/>
    <w:link w:val="CommentSubjectChar"/>
    <w:rsid w:val="00201E5F"/>
    <w:rPr>
      <w:rFonts w:ascii="Gill Sans MT" w:hAnsi="Gill Sans MT"/>
      <w:b/>
      <w:bCs/>
      <w:szCs w:val="20"/>
      <w:lang w:val="en-IE"/>
    </w:rPr>
  </w:style>
  <w:style w:type="character" w:customStyle="1" w:styleId="CommentSubjectChar">
    <w:name w:val="Comment Subject Char"/>
    <w:basedOn w:val="CommentTextChar"/>
    <w:link w:val="CommentSubject"/>
    <w:rsid w:val="00201E5F"/>
    <w:rPr>
      <w:rFonts w:ascii="Gill Sans MT" w:eastAsia="Times New Roman" w:hAnsi="Gill Sans MT"/>
      <w:b/>
      <w:bCs/>
      <w:szCs w:val="24"/>
      <w:lang w:eastAsia="en-US"/>
    </w:rPr>
  </w:style>
  <w:style w:type="paragraph" w:styleId="BalloonText">
    <w:name w:val="Balloon Text"/>
    <w:basedOn w:val="Normal"/>
    <w:link w:val="BalloonTextChar"/>
    <w:rsid w:val="00201E5F"/>
    <w:pPr>
      <w:spacing w:after="0"/>
    </w:pPr>
    <w:rPr>
      <w:rFonts w:ascii="Segoe UI" w:hAnsi="Segoe UI" w:cs="Segoe UI"/>
      <w:sz w:val="18"/>
      <w:szCs w:val="18"/>
    </w:rPr>
  </w:style>
  <w:style w:type="character" w:customStyle="1" w:styleId="BalloonTextChar">
    <w:name w:val="Balloon Text Char"/>
    <w:basedOn w:val="DefaultParagraphFont"/>
    <w:link w:val="BalloonText"/>
    <w:rsid w:val="00201E5F"/>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7363">
      <w:bodyDiv w:val="1"/>
      <w:marLeft w:val="0"/>
      <w:marRight w:val="0"/>
      <w:marTop w:val="0"/>
      <w:marBottom w:val="0"/>
      <w:divBdr>
        <w:top w:val="none" w:sz="0" w:space="0" w:color="auto"/>
        <w:left w:val="none" w:sz="0" w:space="0" w:color="auto"/>
        <w:bottom w:val="none" w:sz="0" w:space="0" w:color="auto"/>
        <w:right w:val="none" w:sz="0" w:space="0" w:color="auto"/>
      </w:divBdr>
      <w:divsChild>
        <w:div w:id="1645964211">
          <w:marLeft w:val="0"/>
          <w:marRight w:val="0"/>
          <w:marTop w:val="0"/>
          <w:marBottom w:val="0"/>
          <w:divBdr>
            <w:top w:val="none" w:sz="0" w:space="0" w:color="auto"/>
            <w:left w:val="none" w:sz="0" w:space="0" w:color="auto"/>
            <w:bottom w:val="none" w:sz="0" w:space="0" w:color="auto"/>
            <w:right w:val="none" w:sz="0" w:space="0" w:color="auto"/>
          </w:divBdr>
        </w:div>
        <w:div w:id="1223906793">
          <w:marLeft w:val="0"/>
          <w:marRight w:val="0"/>
          <w:marTop w:val="0"/>
          <w:marBottom w:val="0"/>
          <w:divBdr>
            <w:top w:val="none" w:sz="0" w:space="0" w:color="auto"/>
            <w:left w:val="none" w:sz="0" w:space="0" w:color="auto"/>
            <w:bottom w:val="none" w:sz="0" w:space="0" w:color="auto"/>
            <w:right w:val="none" w:sz="0" w:space="0" w:color="auto"/>
          </w:divBdr>
        </w:div>
        <w:div w:id="1748068383">
          <w:marLeft w:val="0"/>
          <w:marRight w:val="0"/>
          <w:marTop w:val="0"/>
          <w:marBottom w:val="0"/>
          <w:divBdr>
            <w:top w:val="none" w:sz="0" w:space="0" w:color="auto"/>
            <w:left w:val="none" w:sz="0" w:space="0" w:color="auto"/>
            <w:bottom w:val="none" w:sz="0" w:space="0" w:color="auto"/>
            <w:right w:val="none" w:sz="0" w:space="0" w:color="auto"/>
          </w:divBdr>
        </w:div>
        <w:div w:id="232739911">
          <w:marLeft w:val="0"/>
          <w:marRight w:val="0"/>
          <w:marTop w:val="0"/>
          <w:marBottom w:val="0"/>
          <w:divBdr>
            <w:top w:val="none" w:sz="0" w:space="0" w:color="auto"/>
            <w:left w:val="none" w:sz="0" w:space="0" w:color="auto"/>
            <w:bottom w:val="none" w:sz="0" w:space="0" w:color="auto"/>
            <w:right w:val="none" w:sz="0" w:space="0" w:color="auto"/>
          </w:divBdr>
        </w:div>
        <w:div w:id="1084111759">
          <w:marLeft w:val="0"/>
          <w:marRight w:val="0"/>
          <w:marTop w:val="0"/>
          <w:marBottom w:val="0"/>
          <w:divBdr>
            <w:top w:val="none" w:sz="0" w:space="0" w:color="auto"/>
            <w:left w:val="none" w:sz="0" w:space="0" w:color="auto"/>
            <w:bottom w:val="none" w:sz="0" w:space="0" w:color="auto"/>
            <w:right w:val="none" w:sz="0" w:space="0" w:color="auto"/>
          </w:divBdr>
        </w:div>
      </w:divsChild>
    </w:div>
    <w:div w:id="76024253">
      <w:bodyDiv w:val="1"/>
      <w:marLeft w:val="0"/>
      <w:marRight w:val="0"/>
      <w:marTop w:val="0"/>
      <w:marBottom w:val="0"/>
      <w:divBdr>
        <w:top w:val="none" w:sz="0" w:space="0" w:color="auto"/>
        <w:left w:val="none" w:sz="0" w:space="0" w:color="auto"/>
        <w:bottom w:val="none" w:sz="0" w:space="0" w:color="auto"/>
        <w:right w:val="none" w:sz="0" w:space="0" w:color="auto"/>
      </w:divBdr>
      <w:divsChild>
        <w:div w:id="2069065572">
          <w:marLeft w:val="-225"/>
          <w:marRight w:val="-225"/>
          <w:marTop w:val="0"/>
          <w:marBottom w:val="450"/>
          <w:divBdr>
            <w:top w:val="none" w:sz="0" w:space="0" w:color="auto"/>
            <w:left w:val="none" w:sz="0" w:space="0" w:color="auto"/>
            <w:bottom w:val="none" w:sz="0" w:space="0" w:color="auto"/>
            <w:right w:val="none" w:sz="0" w:space="0" w:color="auto"/>
          </w:divBdr>
          <w:divsChild>
            <w:div w:id="15273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5480">
      <w:bodyDiv w:val="1"/>
      <w:marLeft w:val="0"/>
      <w:marRight w:val="0"/>
      <w:marTop w:val="0"/>
      <w:marBottom w:val="0"/>
      <w:divBdr>
        <w:top w:val="none" w:sz="0" w:space="0" w:color="auto"/>
        <w:left w:val="none" w:sz="0" w:space="0" w:color="auto"/>
        <w:bottom w:val="none" w:sz="0" w:space="0" w:color="auto"/>
        <w:right w:val="none" w:sz="0" w:space="0" w:color="auto"/>
      </w:divBdr>
      <w:divsChild>
        <w:div w:id="1257324282">
          <w:marLeft w:val="-225"/>
          <w:marRight w:val="-225"/>
          <w:marTop w:val="0"/>
          <w:marBottom w:val="450"/>
          <w:divBdr>
            <w:top w:val="none" w:sz="0" w:space="0" w:color="auto"/>
            <w:left w:val="none" w:sz="0" w:space="0" w:color="auto"/>
            <w:bottom w:val="none" w:sz="0" w:space="0" w:color="auto"/>
            <w:right w:val="none" w:sz="0" w:space="0" w:color="auto"/>
          </w:divBdr>
          <w:divsChild>
            <w:div w:id="149291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4293">
      <w:bodyDiv w:val="1"/>
      <w:marLeft w:val="0"/>
      <w:marRight w:val="0"/>
      <w:marTop w:val="0"/>
      <w:marBottom w:val="0"/>
      <w:divBdr>
        <w:top w:val="none" w:sz="0" w:space="0" w:color="auto"/>
        <w:left w:val="none" w:sz="0" w:space="0" w:color="auto"/>
        <w:bottom w:val="none" w:sz="0" w:space="0" w:color="auto"/>
        <w:right w:val="none" w:sz="0" w:space="0" w:color="auto"/>
      </w:divBdr>
    </w:div>
    <w:div w:id="146942806">
      <w:bodyDiv w:val="1"/>
      <w:marLeft w:val="0"/>
      <w:marRight w:val="0"/>
      <w:marTop w:val="0"/>
      <w:marBottom w:val="0"/>
      <w:divBdr>
        <w:top w:val="none" w:sz="0" w:space="0" w:color="auto"/>
        <w:left w:val="none" w:sz="0" w:space="0" w:color="auto"/>
        <w:bottom w:val="none" w:sz="0" w:space="0" w:color="auto"/>
        <w:right w:val="none" w:sz="0" w:space="0" w:color="auto"/>
      </w:divBdr>
    </w:div>
    <w:div w:id="180555706">
      <w:bodyDiv w:val="1"/>
      <w:marLeft w:val="0"/>
      <w:marRight w:val="0"/>
      <w:marTop w:val="0"/>
      <w:marBottom w:val="0"/>
      <w:divBdr>
        <w:top w:val="none" w:sz="0" w:space="0" w:color="auto"/>
        <w:left w:val="none" w:sz="0" w:space="0" w:color="auto"/>
        <w:bottom w:val="none" w:sz="0" w:space="0" w:color="auto"/>
        <w:right w:val="none" w:sz="0" w:space="0" w:color="auto"/>
      </w:divBdr>
      <w:divsChild>
        <w:div w:id="1061293182">
          <w:marLeft w:val="0"/>
          <w:marRight w:val="0"/>
          <w:marTop w:val="0"/>
          <w:marBottom w:val="0"/>
          <w:divBdr>
            <w:top w:val="none" w:sz="0" w:space="0" w:color="auto"/>
            <w:left w:val="none" w:sz="0" w:space="0" w:color="auto"/>
            <w:bottom w:val="none" w:sz="0" w:space="0" w:color="auto"/>
            <w:right w:val="none" w:sz="0" w:space="0" w:color="auto"/>
          </w:divBdr>
        </w:div>
        <w:div w:id="1266230281">
          <w:marLeft w:val="0"/>
          <w:marRight w:val="0"/>
          <w:marTop w:val="0"/>
          <w:marBottom w:val="0"/>
          <w:divBdr>
            <w:top w:val="none" w:sz="0" w:space="0" w:color="auto"/>
            <w:left w:val="none" w:sz="0" w:space="0" w:color="auto"/>
            <w:bottom w:val="none" w:sz="0" w:space="0" w:color="auto"/>
            <w:right w:val="none" w:sz="0" w:space="0" w:color="auto"/>
          </w:divBdr>
        </w:div>
        <w:div w:id="1974284615">
          <w:marLeft w:val="0"/>
          <w:marRight w:val="0"/>
          <w:marTop w:val="0"/>
          <w:marBottom w:val="0"/>
          <w:divBdr>
            <w:top w:val="none" w:sz="0" w:space="0" w:color="auto"/>
            <w:left w:val="none" w:sz="0" w:space="0" w:color="auto"/>
            <w:bottom w:val="none" w:sz="0" w:space="0" w:color="auto"/>
            <w:right w:val="none" w:sz="0" w:space="0" w:color="auto"/>
          </w:divBdr>
        </w:div>
      </w:divsChild>
    </w:div>
    <w:div w:id="195041852">
      <w:bodyDiv w:val="1"/>
      <w:marLeft w:val="0"/>
      <w:marRight w:val="0"/>
      <w:marTop w:val="0"/>
      <w:marBottom w:val="0"/>
      <w:divBdr>
        <w:top w:val="none" w:sz="0" w:space="0" w:color="auto"/>
        <w:left w:val="none" w:sz="0" w:space="0" w:color="auto"/>
        <w:bottom w:val="none" w:sz="0" w:space="0" w:color="auto"/>
        <w:right w:val="none" w:sz="0" w:space="0" w:color="auto"/>
      </w:divBdr>
    </w:div>
    <w:div w:id="245766783">
      <w:bodyDiv w:val="1"/>
      <w:marLeft w:val="0"/>
      <w:marRight w:val="0"/>
      <w:marTop w:val="0"/>
      <w:marBottom w:val="0"/>
      <w:divBdr>
        <w:top w:val="none" w:sz="0" w:space="0" w:color="auto"/>
        <w:left w:val="none" w:sz="0" w:space="0" w:color="auto"/>
        <w:bottom w:val="none" w:sz="0" w:space="0" w:color="auto"/>
        <w:right w:val="none" w:sz="0" w:space="0" w:color="auto"/>
      </w:divBdr>
    </w:div>
    <w:div w:id="282544074">
      <w:bodyDiv w:val="1"/>
      <w:marLeft w:val="0"/>
      <w:marRight w:val="0"/>
      <w:marTop w:val="0"/>
      <w:marBottom w:val="0"/>
      <w:divBdr>
        <w:top w:val="none" w:sz="0" w:space="0" w:color="auto"/>
        <w:left w:val="none" w:sz="0" w:space="0" w:color="auto"/>
        <w:bottom w:val="none" w:sz="0" w:space="0" w:color="auto"/>
        <w:right w:val="none" w:sz="0" w:space="0" w:color="auto"/>
      </w:divBdr>
    </w:div>
    <w:div w:id="356272435">
      <w:bodyDiv w:val="1"/>
      <w:marLeft w:val="0"/>
      <w:marRight w:val="0"/>
      <w:marTop w:val="0"/>
      <w:marBottom w:val="0"/>
      <w:divBdr>
        <w:top w:val="none" w:sz="0" w:space="0" w:color="auto"/>
        <w:left w:val="none" w:sz="0" w:space="0" w:color="auto"/>
        <w:bottom w:val="none" w:sz="0" w:space="0" w:color="auto"/>
        <w:right w:val="none" w:sz="0" w:space="0" w:color="auto"/>
      </w:divBdr>
    </w:div>
    <w:div w:id="380136956">
      <w:bodyDiv w:val="1"/>
      <w:marLeft w:val="0"/>
      <w:marRight w:val="0"/>
      <w:marTop w:val="0"/>
      <w:marBottom w:val="0"/>
      <w:divBdr>
        <w:top w:val="none" w:sz="0" w:space="0" w:color="auto"/>
        <w:left w:val="none" w:sz="0" w:space="0" w:color="auto"/>
        <w:bottom w:val="none" w:sz="0" w:space="0" w:color="auto"/>
        <w:right w:val="none" w:sz="0" w:space="0" w:color="auto"/>
      </w:divBdr>
      <w:divsChild>
        <w:div w:id="1738749120">
          <w:marLeft w:val="0"/>
          <w:marRight w:val="0"/>
          <w:marTop w:val="0"/>
          <w:marBottom w:val="0"/>
          <w:divBdr>
            <w:top w:val="none" w:sz="0" w:space="0" w:color="auto"/>
            <w:left w:val="none" w:sz="0" w:space="0" w:color="auto"/>
            <w:bottom w:val="none" w:sz="0" w:space="0" w:color="auto"/>
            <w:right w:val="none" w:sz="0" w:space="0" w:color="auto"/>
          </w:divBdr>
        </w:div>
        <w:div w:id="1112896514">
          <w:marLeft w:val="0"/>
          <w:marRight w:val="0"/>
          <w:marTop w:val="0"/>
          <w:marBottom w:val="0"/>
          <w:divBdr>
            <w:top w:val="none" w:sz="0" w:space="0" w:color="auto"/>
            <w:left w:val="none" w:sz="0" w:space="0" w:color="auto"/>
            <w:bottom w:val="none" w:sz="0" w:space="0" w:color="auto"/>
            <w:right w:val="none" w:sz="0" w:space="0" w:color="auto"/>
          </w:divBdr>
        </w:div>
      </w:divsChild>
    </w:div>
    <w:div w:id="425003590">
      <w:bodyDiv w:val="1"/>
      <w:marLeft w:val="0"/>
      <w:marRight w:val="0"/>
      <w:marTop w:val="0"/>
      <w:marBottom w:val="0"/>
      <w:divBdr>
        <w:top w:val="none" w:sz="0" w:space="0" w:color="auto"/>
        <w:left w:val="none" w:sz="0" w:space="0" w:color="auto"/>
        <w:bottom w:val="none" w:sz="0" w:space="0" w:color="auto"/>
        <w:right w:val="none" w:sz="0" w:space="0" w:color="auto"/>
      </w:divBdr>
      <w:divsChild>
        <w:div w:id="2064208474">
          <w:marLeft w:val="0"/>
          <w:marRight w:val="0"/>
          <w:marTop w:val="0"/>
          <w:marBottom w:val="0"/>
          <w:divBdr>
            <w:top w:val="none" w:sz="0" w:space="0" w:color="auto"/>
            <w:left w:val="none" w:sz="0" w:space="0" w:color="auto"/>
            <w:bottom w:val="none" w:sz="0" w:space="0" w:color="auto"/>
            <w:right w:val="none" w:sz="0" w:space="0" w:color="auto"/>
          </w:divBdr>
          <w:divsChild>
            <w:div w:id="249702212">
              <w:marLeft w:val="-225"/>
              <w:marRight w:val="-225"/>
              <w:marTop w:val="0"/>
              <w:marBottom w:val="0"/>
              <w:divBdr>
                <w:top w:val="none" w:sz="0" w:space="0" w:color="auto"/>
                <w:left w:val="none" w:sz="0" w:space="0" w:color="auto"/>
                <w:bottom w:val="none" w:sz="0" w:space="0" w:color="auto"/>
                <w:right w:val="none" w:sz="0" w:space="0" w:color="auto"/>
              </w:divBdr>
            </w:div>
          </w:divsChild>
        </w:div>
        <w:div w:id="1640107813">
          <w:marLeft w:val="0"/>
          <w:marRight w:val="0"/>
          <w:marTop w:val="0"/>
          <w:marBottom w:val="0"/>
          <w:divBdr>
            <w:top w:val="none" w:sz="0" w:space="0" w:color="auto"/>
            <w:left w:val="none" w:sz="0" w:space="0" w:color="auto"/>
            <w:bottom w:val="none" w:sz="0" w:space="0" w:color="auto"/>
            <w:right w:val="none" w:sz="0" w:space="0" w:color="auto"/>
          </w:divBdr>
          <w:divsChild>
            <w:div w:id="64901806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34055453">
      <w:bodyDiv w:val="1"/>
      <w:marLeft w:val="0"/>
      <w:marRight w:val="0"/>
      <w:marTop w:val="0"/>
      <w:marBottom w:val="0"/>
      <w:divBdr>
        <w:top w:val="none" w:sz="0" w:space="0" w:color="auto"/>
        <w:left w:val="none" w:sz="0" w:space="0" w:color="auto"/>
        <w:bottom w:val="none" w:sz="0" w:space="0" w:color="auto"/>
        <w:right w:val="none" w:sz="0" w:space="0" w:color="auto"/>
      </w:divBdr>
    </w:div>
    <w:div w:id="435176767">
      <w:bodyDiv w:val="1"/>
      <w:marLeft w:val="0"/>
      <w:marRight w:val="0"/>
      <w:marTop w:val="0"/>
      <w:marBottom w:val="0"/>
      <w:divBdr>
        <w:top w:val="none" w:sz="0" w:space="0" w:color="auto"/>
        <w:left w:val="none" w:sz="0" w:space="0" w:color="auto"/>
        <w:bottom w:val="none" w:sz="0" w:space="0" w:color="auto"/>
        <w:right w:val="none" w:sz="0" w:space="0" w:color="auto"/>
      </w:divBdr>
    </w:div>
    <w:div w:id="457454341">
      <w:bodyDiv w:val="1"/>
      <w:marLeft w:val="0"/>
      <w:marRight w:val="0"/>
      <w:marTop w:val="0"/>
      <w:marBottom w:val="0"/>
      <w:divBdr>
        <w:top w:val="none" w:sz="0" w:space="0" w:color="auto"/>
        <w:left w:val="none" w:sz="0" w:space="0" w:color="auto"/>
        <w:bottom w:val="none" w:sz="0" w:space="0" w:color="auto"/>
        <w:right w:val="none" w:sz="0" w:space="0" w:color="auto"/>
      </w:divBdr>
    </w:div>
    <w:div w:id="567425757">
      <w:bodyDiv w:val="1"/>
      <w:marLeft w:val="0"/>
      <w:marRight w:val="0"/>
      <w:marTop w:val="0"/>
      <w:marBottom w:val="0"/>
      <w:divBdr>
        <w:top w:val="none" w:sz="0" w:space="0" w:color="auto"/>
        <w:left w:val="none" w:sz="0" w:space="0" w:color="auto"/>
        <w:bottom w:val="none" w:sz="0" w:space="0" w:color="auto"/>
        <w:right w:val="none" w:sz="0" w:space="0" w:color="auto"/>
      </w:divBdr>
    </w:div>
    <w:div w:id="599263760">
      <w:bodyDiv w:val="1"/>
      <w:marLeft w:val="0"/>
      <w:marRight w:val="0"/>
      <w:marTop w:val="0"/>
      <w:marBottom w:val="0"/>
      <w:divBdr>
        <w:top w:val="none" w:sz="0" w:space="0" w:color="auto"/>
        <w:left w:val="none" w:sz="0" w:space="0" w:color="auto"/>
        <w:bottom w:val="none" w:sz="0" w:space="0" w:color="auto"/>
        <w:right w:val="none" w:sz="0" w:space="0" w:color="auto"/>
      </w:divBdr>
    </w:div>
    <w:div w:id="648292503">
      <w:bodyDiv w:val="1"/>
      <w:marLeft w:val="0"/>
      <w:marRight w:val="0"/>
      <w:marTop w:val="0"/>
      <w:marBottom w:val="0"/>
      <w:divBdr>
        <w:top w:val="none" w:sz="0" w:space="0" w:color="auto"/>
        <w:left w:val="none" w:sz="0" w:space="0" w:color="auto"/>
        <w:bottom w:val="none" w:sz="0" w:space="0" w:color="auto"/>
        <w:right w:val="none" w:sz="0" w:space="0" w:color="auto"/>
      </w:divBdr>
    </w:div>
    <w:div w:id="649792786">
      <w:bodyDiv w:val="1"/>
      <w:marLeft w:val="0"/>
      <w:marRight w:val="0"/>
      <w:marTop w:val="0"/>
      <w:marBottom w:val="0"/>
      <w:divBdr>
        <w:top w:val="none" w:sz="0" w:space="0" w:color="auto"/>
        <w:left w:val="none" w:sz="0" w:space="0" w:color="auto"/>
        <w:bottom w:val="none" w:sz="0" w:space="0" w:color="auto"/>
        <w:right w:val="none" w:sz="0" w:space="0" w:color="auto"/>
      </w:divBdr>
      <w:divsChild>
        <w:div w:id="372927885">
          <w:marLeft w:val="0"/>
          <w:marRight w:val="0"/>
          <w:marTop w:val="0"/>
          <w:marBottom w:val="0"/>
          <w:divBdr>
            <w:top w:val="none" w:sz="0" w:space="0" w:color="auto"/>
            <w:left w:val="none" w:sz="0" w:space="0" w:color="auto"/>
            <w:bottom w:val="none" w:sz="0" w:space="0" w:color="auto"/>
            <w:right w:val="none" w:sz="0" w:space="0" w:color="auto"/>
          </w:divBdr>
        </w:div>
        <w:div w:id="1754859741">
          <w:marLeft w:val="0"/>
          <w:marRight w:val="0"/>
          <w:marTop w:val="0"/>
          <w:marBottom w:val="0"/>
          <w:divBdr>
            <w:top w:val="none" w:sz="0" w:space="0" w:color="auto"/>
            <w:left w:val="none" w:sz="0" w:space="0" w:color="auto"/>
            <w:bottom w:val="none" w:sz="0" w:space="0" w:color="auto"/>
            <w:right w:val="none" w:sz="0" w:space="0" w:color="auto"/>
          </w:divBdr>
        </w:div>
        <w:div w:id="372536246">
          <w:marLeft w:val="0"/>
          <w:marRight w:val="0"/>
          <w:marTop w:val="0"/>
          <w:marBottom w:val="0"/>
          <w:divBdr>
            <w:top w:val="none" w:sz="0" w:space="0" w:color="auto"/>
            <w:left w:val="none" w:sz="0" w:space="0" w:color="auto"/>
            <w:bottom w:val="none" w:sz="0" w:space="0" w:color="auto"/>
            <w:right w:val="none" w:sz="0" w:space="0" w:color="auto"/>
          </w:divBdr>
        </w:div>
        <w:div w:id="1069621789">
          <w:marLeft w:val="0"/>
          <w:marRight w:val="0"/>
          <w:marTop w:val="0"/>
          <w:marBottom w:val="0"/>
          <w:divBdr>
            <w:top w:val="none" w:sz="0" w:space="0" w:color="auto"/>
            <w:left w:val="none" w:sz="0" w:space="0" w:color="auto"/>
            <w:bottom w:val="none" w:sz="0" w:space="0" w:color="auto"/>
            <w:right w:val="none" w:sz="0" w:space="0" w:color="auto"/>
          </w:divBdr>
        </w:div>
        <w:div w:id="1244335803">
          <w:marLeft w:val="0"/>
          <w:marRight w:val="0"/>
          <w:marTop w:val="0"/>
          <w:marBottom w:val="0"/>
          <w:divBdr>
            <w:top w:val="none" w:sz="0" w:space="0" w:color="auto"/>
            <w:left w:val="none" w:sz="0" w:space="0" w:color="auto"/>
            <w:bottom w:val="none" w:sz="0" w:space="0" w:color="auto"/>
            <w:right w:val="none" w:sz="0" w:space="0" w:color="auto"/>
          </w:divBdr>
        </w:div>
        <w:div w:id="627392127">
          <w:marLeft w:val="0"/>
          <w:marRight w:val="0"/>
          <w:marTop w:val="0"/>
          <w:marBottom w:val="0"/>
          <w:divBdr>
            <w:top w:val="none" w:sz="0" w:space="0" w:color="auto"/>
            <w:left w:val="none" w:sz="0" w:space="0" w:color="auto"/>
            <w:bottom w:val="none" w:sz="0" w:space="0" w:color="auto"/>
            <w:right w:val="none" w:sz="0" w:space="0" w:color="auto"/>
          </w:divBdr>
        </w:div>
      </w:divsChild>
    </w:div>
    <w:div w:id="664477258">
      <w:bodyDiv w:val="1"/>
      <w:marLeft w:val="0"/>
      <w:marRight w:val="0"/>
      <w:marTop w:val="0"/>
      <w:marBottom w:val="0"/>
      <w:divBdr>
        <w:top w:val="none" w:sz="0" w:space="0" w:color="auto"/>
        <w:left w:val="none" w:sz="0" w:space="0" w:color="auto"/>
        <w:bottom w:val="none" w:sz="0" w:space="0" w:color="auto"/>
        <w:right w:val="none" w:sz="0" w:space="0" w:color="auto"/>
      </w:divBdr>
    </w:div>
    <w:div w:id="687566334">
      <w:bodyDiv w:val="1"/>
      <w:marLeft w:val="0"/>
      <w:marRight w:val="0"/>
      <w:marTop w:val="0"/>
      <w:marBottom w:val="0"/>
      <w:divBdr>
        <w:top w:val="none" w:sz="0" w:space="0" w:color="auto"/>
        <w:left w:val="none" w:sz="0" w:space="0" w:color="auto"/>
        <w:bottom w:val="none" w:sz="0" w:space="0" w:color="auto"/>
        <w:right w:val="none" w:sz="0" w:space="0" w:color="auto"/>
      </w:divBdr>
      <w:divsChild>
        <w:div w:id="1161697930">
          <w:marLeft w:val="-225"/>
          <w:marRight w:val="-225"/>
          <w:marTop w:val="0"/>
          <w:marBottom w:val="450"/>
          <w:divBdr>
            <w:top w:val="none" w:sz="0" w:space="0" w:color="auto"/>
            <w:left w:val="none" w:sz="0" w:space="0" w:color="auto"/>
            <w:bottom w:val="none" w:sz="0" w:space="0" w:color="auto"/>
            <w:right w:val="none" w:sz="0" w:space="0" w:color="auto"/>
          </w:divBdr>
          <w:divsChild>
            <w:div w:id="1489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1632">
      <w:bodyDiv w:val="1"/>
      <w:marLeft w:val="0"/>
      <w:marRight w:val="0"/>
      <w:marTop w:val="0"/>
      <w:marBottom w:val="0"/>
      <w:divBdr>
        <w:top w:val="none" w:sz="0" w:space="0" w:color="auto"/>
        <w:left w:val="none" w:sz="0" w:space="0" w:color="auto"/>
        <w:bottom w:val="none" w:sz="0" w:space="0" w:color="auto"/>
        <w:right w:val="none" w:sz="0" w:space="0" w:color="auto"/>
      </w:divBdr>
    </w:div>
    <w:div w:id="764151742">
      <w:bodyDiv w:val="1"/>
      <w:marLeft w:val="0"/>
      <w:marRight w:val="0"/>
      <w:marTop w:val="0"/>
      <w:marBottom w:val="0"/>
      <w:divBdr>
        <w:top w:val="none" w:sz="0" w:space="0" w:color="auto"/>
        <w:left w:val="none" w:sz="0" w:space="0" w:color="auto"/>
        <w:bottom w:val="none" w:sz="0" w:space="0" w:color="auto"/>
        <w:right w:val="none" w:sz="0" w:space="0" w:color="auto"/>
      </w:divBdr>
      <w:divsChild>
        <w:div w:id="1781728217">
          <w:marLeft w:val="-225"/>
          <w:marRight w:val="-225"/>
          <w:marTop w:val="0"/>
          <w:marBottom w:val="450"/>
          <w:divBdr>
            <w:top w:val="none" w:sz="0" w:space="0" w:color="auto"/>
            <w:left w:val="none" w:sz="0" w:space="0" w:color="auto"/>
            <w:bottom w:val="none" w:sz="0" w:space="0" w:color="auto"/>
            <w:right w:val="none" w:sz="0" w:space="0" w:color="auto"/>
          </w:divBdr>
          <w:divsChild>
            <w:div w:id="79556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41979">
      <w:bodyDiv w:val="1"/>
      <w:marLeft w:val="0"/>
      <w:marRight w:val="0"/>
      <w:marTop w:val="0"/>
      <w:marBottom w:val="0"/>
      <w:divBdr>
        <w:top w:val="none" w:sz="0" w:space="0" w:color="auto"/>
        <w:left w:val="none" w:sz="0" w:space="0" w:color="auto"/>
        <w:bottom w:val="none" w:sz="0" w:space="0" w:color="auto"/>
        <w:right w:val="none" w:sz="0" w:space="0" w:color="auto"/>
      </w:divBdr>
      <w:divsChild>
        <w:div w:id="1537498725">
          <w:marLeft w:val="0"/>
          <w:marRight w:val="0"/>
          <w:marTop w:val="0"/>
          <w:marBottom w:val="0"/>
          <w:divBdr>
            <w:top w:val="none" w:sz="0" w:space="0" w:color="auto"/>
            <w:left w:val="none" w:sz="0" w:space="0" w:color="auto"/>
            <w:bottom w:val="none" w:sz="0" w:space="0" w:color="auto"/>
            <w:right w:val="none" w:sz="0" w:space="0" w:color="auto"/>
          </w:divBdr>
        </w:div>
        <w:div w:id="2003384013">
          <w:marLeft w:val="0"/>
          <w:marRight w:val="0"/>
          <w:marTop w:val="0"/>
          <w:marBottom w:val="0"/>
          <w:divBdr>
            <w:top w:val="none" w:sz="0" w:space="0" w:color="auto"/>
            <w:left w:val="none" w:sz="0" w:space="0" w:color="auto"/>
            <w:bottom w:val="none" w:sz="0" w:space="0" w:color="auto"/>
            <w:right w:val="none" w:sz="0" w:space="0" w:color="auto"/>
          </w:divBdr>
        </w:div>
        <w:div w:id="1633948707">
          <w:marLeft w:val="0"/>
          <w:marRight w:val="0"/>
          <w:marTop w:val="0"/>
          <w:marBottom w:val="0"/>
          <w:divBdr>
            <w:top w:val="none" w:sz="0" w:space="0" w:color="auto"/>
            <w:left w:val="none" w:sz="0" w:space="0" w:color="auto"/>
            <w:bottom w:val="none" w:sz="0" w:space="0" w:color="auto"/>
            <w:right w:val="none" w:sz="0" w:space="0" w:color="auto"/>
          </w:divBdr>
        </w:div>
        <w:div w:id="245191644">
          <w:marLeft w:val="0"/>
          <w:marRight w:val="0"/>
          <w:marTop w:val="0"/>
          <w:marBottom w:val="0"/>
          <w:divBdr>
            <w:top w:val="none" w:sz="0" w:space="0" w:color="auto"/>
            <w:left w:val="none" w:sz="0" w:space="0" w:color="auto"/>
            <w:bottom w:val="none" w:sz="0" w:space="0" w:color="auto"/>
            <w:right w:val="none" w:sz="0" w:space="0" w:color="auto"/>
          </w:divBdr>
        </w:div>
      </w:divsChild>
    </w:div>
    <w:div w:id="818379788">
      <w:bodyDiv w:val="1"/>
      <w:marLeft w:val="0"/>
      <w:marRight w:val="0"/>
      <w:marTop w:val="0"/>
      <w:marBottom w:val="0"/>
      <w:divBdr>
        <w:top w:val="none" w:sz="0" w:space="0" w:color="auto"/>
        <w:left w:val="none" w:sz="0" w:space="0" w:color="auto"/>
        <w:bottom w:val="none" w:sz="0" w:space="0" w:color="auto"/>
        <w:right w:val="none" w:sz="0" w:space="0" w:color="auto"/>
      </w:divBdr>
    </w:div>
    <w:div w:id="911352204">
      <w:bodyDiv w:val="1"/>
      <w:marLeft w:val="0"/>
      <w:marRight w:val="0"/>
      <w:marTop w:val="0"/>
      <w:marBottom w:val="0"/>
      <w:divBdr>
        <w:top w:val="none" w:sz="0" w:space="0" w:color="auto"/>
        <w:left w:val="none" w:sz="0" w:space="0" w:color="auto"/>
        <w:bottom w:val="none" w:sz="0" w:space="0" w:color="auto"/>
        <w:right w:val="none" w:sz="0" w:space="0" w:color="auto"/>
      </w:divBdr>
    </w:div>
    <w:div w:id="913047709">
      <w:bodyDiv w:val="1"/>
      <w:marLeft w:val="0"/>
      <w:marRight w:val="0"/>
      <w:marTop w:val="0"/>
      <w:marBottom w:val="0"/>
      <w:divBdr>
        <w:top w:val="none" w:sz="0" w:space="0" w:color="auto"/>
        <w:left w:val="none" w:sz="0" w:space="0" w:color="auto"/>
        <w:bottom w:val="none" w:sz="0" w:space="0" w:color="auto"/>
        <w:right w:val="none" w:sz="0" w:space="0" w:color="auto"/>
      </w:divBdr>
    </w:div>
    <w:div w:id="917059745">
      <w:bodyDiv w:val="1"/>
      <w:marLeft w:val="0"/>
      <w:marRight w:val="0"/>
      <w:marTop w:val="0"/>
      <w:marBottom w:val="0"/>
      <w:divBdr>
        <w:top w:val="none" w:sz="0" w:space="0" w:color="auto"/>
        <w:left w:val="none" w:sz="0" w:space="0" w:color="auto"/>
        <w:bottom w:val="none" w:sz="0" w:space="0" w:color="auto"/>
        <w:right w:val="none" w:sz="0" w:space="0" w:color="auto"/>
      </w:divBdr>
    </w:div>
    <w:div w:id="923294892">
      <w:bodyDiv w:val="1"/>
      <w:marLeft w:val="0"/>
      <w:marRight w:val="0"/>
      <w:marTop w:val="0"/>
      <w:marBottom w:val="0"/>
      <w:divBdr>
        <w:top w:val="none" w:sz="0" w:space="0" w:color="auto"/>
        <w:left w:val="none" w:sz="0" w:space="0" w:color="auto"/>
        <w:bottom w:val="none" w:sz="0" w:space="0" w:color="auto"/>
        <w:right w:val="none" w:sz="0" w:space="0" w:color="auto"/>
      </w:divBdr>
    </w:div>
    <w:div w:id="939685276">
      <w:bodyDiv w:val="1"/>
      <w:marLeft w:val="0"/>
      <w:marRight w:val="0"/>
      <w:marTop w:val="0"/>
      <w:marBottom w:val="0"/>
      <w:divBdr>
        <w:top w:val="none" w:sz="0" w:space="0" w:color="auto"/>
        <w:left w:val="none" w:sz="0" w:space="0" w:color="auto"/>
        <w:bottom w:val="none" w:sz="0" w:space="0" w:color="auto"/>
        <w:right w:val="none" w:sz="0" w:space="0" w:color="auto"/>
      </w:divBdr>
    </w:div>
    <w:div w:id="988244021">
      <w:bodyDiv w:val="1"/>
      <w:marLeft w:val="0"/>
      <w:marRight w:val="0"/>
      <w:marTop w:val="0"/>
      <w:marBottom w:val="0"/>
      <w:divBdr>
        <w:top w:val="none" w:sz="0" w:space="0" w:color="auto"/>
        <w:left w:val="none" w:sz="0" w:space="0" w:color="auto"/>
        <w:bottom w:val="none" w:sz="0" w:space="0" w:color="auto"/>
        <w:right w:val="none" w:sz="0" w:space="0" w:color="auto"/>
      </w:divBdr>
    </w:div>
    <w:div w:id="1034649280">
      <w:bodyDiv w:val="1"/>
      <w:marLeft w:val="0"/>
      <w:marRight w:val="0"/>
      <w:marTop w:val="0"/>
      <w:marBottom w:val="0"/>
      <w:divBdr>
        <w:top w:val="none" w:sz="0" w:space="0" w:color="auto"/>
        <w:left w:val="none" w:sz="0" w:space="0" w:color="auto"/>
        <w:bottom w:val="none" w:sz="0" w:space="0" w:color="auto"/>
        <w:right w:val="none" w:sz="0" w:space="0" w:color="auto"/>
      </w:divBdr>
      <w:divsChild>
        <w:div w:id="487283475">
          <w:marLeft w:val="0"/>
          <w:marRight w:val="0"/>
          <w:marTop w:val="0"/>
          <w:marBottom w:val="0"/>
          <w:divBdr>
            <w:top w:val="none" w:sz="0" w:space="0" w:color="auto"/>
            <w:left w:val="none" w:sz="0" w:space="0" w:color="auto"/>
            <w:bottom w:val="none" w:sz="0" w:space="0" w:color="auto"/>
            <w:right w:val="none" w:sz="0" w:space="0" w:color="auto"/>
          </w:divBdr>
          <w:divsChild>
            <w:div w:id="227302871">
              <w:marLeft w:val="-225"/>
              <w:marRight w:val="-225"/>
              <w:marTop w:val="0"/>
              <w:marBottom w:val="0"/>
              <w:divBdr>
                <w:top w:val="none" w:sz="0" w:space="0" w:color="auto"/>
                <w:left w:val="none" w:sz="0" w:space="0" w:color="auto"/>
                <w:bottom w:val="none" w:sz="0" w:space="0" w:color="auto"/>
                <w:right w:val="none" w:sz="0" w:space="0" w:color="auto"/>
              </w:divBdr>
            </w:div>
          </w:divsChild>
        </w:div>
        <w:div w:id="1129670441">
          <w:marLeft w:val="0"/>
          <w:marRight w:val="0"/>
          <w:marTop w:val="0"/>
          <w:marBottom w:val="0"/>
          <w:divBdr>
            <w:top w:val="none" w:sz="0" w:space="0" w:color="auto"/>
            <w:left w:val="none" w:sz="0" w:space="0" w:color="auto"/>
            <w:bottom w:val="none" w:sz="0" w:space="0" w:color="auto"/>
            <w:right w:val="none" w:sz="0" w:space="0" w:color="auto"/>
          </w:divBdr>
          <w:divsChild>
            <w:div w:id="210430014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054351622">
      <w:bodyDiv w:val="1"/>
      <w:marLeft w:val="0"/>
      <w:marRight w:val="0"/>
      <w:marTop w:val="0"/>
      <w:marBottom w:val="0"/>
      <w:divBdr>
        <w:top w:val="none" w:sz="0" w:space="0" w:color="auto"/>
        <w:left w:val="none" w:sz="0" w:space="0" w:color="auto"/>
        <w:bottom w:val="none" w:sz="0" w:space="0" w:color="auto"/>
        <w:right w:val="none" w:sz="0" w:space="0" w:color="auto"/>
      </w:divBdr>
      <w:divsChild>
        <w:div w:id="713769856">
          <w:marLeft w:val="0"/>
          <w:marRight w:val="0"/>
          <w:marTop w:val="0"/>
          <w:marBottom w:val="0"/>
          <w:divBdr>
            <w:top w:val="none" w:sz="0" w:space="0" w:color="auto"/>
            <w:left w:val="none" w:sz="0" w:space="0" w:color="auto"/>
            <w:bottom w:val="none" w:sz="0" w:space="0" w:color="auto"/>
            <w:right w:val="none" w:sz="0" w:space="0" w:color="auto"/>
          </w:divBdr>
        </w:div>
        <w:div w:id="583489821">
          <w:marLeft w:val="0"/>
          <w:marRight w:val="0"/>
          <w:marTop w:val="0"/>
          <w:marBottom w:val="0"/>
          <w:divBdr>
            <w:top w:val="none" w:sz="0" w:space="0" w:color="auto"/>
            <w:left w:val="none" w:sz="0" w:space="0" w:color="auto"/>
            <w:bottom w:val="none" w:sz="0" w:space="0" w:color="auto"/>
            <w:right w:val="none" w:sz="0" w:space="0" w:color="auto"/>
          </w:divBdr>
        </w:div>
      </w:divsChild>
    </w:div>
    <w:div w:id="1060250832">
      <w:bodyDiv w:val="1"/>
      <w:marLeft w:val="0"/>
      <w:marRight w:val="0"/>
      <w:marTop w:val="0"/>
      <w:marBottom w:val="0"/>
      <w:divBdr>
        <w:top w:val="none" w:sz="0" w:space="0" w:color="auto"/>
        <w:left w:val="none" w:sz="0" w:space="0" w:color="auto"/>
        <w:bottom w:val="none" w:sz="0" w:space="0" w:color="auto"/>
        <w:right w:val="none" w:sz="0" w:space="0" w:color="auto"/>
      </w:divBdr>
      <w:divsChild>
        <w:div w:id="1970932818">
          <w:marLeft w:val="-225"/>
          <w:marRight w:val="-225"/>
          <w:marTop w:val="0"/>
          <w:marBottom w:val="450"/>
          <w:divBdr>
            <w:top w:val="none" w:sz="0" w:space="0" w:color="auto"/>
            <w:left w:val="none" w:sz="0" w:space="0" w:color="auto"/>
            <w:bottom w:val="none" w:sz="0" w:space="0" w:color="auto"/>
            <w:right w:val="none" w:sz="0" w:space="0" w:color="auto"/>
          </w:divBdr>
          <w:divsChild>
            <w:div w:id="14382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88963">
      <w:bodyDiv w:val="1"/>
      <w:marLeft w:val="0"/>
      <w:marRight w:val="0"/>
      <w:marTop w:val="0"/>
      <w:marBottom w:val="0"/>
      <w:divBdr>
        <w:top w:val="none" w:sz="0" w:space="0" w:color="auto"/>
        <w:left w:val="none" w:sz="0" w:space="0" w:color="auto"/>
        <w:bottom w:val="none" w:sz="0" w:space="0" w:color="auto"/>
        <w:right w:val="none" w:sz="0" w:space="0" w:color="auto"/>
      </w:divBdr>
    </w:div>
    <w:div w:id="1253322035">
      <w:bodyDiv w:val="1"/>
      <w:marLeft w:val="0"/>
      <w:marRight w:val="0"/>
      <w:marTop w:val="0"/>
      <w:marBottom w:val="0"/>
      <w:divBdr>
        <w:top w:val="none" w:sz="0" w:space="0" w:color="auto"/>
        <w:left w:val="none" w:sz="0" w:space="0" w:color="auto"/>
        <w:bottom w:val="none" w:sz="0" w:space="0" w:color="auto"/>
        <w:right w:val="none" w:sz="0" w:space="0" w:color="auto"/>
      </w:divBdr>
    </w:div>
    <w:div w:id="1277324863">
      <w:bodyDiv w:val="1"/>
      <w:marLeft w:val="0"/>
      <w:marRight w:val="0"/>
      <w:marTop w:val="0"/>
      <w:marBottom w:val="0"/>
      <w:divBdr>
        <w:top w:val="none" w:sz="0" w:space="0" w:color="auto"/>
        <w:left w:val="none" w:sz="0" w:space="0" w:color="auto"/>
        <w:bottom w:val="none" w:sz="0" w:space="0" w:color="auto"/>
        <w:right w:val="none" w:sz="0" w:space="0" w:color="auto"/>
      </w:divBdr>
      <w:divsChild>
        <w:div w:id="1638992371">
          <w:marLeft w:val="0"/>
          <w:marRight w:val="0"/>
          <w:marTop w:val="0"/>
          <w:marBottom w:val="0"/>
          <w:divBdr>
            <w:top w:val="none" w:sz="0" w:space="0" w:color="auto"/>
            <w:left w:val="none" w:sz="0" w:space="0" w:color="auto"/>
            <w:bottom w:val="none" w:sz="0" w:space="0" w:color="auto"/>
            <w:right w:val="none" w:sz="0" w:space="0" w:color="auto"/>
          </w:divBdr>
          <w:divsChild>
            <w:div w:id="1288705582">
              <w:marLeft w:val="-225"/>
              <w:marRight w:val="-225"/>
              <w:marTop w:val="0"/>
              <w:marBottom w:val="0"/>
              <w:divBdr>
                <w:top w:val="none" w:sz="0" w:space="0" w:color="auto"/>
                <w:left w:val="none" w:sz="0" w:space="0" w:color="auto"/>
                <w:bottom w:val="none" w:sz="0" w:space="0" w:color="auto"/>
                <w:right w:val="none" w:sz="0" w:space="0" w:color="auto"/>
              </w:divBdr>
            </w:div>
          </w:divsChild>
        </w:div>
        <w:div w:id="706756915">
          <w:marLeft w:val="0"/>
          <w:marRight w:val="0"/>
          <w:marTop w:val="0"/>
          <w:marBottom w:val="0"/>
          <w:divBdr>
            <w:top w:val="none" w:sz="0" w:space="0" w:color="auto"/>
            <w:left w:val="none" w:sz="0" w:space="0" w:color="auto"/>
            <w:bottom w:val="none" w:sz="0" w:space="0" w:color="auto"/>
            <w:right w:val="none" w:sz="0" w:space="0" w:color="auto"/>
          </w:divBdr>
          <w:divsChild>
            <w:div w:id="118505046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298339490">
      <w:bodyDiv w:val="1"/>
      <w:marLeft w:val="0"/>
      <w:marRight w:val="0"/>
      <w:marTop w:val="0"/>
      <w:marBottom w:val="0"/>
      <w:divBdr>
        <w:top w:val="none" w:sz="0" w:space="0" w:color="auto"/>
        <w:left w:val="none" w:sz="0" w:space="0" w:color="auto"/>
        <w:bottom w:val="none" w:sz="0" w:space="0" w:color="auto"/>
        <w:right w:val="none" w:sz="0" w:space="0" w:color="auto"/>
      </w:divBdr>
    </w:div>
    <w:div w:id="1339040754">
      <w:bodyDiv w:val="1"/>
      <w:marLeft w:val="0"/>
      <w:marRight w:val="0"/>
      <w:marTop w:val="0"/>
      <w:marBottom w:val="0"/>
      <w:divBdr>
        <w:top w:val="none" w:sz="0" w:space="0" w:color="auto"/>
        <w:left w:val="none" w:sz="0" w:space="0" w:color="auto"/>
        <w:bottom w:val="none" w:sz="0" w:space="0" w:color="auto"/>
        <w:right w:val="none" w:sz="0" w:space="0" w:color="auto"/>
      </w:divBdr>
    </w:div>
    <w:div w:id="1531340620">
      <w:bodyDiv w:val="1"/>
      <w:marLeft w:val="0"/>
      <w:marRight w:val="0"/>
      <w:marTop w:val="0"/>
      <w:marBottom w:val="0"/>
      <w:divBdr>
        <w:top w:val="none" w:sz="0" w:space="0" w:color="auto"/>
        <w:left w:val="none" w:sz="0" w:space="0" w:color="auto"/>
        <w:bottom w:val="none" w:sz="0" w:space="0" w:color="auto"/>
        <w:right w:val="none" w:sz="0" w:space="0" w:color="auto"/>
      </w:divBdr>
      <w:divsChild>
        <w:div w:id="1515220146">
          <w:marLeft w:val="0"/>
          <w:marRight w:val="0"/>
          <w:marTop w:val="0"/>
          <w:marBottom w:val="0"/>
          <w:divBdr>
            <w:top w:val="none" w:sz="0" w:space="0" w:color="auto"/>
            <w:left w:val="none" w:sz="0" w:space="0" w:color="auto"/>
            <w:bottom w:val="none" w:sz="0" w:space="0" w:color="auto"/>
            <w:right w:val="none" w:sz="0" w:space="0" w:color="auto"/>
          </w:divBdr>
        </w:div>
        <w:div w:id="86579224">
          <w:marLeft w:val="0"/>
          <w:marRight w:val="0"/>
          <w:marTop w:val="0"/>
          <w:marBottom w:val="0"/>
          <w:divBdr>
            <w:top w:val="none" w:sz="0" w:space="0" w:color="auto"/>
            <w:left w:val="none" w:sz="0" w:space="0" w:color="auto"/>
            <w:bottom w:val="none" w:sz="0" w:space="0" w:color="auto"/>
            <w:right w:val="none" w:sz="0" w:space="0" w:color="auto"/>
          </w:divBdr>
        </w:div>
        <w:div w:id="1597785664">
          <w:marLeft w:val="0"/>
          <w:marRight w:val="0"/>
          <w:marTop w:val="0"/>
          <w:marBottom w:val="0"/>
          <w:divBdr>
            <w:top w:val="none" w:sz="0" w:space="0" w:color="auto"/>
            <w:left w:val="none" w:sz="0" w:space="0" w:color="auto"/>
            <w:bottom w:val="none" w:sz="0" w:space="0" w:color="auto"/>
            <w:right w:val="none" w:sz="0" w:space="0" w:color="auto"/>
          </w:divBdr>
        </w:div>
        <w:div w:id="251746639">
          <w:marLeft w:val="0"/>
          <w:marRight w:val="0"/>
          <w:marTop w:val="0"/>
          <w:marBottom w:val="0"/>
          <w:divBdr>
            <w:top w:val="none" w:sz="0" w:space="0" w:color="auto"/>
            <w:left w:val="none" w:sz="0" w:space="0" w:color="auto"/>
            <w:bottom w:val="none" w:sz="0" w:space="0" w:color="auto"/>
            <w:right w:val="none" w:sz="0" w:space="0" w:color="auto"/>
          </w:divBdr>
        </w:div>
      </w:divsChild>
    </w:div>
    <w:div w:id="1554657837">
      <w:bodyDiv w:val="1"/>
      <w:marLeft w:val="0"/>
      <w:marRight w:val="0"/>
      <w:marTop w:val="0"/>
      <w:marBottom w:val="0"/>
      <w:divBdr>
        <w:top w:val="none" w:sz="0" w:space="0" w:color="auto"/>
        <w:left w:val="none" w:sz="0" w:space="0" w:color="auto"/>
        <w:bottom w:val="none" w:sz="0" w:space="0" w:color="auto"/>
        <w:right w:val="none" w:sz="0" w:space="0" w:color="auto"/>
      </w:divBdr>
    </w:div>
    <w:div w:id="1572082182">
      <w:bodyDiv w:val="1"/>
      <w:marLeft w:val="0"/>
      <w:marRight w:val="0"/>
      <w:marTop w:val="0"/>
      <w:marBottom w:val="0"/>
      <w:divBdr>
        <w:top w:val="none" w:sz="0" w:space="0" w:color="auto"/>
        <w:left w:val="none" w:sz="0" w:space="0" w:color="auto"/>
        <w:bottom w:val="none" w:sz="0" w:space="0" w:color="auto"/>
        <w:right w:val="none" w:sz="0" w:space="0" w:color="auto"/>
      </w:divBdr>
    </w:div>
    <w:div w:id="1584873891">
      <w:bodyDiv w:val="1"/>
      <w:marLeft w:val="0"/>
      <w:marRight w:val="0"/>
      <w:marTop w:val="0"/>
      <w:marBottom w:val="0"/>
      <w:divBdr>
        <w:top w:val="none" w:sz="0" w:space="0" w:color="auto"/>
        <w:left w:val="none" w:sz="0" w:space="0" w:color="auto"/>
        <w:bottom w:val="none" w:sz="0" w:space="0" w:color="auto"/>
        <w:right w:val="none" w:sz="0" w:space="0" w:color="auto"/>
      </w:divBdr>
      <w:divsChild>
        <w:div w:id="64112548">
          <w:marLeft w:val="0"/>
          <w:marRight w:val="0"/>
          <w:marTop w:val="0"/>
          <w:marBottom w:val="0"/>
          <w:divBdr>
            <w:top w:val="none" w:sz="0" w:space="0" w:color="auto"/>
            <w:left w:val="none" w:sz="0" w:space="0" w:color="auto"/>
            <w:bottom w:val="none" w:sz="0" w:space="0" w:color="auto"/>
            <w:right w:val="none" w:sz="0" w:space="0" w:color="auto"/>
          </w:divBdr>
        </w:div>
        <w:div w:id="26373824">
          <w:marLeft w:val="0"/>
          <w:marRight w:val="0"/>
          <w:marTop w:val="0"/>
          <w:marBottom w:val="0"/>
          <w:divBdr>
            <w:top w:val="none" w:sz="0" w:space="0" w:color="auto"/>
            <w:left w:val="none" w:sz="0" w:space="0" w:color="auto"/>
            <w:bottom w:val="none" w:sz="0" w:space="0" w:color="auto"/>
            <w:right w:val="none" w:sz="0" w:space="0" w:color="auto"/>
          </w:divBdr>
        </w:div>
        <w:div w:id="1658876805">
          <w:marLeft w:val="0"/>
          <w:marRight w:val="0"/>
          <w:marTop w:val="0"/>
          <w:marBottom w:val="0"/>
          <w:divBdr>
            <w:top w:val="none" w:sz="0" w:space="0" w:color="auto"/>
            <w:left w:val="none" w:sz="0" w:space="0" w:color="auto"/>
            <w:bottom w:val="none" w:sz="0" w:space="0" w:color="auto"/>
            <w:right w:val="none" w:sz="0" w:space="0" w:color="auto"/>
          </w:divBdr>
        </w:div>
        <w:div w:id="1317803103">
          <w:marLeft w:val="0"/>
          <w:marRight w:val="0"/>
          <w:marTop w:val="0"/>
          <w:marBottom w:val="0"/>
          <w:divBdr>
            <w:top w:val="none" w:sz="0" w:space="0" w:color="auto"/>
            <w:left w:val="none" w:sz="0" w:space="0" w:color="auto"/>
            <w:bottom w:val="none" w:sz="0" w:space="0" w:color="auto"/>
            <w:right w:val="none" w:sz="0" w:space="0" w:color="auto"/>
          </w:divBdr>
        </w:div>
        <w:div w:id="450365865">
          <w:marLeft w:val="0"/>
          <w:marRight w:val="0"/>
          <w:marTop w:val="0"/>
          <w:marBottom w:val="0"/>
          <w:divBdr>
            <w:top w:val="none" w:sz="0" w:space="0" w:color="auto"/>
            <w:left w:val="none" w:sz="0" w:space="0" w:color="auto"/>
            <w:bottom w:val="none" w:sz="0" w:space="0" w:color="auto"/>
            <w:right w:val="none" w:sz="0" w:space="0" w:color="auto"/>
          </w:divBdr>
        </w:div>
        <w:div w:id="518812213">
          <w:marLeft w:val="0"/>
          <w:marRight w:val="0"/>
          <w:marTop w:val="0"/>
          <w:marBottom w:val="0"/>
          <w:divBdr>
            <w:top w:val="none" w:sz="0" w:space="0" w:color="auto"/>
            <w:left w:val="none" w:sz="0" w:space="0" w:color="auto"/>
            <w:bottom w:val="none" w:sz="0" w:space="0" w:color="auto"/>
            <w:right w:val="none" w:sz="0" w:space="0" w:color="auto"/>
          </w:divBdr>
        </w:div>
        <w:div w:id="154881788">
          <w:marLeft w:val="0"/>
          <w:marRight w:val="0"/>
          <w:marTop w:val="0"/>
          <w:marBottom w:val="0"/>
          <w:divBdr>
            <w:top w:val="none" w:sz="0" w:space="0" w:color="auto"/>
            <w:left w:val="none" w:sz="0" w:space="0" w:color="auto"/>
            <w:bottom w:val="none" w:sz="0" w:space="0" w:color="auto"/>
            <w:right w:val="none" w:sz="0" w:space="0" w:color="auto"/>
          </w:divBdr>
        </w:div>
        <w:div w:id="1032918674">
          <w:marLeft w:val="0"/>
          <w:marRight w:val="0"/>
          <w:marTop w:val="0"/>
          <w:marBottom w:val="0"/>
          <w:divBdr>
            <w:top w:val="none" w:sz="0" w:space="0" w:color="auto"/>
            <w:left w:val="none" w:sz="0" w:space="0" w:color="auto"/>
            <w:bottom w:val="none" w:sz="0" w:space="0" w:color="auto"/>
            <w:right w:val="none" w:sz="0" w:space="0" w:color="auto"/>
          </w:divBdr>
        </w:div>
      </w:divsChild>
    </w:div>
    <w:div w:id="1594774636">
      <w:bodyDiv w:val="1"/>
      <w:marLeft w:val="0"/>
      <w:marRight w:val="0"/>
      <w:marTop w:val="0"/>
      <w:marBottom w:val="0"/>
      <w:divBdr>
        <w:top w:val="none" w:sz="0" w:space="0" w:color="auto"/>
        <w:left w:val="none" w:sz="0" w:space="0" w:color="auto"/>
        <w:bottom w:val="none" w:sz="0" w:space="0" w:color="auto"/>
        <w:right w:val="none" w:sz="0" w:space="0" w:color="auto"/>
      </w:divBdr>
      <w:divsChild>
        <w:div w:id="860049481">
          <w:marLeft w:val="0"/>
          <w:marRight w:val="0"/>
          <w:marTop w:val="0"/>
          <w:marBottom w:val="0"/>
          <w:divBdr>
            <w:top w:val="none" w:sz="0" w:space="0" w:color="auto"/>
            <w:left w:val="none" w:sz="0" w:space="0" w:color="auto"/>
            <w:bottom w:val="none" w:sz="0" w:space="0" w:color="auto"/>
            <w:right w:val="none" w:sz="0" w:space="0" w:color="auto"/>
          </w:divBdr>
        </w:div>
        <w:div w:id="576675106">
          <w:marLeft w:val="0"/>
          <w:marRight w:val="0"/>
          <w:marTop w:val="0"/>
          <w:marBottom w:val="0"/>
          <w:divBdr>
            <w:top w:val="none" w:sz="0" w:space="0" w:color="auto"/>
            <w:left w:val="none" w:sz="0" w:space="0" w:color="auto"/>
            <w:bottom w:val="none" w:sz="0" w:space="0" w:color="auto"/>
            <w:right w:val="none" w:sz="0" w:space="0" w:color="auto"/>
          </w:divBdr>
        </w:div>
        <w:div w:id="145368434">
          <w:marLeft w:val="0"/>
          <w:marRight w:val="0"/>
          <w:marTop w:val="0"/>
          <w:marBottom w:val="0"/>
          <w:divBdr>
            <w:top w:val="none" w:sz="0" w:space="0" w:color="auto"/>
            <w:left w:val="none" w:sz="0" w:space="0" w:color="auto"/>
            <w:bottom w:val="none" w:sz="0" w:space="0" w:color="auto"/>
            <w:right w:val="none" w:sz="0" w:space="0" w:color="auto"/>
          </w:divBdr>
        </w:div>
        <w:div w:id="728922875">
          <w:marLeft w:val="0"/>
          <w:marRight w:val="0"/>
          <w:marTop w:val="0"/>
          <w:marBottom w:val="0"/>
          <w:divBdr>
            <w:top w:val="none" w:sz="0" w:space="0" w:color="auto"/>
            <w:left w:val="none" w:sz="0" w:space="0" w:color="auto"/>
            <w:bottom w:val="none" w:sz="0" w:space="0" w:color="auto"/>
            <w:right w:val="none" w:sz="0" w:space="0" w:color="auto"/>
          </w:divBdr>
        </w:div>
        <w:div w:id="726416350">
          <w:marLeft w:val="0"/>
          <w:marRight w:val="0"/>
          <w:marTop w:val="0"/>
          <w:marBottom w:val="0"/>
          <w:divBdr>
            <w:top w:val="none" w:sz="0" w:space="0" w:color="auto"/>
            <w:left w:val="none" w:sz="0" w:space="0" w:color="auto"/>
            <w:bottom w:val="none" w:sz="0" w:space="0" w:color="auto"/>
            <w:right w:val="none" w:sz="0" w:space="0" w:color="auto"/>
          </w:divBdr>
        </w:div>
        <w:div w:id="1516262648">
          <w:marLeft w:val="0"/>
          <w:marRight w:val="0"/>
          <w:marTop w:val="0"/>
          <w:marBottom w:val="0"/>
          <w:divBdr>
            <w:top w:val="none" w:sz="0" w:space="0" w:color="auto"/>
            <w:left w:val="none" w:sz="0" w:space="0" w:color="auto"/>
            <w:bottom w:val="none" w:sz="0" w:space="0" w:color="auto"/>
            <w:right w:val="none" w:sz="0" w:space="0" w:color="auto"/>
          </w:divBdr>
        </w:div>
      </w:divsChild>
    </w:div>
    <w:div w:id="1651399169">
      <w:bodyDiv w:val="1"/>
      <w:marLeft w:val="0"/>
      <w:marRight w:val="0"/>
      <w:marTop w:val="0"/>
      <w:marBottom w:val="0"/>
      <w:divBdr>
        <w:top w:val="none" w:sz="0" w:space="0" w:color="auto"/>
        <w:left w:val="none" w:sz="0" w:space="0" w:color="auto"/>
        <w:bottom w:val="none" w:sz="0" w:space="0" w:color="auto"/>
        <w:right w:val="none" w:sz="0" w:space="0" w:color="auto"/>
      </w:divBdr>
    </w:div>
    <w:div w:id="1691224782">
      <w:bodyDiv w:val="1"/>
      <w:marLeft w:val="0"/>
      <w:marRight w:val="0"/>
      <w:marTop w:val="0"/>
      <w:marBottom w:val="0"/>
      <w:divBdr>
        <w:top w:val="none" w:sz="0" w:space="0" w:color="auto"/>
        <w:left w:val="none" w:sz="0" w:space="0" w:color="auto"/>
        <w:bottom w:val="none" w:sz="0" w:space="0" w:color="auto"/>
        <w:right w:val="none" w:sz="0" w:space="0" w:color="auto"/>
      </w:divBdr>
    </w:div>
    <w:div w:id="1764570228">
      <w:bodyDiv w:val="1"/>
      <w:marLeft w:val="0"/>
      <w:marRight w:val="0"/>
      <w:marTop w:val="0"/>
      <w:marBottom w:val="0"/>
      <w:divBdr>
        <w:top w:val="none" w:sz="0" w:space="0" w:color="auto"/>
        <w:left w:val="none" w:sz="0" w:space="0" w:color="auto"/>
        <w:bottom w:val="none" w:sz="0" w:space="0" w:color="auto"/>
        <w:right w:val="none" w:sz="0" w:space="0" w:color="auto"/>
      </w:divBdr>
    </w:div>
    <w:div w:id="1774744825">
      <w:bodyDiv w:val="1"/>
      <w:marLeft w:val="0"/>
      <w:marRight w:val="0"/>
      <w:marTop w:val="0"/>
      <w:marBottom w:val="0"/>
      <w:divBdr>
        <w:top w:val="none" w:sz="0" w:space="0" w:color="auto"/>
        <w:left w:val="none" w:sz="0" w:space="0" w:color="auto"/>
        <w:bottom w:val="none" w:sz="0" w:space="0" w:color="auto"/>
        <w:right w:val="none" w:sz="0" w:space="0" w:color="auto"/>
      </w:divBdr>
      <w:divsChild>
        <w:div w:id="825630791">
          <w:marLeft w:val="0"/>
          <w:marRight w:val="0"/>
          <w:marTop w:val="0"/>
          <w:marBottom w:val="0"/>
          <w:divBdr>
            <w:top w:val="none" w:sz="0" w:space="0" w:color="auto"/>
            <w:left w:val="none" w:sz="0" w:space="0" w:color="auto"/>
            <w:bottom w:val="none" w:sz="0" w:space="0" w:color="auto"/>
            <w:right w:val="none" w:sz="0" w:space="0" w:color="auto"/>
          </w:divBdr>
          <w:divsChild>
            <w:div w:id="2169635">
              <w:marLeft w:val="0"/>
              <w:marRight w:val="0"/>
              <w:marTop w:val="0"/>
              <w:marBottom w:val="0"/>
              <w:divBdr>
                <w:top w:val="none" w:sz="0" w:space="0" w:color="auto"/>
                <w:left w:val="none" w:sz="0" w:space="0" w:color="auto"/>
                <w:bottom w:val="none" w:sz="0" w:space="0" w:color="auto"/>
                <w:right w:val="none" w:sz="0" w:space="0" w:color="auto"/>
              </w:divBdr>
              <w:divsChild>
                <w:div w:id="1297831875">
                  <w:marLeft w:val="0"/>
                  <w:marRight w:val="0"/>
                  <w:marTop w:val="0"/>
                  <w:marBottom w:val="0"/>
                  <w:divBdr>
                    <w:top w:val="none" w:sz="0" w:space="0" w:color="auto"/>
                    <w:left w:val="none" w:sz="0" w:space="0" w:color="auto"/>
                    <w:bottom w:val="none" w:sz="0" w:space="0" w:color="auto"/>
                    <w:right w:val="none" w:sz="0" w:space="0" w:color="auto"/>
                  </w:divBdr>
                  <w:divsChild>
                    <w:div w:id="486552638">
                      <w:marLeft w:val="0"/>
                      <w:marRight w:val="0"/>
                      <w:marTop w:val="0"/>
                      <w:marBottom w:val="0"/>
                      <w:divBdr>
                        <w:top w:val="none" w:sz="0" w:space="0" w:color="auto"/>
                        <w:left w:val="none" w:sz="0" w:space="0" w:color="auto"/>
                        <w:bottom w:val="none" w:sz="0" w:space="0" w:color="auto"/>
                        <w:right w:val="none" w:sz="0" w:space="0" w:color="auto"/>
                      </w:divBdr>
                      <w:divsChild>
                        <w:div w:id="1686010233">
                          <w:marLeft w:val="0"/>
                          <w:marRight w:val="0"/>
                          <w:marTop w:val="0"/>
                          <w:marBottom w:val="0"/>
                          <w:divBdr>
                            <w:top w:val="none" w:sz="0" w:space="0" w:color="auto"/>
                            <w:left w:val="none" w:sz="0" w:space="0" w:color="auto"/>
                            <w:bottom w:val="none" w:sz="0" w:space="0" w:color="auto"/>
                            <w:right w:val="none" w:sz="0" w:space="0" w:color="auto"/>
                          </w:divBdr>
                        </w:div>
                        <w:div w:id="918714686">
                          <w:marLeft w:val="0"/>
                          <w:marRight w:val="0"/>
                          <w:marTop w:val="0"/>
                          <w:marBottom w:val="0"/>
                          <w:divBdr>
                            <w:top w:val="none" w:sz="0" w:space="0" w:color="auto"/>
                            <w:left w:val="none" w:sz="0" w:space="0" w:color="auto"/>
                            <w:bottom w:val="none" w:sz="0" w:space="0" w:color="auto"/>
                            <w:right w:val="none" w:sz="0" w:space="0" w:color="auto"/>
                          </w:divBdr>
                        </w:div>
                        <w:div w:id="2080251607">
                          <w:marLeft w:val="0"/>
                          <w:marRight w:val="0"/>
                          <w:marTop w:val="0"/>
                          <w:marBottom w:val="0"/>
                          <w:divBdr>
                            <w:top w:val="none" w:sz="0" w:space="0" w:color="auto"/>
                            <w:left w:val="none" w:sz="0" w:space="0" w:color="auto"/>
                            <w:bottom w:val="none" w:sz="0" w:space="0" w:color="auto"/>
                            <w:right w:val="none" w:sz="0" w:space="0" w:color="auto"/>
                          </w:divBdr>
                        </w:div>
                      </w:divsChild>
                    </w:div>
                    <w:div w:id="1143353367">
                      <w:marLeft w:val="0"/>
                      <w:marRight w:val="0"/>
                      <w:marTop w:val="300"/>
                      <w:marBottom w:val="0"/>
                      <w:divBdr>
                        <w:top w:val="none" w:sz="0" w:space="0" w:color="auto"/>
                        <w:left w:val="none" w:sz="0" w:space="0" w:color="auto"/>
                        <w:bottom w:val="none" w:sz="0" w:space="0" w:color="auto"/>
                        <w:right w:val="none" w:sz="0" w:space="0" w:color="auto"/>
                      </w:divBdr>
                    </w:div>
                    <w:div w:id="18901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6847">
              <w:marLeft w:val="0"/>
              <w:marRight w:val="0"/>
              <w:marTop w:val="0"/>
              <w:marBottom w:val="0"/>
              <w:divBdr>
                <w:top w:val="none" w:sz="0" w:space="0" w:color="auto"/>
                <w:left w:val="none" w:sz="0" w:space="0" w:color="auto"/>
                <w:bottom w:val="none" w:sz="0" w:space="0" w:color="auto"/>
                <w:right w:val="none" w:sz="0" w:space="0" w:color="auto"/>
              </w:divBdr>
              <w:divsChild>
                <w:div w:id="326711362">
                  <w:marLeft w:val="75"/>
                  <w:marRight w:val="75"/>
                  <w:marTop w:val="750"/>
                  <w:marBottom w:val="750"/>
                  <w:divBdr>
                    <w:top w:val="none" w:sz="0" w:space="0" w:color="auto"/>
                    <w:left w:val="single" w:sz="12" w:space="0" w:color="7B0046"/>
                    <w:bottom w:val="none" w:sz="0" w:space="0" w:color="auto"/>
                    <w:right w:val="none" w:sz="0" w:space="0" w:color="auto"/>
                  </w:divBdr>
                  <w:divsChild>
                    <w:div w:id="1300571877">
                      <w:marLeft w:val="0"/>
                      <w:marRight w:val="0"/>
                      <w:marTop w:val="0"/>
                      <w:marBottom w:val="0"/>
                      <w:divBdr>
                        <w:top w:val="none" w:sz="0" w:space="0" w:color="auto"/>
                        <w:left w:val="none" w:sz="0" w:space="0" w:color="auto"/>
                        <w:bottom w:val="none" w:sz="0" w:space="0" w:color="auto"/>
                        <w:right w:val="none" w:sz="0" w:space="0" w:color="auto"/>
                      </w:divBdr>
                    </w:div>
                    <w:div w:id="906259270">
                      <w:marLeft w:val="0"/>
                      <w:marRight w:val="0"/>
                      <w:marTop w:val="0"/>
                      <w:marBottom w:val="0"/>
                      <w:divBdr>
                        <w:top w:val="none" w:sz="0" w:space="0" w:color="auto"/>
                        <w:left w:val="none" w:sz="0" w:space="0" w:color="auto"/>
                        <w:bottom w:val="none" w:sz="0" w:space="0" w:color="auto"/>
                        <w:right w:val="none" w:sz="0" w:space="0" w:color="auto"/>
                      </w:divBdr>
                    </w:div>
                    <w:div w:id="356010780">
                      <w:marLeft w:val="0"/>
                      <w:marRight w:val="0"/>
                      <w:marTop w:val="0"/>
                      <w:marBottom w:val="0"/>
                      <w:divBdr>
                        <w:top w:val="none" w:sz="0" w:space="0" w:color="auto"/>
                        <w:left w:val="none" w:sz="0" w:space="0" w:color="auto"/>
                        <w:bottom w:val="none" w:sz="0" w:space="0" w:color="auto"/>
                        <w:right w:val="none" w:sz="0" w:space="0" w:color="auto"/>
                      </w:divBdr>
                    </w:div>
                  </w:divsChild>
                </w:div>
                <w:div w:id="726756013">
                  <w:marLeft w:val="75"/>
                  <w:marRight w:val="75"/>
                  <w:marTop w:val="750"/>
                  <w:marBottom w:val="750"/>
                  <w:divBdr>
                    <w:top w:val="none" w:sz="0" w:space="0" w:color="auto"/>
                    <w:left w:val="single" w:sz="12" w:space="0" w:color="7B0046"/>
                    <w:bottom w:val="none" w:sz="0" w:space="0" w:color="auto"/>
                    <w:right w:val="none" w:sz="0" w:space="0" w:color="auto"/>
                  </w:divBdr>
                </w:div>
              </w:divsChild>
            </w:div>
          </w:divsChild>
        </w:div>
        <w:div w:id="644357158">
          <w:marLeft w:val="0"/>
          <w:marRight w:val="0"/>
          <w:marTop w:val="0"/>
          <w:marBottom w:val="0"/>
          <w:divBdr>
            <w:top w:val="single" w:sz="6" w:space="31" w:color="DEDEDE"/>
            <w:left w:val="none" w:sz="0" w:space="0" w:color="auto"/>
            <w:bottom w:val="none" w:sz="0" w:space="0" w:color="auto"/>
            <w:right w:val="none" w:sz="0" w:space="0" w:color="auto"/>
          </w:divBdr>
          <w:divsChild>
            <w:div w:id="332228196">
              <w:marLeft w:val="0"/>
              <w:marRight w:val="0"/>
              <w:marTop w:val="0"/>
              <w:marBottom w:val="0"/>
              <w:divBdr>
                <w:top w:val="none" w:sz="0" w:space="0" w:color="auto"/>
                <w:left w:val="none" w:sz="0" w:space="0" w:color="auto"/>
                <w:bottom w:val="none" w:sz="0" w:space="0" w:color="auto"/>
                <w:right w:val="none" w:sz="0" w:space="0" w:color="auto"/>
              </w:divBdr>
              <w:divsChild>
                <w:div w:id="2021272746">
                  <w:marLeft w:val="900"/>
                  <w:marRight w:val="900"/>
                  <w:marTop w:val="225"/>
                  <w:marBottom w:val="750"/>
                  <w:divBdr>
                    <w:top w:val="none" w:sz="0" w:space="0" w:color="auto"/>
                    <w:left w:val="none" w:sz="0" w:space="0" w:color="auto"/>
                    <w:bottom w:val="none" w:sz="0" w:space="0" w:color="auto"/>
                    <w:right w:val="none" w:sz="0" w:space="0" w:color="auto"/>
                  </w:divBdr>
                  <w:divsChild>
                    <w:div w:id="511652426">
                      <w:marLeft w:val="0"/>
                      <w:marRight w:val="375"/>
                      <w:marTop w:val="0"/>
                      <w:marBottom w:val="600"/>
                      <w:divBdr>
                        <w:top w:val="none" w:sz="0" w:space="0" w:color="auto"/>
                        <w:left w:val="none" w:sz="0" w:space="0" w:color="auto"/>
                        <w:bottom w:val="none" w:sz="0" w:space="0" w:color="auto"/>
                        <w:right w:val="none" w:sz="0" w:space="0" w:color="auto"/>
                      </w:divBdr>
                      <w:divsChild>
                        <w:div w:id="2128351378">
                          <w:marLeft w:val="0"/>
                          <w:marRight w:val="0"/>
                          <w:marTop w:val="0"/>
                          <w:marBottom w:val="0"/>
                          <w:divBdr>
                            <w:top w:val="none" w:sz="0" w:space="0" w:color="auto"/>
                            <w:left w:val="none" w:sz="0" w:space="0" w:color="auto"/>
                            <w:bottom w:val="none" w:sz="0" w:space="0" w:color="auto"/>
                            <w:right w:val="none" w:sz="0" w:space="0" w:color="auto"/>
                          </w:divBdr>
                        </w:div>
                        <w:div w:id="1534197937">
                          <w:marLeft w:val="0"/>
                          <w:marRight w:val="0"/>
                          <w:marTop w:val="0"/>
                          <w:marBottom w:val="0"/>
                          <w:divBdr>
                            <w:top w:val="none" w:sz="0" w:space="0" w:color="auto"/>
                            <w:left w:val="none" w:sz="0" w:space="0" w:color="auto"/>
                            <w:bottom w:val="none" w:sz="0" w:space="0" w:color="auto"/>
                            <w:right w:val="none" w:sz="0" w:space="0" w:color="auto"/>
                          </w:divBdr>
                        </w:div>
                      </w:divsChild>
                    </w:div>
                    <w:div w:id="8065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609872">
      <w:bodyDiv w:val="1"/>
      <w:marLeft w:val="0"/>
      <w:marRight w:val="0"/>
      <w:marTop w:val="0"/>
      <w:marBottom w:val="0"/>
      <w:divBdr>
        <w:top w:val="none" w:sz="0" w:space="0" w:color="auto"/>
        <w:left w:val="none" w:sz="0" w:space="0" w:color="auto"/>
        <w:bottom w:val="none" w:sz="0" w:space="0" w:color="auto"/>
        <w:right w:val="none" w:sz="0" w:space="0" w:color="auto"/>
      </w:divBdr>
      <w:divsChild>
        <w:div w:id="1796367692">
          <w:marLeft w:val="0"/>
          <w:marRight w:val="0"/>
          <w:marTop w:val="0"/>
          <w:marBottom w:val="0"/>
          <w:divBdr>
            <w:top w:val="none" w:sz="0" w:space="0" w:color="auto"/>
            <w:left w:val="none" w:sz="0" w:space="0" w:color="auto"/>
            <w:bottom w:val="none" w:sz="0" w:space="0" w:color="auto"/>
            <w:right w:val="none" w:sz="0" w:space="0" w:color="auto"/>
          </w:divBdr>
        </w:div>
        <w:div w:id="1043020640">
          <w:marLeft w:val="0"/>
          <w:marRight w:val="0"/>
          <w:marTop w:val="0"/>
          <w:marBottom w:val="0"/>
          <w:divBdr>
            <w:top w:val="none" w:sz="0" w:space="0" w:color="auto"/>
            <w:left w:val="none" w:sz="0" w:space="0" w:color="auto"/>
            <w:bottom w:val="none" w:sz="0" w:space="0" w:color="auto"/>
            <w:right w:val="none" w:sz="0" w:space="0" w:color="auto"/>
          </w:divBdr>
        </w:div>
      </w:divsChild>
    </w:div>
    <w:div w:id="1796675387">
      <w:bodyDiv w:val="1"/>
      <w:marLeft w:val="0"/>
      <w:marRight w:val="0"/>
      <w:marTop w:val="0"/>
      <w:marBottom w:val="0"/>
      <w:divBdr>
        <w:top w:val="none" w:sz="0" w:space="0" w:color="auto"/>
        <w:left w:val="none" w:sz="0" w:space="0" w:color="auto"/>
        <w:bottom w:val="none" w:sz="0" w:space="0" w:color="auto"/>
        <w:right w:val="none" w:sz="0" w:space="0" w:color="auto"/>
      </w:divBdr>
    </w:div>
    <w:div w:id="1876037915">
      <w:bodyDiv w:val="1"/>
      <w:marLeft w:val="0"/>
      <w:marRight w:val="0"/>
      <w:marTop w:val="0"/>
      <w:marBottom w:val="0"/>
      <w:divBdr>
        <w:top w:val="none" w:sz="0" w:space="0" w:color="auto"/>
        <w:left w:val="none" w:sz="0" w:space="0" w:color="auto"/>
        <w:bottom w:val="none" w:sz="0" w:space="0" w:color="auto"/>
        <w:right w:val="none" w:sz="0" w:space="0" w:color="auto"/>
      </w:divBdr>
    </w:div>
    <w:div w:id="1902058244">
      <w:bodyDiv w:val="1"/>
      <w:marLeft w:val="0"/>
      <w:marRight w:val="0"/>
      <w:marTop w:val="0"/>
      <w:marBottom w:val="0"/>
      <w:divBdr>
        <w:top w:val="none" w:sz="0" w:space="0" w:color="auto"/>
        <w:left w:val="none" w:sz="0" w:space="0" w:color="auto"/>
        <w:bottom w:val="none" w:sz="0" w:space="0" w:color="auto"/>
        <w:right w:val="none" w:sz="0" w:space="0" w:color="auto"/>
      </w:divBdr>
    </w:div>
    <w:div w:id="1906602452">
      <w:bodyDiv w:val="1"/>
      <w:marLeft w:val="0"/>
      <w:marRight w:val="0"/>
      <w:marTop w:val="0"/>
      <w:marBottom w:val="0"/>
      <w:divBdr>
        <w:top w:val="none" w:sz="0" w:space="0" w:color="auto"/>
        <w:left w:val="none" w:sz="0" w:space="0" w:color="auto"/>
        <w:bottom w:val="none" w:sz="0" w:space="0" w:color="auto"/>
        <w:right w:val="none" w:sz="0" w:space="0" w:color="auto"/>
      </w:divBdr>
    </w:div>
    <w:div w:id="1921982876">
      <w:bodyDiv w:val="1"/>
      <w:marLeft w:val="0"/>
      <w:marRight w:val="0"/>
      <w:marTop w:val="0"/>
      <w:marBottom w:val="0"/>
      <w:divBdr>
        <w:top w:val="none" w:sz="0" w:space="0" w:color="auto"/>
        <w:left w:val="none" w:sz="0" w:space="0" w:color="auto"/>
        <w:bottom w:val="none" w:sz="0" w:space="0" w:color="auto"/>
        <w:right w:val="none" w:sz="0" w:space="0" w:color="auto"/>
      </w:divBdr>
    </w:div>
    <w:div w:id="1937709994">
      <w:bodyDiv w:val="1"/>
      <w:marLeft w:val="0"/>
      <w:marRight w:val="0"/>
      <w:marTop w:val="0"/>
      <w:marBottom w:val="0"/>
      <w:divBdr>
        <w:top w:val="none" w:sz="0" w:space="0" w:color="auto"/>
        <w:left w:val="none" w:sz="0" w:space="0" w:color="auto"/>
        <w:bottom w:val="none" w:sz="0" w:space="0" w:color="auto"/>
        <w:right w:val="none" w:sz="0" w:space="0" w:color="auto"/>
      </w:divBdr>
    </w:div>
    <w:div w:id="1944923589">
      <w:bodyDiv w:val="1"/>
      <w:marLeft w:val="0"/>
      <w:marRight w:val="0"/>
      <w:marTop w:val="0"/>
      <w:marBottom w:val="0"/>
      <w:divBdr>
        <w:top w:val="none" w:sz="0" w:space="0" w:color="auto"/>
        <w:left w:val="none" w:sz="0" w:space="0" w:color="auto"/>
        <w:bottom w:val="none" w:sz="0" w:space="0" w:color="auto"/>
        <w:right w:val="none" w:sz="0" w:space="0" w:color="auto"/>
      </w:divBdr>
    </w:div>
    <w:div w:id="1977253799">
      <w:bodyDiv w:val="1"/>
      <w:marLeft w:val="0"/>
      <w:marRight w:val="0"/>
      <w:marTop w:val="0"/>
      <w:marBottom w:val="0"/>
      <w:divBdr>
        <w:top w:val="none" w:sz="0" w:space="0" w:color="auto"/>
        <w:left w:val="none" w:sz="0" w:space="0" w:color="auto"/>
        <w:bottom w:val="none" w:sz="0" w:space="0" w:color="auto"/>
        <w:right w:val="none" w:sz="0" w:space="0" w:color="auto"/>
      </w:divBdr>
      <w:divsChild>
        <w:div w:id="1428958975">
          <w:marLeft w:val="-225"/>
          <w:marRight w:val="-225"/>
          <w:marTop w:val="0"/>
          <w:marBottom w:val="450"/>
          <w:divBdr>
            <w:top w:val="none" w:sz="0" w:space="0" w:color="auto"/>
            <w:left w:val="none" w:sz="0" w:space="0" w:color="auto"/>
            <w:bottom w:val="none" w:sz="0" w:space="0" w:color="auto"/>
            <w:right w:val="none" w:sz="0" w:space="0" w:color="auto"/>
          </w:divBdr>
          <w:divsChild>
            <w:div w:id="7701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86614">
      <w:bodyDiv w:val="1"/>
      <w:marLeft w:val="0"/>
      <w:marRight w:val="0"/>
      <w:marTop w:val="0"/>
      <w:marBottom w:val="0"/>
      <w:divBdr>
        <w:top w:val="none" w:sz="0" w:space="0" w:color="auto"/>
        <w:left w:val="none" w:sz="0" w:space="0" w:color="auto"/>
        <w:bottom w:val="none" w:sz="0" w:space="0" w:color="auto"/>
        <w:right w:val="none" w:sz="0" w:space="0" w:color="auto"/>
      </w:divBdr>
      <w:divsChild>
        <w:div w:id="963582849">
          <w:marLeft w:val="0"/>
          <w:marRight w:val="0"/>
          <w:marTop w:val="0"/>
          <w:marBottom w:val="0"/>
          <w:divBdr>
            <w:top w:val="none" w:sz="0" w:space="0" w:color="auto"/>
            <w:left w:val="none" w:sz="0" w:space="0" w:color="auto"/>
            <w:bottom w:val="none" w:sz="0" w:space="0" w:color="auto"/>
            <w:right w:val="none" w:sz="0" w:space="0" w:color="auto"/>
          </w:divBdr>
          <w:divsChild>
            <w:div w:id="1924954178">
              <w:marLeft w:val="-225"/>
              <w:marRight w:val="-225"/>
              <w:marTop w:val="0"/>
              <w:marBottom w:val="0"/>
              <w:divBdr>
                <w:top w:val="none" w:sz="0" w:space="0" w:color="auto"/>
                <w:left w:val="none" w:sz="0" w:space="0" w:color="auto"/>
                <w:bottom w:val="none" w:sz="0" w:space="0" w:color="auto"/>
                <w:right w:val="none" w:sz="0" w:space="0" w:color="auto"/>
              </w:divBdr>
            </w:div>
          </w:divsChild>
        </w:div>
        <w:div w:id="93016864">
          <w:marLeft w:val="0"/>
          <w:marRight w:val="0"/>
          <w:marTop w:val="0"/>
          <w:marBottom w:val="0"/>
          <w:divBdr>
            <w:top w:val="none" w:sz="0" w:space="0" w:color="auto"/>
            <w:left w:val="none" w:sz="0" w:space="0" w:color="auto"/>
            <w:bottom w:val="none" w:sz="0" w:space="0" w:color="auto"/>
            <w:right w:val="none" w:sz="0" w:space="0" w:color="auto"/>
          </w:divBdr>
          <w:divsChild>
            <w:div w:id="859858114">
              <w:marLeft w:val="-225"/>
              <w:marRight w:val="-225"/>
              <w:marTop w:val="0"/>
              <w:marBottom w:val="0"/>
              <w:divBdr>
                <w:top w:val="none" w:sz="0" w:space="0" w:color="auto"/>
                <w:left w:val="none" w:sz="0" w:space="0" w:color="auto"/>
                <w:bottom w:val="none" w:sz="0" w:space="0" w:color="auto"/>
                <w:right w:val="none" w:sz="0" w:space="0" w:color="auto"/>
              </w:divBdr>
            </w:div>
          </w:divsChild>
        </w:div>
        <w:div w:id="552499849">
          <w:marLeft w:val="0"/>
          <w:marRight w:val="0"/>
          <w:marTop w:val="0"/>
          <w:marBottom w:val="0"/>
          <w:divBdr>
            <w:top w:val="none" w:sz="0" w:space="0" w:color="auto"/>
            <w:left w:val="none" w:sz="0" w:space="0" w:color="auto"/>
            <w:bottom w:val="none" w:sz="0" w:space="0" w:color="auto"/>
            <w:right w:val="none" w:sz="0" w:space="0" w:color="auto"/>
          </w:divBdr>
          <w:divsChild>
            <w:div w:id="1193037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94738296">
      <w:bodyDiv w:val="1"/>
      <w:marLeft w:val="0"/>
      <w:marRight w:val="0"/>
      <w:marTop w:val="0"/>
      <w:marBottom w:val="0"/>
      <w:divBdr>
        <w:top w:val="none" w:sz="0" w:space="0" w:color="auto"/>
        <w:left w:val="none" w:sz="0" w:space="0" w:color="auto"/>
        <w:bottom w:val="none" w:sz="0" w:space="0" w:color="auto"/>
        <w:right w:val="none" w:sz="0" w:space="0" w:color="auto"/>
      </w:divBdr>
    </w:div>
    <w:div w:id="2123111548">
      <w:bodyDiv w:val="1"/>
      <w:marLeft w:val="0"/>
      <w:marRight w:val="0"/>
      <w:marTop w:val="0"/>
      <w:marBottom w:val="0"/>
      <w:divBdr>
        <w:top w:val="none" w:sz="0" w:space="0" w:color="auto"/>
        <w:left w:val="none" w:sz="0" w:space="0" w:color="auto"/>
        <w:bottom w:val="none" w:sz="0" w:space="0" w:color="auto"/>
        <w:right w:val="none" w:sz="0" w:space="0" w:color="auto"/>
      </w:divBdr>
      <w:divsChild>
        <w:div w:id="845825703">
          <w:marLeft w:val="-225"/>
          <w:marRight w:val="-225"/>
          <w:marTop w:val="0"/>
          <w:marBottom w:val="450"/>
          <w:divBdr>
            <w:top w:val="none" w:sz="0" w:space="0" w:color="auto"/>
            <w:left w:val="none" w:sz="0" w:space="0" w:color="auto"/>
            <w:bottom w:val="none" w:sz="0" w:space="0" w:color="auto"/>
            <w:right w:val="none" w:sz="0" w:space="0" w:color="auto"/>
          </w:divBdr>
          <w:divsChild>
            <w:div w:id="752747188">
              <w:marLeft w:val="0"/>
              <w:marRight w:val="0"/>
              <w:marTop w:val="0"/>
              <w:marBottom w:val="0"/>
              <w:divBdr>
                <w:top w:val="none" w:sz="0" w:space="0" w:color="auto"/>
                <w:left w:val="none" w:sz="0" w:space="0" w:color="auto"/>
                <w:bottom w:val="none" w:sz="0" w:space="0" w:color="auto"/>
                <w:right w:val="none" w:sz="0" w:space="0" w:color="auto"/>
              </w:divBdr>
            </w:div>
          </w:divsChild>
        </w:div>
        <w:div w:id="1688023280">
          <w:marLeft w:val="-225"/>
          <w:marRight w:val="-225"/>
          <w:marTop w:val="0"/>
          <w:marBottom w:val="450"/>
          <w:divBdr>
            <w:top w:val="none" w:sz="0" w:space="0" w:color="auto"/>
            <w:left w:val="none" w:sz="0" w:space="0" w:color="auto"/>
            <w:bottom w:val="none" w:sz="0" w:space="0" w:color="auto"/>
            <w:right w:val="none" w:sz="0" w:space="0" w:color="auto"/>
          </w:divBdr>
          <w:divsChild>
            <w:div w:id="112519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da.i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dsfa.ie/en/downloads/2018-Report.pdf" TargetMode="External"/><Relationship Id="rId13" Type="http://schemas.openxmlformats.org/officeDocument/2006/relationships/hyperlink" Target="http://www.dsfa.ie/en/downloads/2018-Report.pdf" TargetMode="External"/><Relationship Id="rId18" Type="http://schemas.openxmlformats.org/officeDocument/2006/relationships/hyperlink" Target="https://www.gov.ie/en/service/ef9299-disablement-benefit/" TargetMode="External"/><Relationship Id="rId26" Type="http://schemas.openxmlformats.org/officeDocument/2006/relationships/hyperlink" Target="https://www.gov.ie/en/publication/b95008-operational-guidelines-carers-allowance/" TargetMode="External"/><Relationship Id="rId39" Type="http://schemas.openxmlformats.org/officeDocument/2006/relationships/hyperlink" Target="http://www.dsfa.ie/en/downloads/2018-Report.pdf" TargetMode="External"/><Relationship Id="rId3" Type="http://schemas.openxmlformats.org/officeDocument/2006/relationships/hyperlink" Target="https://www.cso.ie/en/releasesandpublications/ep/p-cp11eoi/cp11eoi/pec/" TargetMode="External"/><Relationship Id="rId21" Type="http://schemas.openxmlformats.org/officeDocument/2006/relationships/hyperlink" Target="https://www.gov.ie/en/service/23f2b0-incapacity-supplement/" TargetMode="External"/><Relationship Id="rId34" Type="http://schemas.openxmlformats.org/officeDocument/2006/relationships/hyperlink" Target="https://www.gov.ie/en/service/00aa38-fuel-allowance/" TargetMode="External"/><Relationship Id="rId42" Type="http://schemas.openxmlformats.org/officeDocument/2006/relationships/hyperlink" Target="http://www.dsfa.ie/en/downloads/2018-Report.pdf" TargetMode="External"/><Relationship Id="rId7" Type="http://schemas.openxmlformats.org/officeDocument/2006/relationships/hyperlink" Target="https://www.gov.ie/en/service/df6811-disability-allowance/" TargetMode="External"/><Relationship Id="rId12" Type="http://schemas.openxmlformats.org/officeDocument/2006/relationships/hyperlink" Target="https://www.gov.ie/en/service/619221-blind-pension/" TargetMode="External"/><Relationship Id="rId17" Type="http://schemas.openxmlformats.org/officeDocument/2006/relationships/hyperlink" Target="http://www.dsfa.ie/en/downloads/2018-Report.pdf" TargetMode="External"/><Relationship Id="rId25" Type="http://schemas.openxmlformats.org/officeDocument/2006/relationships/hyperlink" Target="https://www.gov.ie/en/service/0aad20-constant-attendance-allowance/" TargetMode="External"/><Relationship Id="rId33" Type="http://schemas.openxmlformats.org/officeDocument/2006/relationships/hyperlink" Target="https://www.gov.ie/en/publication/371e50-operational-guidelines-increase-for-living-on-a-specified-island/" TargetMode="External"/><Relationship Id="rId38" Type="http://schemas.openxmlformats.org/officeDocument/2006/relationships/hyperlink" Target="http://www.dsfa.ie/en/downloads/2018-Report.pdf" TargetMode="External"/><Relationship Id="rId2" Type="http://schemas.openxmlformats.org/officeDocument/2006/relationships/hyperlink" Target="https://www.cso.ie/en/releasesandpublications/ep/p-silc/surveyonincomeandlivingconditionssilc2017/povertyanddeprivation/" TargetMode="External"/><Relationship Id="rId16" Type="http://schemas.openxmlformats.org/officeDocument/2006/relationships/hyperlink" Target="https://www.gov.ie/en/service/fcdb1e-injury-benefit/" TargetMode="External"/><Relationship Id="rId20" Type="http://schemas.openxmlformats.org/officeDocument/2006/relationships/hyperlink" Target="http://www.dsfa.ie/en/downloads/2018-Report.pdf" TargetMode="External"/><Relationship Id="rId29" Type="http://schemas.openxmlformats.org/officeDocument/2006/relationships/hyperlink" Target="http://www.dsfa.ie/en/downloads/2018-Report.pdf" TargetMode="External"/><Relationship Id="rId41" Type="http://schemas.openxmlformats.org/officeDocument/2006/relationships/hyperlink" Target="http://www.dsfa.ie/en/downloads/2018-Report.pdf" TargetMode="External"/><Relationship Id="rId1" Type="http://schemas.openxmlformats.org/officeDocument/2006/relationships/hyperlink" Target="https://www.un.org/disabilities/documents/convention/convoptprot-e.pdf" TargetMode="External"/><Relationship Id="rId6" Type="http://schemas.openxmlformats.org/officeDocument/2006/relationships/hyperlink" Target="https://www.gov.ie/en/policy/9569bc-policy/" TargetMode="External"/><Relationship Id="rId11" Type="http://schemas.openxmlformats.org/officeDocument/2006/relationships/hyperlink" Target="http://www.dsfa.ie/en/downloads/2018-Report.pdf" TargetMode="External"/><Relationship Id="rId24" Type="http://schemas.openxmlformats.org/officeDocument/2006/relationships/hyperlink" Target="http://www.dsfa.ie/en/downloads/2018-Report.pdf" TargetMode="External"/><Relationship Id="rId32" Type="http://schemas.openxmlformats.org/officeDocument/2006/relationships/hyperlink" Target="https://www.gov.ie/en/service/4d2773-telephone-support-allowance/" TargetMode="External"/><Relationship Id="rId37" Type="http://schemas.openxmlformats.org/officeDocument/2006/relationships/hyperlink" Target="https://www.gov.ie/en/service/9bba61-free-travel-scheme/" TargetMode="External"/><Relationship Id="rId40" Type="http://schemas.openxmlformats.org/officeDocument/2006/relationships/hyperlink" Target="https://www.gov.ie/en/service/e87d27-household-benefits-package/" TargetMode="External"/><Relationship Id="rId45" Type="http://schemas.openxmlformats.org/officeDocument/2006/relationships/hyperlink" Target="https://www.gov.ie/pdf/?file=https://assets.gov.ie/46557/bf7011904ede4562b925f98b15c4f1b5.pdf" TargetMode="External"/><Relationship Id="rId5" Type="http://schemas.openxmlformats.org/officeDocument/2006/relationships/hyperlink" Target="https://ec.europa.eu/eurostat/statistics-explained/index.php/Disability_statistics_-_poverty_and_income_inequalities" TargetMode="External"/><Relationship Id="rId15" Type="http://schemas.openxmlformats.org/officeDocument/2006/relationships/hyperlink" Target="http://www.dsfa.ie/en/downloads/2018-Report.pdf" TargetMode="External"/><Relationship Id="rId23" Type="http://schemas.openxmlformats.org/officeDocument/2006/relationships/hyperlink" Target="https://www.gov.ie/en/service/c75cf6-medical-care-scheme/" TargetMode="External"/><Relationship Id="rId28" Type="http://schemas.openxmlformats.org/officeDocument/2006/relationships/hyperlink" Target="https://www.gov.ie/en/service/455c16-carers-benefit/" TargetMode="External"/><Relationship Id="rId36" Type="http://schemas.openxmlformats.org/officeDocument/2006/relationships/hyperlink" Target="https://www.gov.ie/en/service/c79268-partial-capacity-benefit/" TargetMode="External"/><Relationship Id="rId10" Type="http://schemas.openxmlformats.org/officeDocument/2006/relationships/hyperlink" Target="https://www.gov.ie/en/publication/31af56-operational-guidelines-domiciliary-care-allowance/" TargetMode="External"/><Relationship Id="rId19" Type="http://schemas.openxmlformats.org/officeDocument/2006/relationships/hyperlink" Target="https://www.gov.ie/en/service/ef9299-disablement-benefit/" TargetMode="External"/><Relationship Id="rId31" Type="http://schemas.openxmlformats.org/officeDocument/2006/relationships/hyperlink" Target="https://www.gov.ie/en/publication/f532d4-operational-guidelines-living-alone-increase/" TargetMode="External"/><Relationship Id="rId44" Type="http://schemas.openxmlformats.org/officeDocument/2006/relationships/hyperlink" Target="http://nda.ie/File-upload/Indecon-Report-on-the-Cost-of-Disability.pdf" TargetMode="External"/><Relationship Id="rId4" Type="http://schemas.openxmlformats.org/officeDocument/2006/relationships/hyperlink" Target="https://ec.europa.eu/eurostat/statistics-explained/pdfscache/1156.pdf" TargetMode="External"/><Relationship Id="rId9" Type="http://schemas.openxmlformats.org/officeDocument/2006/relationships/hyperlink" Target="https://assets.gov.ie/7268/48351e0c87ef4600a615494e152f1ba8.pdf" TargetMode="External"/><Relationship Id="rId14" Type="http://schemas.openxmlformats.org/officeDocument/2006/relationships/hyperlink" Target="https://www.gov.ie/en/service/d148b9-invalidity-pension/" TargetMode="External"/><Relationship Id="rId22" Type="http://schemas.openxmlformats.org/officeDocument/2006/relationships/hyperlink" Target="https://www.cso.ie/en/releasesandpublications/ep/p-wamii/womenandmeninireland2016/health/" TargetMode="External"/><Relationship Id="rId27" Type="http://schemas.openxmlformats.org/officeDocument/2006/relationships/hyperlink" Target="http://www.dsfa.ie/en/downloads/2018-Report.pdf" TargetMode="External"/><Relationship Id="rId30" Type="http://schemas.openxmlformats.org/officeDocument/2006/relationships/hyperlink" Target="http://www.dsfa.ie/en/downloads/2018-Report.pdf" TargetMode="External"/><Relationship Id="rId35" Type="http://schemas.openxmlformats.org/officeDocument/2006/relationships/hyperlink" Target="http://www.dsfa.ie/en/downloads/2018-Report.pdf" TargetMode="External"/><Relationship Id="rId43" Type="http://schemas.openxmlformats.org/officeDocument/2006/relationships/hyperlink" Target="https://www.esri.ie/system/files/media/file-uploads/2018-06/BKMNEXT36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8A946-163B-4C97-AC44-0AFF7E66E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0</TotalTime>
  <Pages>36</Pages>
  <Words>8416</Words>
  <Characters>45941</Characters>
  <Application>Microsoft Office Word</Application>
  <DocSecurity>4</DocSecurity>
  <Lines>382</Lines>
  <Paragraphs>108</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54249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 Kennefick</dc:creator>
  <cp:keywords/>
  <cp:lastModifiedBy>Heather C. O'Leary</cp:lastModifiedBy>
  <cp:revision>2</cp:revision>
  <dcterms:created xsi:type="dcterms:W3CDTF">2022-06-09T12:51:00Z</dcterms:created>
  <dcterms:modified xsi:type="dcterms:W3CDTF">2022-06-09T12:51:00Z</dcterms:modified>
</cp:coreProperties>
</file>