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2506C" w14:textId="7AC7E49C" w:rsidR="0097468E" w:rsidRPr="004841EF" w:rsidRDefault="0097468E" w:rsidP="00E233B7">
      <w:pPr>
        <w:pStyle w:val="Title"/>
        <w:spacing w:after="960"/>
        <w:jc w:val="left"/>
        <w:rPr>
          <w:sz w:val="72"/>
        </w:rPr>
      </w:pPr>
      <w:bookmarkStart w:id="0" w:name="_Toc16086955"/>
      <w:bookmarkStart w:id="1" w:name="_Toc26192064"/>
      <w:bookmarkStart w:id="2" w:name="_GoBack"/>
      <w:bookmarkEnd w:id="2"/>
      <w:r w:rsidRPr="004841EF">
        <w:rPr>
          <w:sz w:val="72"/>
        </w:rPr>
        <w:t>Reasonable Accommodations: Obstacles and Opportunities</w:t>
      </w:r>
      <w:bookmarkEnd w:id="0"/>
      <w:r w:rsidRPr="004841EF">
        <w:rPr>
          <w:sz w:val="72"/>
        </w:rPr>
        <w:t xml:space="preserve"> to the Employment of Persons with a Disability</w:t>
      </w:r>
      <w:bookmarkEnd w:id="1"/>
    </w:p>
    <w:p w14:paraId="596BA080" w14:textId="24EED62F" w:rsidR="00E677CE" w:rsidRPr="004841EF" w:rsidRDefault="006711F8" w:rsidP="00E233B7">
      <w:pPr>
        <w:tabs>
          <w:tab w:val="left" w:pos="2835"/>
        </w:tabs>
        <w:spacing w:after="2160"/>
        <w:rPr>
          <w:rFonts w:eastAsia="SimSun"/>
          <w:b/>
        </w:rPr>
      </w:pPr>
      <w:r w:rsidRPr="004841EF">
        <w:rPr>
          <w:rFonts w:eastAsia="SimSun"/>
          <w:b/>
        </w:rPr>
        <w:t>November 2019</w:t>
      </w:r>
    </w:p>
    <w:p w14:paraId="317CFCE9" w14:textId="77777777" w:rsidR="00E233B7" w:rsidRPr="004841EF" w:rsidRDefault="006711F8" w:rsidP="00E677CE">
      <w:pPr>
        <w:tabs>
          <w:tab w:val="left" w:pos="2835"/>
        </w:tabs>
        <w:rPr>
          <w:rFonts w:cs="Arial"/>
          <w:b/>
          <w:bCs/>
          <w:kern w:val="28"/>
          <w:sz w:val="36"/>
          <w:szCs w:val="32"/>
        </w:rPr>
      </w:pPr>
      <w:r w:rsidRPr="004841EF">
        <w:rPr>
          <w:rFonts w:eastAsia="SimSun"/>
          <w:noProof/>
          <w:lang w:eastAsia="en-IE"/>
        </w:rPr>
        <w:lastRenderedPageBreak/>
        <w:drawing>
          <wp:inline distT="0" distB="0" distL="0" distR="0" wp14:anchorId="313C330C" wp14:editId="6D7F2C26">
            <wp:extent cx="2733675" cy="1952625"/>
            <wp:effectExtent l="0" t="0" r="9525" b="9525"/>
            <wp:docPr id="3" name="Picture 0" descr="Logo of National Disability Authority" title="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DA_LOGO_2010_COLO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675" cy="1952625"/>
                    </a:xfrm>
                    <a:prstGeom prst="rect">
                      <a:avLst/>
                    </a:prstGeom>
                    <a:noFill/>
                    <a:ln>
                      <a:noFill/>
                    </a:ln>
                  </pic:spPr>
                </pic:pic>
              </a:graphicData>
            </a:graphic>
          </wp:inline>
        </w:drawing>
      </w:r>
    </w:p>
    <w:p w14:paraId="368EC46E" w14:textId="16E07916" w:rsidR="00E233B7" w:rsidRPr="004841EF" w:rsidRDefault="00E233B7">
      <w:pPr>
        <w:spacing w:after="0"/>
        <w:rPr>
          <w:rFonts w:cs="Arial"/>
          <w:b/>
          <w:bCs/>
          <w:kern w:val="28"/>
          <w:sz w:val="36"/>
          <w:szCs w:val="32"/>
        </w:rPr>
      </w:pPr>
      <w:r w:rsidRPr="004841EF">
        <w:rPr>
          <w:rFonts w:cs="Arial"/>
          <w:b/>
          <w:bCs/>
          <w:kern w:val="28"/>
          <w:sz w:val="36"/>
          <w:szCs w:val="32"/>
        </w:rPr>
        <w:br w:type="page"/>
      </w:r>
    </w:p>
    <w:p w14:paraId="3C91EF4C" w14:textId="217FA58E" w:rsidR="00E233B7" w:rsidRPr="004841EF" w:rsidRDefault="00E233B7">
      <w:pPr>
        <w:spacing w:after="0"/>
        <w:rPr>
          <w:rFonts w:cs="Arial"/>
          <w:b/>
          <w:bCs/>
          <w:kern w:val="28"/>
          <w:sz w:val="36"/>
          <w:szCs w:val="32"/>
        </w:rPr>
      </w:pPr>
      <w:r w:rsidRPr="004841EF">
        <w:rPr>
          <w:rFonts w:cs="Arial"/>
          <w:b/>
          <w:bCs/>
          <w:kern w:val="28"/>
          <w:sz w:val="36"/>
          <w:szCs w:val="32"/>
        </w:rPr>
        <w:lastRenderedPageBreak/>
        <w:t>Table of Contents</w:t>
      </w:r>
    </w:p>
    <w:p w14:paraId="35C99A88" w14:textId="0FDD8F04" w:rsidR="002447EE" w:rsidRDefault="002447EE">
      <w:pPr>
        <w:pStyle w:val="TOC1"/>
        <w:rPr>
          <w:rFonts w:asciiTheme="minorHAnsi" w:eastAsiaTheme="minorEastAsia" w:hAnsiTheme="minorHAnsi" w:cstheme="minorBidi"/>
          <w:b w:val="0"/>
          <w:noProof/>
          <w:sz w:val="22"/>
          <w:szCs w:val="22"/>
          <w:lang w:eastAsia="en-IE"/>
        </w:rPr>
      </w:pPr>
      <w:r>
        <w:rPr>
          <w:rFonts w:cs="Arial"/>
          <w:b w:val="0"/>
          <w:bCs/>
          <w:kern w:val="28"/>
          <w:sz w:val="36"/>
          <w:szCs w:val="32"/>
        </w:rPr>
        <w:fldChar w:fldCharType="begin"/>
      </w:r>
      <w:r>
        <w:rPr>
          <w:rFonts w:cs="Arial"/>
          <w:b w:val="0"/>
          <w:bCs/>
          <w:kern w:val="28"/>
          <w:sz w:val="36"/>
          <w:szCs w:val="32"/>
        </w:rPr>
        <w:instrText xml:space="preserve"> TOC \h \z \t "Heading 1,1,Heading 2,2" </w:instrText>
      </w:r>
      <w:r>
        <w:rPr>
          <w:rFonts w:cs="Arial"/>
          <w:b w:val="0"/>
          <w:bCs/>
          <w:kern w:val="28"/>
          <w:sz w:val="36"/>
          <w:szCs w:val="32"/>
        </w:rPr>
        <w:fldChar w:fldCharType="separate"/>
      </w:r>
      <w:hyperlink w:anchor="_Toc42172531" w:history="1">
        <w:r w:rsidRPr="009A1F2A">
          <w:rPr>
            <w:rStyle w:val="Hyperlink"/>
            <w:noProof/>
          </w:rPr>
          <w:t>Executive Summary</w:t>
        </w:r>
        <w:r>
          <w:rPr>
            <w:noProof/>
            <w:webHidden/>
          </w:rPr>
          <w:tab/>
        </w:r>
        <w:r>
          <w:rPr>
            <w:noProof/>
            <w:webHidden/>
          </w:rPr>
          <w:fldChar w:fldCharType="begin"/>
        </w:r>
        <w:r>
          <w:rPr>
            <w:noProof/>
            <w:webHidden/>
          </w:rPr>
          <w:instrText xml:space="preserve"> PAGEREF _Toc42172531 \h </w:instrText>
        </w:r>
        <w:r>
          <w:rPr>
            <w:noProof/>
            <w:webHidden/>
          </w:rPr>
        </w:r>
        <w:r>
          <w:rPr>
            <w:noProof/>
            <w:webHidden/>
          </w:rPr>
          <w:fldChar w:fldCharType="separate"/>
        </w:r>
        <w:r w:rsidR="00194957">
          <w:rPr>
            <w:noProof/>
            <w:webHidden/>
          </w:rPr>
          <w:t>2</w:t>
        </w:r>
        <w:r>
          <w:rPr>
            <w:noProof/>
            <w:webHidden/>
          </w:rPr>
          <w:fldChar w:fldCharType="end"/>
        </w:r>
      </w:hyperlink>
    </w:p>
    <w:p w14:paraId="123A138C" w14:textId="27A83277" w:rsidR="002447EE" w:rsidRDefault="00FD204E">
      <w:pPr>
        <w:pStyle w:val="TOC1"/>
        <w:rPr>
          <w:rFonts w:asciiTheme="minorHAnsi" w:eastAsiaTheme="minorEastAsia" w:hAnsiTheme="minorHAnsi" w:cstheme="minorBidi"/>
          <w:b w:val="0"/>
          <w:noProof/>
          <w:sz w:val="22"/>
          <w:szCs w:val="22"/>
          <w:lang w:eastAsia="en-IE"/>
        </w:rPr>
      </w:pPr>
      <w:hyperlink w:anchor="_Toc42172532" w:history="1">
        <w:r w:rsidR="002447EE" w:rsidRPr="009A1F2A">
          <w:rPr>
            <w:rStyle w:val="Hyperlink"/>
            <w:noProof/>
          </w:rPr>
          <w:t>Chapter 1 - Introduction and Background</w:t>
        </w:r>
        <w:r w:rsidR="002447EE">
          <w:rPr>
            <w:noProof/>
            <w:webHidden/>
          </w:rPr>
          <w:tab/>
        </w:r>
        <w:r w:rsidR="002447EE">
          <w:rPr>
            <w:noProof/>
            <w:webHidden/>
          </w:rPr>
          <w:fldChar w:fldCharType="begin"/>
        </w:r>
        <w:r w:rsidR="002447EE">
          <w:rPr>
            <w:noProof/>
            <w:webHidden/>
          </w:rPr>
          <w:instrText xml:space="preserve"> PAGEREF _Toc42172532 \h </w:instrText>
        </w:r>
        <w:r w:rsidR="002447EE">
          <w:rPr>
            <w:noProof/>
            <w:webHidden/>
          </w:rPr>
        </w:r>
        <w:r w:rsidR="002447EE">
          <w:rPr>
            <w:noProof/>
            <w:webHidden/>
          </w:rPr>
          <w:fldChar w:fldCharType="separate"/>
        </w:r>
        <w:r w:rsidR="00194957">
          <w:rPr>
            <w:noProof/>
            <w:webHidden/>
          </w:rPr>
          <w:t>2</w:t>
        </w:r>
        <w:r w:rsidR="002447EE">
          <w:rPr>
            <w:noProof/>
            <w:webHidden/>
          </w:rPr>
          <w:fldChar w:fldCharType="end"/>
        </w:r>
      </w:hyperlink>
    </w:p>
    <w:p w14:paraId="590CA7EB" w14:textId="1C1513AB" w:rsidR="002447EE" w:rsidRDefault="00FD204E">
      <w:pPr>
        <w:pStyle w:val="TOC2"/>
        <w:rPr>
          <w:rFonts w:asciiTheme="minorHAnsi" w:eastAsiaTheme="minorEastAsia" w:hAnsiTheme="minorHAnsi" w:cstheme="minorBidi"/>
          <w:bCs w:val="0"/>
          <w:iCs w:val="0"/>
          <w:sz w:val="22"/>
          <w:szCs w:val="22"/>
          <w:lang w:eastAsia="en-IE"/>
        </w:rPr>
      </w:pPr>
      <w:hyperlink w:anchor="_Toc42172533" w:history="1">
        <w:r w:rsidR="002447EE" w:rsidRPr="009A1F2A">
          <w:rPr>
            <w:rStyle w:val="Hyperlink"/>
          </w:rPr>
          <w:t>1.1. Context</w:t>
        </w:r>
        <w:r w:rsidR="002447EE">
          <w:rPr>
            <w:webHidden/>
          </w:rPr>
          <w:tab/>
        </w:r>
        <w:r w:rsidR="002447EE">
          <w:rPr>
            <w:webHidden/>
          </w:rPr>
          <w:fldChar w:fldCharType="begin"/>
        </w:r>
        <w:r w:rsidR="002447EE">
          <w:rPr>
            <w:webHidden/>
          </w:rPr>
          <w:instrText xml:space="preserve"> PAGEREF _Toc42172533 \h </w:instrText>
        </w:r>
        <w:r w:rsidR="002447EE">
          <w:rPr>
            <w:webHidden/>
          </w:rPr>
        </w:r>
        <w:r w:rsidR="002447EE">
          <w:rPr>
            <w:webHidden/>
          </w:rPr>
          <w:fldChar w:fldCharType="separate"/>
        </w:r>
        <w:r w:rsidR="00194957">
          <w:rPr>
            <w:webHidden/>
          </w:rPr>
          <w:t>2</w:t>
        </w:r>
        <w:r w:rsidR="002447EE">
          <w:rPr>
            <w:webHidden/>
          </w:rPr>
          <w:fldChar w:fldCharType="end"/>
        </w:r>
      </w:hyperlink>
    </w:p>
    <w:p w14:paraId="5592B5D7" w14:textId="7419AD0A" w:rsidR="002447EE" w:rsidRDefault="00FD204E">
      <w:pPr>
        <w:pStyle w:val="TOC2"/>
        <w:rPr>
          <w:rFonts w:asciiTheme="minorHAnsi" w:eastAsiaTheme="minorEastAsia" w:hAnsiTheme="minorHAnsi" w:cstheme="minorBidi"/>
          <w:bCs w:val="0"/>
          <w:iCs w:val="0"/>
          <w:sz w:val="22"/>
          <w:szCs w:val="22"/>
          <w:lang w:eastAsia="en-IE"/>
        </w:rPr>
      </w:pPr>
      <w:hyperlink w:anchor="_Toc42172534" w:history="1">
        <w:r w:rsidR="002447EE" w:rsidRPr="009A1F2A">
          <w:rPr>
            <w:rStyle w:val="Hyperlink"/>
          </w:rPr>
          <w:t>1.2. Aims of the report</w:t>
        </w:r>
        <w:r w:rsidR="002447EE">
          <w:rPr>
            <w:webHidden/>
          </w:rPr>
          <w:tab/>
        </w:r>
        <w:r w:rsidR="002447EE">
          <w:rPr>
            <w:webHidden/>
          </w:rPr>
          <w:fldChar w:fldCharType="begin"/>
        </w:r>
        <w:r w:rsidR="002447EE">
          <w:rPr>
            <w:webHidden/>
          </w:rPr>
          <w:instrText xml:space="preserve"> PAGEREF _Toc42172534 \h </w:instrText>
        </w:r>
        <w:r w:rsidR="002447EE">
          <w:rPr>
            <w:webHidden/>
          </w:rPr>
        </w:r>
        <w:r w:rsidR="002447EE">
          <w:rPr>
            <w:webHidden/>
          </w:rPr>
          <w:fldChar w:fldCharType="separate"/>
        </w:r>
        <w:r w:rsidR="00194957">
          <w:rPr>
            <w:webHidden/>
          </w:rPr>
          <w:t>2</w:t>
        </w:r>
        <w:r w:rsidR="002447EE">
          <w:rPr>
            <w:webHidden/>
          </w:rPr>
          <w:fldChar w:fldCharType="end"/>
        </w:r>
      </w:hyperlink>
    </w:p>
    <w:p w14:paraId="7856E047" w14:textId="45AE612E" w:rsidR="002447EE" w:rsidRDefault="00FD204E">
      <w:pPr>
        <w:pStyle w:val="TOC2"/>
        <w:rPr>
          <w:rFonts w:asciiTheme="minorHAnsi" w:eastAsiaTheme="minorEastAsia" w:hAnsiTheme="minorHAnsi" w:cstheme="minorBidi"/>
          <w:bCs w:val="0"/>
          <w:iCs w:val="0"/>
          <w:sz w:val="22"/>
          <w:szCs w:val="22"/>
          <w:lang w:eastAsia="en-IE"/>
        </w:rPr>
      </w:pPr>
      <w:hyperlink w:anchor="_Toc42172535" w:history="1">
        <w:r w:rsidR="002447EE" w:rsidRPr="009A1F2A">
          <w:rPr>
            <w:rStyle w:val="Hyperlink"/>
          </w:rPr>
          <w:t>1.3. Structure of the report</w:t>
        </w:r>
        <w:r w:rsidR="002447EE">
          <w:rPr>
            <w:webHidden/>
          </w:rPr>
          <w:tab/>
        </w:r>
        <w:r w:rsidR="002447EE">
          <w:rPr>
            <w:webHidden/>
          </w:rPr>
          <w:fldChar w:fldCharType="begin"/>
        </w:r>
        <w:r w:rsidR="002447EE">
          <w:rPr>
            <w:webHidden/>
          </w:rPr>
          <w:instrText xml:space="preserve"> PAGEREF _Toc42172535 \h </w:instrText>
        </w:r>
        <w:r w:rsidR="002447EE">
          <w:rPr>
            <w:webHidden/>
          </w:rPr>
        </w:r>
        <w:r w:rsidR="002447EE">
          <w:rPr>
            <w:webHidden/>
          </w:rPr>
          <w:fldChar w:fldCharType="separate"/>
        </w:r>
        <w:r w:rsidR="00194957">
          <w:rPr>
            <w:webHidden/>
          </w:rPr>
          <w:t>2</w:t>
        </w:r>
        <w:r w:rsidR="002447EE">
          <w:rPr>
            <w:webHidden/>
          </w:rPr>
          <w:fldChar w:fldCharType="end"/>
        </w:r>
      </w:hyperlink>
    </w:p>
    <w:p w14:paraId="37E70891" w14:textId="3170C8C0" w:rsidR="002447EE" w:rsidRDefault="00FD204E">
      <w:pPr>
        <w:pStyle w:val="TOC2"/>
        <w:rPr>
          <w:rFonts w:asciiTheme="minorHAnsi" w:eastAsiaTheme="minorEastAsia" w:hAnsiTheme="minorHAnsi" w:cstheme="minorBidi"/>
          <w:bCs w:val="0"/>
          <w:iCs w:val="0"/>
          <w:sz w:val="22"/>
          <w:szCs w:val="22"/>
          <w:lang w:eastAsia="en-IE"/>
        </w:rPr>
      </w:pPr>
      <w:hyperlink w:anchor="_Toc42172536" w:history="1">
        <w:r w:rsidR="002447EE" w:rsidRPr="009A1F2A">
          <w:rPr>
            <w:rStyle w:val="Hyperlink"/>
          </w:rPr>
          <w:t>1.4. Research strands and consultation</w:t>
        </w:r>
        <w:r w:rsidR="002447EE">
          <w:rPr>
            <w:webHidden/>
          </w:rPr>
          <w:tab/>
        </w:r>
        <w:r w:rsidR="002447EE">
          <w:rPr>
            <w:webHidden/>
          </w:rPr>
          <w:fldChar w:fldCharType="begin"/>
        </w:r>
        <w:r w:rsidR="002447EE">
          <w:rPr>
            <w:webHidden/>
          </w:rPr>
          <w:instrText xml:space="preserve"> PAGEREF _Toc42172536 \h </w:instrText>
        </w:r>
        <w:r w:rsidR="002447EE">
          <w:rPr>
            <w:webHidden/>
          </w:rPr>
        </w:r>
        <w:r w:rsidR="002447EE">
          <w:rPr>
            <w:webHidden/>
          </w:rPr>
          <w:fldChar w:fldCharType="separate"/>
        </w:r>
        <w:r w:rsidR="00194957">
          <w:rPr>
            <w:webHidden/>
          </w:rPr>
          <w:t>2</w:t>
        </w:r>
        <w:r w:rsidR="002447EE">
          <w:rPr>
            <w:webHidden/>
          </w:rPr>
          <w:fldChar w:fldCharType="end"/>
        </w:r>
      </w:hyperlink>
    </w:p>
    <w:p w14:paraId="3540776C" w14:textId="723CB29B" w:rsidR="002447EE" w:rsidRDefault="00FD204E">
      <w:pPr>
        <w:pStyle w:val="TOC1"/>
        <w:rPr>
          <w:rFonts w:asciiTheme="minorHAnsi" w:eastAsiaTheme="minorEastAsia" w:hAnsiTheme="minorHAnsi" w:cstheme="minorBidi"/>
          <w:b w:val="0"/>
          <w:noProof/>
          <w:sz w:val="22"/>
          <w:szCs w:val="22"/>
          <w:lang w:eastAsia="en-IE"/>
        </w:rPr>
      </w:pPr>
      <w:hyperlink w:anchor="_Toc42172537" w:history="1">
        <w:r w:rsidR="002447EE" w:rsidRPr="009A1F2A">
          <w:rPr>
            <w:rStyle w:val="Hyperlink"/>
            <w:noProof/>
          </w:rPr>
          <w:t>Chapter 2 - Reasonable Accommodation under the Employment Equality Acts 1998-2015</w:t>
        </w:r>
        <w:r w:rsidR="002447EE">
          <w:rPr>
            <w:noProof/>
            <w:webHidden/>
          </w:rPr>
          <w:tab/>
        </w:r>
        <w:r w:rsidR="002447EE">
          <w:rPr>
            <w:noProof/>
            <w:webHidden/>
          </w:rPr>
          <w:fldChar w:fldCharType="begin"/>
        </w:r>
        <w:r w:rsidR="002447EE">
          <w:rPr>
            <w:noProof/>
            <w:webHidden/>
          </w:rPr>
          <w:instrText xml:space="preserve"> PAGEREF _Toc42172537 \h </w:instrText>
        </w:r>
        <w:r w:rsidR="002447EE">
          <w:rPr>
            <w:noProof/>
            <w:webHidden/>
          </w:rPr>
        </w:r>
        <w:r w:rsidR="002447EE">
          <w:rPr>
            <w:noProof/>
            <w:webHidden/>
          </w:rPr>
          <w:fldChar w:fldCharType="separate"/>
        </w:r>
        <w:r w:rsidR="00194957">
          <w:rPr>
            <w:noProof/>
            <w:webHidden/>
          </w:rPr>
          <w:t>2</w:t>
        </w:r>
        <w:r w:rsidR="002447EE">
          <w:rPr>
            <w:noProof/>
            <w:webHidden/>
          </w:rPr>
          <w:fldChar w:fldCharType="end"/>
        </w:r>
      </w:hyperlink>
    </w:p>
    <w:p w14:paraId="05322E6C" w14:textId="241488A6" w:rsidR="002447EE" w:rsidRDefault="00FD204E">
      <w:pPr>
        <w:pStyle w:val="TOC2"/>
        <w:rPr>
          <w:rFonts w:asciiTheme="minorHAnsi" w:eastAsiaTheme="minorEastAsia" w:hAnsiTheme="minorHAnsi" w:cstheme="minorBidi"/>
          <w:bCs w:val="0"/>
          <w:iCs w:val="0"/>
          <w:sz w:val="22"/>
          <w:szCs w:val="22"/>
          <w:lang w:eastAsia="en-IE"/>
        </w:rPr>
      </w:pPr>
      <w:hyperlink w:anchor="_Toc42172538" w:history="1">
        <w:r w:rsidR="002447EE" w:rsidRPr="009A1F2A">
          <w:rPr>
            <w:rStyle w:val="Hyperlink"/>
          </w:rPr>
          <w:t>2.1. The Right to Reasonable Accommodations</w:t>
        </w:r>
        <w:r w:rsidR="002447EE">
          <w:rPr>
            <w:webHidden/>
          </w:rPr>
          <w:tab/>
        </w:r>
        <w:r w:rsidR="002447EE">
          <w:rPr>
            <w:webHidden/>
          </w:rPr>
          <w:fldChar w:fldCharType="begin"/>
        </w:r>
        <w:r w:rsidR="002447EE">
          <w:rPr>
            <w:webHidden/>
          </w:rPr>
          <w:instrText xml:space="preserve"> PAGEREF _Toc42172538 \h </w:instrText>
        </w:r>
        <w:r w:rsidR="002447EE">
          <w:rPr>
            <w:webHidden/>
          </w:rPr>
        </w:r>
        <w:r w:rsidR="002447EE">
          <w:rPr>
            <w:webHidden/>
          </w:rPr>
          <w:fldChar w:fldCharType="separate"/>
        </w:r>
        <w:r w:rsidR="00194957">
          <w:rPr>
            <w:webHidden/>
          </w:rPr>
          <w:t>2</w:t>
        </w:r>
        <w:r w:rsidR="002447EE">
          <w:rPr>
            <w:webHidden/>
          </w:rPr>
          <w:fldChar w:fldCharType="end"/>
        </w:r>
      </w:hyperlink>
    </w:p>
    <w:p w14:paraId="712BA3F2" w14:textId="05AD59D5" w:rsidR="002447EE" w:rsidRDefault="00FD204E">
      <w:pPr>
        <w:pStyle w:val="TOC2"/>
        <w:rPr>
          <w:rFonts w:asciiTheme="minorHAnsi" w:eastAsiaTheme="minorEastAsia" w:hAnsiTheme="minorHAnsi" w:cstheme="minorBidi"/>
          <w:bCs w:val="0"/>
          <w:iCs w:val="0"/>
          <w:sz w:val="22"/>
          <w:szCs w:val="22"/>
          <w:lang w:eastAsia="en-IE"/>
        </w:rPr>
      </w:pPr>
      <w:hyperlink w:anchor="_Toc42172539" w:history="1">
        <w:r w:rsidR="002447EE" w:rsidRPr="009A1F2A">
          <w:rPr>
            <w:rStyle w:val="Hyperlink"/>
          </w:rPr>
          <w:t>2.2. Key Stakeholders</w:t>
        </w:r>
        <w:r w:rsidR="002447EE">
          <w:rPr>
            <w:webHidden/>
          </w:rPr>
          <w:tab/>
        </w:r>
        <w:r w:rsidR="002447EE">
          <w:rPr>
            <w:webHidden/>
          </w:rPr>
          <w:fldChar w:fldCharType="begin"/>
        </w:r>
        <w:r w:rsidR="002447EE">
          <w:rPr>
            <w:webHidden/>
          </w:rPr>
          <w:instrText xml:space="preserve"> PAGEREF _Toc42172539 \h </w:instrText>
        </w:r>
        <w:r w:rsidR="002447EE">
          <w:rPr>
            <w:webHidden/>
          </w:rPr>
        </w:r>
        <w:r w:rsidR="002447EE">
          <w:rPr>
            <w:webHidden/>
          </w:rPr>
          <w:fldChar w:fldCharType="separate"/>
        </w:r>
        <w:r w:rsidR="00194957">
          <w:rPr>
            <w:webHidden/>
          </w:rPr>
          <w:t>2</w:t>
        </w:r>
        <w:r w:rsidR="002447EE">
          <w:rPr>
            <w:webHidden/>
          </w:rPr>
          <w:fldChar w:fldCharType="end"/>
        </w:r>
      </w:hyperlink>
    </w:p>
    <w:p w14:paraId="323D7C64" w14:textId="720E3A10" w:rsidR="002447EE" w:rsidRDefault="00FD204E">
      <w:pPr>
        <w:pStyle w:val="TOC2"/>
        <w:rPr>
          <w:rFonts w:asciiTheme="minorHAnsi" w:eastAsiaTheme="minorEastAsia" w:hAnsiTheme="minorHAnsi" w:cstheme="minorBidi"/>
          <w:bCs w:val="0"/>
          <w:iCs w:val="0"/>
          <w:sz w:val="22"/>
          <w:szCs w:val="22"/>
          <w:lang w:eastAsia="en-IE"/>
        </w:rPr>
      </w:pPr>
      <w:hyperlink w:anchor="_Toc42172540" w:history="1">
        <w:r w:rsidR="002447EE" w:rsidRPr="009A1F2A">
          <w:rPr>
            <w:rStyle w:val="Hyperlink"/>
          </w:rPr>
          <w:t>2.3. Reasonable Accommodation under the Employment Equality Acts 1998-2015</w:t>
        </w:r>
        <w:r w:rsidR="002447EE">
          <w:rPr>
            <w:webHidden/>
          </w:rPr>
          <w:tab/>
        </w:r>
        <w:r w:rsidR="002447EE">
          <w:rPr>
            <w:webHidden/>
          </w:rPr>
          <w:fldChar w:fldCharType="begin"/>
        </w:r>
        <w:r w:rsidR="002447EE">
          <w:rPr>
            <w:webHidden/>
          </w:rPr>
          <w:instrText xml:space="preserve"> PAGEREF _Toc42172540 \h </w:instrText>
        </w:r>
        <w:r w:rsidR="002447EE">
          <w:rPr>
            <w:webHidden/>
          </w:rPr>
        </w:r>
        <w:r w:rsidR="002447EE">
          <w:rPr>
            <w:webHidden/>
          </w:rPr>
          <w:fldChar w:fldCharType="separate"/>
        </w:r>
        <w:r w:rsidR="00194957">
          <w:rPr>
            <w:webHidden/>
          </w:rPr>
          <w:t>2</w:t>
        </w:r>
        <w:r w:rsidR="002447EE">
          <w:rPr>
            <w:webHidden/>
          </w:rPr>
          <w:fldChar w:fldCharType="end"/>
        </w:r>
      </w:hyperlink>
    </w:p>
    <w:p w14:paraId="7BD9DD5E" w14:textId="0A404060" w:rsidR="002447EE" w:rsidRDefault="00FD204E">
      <w:pPr>
        <w:pStyle w:val="TOC1"/>
        <w:rPr>
          <w:rFonts w:asciiTheme="minorHAnsi" w:eastAsiaTheme="minorEastAsia" w:hAnsiTheme="minorHAnsi" w:cstheme="minorBidi"/>
          <w:b w:val="0"/>
          <w:noProof/>
          <w:sz w:val="22"/>
          <w:szCs w:val="22"/>
          <w:lang w:eastAsia="en-IE"/>
        </w:rPr>
      </w:pPr>
      <w:hyperlink w:anchor="_Toc42172541" w:history="1">
        <w:r w:rsidR="002447EE" w:rsidRPr="009A1F2A">
          <w:rPr>
            <w:rStyle w:val="Hyperlink"/>
            <w:noProof/>
          </w:rPr>
          <w:t>Chapter 3 – Review of Decisions from the Workplace Relations Commission and Labour Court</w:t>
        </w:r>
        <w:r w:rsidR="002447EE">
          <w:rPr>
            <w:noProof/>
            <w:webHidden/>
          </w:rPr>
          <w:tab/>
        </w:r>
        <w:r w:rsidR="002447EE">
          <w:rPr>
            <w:noProof/>
            <w:webHidden/>
          </w:rPr>
          <w:fldChar w:fldCharType="begin"/>
        </w:r>
        <w:r w:rsidR="002447EE">
          <w:rPr>
            <w:noProof/>
            <w:webHidden/>
          </w:rPr>
          <w:instrText xml:space="preserve"> PAGEREF _Toc42172541 \h </w:instrText>
        </w:r>
        <w:r w:rsidR="002447EE">
          <w:rPr>
            <w:noProof/>
            <w:webHidden/>
          </w:rPr>
        </w:r>
        <w:r w:rsidR="002447EE">
          <w:rPr>
            <w:noProof/>
            <w:webHidden/>
          </w:rPr>
          <w:fldChar w:fldCharType="separate"/>
        </w:r>
        <w:r w:rsidR="00194957">
          <w:rPr>
            <w:noProof/>
            <w:webHidden/>
          </w:rPr>
          <w:t>2</w:t>
        </w:r>
        <w:r w:rsidR="002447EE">
          <w:rPr>
            <w:noProof/>
            <w:webHidden/>
          </w:rPr>
          <w:fldChar w:fldCharType="end"/>
        </w:r>
      </w:hyperlink>
    </w:p>
    <w:p w14:paraId="700E6591" w14:textId="37E709D7" w:rsidR="002447EE" w:rsidRDefault="00FD204E">
      <w:pPr>
        <w:pStyle w:val="TOC2"/>
        <w:rPr>
          <w:rFonts w:asciiTheme="minorHAnsi" w:eastAsiaTheme="minorEastAsia" w:hAnsiTheme="minorHAnsi" w:cstheme="minorBidi"/>
          <w:bCs w:val="0"/>
          <w:iCs w:val="0"/>
          <w:sz w:val="22"/>
          <w:szCs w:val="22"/>
          <w:lang w:eastAsia="en-IE"/>
        </w:rPr>
      </w:pPr>
      <w:hyperlink w:anchor="_Toc42172542" w:history="1">
        <w:r w:rsidR="002447EE" w:rsidRPr="009A1F2A">
          <w:rPr>
            <w:rStyle w:val="Hyperlink"/>
          </w:rPr>
          <w:t>3.1. Purpose</w:t>
        </w:r>
        <w:r w:rsidR="002447EE">
          <w:rPr>
            <w:webHidden/>
          </w:rPr>
          <w:tab/>
        </w:r>
        <w:r w:rsidR="002447EE">
          <w:rPr>
            <w:webHidden/>
          </w:rPr>
          <w:fldChar w:fldCharType="begin"/>
        </w:r>
        <w:r w:rsidR="002447EE">
          <w:rPr>
            <w:webHidden/>
          </w:rPr>
          <w:instrText xml:space="preserve"> PAGEREF _Toc42172542 \h </w:instrText>
        </w:r>
        <w:r w:rsidR="002447EE">
          <w:rPr>
            <w:webHidden/>
          </w:rPr>
        </w:r>
        <w:r w:rsidR="002447EE">
          <w:rPr>
            <w:webHidden/>
          </w:rPr>
          <w:fldChar w:fldCharType="separate"/>
        </w:r>
        <w:r w:rsidR="00194957">
          <w:rPr>
            <w:webHidden/>
          </w:rPr>
          <w:t>2</w:t>
        </w:r>
        <w:r w:rsidR="002447EE">
          <w:rPr>
            <w:webHidden/>
          </w:rPr>
          <w:fldChar w:fldCharType="end"/>
        </w:r>
      </w:hyperlink>
    </w:p>
    <w:p w14:paraId="735B66C8" w14:textId="5424E17F" w:rsidR="002447EE" w:rsidRDefault="00FD204E">
      <w:pPr>
        <w:pStyle w:val="TOC2"/>
        <w:rPr>
          <w:rFonts w:asciiTheme="minorHAnsi" w:eastAsiaTheme="minorEastAsia" w:hAnsiTheme="minorHAnsi" w:cstheme="minorBidi"/>
          <w:bCs w:val="0"/>
          <w:iCs w:val="0"/>
          <w:sz w:val="22"/>
          <w:szCs w:val="22"/>
          <w:lang w:eastAsia="en-IE"/>
        </w:rPr>
      </w:pPr>
      <w:hyperlink w:anchor="_Toc42172543" w:history="1">
        <w:r w:rsidR="002447EE" w:rsidRPr="009A1F2A">
          <w:rPr>
            <w:rStyle w:val="Hyperlink"/>
          </w:rPr>
          <w:t>3.2. Findings</w:t>
        </w:r>
        <w:r w:rsidR="002447EE">
          <w:rPr>
            <w:webHidden/>
          </w:rPr>
          <w:tab/>
        </w:r>
        <w:r w:rsidR="002447EE">
          <w:rPr>
            <w:webHidden/>
          </w:rPr>
          <w:fldChar w:fldCharType="begin"/>
        </w:r>
        <w:r w:rsidR="002447EE">
          <w:rPr>
            <w:webHidden/>
          </w:rPr>
          <w:instrText xml:space="preserve"> PAGEREF _Toc42172543 \h </w:instrText>
        </w:r>
        <w:r w:rsidR="002447EE">
          <w:rPr>
            <w:webHidden/>
          </w:rPr>
        </w:r>
        <w:r w:rsidR="002447EE">
          <w:rPr>
            <w:webHidden/>
          </w:rPr>
          <w:fldChar w:fldCharType="separate"/>
        </w:r>
        <w:r w:rsidR="00194957">
          <w:rPr>
            <w:webHidden/>
          </w:rPr>
          <w:t>2</w:t>
        </w:r>
        <w:r w:rsidR="002447EE">
          <w:rPr>
            <w:webHidden/>
          </w:rPr>
          <w:fldChar w:fldCharType="end"/>
        </w:r>
      </w:hyperlink>
    </w:p>
    <w:p w14:paraId="1482F148" w14:textId="5BF3C658" w:rsidR="002447EE" w:rsidRDefault="00FD204E">
      <w:pPr>
        <w:pStyle w:val="TOC1"/>
        <w:rPr>
          <w:rFonts w:asciiTheme="minorHAnsi" w:eastAsiaTheme="minorEastAsia" w:hAnsiTheme="minorHAnsi" w:cstheme="minorBidi"/>
          <w:b w:val="0"/>
          <w:noProof/>
          <w:sz w:val="22"/>
          <w:szCs w:val="22"/>
          <w:lang w:eastAsia="en-IE"/>
        </w:rPr>
      </w:pPr>
      <w:hyperlink w:anchor="_Toc42172544" w:history="1">
        <w:r w:rsidR="002447EE" w:rsidRPr="009A1F2A">
          <w:rPr>
            <w:rStyle w:val="Hyperlink"/>
            <w:noProof/>
          </w:rPr>
          <w:t>Chapter 4 – Obstacles to Attaining and Providing Reasonable Accommodations</w:t>
        </w:r>
        <w:r w:rsidR="002447EE">
          <w:rPr>
            <w:noProof/>
            <w:webHidden/>
          </w:rPr>
          <w:tab/>
        </w:r>
        <w:r w:rsidR="002447EE">
          <w:rPr>
            <w:noProof/>
            <w:webHidden/>
          </w:rPr>
          <w:fldChar w:fldCharType="begin"/>
        </w:r>
        <w:r w:rsidR="002447EE">
          <w:rPr>
            <w:noProof/>
            <w:webHidden/>
          </w:rPr>
          <w:instrText xml:space="preserve"> PAGEREF _Toc42172544 \h </w:instrText>
        </w:r>
        <w:r w:rsidR="002447EE">
          <w:rPr>
            <w:noProof/>
            <w:webHidden/>
          </w:rPr>
        </w:r>
        <w:r w:rsidR="002447EE">
          <w:rPr>
            <w:noProof/>
            <w:webHidden/>
          </w:rPr>
          <w:fldChar w:fldCharType="separate"/>
        </w:r>
        <w:r w:rsidR="00194957">
          <w:rPr>
            <w:noProof/>
            <w:webHidden/>
          </w:rPr>
          <w:t>2</w:t>
        </w:r>
        <w:r w:rsidR="002447EE">
          <w:rPr>
            <w:noProof/>
            <w:webHidden/>
          </w:rPr>
          <w:fldChar w:fldCharType="end"/>
        </w:r>
      </w:hyperlink>
    </w:p>
    <w:p w14:paraId="7E6F1CE9" w14:textId="37D06342" w:rsidR="002447EE" w:rsidRDefault="00FD204E">
      <w:pPr>
        <w:pStyle w:val="TOC2"/>
        <w:rPr>
          <w:rFonts w:asciiTheme="minorHAnsi" w:eastAsiaTheme="minorEastAsia" w:hAnsiTheme="minorHAnsi" w:cstheme="minorBidi"/>
          <w:bCs w:val="0"/>
          <w:iCs w:val="0"/>
          <w:sz w:val="22"/>
          <w:szCs w:val="22"/>
          <w:lang w:eastAsia="en-IE"/>
        </w:rPr>
      </w:pPr>
      <w:hyperlink w:anchor="_Toc42172545" w:history="1">
        <w:r w:rsidR="002447EE" w:rsidRPr="009A1F2A">
          <w:rPr>
            <w:rStyle w:val="Hyperlink"/>
          </w:rPr>
          <w:t>4.1. Reasonable accommodation process</w:t>
        </w:r>
        <w:r w:rsidR="002447EE">
          <w:rPr>
            <w:webHidden/>
          </w:rPr>
          <w:tab/>
        </w:r>
        <w:r w:rsidR="002447EE">
          <w:rPr>
            <w:webHidden/>
          </w:rPr>
          <w:fldChar w:fldCharType="begin"/>
        </w:r>
        <w:r w:rsidR="002447EE">
          <w:rPr>
            <w:webHidden/>
          </w:rPr>
          <w:instrText xml:space="preserve"> PAGEREF _Toc42172545 \h </w:instrText>
        </w:r>
        <w:r w:rsidR="002447EE">
          <w:rPr>
            <w:webHidden/>
          </w:rPr>
        </w:r>
        <w:r w:rsidR="002447EE">
          <w:rPr>
            <w:webHidden/>
          </w:rPr>
          <w:fldChar w:fldCharType="separate"/>
        </w:r>
        <w:r w:rsidR="00194957">
          <w:rPr>
            <w:webHidden/>
          </w:rPr>
          <w:t>2</w:t>
        </w:r>
        <w:r w:rsidR="002447EE">
          <w:rPr>
            <w:webHidden/>
          </w:rPr>
          <w:fldChar w:fldCharType="end"/>
        </w:r>
      </w:hyperlink>
    </w:p>
    <w:p w14:paraId="07B51AF9" w14:textId="5A54318E" w:rsidR="002447EE" w:rsidRDefault="00FD204E">
      <w:pPr>
        <w:pStyle w:val="TOC2"/>
        <w:rPr>
          <w:rFonts w:asciiTheme="minorHAnsi" w:eastAsiaTheme="minorEastAsia" w:hAnsiTheme="minorHAnsi" w:cstheme="minorBidi"/>
          <w:bCs w:val="0"/>
          <w:iCs w:val="0"/>
          <w:sz w:val="22"/>
          <w:szCs w:val="22"/>
          <w:lang w:eastAsia="en-IE"/>
        </w:rPr>
      </w:pPr>
      <w:hyperlink w:anchor="_Toc42172546" w:history="1">
        <w:r w:rsidR="002447EE" w:rsidRPr="009A1F2A">
          <w:rPr>
            <w:rStyle w:val="Hyperlink"/>
          </w:rPr>
          <w:t>4.2. Obstacles impeding a seamless reasonable accommodation process</w:t>
        </w:r>
        <w:r w:rsidR="002447EE">
          <w:rPr>
            <w:webHidden/>
          </w:rPr>
          <w:tab/>
        </w:r>
        <w:r w:rsidR="002447EE">
          <w:rPr>
            <w:webHidden/>
          </w:rPr>
          <w:fldChar w:fldCharType="begin"/>
        </w:r>
        <w:r w:rsidR="002447EE">
          <w:rPr>
            <w:webHidden/>
          </w:rPr>
          <w:instrText xml:space="preserve"> PAGEREF _Toc42172546 \h </w:instrText>
        </w:r>
        <w:r w:rsidR="002447EE">
          <w:rPr>
            <w:webHidden/>
          </w:rPr>
        </w:r>
        <w:r w:rsidR="002447EE">
          <w:rPr>
            <w:webHidden/>
          </w:rPr>
          <w:fldChar w:fldCharType="separate"/>
        </w:r>
        <w:r w:rsidR="00194957">
          <w:rPr>
            <w:webHidden/>
          </w:rPr>
          <w:t>2</w:t>
        </w:r>
        <w:r w:rsidR="002447EE">
          <w:rPr>
            <w:webHidden/>
          </w:rPr>
          <w:fldChar w:fldCharType="end"/>
        </w:r>
      </w:hyperlink>
    </w:p>
    <w:p w14:paraId="49D86D8A" w14:textId="2C2EEC12" w:rsidR="002447EE" w:rsidRDefault="00FD204E">
      <w:pPr>
        <w:pStyle w:val="TOC1"/>
        <w:rPr>
          <w:rFonts w:asciiTheme="minorHAnsi" w:eastAsiaTheme="minorEastAsia" w:hAnsiTheme="minorHAnsi" w:cstheme="minorBidi"/>
          <w:b w:val="0"/>
          <w:noProof/>
          <w:sz w:val="22"/>
          <w:szCs w:val="22"/>
          <w:lang w:eastAsia="en-IE"/>
        </w:rPr>
      </w:pPr>
      <w:hyperlink w:anchor="_Toc42172547" w:history="1">
        <w:r w:rsidR="002447EE" w:rsidRPr="009A1F2A">
          <w:rPr>
            <w:rStyle w:val="Hyperlink"/>
            <w:noProof/>
          </w:rPr>
          <w:t>Chapter 5 - Good practice for employers in the provision of Reasonable Accommodations</w:t>
        </w:r>
        <w:r w:rsidR="002447EE">
          <w:rPr>
            <w:noProof/>
            <w:webHidden/>
          </w:rPr>
          <w:tab/>
        </w:r>
        <w:r w:rsidR="002447EE">
          <w:rPr>
            <w:noProof/>
            <w:webHidden/>
          </w:rPr>
          <w:fldChar w:fldCharType="begin"/>
        </w:r>
        <w:r w:rsidR="002447EE">
          <w:rPr>
            <w:noProof/>
            <w:webHidden/>
          </w:rPr>
          <w:instrText xml:space="preserve"> PAGEREF _Toc42172547 \h </w:instrText>
        </w:r>
        <w:r w:rsidR="002447EE">
          <w:rPr>
            <w:noProof/>
            <w:webHidden/>
          </w:rPr>
        </w:r>
        <w:r w:rsidR="002447EE">
          <w:rPr>
            <w:noProof/>
            <w:webHidden/>
          </w:rPr>
          <w:fldChar w:fldCharType="separate"/>
        </w:r>
        <w:r w:rsidR="00194957">
          <w:rPr>
            <w:noProof/>
            <w:webHidden/>
          </w:rPr>
          <w:t>2</w:t>
        </w:r>
        <w:r w:rsidR="002447EE">
          <w:rPr>
            <w:noProof/>
            <w:webHidden/>
          </w:rPr>
          <w:fldChar w:fldCharType="end"/>
        </w:r>
      </w:hyperlink>
    </w:p>
    <w:p w14:paraId="0EEF31FC" w14:textId="25E79692" w:rsidR="002447EE" w:rsidRDefault="00FD204E">
      <w:pPr>
        <w:pStyle w:val="TOC2"/>
        <w:rPr>
          <w:rFonts w:asciiTheme="minorHAnsi" w:eastAsiaTheme="minorEastAsia" w:hAnsiTheme="minorHAnsi" w:cstheme="minorBidi"/>
          <w:bCs w:val="0"/>
          <w:iCs w:val="0"/>
          <w:sz w:val="22"/>
          <w:szCs w:val="22"/>
          <w:lang w:eastAsia="en-IE"/>
        </w:rPr>
      </w:pPr>
      <w:hyperlink w:anchor="_Toc42172548" w:history="1">
        <w:r w:rsidR="002447EE" w:rsidRPr="009A1F2A">
          <w:rPr>
            <w:rStyle w:val="Hyperlink"/>
          </w:rPr>
          <w:t>5.1. Introduction</w:t>
        </w:r>
        <w:r w:rsidR="002447EE">
          <w:rPr>
            <w:webHidden/>
          </w:rPr>
          <w:tab/>
        </w:r>
        <w:r w:rsidR="002447EE">
          <w:rPr>
            <w:webHidden/>
          </w:rPr>
          <w:fldChar w:fldCharType="begin"/>
        </w:r>
        <w:r w:rsidR="002447EE">
          <w:rPr>
            <w:webHidden/>
          </w:rPr>
          <w:instrText xml:space="preserve"> PAGEREF _Toc42172548 \h </w:instrText>
        </w:r>
        <w:r w:rsidR="002447EE">
          <w:rPr>
            <w:webHidden/>
          </w:rPr>
        </w:r>
        <w:r w:rsidR="002447EE">
          <w:rPr>
            <w:webHidden/>
          </w:rPr>
          <w:fldChar w:fldCharType="separate"/>
        </w:r>
        <w:r w:rsidR="00194957">
          <w:rPr>
            <w:webHidden/>
          </w:rPr>
          <w:t>2</w:t>
        </w:r>
        <w:r w:rsidR="002447EE">
          <w:rPr>
            <w:webHidden/>
          </w:rPr>
          <w:fldChar w:fldCharType="end"/>
        </w:r>
      </w:hyperlink>
    </w:p>
    <w:p w14:paraId="095D44C7" w14:textId="410CCEAD" w:rsidR="002447EE" w:rsidRDefault="00FD204E">
      <w:pPr>
        <w:pStyle w:val="TOC2"/>
        <w:rPr>
          <w:rFonts w:asciiTheme="minorHAnsi" w:eastAsiaTheme="minorEastAsia" w:hAnsiTheme="minorHAnsi" w:cstheme="minorBidi"/>
          <w:bCs w:val="0"/>
          <w:iCs w:val="0"/>
          <w:sz w:val="22"/>
          <w:szCs w:val="22"/>
          <w:lang w:eastAsia="en-IE"/>
        </w:rPr>
      </w:pPr>
      <w:hyperlink w:anchor="_Toc42172549" w:history="1">
        <w:r w:rsidR="002447EE" w:rsidRPr="009A1F2A">
          <w:rPr>
            <w:rStyle w:val="Hyperlink"/>
          </w:rPr>
          <w:t>5.2. Promoting Disability Disclosure and a Disability Inclusive Work Environment</w:t>
        </w:r>
        <w:r w:rsidR="002447EE">
          <w:rPr>
            <w:webHidden/>
          </w:rPr>
          <w:tab/>
        </w:r>
        <w:r w:rsidR="002447EE">
          <w:rPr>
            <w:webHidden/>
          </w:rPr>
          <w:fldChar w:fldCharType="begin"/>
        </w:r>
        <w:r w:rsidR="002447EE">
          <w:rPr>
            <w:webHidden/>
          </w:rPr>
          <w:instrText xml:space="preserve"> PAGEREF _Toc42172549 \h </w:instrText>
        </w:r>
        <w:r w:rsidR="002447EE">
          <w:rPr>
            <w:webHidden/>
          </w:rPr>
        </w:r>
        <w:r w:rsidR="002447EE">
          <w:rPr>
            <w:webHidden/>
          </w:rPr>
          <w:fldChar w:fldCharType="separate"/>
        </w:r>
        <w:r w:rsidR="00194957">
          <w:rPr>
            <w:webHidden/>
          </w:rPr>
          <w:t>2</w:t>
        </w:r>
        <w:r w:rsidR="002447EE">
          <w:rPr>
            <w:webHidden/>
          </w:rPr>
          <w:fldChar w:fldCharType="end"/>
        </w:r>
      </w:hyperlink>
    </w:p>
    <w:p w14:paraId="5A242A8F" w14:textId="70637906" w:rsidR="002447EE" w:rsidRDefault="00FD204E">
      <w:pPr>
        <w:pStyle w:val="TOC2"/>
        <w:rPr>
          <w:rFonts w:asciiTheme="minorHAnsi" w:eastAsiaTheme="minorEastAsia" w:hAnsiTheme="minorHAnsi" w:cstheme="minorBidi"/>
          <w:bCs w:val="0"/>
          <w:iCs w:val="0"/>
          <w:sz w:val="22"/>
          <w:szCs w:val="22"/>
          <w:lang w:eastAsia="en-IE"/>
        </w:rPr>
      </w:pPr>
      <w:hyperlink w:anchor="_Toc42172550" w:history="1">
        <w:r w:rsidR="002447EE" w:rsidRPr="009A1F2A">
          <w:rPr>
            <w:rStyle w:val="Hyperlink"/>
          </w:rPr>
          <w:t>5.3. General Considerations</w:t>
        </w:r>
        <w:r w:rsidR="002447EE">
          <w:rPr>
            <w:webHidden/>
          </w:rPr>
          <w:tab/>
        </w:r>
        <w:r w:rsidR="002447EE">
          <w:rPr>
            <w:webHidden/>
          </w:rPr>
          <w:fldChar w:fldCharType="begin"/>
        </w:r>
        <w:r w:rsidR="002447EE">
          <w:rPr>
            <w:webHidden/>
          </w:rPr>
          <w:instrText xml:space="preserve"> PAGEREF _Toc42172550 \h </w:instrText>
        </w:r>
        <w:r w:rsidR="002447EE">
          <w:rPr>
            <w:webHidden/>
          </w:rPr>
        </w:r>
        <w:r w:rsidR="002447EE">
          <w:rPr>
            <w:webHidden/>
          </w:rPr>
          <w:fldChar w:fldCharType="separate"/>
        </w:r>
        <w:r w:rsidR="00194957">
          <w:rPr>
            <w:webHidden/>
          </w:rPr>
          <w:t>2</w:t>
        </w:r>
        <w:r w:rsidR="002447EE">
          <w:rPr>
            <w:webHidden/>
          </w:rPr>
          <w:fldChar w:fldCharType="end"/>
        </w:r>
      </w:hyperlink>
    </w:p>
    <w:p w14:paraId="3881867E" w14:textId="735C6020" w:rsidR="002447EE" w:rsidRDefault="00FD204E">
      <w:pPr>
        <w:pStyle w:val="TOC2"/>
        <w:rPr>
          <w:rFonts w:asciiTheme="minorHAnsi" w:eastAsiaTheme="minorEastAsia" w:hAnsiTheme="minorHAnsi" w:cstheme="minorBidi"/>
          <w:bCs w:val="0"/>
          <w:iCs w:val="0"/>
          <w:sz w:val="22"/>
          <w:szCs w:val="22"/>
          <w:lang w:eastAsia="en-IE"/>
        </w:rPr>
      </w:pPr>
      <w:hyperlink w:anchor="_Toc42172551" w:history="1">
        <w:r w:rsidR="002447EE" w:rsidRPr="009A1F2A">
          <w:rPr>
            <w:rStyle w:val="Hyperlink"/>
            <w:lang w:val="en-GB"/>
          </w:rPr>
          <w:t>5.4. Policies and Procedures</w:t>
        </w:r>
        <w:r w:rsidR="002447EE">
          <w:rPr>
            <w:webHidden/>
          </w:rPr>
          <w:tab/>
        </w:r>
        <w:r w:rsidR="002447EE">
          <w:rPr>
            <w:webHidden/>
          </w:rPr>
          <w:fldChar w:fldCharType="begin"/>
        </w:r>
        <w:r w:rsidR="002447EE">
          <w:rPr>
            <w:webHidden/>
          </w:rPr>
          <w:instrText xml:space="preserve"> PAGEREF _Toc42172551 \h </w:instrText>
        </w:r>
        <w:r w:rsidR="002447EE">
          <w:rPr>
            <w:webHidden/>
          </w:rPr>
        </w:r>
        <w:r w:rsidR="002447EE">
          <w:rPr>
            <w:webHidden/>
          </w:rPr>
          <w:fldChar w:fldCharType="separate"/>
        </w:r>
        <w:r w:rsidR="00194957">
          <w:rPr>
            <w:webHidden/>
          </w:rPr>
          <w:t>2</w:t>
        </w:r>
        <w:r w:rsidR="002447EE">
          <w:rPr>
            <w:webHidden/>
          </w:rPr>
          <w:fldChar w:fldCharType="end"/>
        </w:r>
      </w:hyperlink>
    </w:p>
    <w:p w14:paraId="5C1161BE" w14:textId="770245AA" w:rsidR="002447EE" w:rsidRDefault="00FD204E">
      <w:pPr>
        <w:pStyle w:val="TOC2"/>
        <w:rPr>
          <w:rFonts w:asciiTheme="minorHAnsi" w:eastAsiaTheme="minorEastAsia" w:hAnsiTheme="minorHAnsi" w:cstheme="minorBidi"/>
          <w:bCs w:val="0"/>
          <w:iCs w:val="0"/>
          <w:sz w:val="22"/>
          <w:szCs w:val="22"/>
          <w:lang w:eastAsia="en-IE"/>
        </w:rPr>
      </w:pPr>
      <w:hyperlink w:anchor="_Toc42172552" w:history="1">
        <w:r w:rsidR="002447EE" w:rsidRPr="009A1F2A">
          <w:rPr>
            <w:rStyle w:val="Hyperlink"/>
          </w:rPr>
          <w:t>5.5. Job and Person Descriptions</w:t>
        </w:r>
        <w:r w:rsidR="002447EE">
          <w:rPr>
            <w:webHidden/>
          </w:rPr>
          <w:tab/>
        </w:r>
        <w:r w:rsidR="002447EE">
          <w:rPr>
            <w:webHidden/>
          </w:rPr>
          <w:fldChar w:fldCharType="begin"/>
        </w:r>
        <w:r w:rsidR="002447EE">
          <w:rPr>
            <w:webHidden/>
          </w:rPr>
          <w:instrText xml:space="preserve"> PAGEREF _Toc42172552 \h </w:instrText>
        </w:r>
        <w:r w:rsidR="002447EE">
          <w:rPr>
            <w:webHidden/>
          </w:rPr>
        </w:r>
        <w:r w:rsidR="002447EE">
          <w:rPr>
            <w:webHidden/>
          </w:rPr>
          <w:fldChar w:fldCharType="separate"/>
        </w:r>
        <w:r w:rsidR="00194957">
          <w:rPr>
            <w:webHidden/>
          </w:rPr>
          <w:t>2</w:t>
        </w:r>
        <w:r w:rsidR="002447EE">
          <w:rPr>
            <w:webHidden/>
          </w:rPr>
          <w:fldChar w:fldCharType="end"/>
        </w:r>
      </w:hyperlink>
    </w:p>
    <w:p w14:paraId="21DFAB4A" w14:textId="45F1FBAA" w:rsidR="002447EE" w:rsidRDefault="00FD204E">
      <w:pPr>
        <w:pStyle w:val="TOC2"/>
        <w:rPr>
          <w:rFonts w:asciiTheme="minorHAnsi" w:eastAsiaTheme="minorEastAsia" w:hAnsiTheme="minorHAnsi" w:cstheme="minorBidi"/>
          <w:bCs w:val="0"/>
          <w:iCs w:val="0"/>
          <w:sz w:val="22"/>
          <w:szCs w:val="22"/>
          <w:lang w:eastAsia="en-IE"/>
        </w:rPr>
      </w:pPr>
      <w:hyperlink w:anchor="_Toc42172553" w:history="1">
        <w:r w:rsidR="002447EE" w:rsidRPr="009A1F2A">
          <w:rPr>
            <w:rStyle w:val="Hyperlink"/>
          </w:rPr>
          <w:t>5.6. Application Forms</w:t>
        </w:r>
        <w:r w:rsidR="002447EE">
          <w:rPr>
            <w:webHidden/>
          </w:rPr>
          <w:tab/>
        </w:r>
        <w:r w:rsidR="002447EE">
          <w:rPr>
            <w:webHidden/>
          </w:rPr>
          <w:fldChar w:fldCharType="begin"/>
        </w:r>
        <w:r w:rsidR="002447EE">
          <w:rPr>
            <w:webHidden/>
          </w:rPr>
          <w:instrText xml:space="preserve"> PAGEREF _Toc42172553 \h </w:instrText>
        </w:r>
        <w:r w:rsidR="002447EE">
          <w:rPr>
            <w:webHidden/>
          </w:rPr>
        </w:r>
        <w:r w:rsidR="002447EE">
          <w:rPr>
            <w:webHidden/>
          </w:rPr>
          <w:fldChar w:fldCharType="separate"/>
        </w:r>
        <w:r w:rsidR="00194957">
          <w:rPr>
            <w:webHidden/>
          </w:rPr>
          <w:t>2</w:t>
        </w:r>
        <w:r w:rsidR="002447EE">
          <w:rPr>
            <w:webHidden/>
          </w:rPr>
          <w:fldChar w:fldCharType="end"/>
        </w:r>
      </w:hyperlink>
    </w:p>
    <w:p w14:paraId="1CBAF3A0" w14:textId="7EFC95C2" w:rsidR="002447EE" w:rsidRDefault="00FD204E">
      <w:pPr>
        <w:pStyle w:val="TOC2"/>
        <w:rPr>
          <w:rFonts w:asciiTheme="minorHAnsi" w:eastAsiaTheme="minorEastAsia" w:hAnsiTheme="minorHAnsi" w:cstheme="minorBidi"/>
          <w:bCs w:val="0"/>
          <w:iCs w:val="0"/>
          <w:sz w:val="22"/>
          <w:szCs w:val="22"/>
          <w:lang w:eastAsia="en-IE"/>
        </w:rPr>
      </w:pPr>
      <w:hyperlink w:anchor="_Toc42172554" w:history="1">
        <w:r w:rsidR="002447EE" w:rsidRPr="009A1F2A">
          <w:rPr>
            <w:rStyle w:val="Hyperlink"/>
          </w:rPr>
          <w:t>5.7. Advertising Stage</w:t>
        </w:r>
        <w:r w:rsidR="002447EE">
          <w:rPr>
            <w:webHidden/>
          </w:rPr>
          <w:tab/>
        </w:r>
        <w:r w:rsidR="002447EE">
          <w:rPr>
            <w:webHidden/>
          </w:rPr>
          <w:fldChar w:fldCharType="begin"/>
        </w:r>
        <w:r w:rsidR="002447EE">
          <w:rPr>
            <w:webHidden/>
          </w:rPr>
          <w:instrText xml:space="preserve"> PAGEREF _Toc42172554 \h </w:instrText>
        </w:r>
        <w:r w:rsidR="002447EE">
          <w:rPr>
            <w:webHidden/>
          </w:rPr>
        </w:r>
        <w:r w:rsidR="002447EE">
          <w:rPr>
            <w:webHidden/>
          </w:rPr>
          <w:fldChar w:fldCharType="separate"/>
        </w:r>
        <w:r w:rsidR="00194957">
          <w:rPr>
            <w:webHidden/>
          </w:rPr>
          <w:t>2</w:t>
        </w:r>
        <w:r w:rsidR="002447EE">
          <w:rPr>
            <w:webHidden/>
          </w:rPr>
          <w:fldChar w:fldCharType="end"/>
        </w:r>
      </w:hyperlink>
    </w:p>
    <w:p w14:paraId="4B210E60" w14:textId="11F1A603" w:rsidR="002447EE" w:rsidRDefault="00FD204E">
      <w:pPr>
        <w:pStyle w:val="TOC2"/>
        <w:rPr>
          <w:rFonts w:asciiTheme="minorHAnsi" w:eastAsiaTheme="minorEastAsia" w:hAnsiTheme="minorHAnsi" w:cstheme="minorBidi"/>
          <w:bCs w:val="0"/>
          <w:iCs w:val="0"/>
          <w:sz w:val="22"/>
          <w:szCs w:val="22"/>
          <w:lang w:eastAsia="en-IE"/>
        </w:rPr>
      </w:pPr>
      <w:hyperlink w:anchor="_Toc42172555" w:history="1">
        <w:r w:rsidR="002447EE" w:rsidRPr="009A1F2A">
          <w:rPr>
            <w:rStyle w:val="Hyperlink"/>
          </w:rPr>
          <w:t>5.8. Pre-Interview Stage</w:t>
        </w:r>
        <w:r w:rsidR="002447EE">
          <w:rPr>
            <w:webHidden/>
          </w:rPr>
          <w:tab/>
        </w:r>
        <w:r w:rsidR="002447EE">
          <w:rPr>
            <w:webHidden/>
          </w:rPr>
          <w:fldChar w:fldCharType="begin"/>
        </w:r>
        <w:r w:rsidR="002447EE">
          <w:rPr>
            <w:webHidden/>
          </w:rPr>
          <w:instrText xml:space="preserve"> PAGEREF _Toc42172555 \h </w:instrText>
        </w:r>
        <w:r w:rsidR="002447EE">
          <w:rPr>
            <w:webHidden/>
          </w:rPr>
        </w:r>
        <w:r w:rsidR="002447EE">
          <w:rPr>
            <w:webHidden/>
          </w:rPr>
          <w:fldChar w:fldCharType="separate"/>
        </w:r>
        <w:r w:rsidR="00194957">
          <w:rPr>
            <w:webHidden/>
          </w:rPr>
          <w:t>2</w:t>
        </w:r>
        <w:r w:rsidR="002447EE">
          <w:rPr>
            <w:webHidden/>
          </w:rPr>
          <w:fldChar w:fldCharType="end"/>
        </w:r>
      </w:hyperlink>
    </w:p>
    <w:p w14:paraId="4E315D21" w14:textId="3C270138" w:rsidR="002447EE" w:rsidRDefault="00FD204E">
      <w:pPr>
        <w:pStyle w:val="TOC2"/>
        <w:rPr>
          <w:rFonts w:asciiTheme="minorHAnsi" w:eastAsiaTheme="minorEastAsia" w:hAnsiTheme="minorHAnsi" w:cstheme="minorBidi"/>
          <w:bCs w:val="0"/>
          <w:iCs w:val="0"/>
          <w:sz w:val="22"/>
          <w:szCs w:val="22"/>
          <w:lang w:eastAsia="en-IE"/>
        </w:rPr>
      </w:pPr>
      <w:hyperlink w:anchor="_Toc42172556" w:history="1">
        <w:r w:rsidR="002447EE" w:rsidRPr="009A1F2A">
          <w:rPr>
            <w:rStyle w:val="Hyperlink"/>
          </w:rPr>
          <w:t>5.9. Interview Stage</w:t>
        </w:r>
        <w:r w:rsidR="002447EE">
          <w:rPr>
            <w:webHidden/>
          </w:rPr>
          <w:tab/>
        </w:r>
        <w:r w:rsidR="002447EE">
          <w:rPr>
            <w:webHidden/>
          </w:rPr>
          <w:fldChar w:fldCharType="begin"/>
        </w:r>
        <w:r w:rsidR="002447EE">
          <w:rPr>
            <w:webHidden/>
          </w:rPr>
          <w:instrText xml:space="preserve"> PAGEREF _Toc42172556 \h </w:instrText>
        </w:r>
        <w:r w:rsidR="002447EE">
          <w:rPr>
            <w:webHidden/>
          </w:rPr>
        </w:r>
        <w:r w:rsidR="002447EE">
          <w:rPr>
            <w:webHidden/>
          </w:rPr>
          <w:fldChar w:fldCharType="separate"/>
        </w:r>
        <w:r w:rsidR="00194957">
          <w:rPr>
            <w:webHidden/>
          </w:rPr>
          <w:t>2</w:t>
        </w:r>
        <w:r w:rsidR="002447EE">
          <w:rPr>
            <w:webHidden/>
          </w:rPr>
          <w:fldChar w:fldCharType="end"/>
        </w:r>
      </w:hyperlink>
    </w:p>
    <w:p w14:paraId="56CE962D" w14:textId="5B095206" w:rsidR="002447EE" w:rsidRDefault="00FD204E">
      <w:pPr>
        <w:pStyle w:val="TOC2"/>
        <w:rPr>
          <w:rFonts w:asciiTheme="minorHAnsi" w:eastAsiaTheme="minorEastAsia" w:hAnsiTheme="minorHAnsi" w:cstheme="minorBidi"/>
          <w:bCs w:val="0"/>
          <w:iCs w:val="0"/>
          <w:sz w:val="22"/>
          <w:szCs w:val="22"/>
          <w:lang w:eastAsia="en-IE"/>
        </w:rPr>
      </w:pPr>
      <w:hyperlink w:anchor="_Toc42172557" w:history="1">
        <w:r w:rsidR="002447EE" w:rsidRPr="009A1F2A">
          <w:rPr>
            <w:rStyle w:val="Hyperlink"/>
          </w:rPr>
          <w:t>5.10. New Employees</w:t>
        </w:r>
        <w:r w:rsidR="002447EE">
          <w:rPr>
            <w:webHidden/>
          </w:rPr>
          <w:tab/>
        </w:r>
        <w:r w:rsidR="002447EE">
          <w:rPr>
            <w:webHidden/>
          </w:rPr>
          <w:fldChar w:fldCharType="begin"/>
        </w:r>
        <w:r w:rsidR="002447EE">
          <w:rPr>
            <w:webHidden/>
          </w:rPr>
          <w:instrText xml:space="preserve"> PAGEREF _Toc42172557 \h </w:instrText>
        </w:r>
        <w:r w:rsidR="002447EE">
          <w:rPr>
            <w:webHidden/>
          </w:rPr>
        </w:r>
        <w:r w:rsidR="002447EE">
          <w:rPr>
            <w:webHidden/>
          </w:rPr>
          <w:fldChar w:fldCharType="separate"/>
        </w:r>
        <w:r w:rsidR="00194957">
          <w:rPr>
            <w:webHidden/>
          </w:rPr>
          <w:t>2</w:t>
        </w:r>
        <w:r w:rsidR="002447EE">
          <w:rPr>
            <w:webHidden/>
          </w:rPr>
          <w:fldChar w:fldCharType="end"/>
        </w:r>
      </w:hyperlink>
    </w:p>
    <w:p w14:paraId="4E64185C" w14:textId="07EB3F81" w:rsidR="002447EE" w:rsidRDefault="00FD204E">
      <w:pPr>
        <w:pStyle w:val="TOC2"/>
        <w:rPr>
          <w:rFonts w:asciiTheme="minorHAnsi" w:eastAsiaTheme="minorEastAsia" w:hAnsiTheme="minorHAnsi" w:cstheme="minorBidi"/>
          <w:bCs w:val="0"/>
          <w:iCs w:val="0"/>
          <w:sz w:val="22"/>
          <w:szCs w:val="22"/>
          <w:lang w:eastAsia="en-IE"/>
        </w:rPr>
      </w:pPr>
      <w:hyperlink w:anchor="_Toc42172558" w:history="1">
        <w:r w:rsidR="002447EE" w:rsidRPr="009A1F2A">
          <w:rPr>
            <w:rStyle w:val="Hyperlink"/>
          </w:rPr>
          <w:t>5.11. Current Employees</w:t>
        </w:r>
        <w:r w:rsidR="002447EE">
          <w:rPr>
            <w:webHidden/>
          </w:rPr>
          <w:tab/>
        </w:r>
        <w:r w:rsidR="002447EE">
          <w:rPr>
            <w:webHidden/>
          </w:rPr>
          <w:fldChar w:fldCharType="begin"/>
        </w:r>
        <w:r w:rsidR="002447EE">
          <w:rPr>
            <w:webHidden/>
          </w:rPr>
          <w:instrText xml:space="preserve"> PAGEREF _Toc42172558 \h </w:instrText>
        </w:r>
        <w:r w:rsidR="002447EE">
          <w:rPr>
            <w:webHidden/>
          </w:rPr>
        </w:r>
        <w:r w:rsidR="002447EE">
          <w:rPr>
            <w:webHidden/>
          </w:rPr>
          <w:fldChar w:fldCharType="separate"/>
        </w:r>
        <w:r w:rsidR="00194957">
          <w:rPr>
            <w:webHidden/>
          </w:rPr>
          <w:t>2</w:t>
        </w:r>
        <w:r w:rsidR="002447EE">
          <w:rPr>
            <w:webHidden/>
          </w:rPr>
          <w:fldChar w:fldCharType="end"/>
        </w:r>
      </w:hyperlink>
    </w:p>
    <w:p w14:paraId="71075D5B" w14:textId="1C04C736" w:rsidR="002447EE" w:rsidRDefault="00FD204E">
      <w:pPr>
        <w:pStyle w:val="TOC2"/>
        <w:rPr>
          <w:rFonts w:asciiTheme="minorHAnsi" w:eastAsiaTheme="minorEastAsia" w:hAnsiTheme="minorHAnsi" w:cstheme="minorBidi"/>
          <w:bCs w:val="0"/>
          <w:iCs w:val="0"/>
          <w:sz w:val="22"/>
          <w:szCs w:val="22"/>
          <w:lang w:eastAsia="en-IE"/>
        </w:rPr>
      </w:pPr>
      <w:hyperlink w:anchor="_Toc42172559" w:history="1">
        <w:r w:rsidR="002447EE" w:rsidRPr="009A1F2A">
          <w:rPr>
            <w:rStyle w:val="Hyperlink"/>
          </w:rPr>
          <w:t>5.12. Training and Promotional Opportunities</w:t>
        </w:r>
        <w:r w:rsidR="002447EE">
          <w:rPr>
            <w:webHidden/>
          </w:rPr>
          <w:tab/>
        </w:r>
        <w:r w:rsidR="002447EE">
          <w:rPr>
            <w:webHidden/>
          </w:rPr>
          <w:fldChar w:fldCharType="begin"/>
        </w:r>
        <w:r w:rsidR="002447EE">
          <w:rPr>
            <w:webHidden/>
          </w:rPr>
          <w:instrText xml:space="preserve"> PAGEREF _Toc42172559 \h </w:instrText>
        </w:r>
        <w:r w:rsidR="002447EE">
          <w:rPr>
            <w:webHidden/>
          </w:rPr>
        </w:r>
        <w:r w:rsidR="002447EE">
          <w:rPr>
            <w:webHidden/>
          </w:rPr>
          <w:fldChar w:fldCharType="separate"/>
        </w:r>
        <w:r w:rsidR="00194957">
          <w:rPr>
            <w:webHidden/>
          </w:rPr>
          <w:t>2</w:t>
        </w:r>
        <w:r w:rsidR="002447EE">
          <w:rPr>
            <w:webHidden/>
          </w:rPr>
          <w:fldChar w:fldCharType="end"/>
        </w:r>
      </w:hyperlink>
    </w:p>
    <w:p w14:paraId="42956764" w14:textId="0B9E7807" w:rsidR="002447EE" w:rsidRDefault="00FD204E">
      <w:pPr>
        <w:pStyle w:val="TOC2"/>
        <w:rPr>
          <w:rFonts w:asciiTheme="minorHAnsi" w:eastAsiaTheme="minorEastAsia" w:hAnsiTheme="minorHAnsi" w:cstheme="minorBidi"/>
          <w:bCs w:val="0"/>
          <w:iCs w:val="0"/>
          <w:sz w:val="22"/>
          <w:szCs w:val="22"/>
          <w:lang w:eastAsia="en-IE"/>
        </w:rPr>
      </w:pPr>
      <w:hyperlink w:anchor="_Toc42172560" w:history="1">
        <w:r w:rsidR="002447EE" w:rsidRPr="009A1F2A">
          <w:rPr>
            <w:rStyle w:val="Hyperlink"/>
          </w:rPr>
          <w:t>5.13. Returning Employees</w:t>
        </w:r>
        <w:r w:rsidR="002447EE">
          <w:rPr>
            <w:webHidden/>
          </w:rPr>
          <w:tab/>
        </w:r>
        <w:r w:rsidR="002447EE">
          <w:rPr>
            <w:webHidden/>
          </w:rPr>
          <w:fldChar w:fldCharType="begin"/>
        </w:r>
        <w:r w:rsidR="002447EE">
          <w:rPr>
            <w:webHidden/>
          </w:rPr>
          <w:instrText xml:space="preserve"> PAGEREF _Toc42172560 \h </w:instrText>
        </w:r>
        <w:r w:rsidR="002447EE">
          <w:rPr>
            <w:webHidden/>
          </w:rPr>
        </w:r>
        <w:r w:rsidR="002447EE">
          <w:rPr>
            <w:webHidden/>
          </w:rPr>
          <w:fldChar w:fldCharType="separate"/>
        </w:r>
        <w:r w:rsidR="00194957">
          <w:rPr>
            <w:webHidden/>
          </w:rPr>
          <w:t>2</w:t>
        </w:r>
        <w:r w:rsidR="002447EE">
          <w:rPr>
            <w:webHidden/>
          </w:rPr>
          <w:fldChar w:fldCharType="end"/>
        </w:r>
      </w:hyperlink>
    </w:p>
    <w:p w14:paraId="78AC4091" w14:textId="1E7C95E8" w:rsidR="002447EE" w:rsidRDefault="00FD204E">
      <w:pPr>
        <w:pStyle w:val="TOC1"/>
        <w:rPr>
          <w:rFonts w:asciiTheme="minorHAnsi" w:eastAsiaTheme="minorEastAsia" w:hAnsiTheme="minorHAnsi" w:cstheme="minorBidi"/>
          <w:b w:val="0"/>
          <w:noProof/>
          <w:sz w:val="22"/>
          <w:szCs w:val="22"/>
          <w:lang w:eastAsia="en-IE"/>
        </w:rPr>
      </w:pPr>
      <w:hyperlink w:anchor="_Toc42172561" w:history="1">
        <w:r w:rsidR="002447EE" w:rsidRPr="009A1F2A">
          <w:rPr>
            <w:rStyle w:val="Hyperlink"/>
            <w:noProof/>
          </w:rPr>
          <w:t>Chapter 6 - Conclusions</w:t>
        </w:r>
        <w:r w:rsidR="002447EE">
          <w:rPr>
            <w:noProof/>
            <w:webHidden/>
          </w:rPr>
          <w:tab/>
        </w:r>
        <w:r w:rsidR="002447EE">
          <w:rPr>
            <w:noProof/>
            <w:webHidden/>
          </w:rPr>
          <w:fldChar w:fldCharType="begin"/>
        </w:r>
        <w:r w:rsidR="002447EE">
          <w:rPr>
            <w:noProof/>
            <w:webHidden/>
          </w:rPr>
          <w:instrText xml:space="preserve"> PAGEREF _Toc42172561 \h </w:instrText>
        </w:r>
        <w:r w:rsidR="002447EE">
          <w:rPr>
            <w:noProof/>
            <w:webHidden/>
          </w:rPr>
        </w:r>
        <w:r w:rsidR="002447EE">
          <w:rPr>
            <w:noProof/>
            <w:webHidden/>
          </w:rPr>
          <w:fldChar w:fldCharType="separate"/>
        </w:r>
        <w:r w:rsidR="00194957">
          <w:rPr>
            <w:noProof/>
            <w:webHidden/>
          </w:rPr>
          <w:t>2</w:t>
        </w:r>
        <w:r w:rsidR="002447EE">
          <w:rPr>
            <w:noProof/>
            <w:webHidden/>
          </w:rPr>
          <w:fldChar w:fldCharType="end"/>
        </w:r>
      </w:hyperlink>
    </w:p>
    <w:p w14:paraId="0335E155" w14:textId="1D9EC83C" w:rsidR="002447EE" w:rsidRDefault="00FD204E">
      <w:pPr>
        <w:pStyle w:val="TOC1"/>
        <w:rPr>
          <w:rFonts w:asciiTheme="minorHAnsi" w:eastAsiaTheme="minorEastAsia" w:hAnsiTheme="minorHAnsi" w:cstheme="minorBidi"/>
          <w:b w:val="0"/>
          <w:noProof/>
          <w:sz w:val="22"/>
          <w:szCs w:val="22"/>
          <w:lang w:eastAsia="en-IE"/>
        </w:rPr>
      </w:pPr>
      <w:hyperlink w:anchor="_Toc42172562" w:history="1">
        <w:r w:rsidR="002447EE" w:rsidRPr="009A1F2A">
          <w:rPr>
            <w:rStyle w:val="Hyperlink"/>
            <w:noProof/>
          </w:rPr>
          <w:t>Chapter 7 - Implications for Policy and Practice</w:t>
        </w:r>
        <w:r w:rsidR="002447EE">
          <w:rPr>
            <w:noProof/>
            <w:webHidden/>
          </w:rPr>
          <w:tab/>
        </w:r>
        <w:r w:rsidR="002447EE">
          <w:rPr>
            <w:noProof/>
            <w:webHidden/>
          </w:rPr>
          <w:fldChar w:fldCharType="begin"/>
        </w:r>
        <w:r w:rsidR="002447EE">
          <w:rPr>
            <w:noProof/>
            <w:webHidden/>
          </w:rPr>
          <w:instrText xml:space="preserve"> PAGEREF _Toc42172562 \h </w:instrText>
        </w:r>
        <w:r w:rsidR="002447EE">
          <w:rPr>
            <w:noProof/>
            <w:webHidden/>
          </w:rPr>
        </w:r>
        <w:r w:rsidR="002447EE">
          <w:rPr>
            <w:noProof/>
            <w:webHidden/>
          </w:rPr>
          <w:fldChar w:fldCharType="separate"/>
        </w:r>
        <w:r w:rsidR="00194957">
          <w:rPr>
            <w:noProof/>
            <w:webHidden/>
          </w:rPr>
          <w:t>2</w:t>
        </w:r>
        <w:r w:rsidR="002447EE">
          <w:rPr>
            <w:noProof/>
            <w:webHidden/>
          </w:rPr>
          <w:fldChar w:fldCharType="end"/>
        </w:r>
      </w:hyperlink>
    </w:p>
    <w:p w14:paraId="451227A9" w14:textId="6021069D" w:rsidR="002447EE" w:rsidRDefault="00FD204E">
      <w:pPr>
        <w:pStyle w:val="TOC1"/>
        <w:rPr>
          <w:rFonts w:asciiTheme="minorHAnsi" w:eastAsiaTheme="minorEastAsia" w:hAnsiTheme="minorHAnsi" w:cstheme="minorBidi"/>
          <w:b w:val="0"/>
          <w:noProof/>
          <w:sz w:val="22"/>
          <w:szCs w:val="22"/>
          <w:lang w:eastAsia="en-IE"/>
        </w:rPr>
      </w:pPr>
      <w:hyperlink w:anchor="_Toc42172563" w:history="1">
        <w:r w:rsidR="002447EE" w:rsidRPr="009A1F2A">
          <w:rPr>
            <w:rStyle w:val="Hyperlink"/>
            <w:noProof/>
          </w:rPr>
          <w:t>References</w:t>
        </w:r>
        <w:r w:rsidR="002447EE">
          <w:rPr>
            <w:noProof/>
            <w:webHidden/>
          </w:rPr>
          <w:tab/>
        </w:r>
        <w:r w:rsidR="002447EE">
          <w:rPr>
            <w:noProof/>
            <w:webHidden/>
          </w:rPr>
          <w:fldChar w:fldCharType="begin"/>
        </w:r>
        <w:r w:rsidR="002447EE">
          <w:rPr>
            <w:noProof/>
            <w:webHidden/>
          </w:rPr>
          <w:instrText xml:space="preserve"> PAGEREF _Toc42172563 \h </w:instrText>
        </w:r>
        <w:r w:rsidR="002447EE">
          <w:rPr>
            <w:noProof/>
            <w:webHidden/>
          </w:rPr>
        </w:r>
        <w:r w:rsidR="002447EE">
          <w:rPr>
            <w:noProof/>
            <w:webHidden/>
          </w:rPr>
          <w:fldChar w:fldCharType="separate"/>
        </w:r>
        <w:r w:rsidR="00194957">
          <w:rPr>
            <w:noProof/>
            <w:webHidden/>
          </w:rPr>
          <w:t>2</w:t>
        </w:r>
        <w:r w:rsidR="002447EE">
          <w:rPr>
            <w:noProof/>
            <w:webHidden/>
          </w:rPr>
          <w:fldChar w:fldCharType="end"/>
        </w:r>
      </w:hyperlink>
    </w:p>
    <w:p w14:paraId="38FF0CBB" w14:textId="23D0ADFB" w:rsidR="00B370A6" w:rsidRPr="004841EF" w:rsidRDefault="002447EE">
      <w:pPr>
        <w:spacing w:after="0"/>
        <w:rPr>
          <w:rFonts w:cs="Arial"/>
          <w:b/>
          <w:bCs/>
          <w:kern w:val="28"/>
          <w:sz w:val="16"/>
          <w:szCs w:val="16"/>
        </w:rPr>
      </w:pPr>
      <w:r>
        <w:rPr>
          <w:rFonts w:cs="Arial"/>
          <w:b/>
          <w:bCs/>
          <w:kern w:val="28"/>
          <w:sz w:val="36"/>
          <w:szCs w:val="32"/>
        </w:rPr>
        <w:fldChar w:fldCharType="end"/>
      </w:r>
    </w:p>
    <w:p w14:paraId="1B38905F" w14:textId="44218E87" w:rsidR="00B370A6" w:rsidRPr="004841EF" w:rsidRDefault="00B370A6">
      <w:pPr>
        <w:spacing w:after="0"/>
        <w:rPr>
          <w:rFonts w:cs="Arial"/>
          <w:b/>
          <w:bCs/>
          <w:kern w:val="28"/>
          <w:sz w:val="36"/>
          <w:szCs w:val="32"/>
        </w:rPr>
      </w:pPr>
      <w:r w:rsidRPr="004841EF">
        <w:rPr>
          <w:rFonts w:cs="Arial"/>
          <w:b/>
          <w:bCs/>
          <w:kern w:val="28"/>
          <w:sz w:val="36"/>
          <w:szCs w:val="32"/>
        </w:rPr>
        <w:br w:type="page"/>
      </w:r>
    </w:p>
    <w:p w14:paraId="7B12A500" w14:textId="06CE35A7" w:rsidR="006C0085" w:rsidRPr="004841EF" w:rsidRDefault="006C0085" w:rsidP="008143FF">
      <w:pPr>
        <w:pStyle w:val="Heading1"/>
      </w:pPr>
      <w:bookmarkStart w:id="3" w:name="_Toc26192065"/>
      <w:bookmarkStart w:id="4" w:name="_Toc42172531"/>
      <w:r w:rsidRPr="004841EF">
        <w:lastRenderedPageBreak/>
        <w:t>Executive Summary</w:t>
      </w:r>
      <w:bookmarkEnd w:id="3"/>
      <w:bookmarkEnd w:id="4"/>
    </w:p>
    <w:p w14:paraId="02A97A7D" w14:textId="1C878738" w:rsidR="009A7FD0" w:rsidRPr="004841EF" w:rsidRDefault="00346CED" w:rsidP="00037C18">
      <w:r w:rsidRPr="004841EF">
        <w:t xml:space="preserve">In October 2015, the Government published the ten-year </w:t>
      </w:r>
      <w:r w:rsidRPr="004841EF">
        <w:rPr>
          <w:b/>
        </w:rPr>
        <w:t>Comprehensive Employment Strategy for People with Disabilities 2015-2024</w:t>
      </w:r>
      <w:r w:rsidRPr="004841EF">
        <w:t>, with a view to significantly increasing the proportion of people with disabilities in employment in Ireland.</w:t>
      </w:r>
      <w:r w:rsidR="009A7FD0" w:rsidRPr="004841EF">
        <w:t xml:space="preserve"> At present, persons with a disability are more than twice as likely to be unemployed than </w:t>
      </w:r>
      <w:r w:rsidR="00393143" w:rsidRPr="004841EF">
        <w:t>persons</w:t>
      </w:r>
      <w:r w:rsidR="009A7FD0" w:rsidRPr="004841EF">
        <w:t xml:space="preserve"> with</w:t>
      </w:r>
      <w:r w:rsidR="00A401BF" w:rsidRPr="004841EF">
        <w:t>out</w:t>
      </w:r>
      <w:r w:rsidR="009A7FD0" w:rsidRPr="004841EF">
        <w:t xml:space="preserve"> a disability.</w:t>
      </w:r>
    </w:p>
    <w:p w14:paraId="15593BAC" w14:textId="2DBFE6A9" w:rsidR="009A7FD0" w:rsidRPr="004841EF" w:rsidRDefault="00A401BF" w:rsidP="00037C18">
      <w:r w:rsidRPr="004841EF">
        <w:t xml:space="preserve">Persons with a disability can face a range of individual and structural barriers at different stages of employment including recruitment, retention and re-entering the workforce. </w:t>
      </w:r>
      <w:r w:rsidR="0057301E" w:rsidRPr="004841EF">
        <w:t>The</w:t>
      </w:r>
      <w:r w:rsidR="009A7FD0" w:rsidRPr="004841EF">
        <w:t xml:space="preserve"> integration of reasonable accommodations into routine recruitment and employment processes </w:t>
      </w:r>
      <w:r w:rsidR="0057301E" w:rsidRPr="004841EF">
        <w:t>is an important element</w:t>
      </w:r>
      <w:r w:rsidR="009A7FD0" w:rsidRPr="004841EF">
        <w:t xml:space="preserve"> in </w:t>
      </w:r>
      <w:r w:rsidRPr="004841EF">
        <w:t xml:space="preserve">addressing the barriers and challenges that </w:t>
      </w:r>
      <w:r w:rsidR="001164D5" w:rsidRPr="004841EF">
        <w:t xml:space="preserve">adversely </w:t>
      </w:r>
      <w:r w:rsidR="00E91AD4" w:rsidRPr="004841EF">
        <w:t>affect</w:t>
      </w:r>
      <w:r w:rsidR="00587238" w:rsidRPr="004841EF">
        <w:t xml:space="preserve"> </w:t>
      </w:r>
      <w:r w:rsidRPr="004841EF">
        <w:t xml:space="preserve">the </w:t>
      </w:r>
      <w:r w:rsidRPr="004841EF">
        <w:rPr>
          <w:bCs/>
        </w:rPr>
        <w:t>employment</w:t>
      </w:r>
      <w:r w:rsidR="00587238" w:rsidRPr="004841EF">
        <w:t xml:space="preserve"> </w:t>
      </w:r>
      <w:r w:rsidRPr="004841EF">
        <w:t>of persons with disabilities.</w:t>
      </w:r>
    </w:p>
    <w:p w14:paraId="1D8A0397" w14:textId="6E35535A" w:rsidR="00346CED" w:rsidRPr="004841EF" w:rsidRDefault="009E36AF" w:rsidP="00037C18">
      <w:r w:rsidRPr="004841EF">
        <w:t>Reasonable accommodations</w:t>
      </w:r>
      <w:r w:rsidR="00A401BF" w:rsidRPr="004841EF">
        <w:t xml:space="preserve"> </w:t>
      </w:r>
      <w:r w:rsidR="00E91AD4" w:rsidRPr="004841EF">
        <w:t>are</w:t>
      </w:r>
      <w:r w:rsidR="00587238" w:rsidRPr="004841EF">
        <w:t xml:space="preserve"> </w:t>
      </w:r>
      <w:r w:rsidR="00E91AD4" w:rsidRPr="004841EF">
        <w:t xml:space="preserve">effective and practical changes that an employer is required to put in place to enable a person with a disability to carry out their work on an equal footing with others. Reasonable accommodations </w:t>
      </w:r>
      <w:r w:rsidR="00A401BF" w:rsidRPr="004841EF">
        <w:t>take a variety of forms and can include flexible working arrangements, assistive technology or</w:t>
      </w:r>
      <w:r w:rsidR="00E91AD4" w:rsidRPr="004841EF">
        <w:t xml:space="preserve"> </w:t>
      </w:r>
      <w:r w:rsidR="002719B7" w:rsidRPr="004841EF">
        <w:t xml:space="preserve">an adaptation of the physical </w:t>
      </w:r>
      <w:r w:rsidR="00E91AD4" w:rsidRPr="004841EF">
        <w:t>workplace.</w:t>
      </w:r>
    </w:p>
    <w:p w14:paraId="2CF7E723" w14:textId="55480883" w:rsidR="00874995" w:rsidRPr="004841EF" w:rsidRDefault="00AB1425" w:rsidP="00587238">
      <w:pPr>
        <w:spacing w:after="120"/>
      </w:pPr>
      <w:r w:rsidRPr="004841EF">
        <w:t>The process</w:t>
      </w:r>
      <w:r w:rsidR="00874995" w:rsidRPr="004841EF">
        <w:t xml:space="preserve"> for providing reasonable accommodations is multifaceted and </w:t>
      </w:r>
      <w:r w:rsidR="00ED3F61" w:rsidRPr="004841EF">
        <w:t xml:space="preserve">typically </w:t>
      </w:r>
      <w:r w:rsidR="00874995" w:rsidRPr="004841EF">
        <w:t>comprises a number of stages, including the:</w:t>
      </w:r>
    </w:p>
    <w:p w14:paraId="3D6AF877" w14:textId="77777777" w:rsidR="00874995" w:rsidRPr="004841EF" w:rsidRDefault="00874995" w:rsidP="00874995">
      <w:pPr>
        <w:pStyle w:val="ListBullet"/>
      </w:pPr>
      <w:r w:rsidRPr="004841EF">
        <w:t>making of a request for reasonable accommodations by a person with a disability</w:t>
      </w:r>
    </w:p>
    <w:p w14:paraId="4BCAC366" w14:textId="77777777" w:rsidR="00874995" w:rsidRPr="004841EF" w:rsidRDefault="00874995" w:rsidP="00874995">
      <w:pPr>
        <w:pStyle w:val="ListBullet"/>
      </w:pPr>
      <w:r w:rsidRPr="004841EF">
        <w:t>evaluation of such a request by an employer and the process followed in reviewing such a request</w:t>
      </w:r>
    </w:p>
    <w:p w14:paraId="3CB6F58C" w14:textId="77777777" w:rsidR="00874995" w:rsidRPr="004841EF" w:rsidRDefault="00874995" w:rsidP="00874995">
      <w:pPr>
        <w:pStyle w:val="ListBullet"/>
      </w:pPr>
      <w:r w:rsidRPr="004841EF">
        <w:t>implementation of any approved reasonable accommodation measure</w:t>
      </w:r>
    </w:p>
    <w:p w14:paraId="4D87D28F" w14:textId="33963A27" w:rsidR="00874995" w:rsidRPr="004841EF" w:rsidRDefault="00874995" w:rsidP="00587238">
      <w:pPr>
        <w:pStyle w:val="ListBullet"/>
        <w:spacing w:after="240"/>
        <w:ind w:left="357" w:hanging="357"/>
      </w:pPr>
      <w:r w:rsidRPr="004841EF">
        <w:t>monitoring of implemented re</w:t>
      </w:r>
      <w:r w:rsidR="00D43B5E" w:rsidRPr="004841EF">
        <w:t>asonable accommodation measures</w:t>
      </w:r>
    </w:p>
    <w:p w14:paraId="57541EFA" w14:textId="70EB34EE" w:rsidR="00AB1425" w:rsidRPr="004841EF" w:rsidRDefault="00AB1425" w:rsidP="00037C18">
      <w:r w:rsidRPr="004841EF">
        <w:t>In a seamless process, employees and employment candidates are comfortable disclosing their disability and requesting reasonable accommodations; and employers follow correct procedures, provide any reasonable accommodation measures required under employment equality legislation and monitor implemented reasonable accommodations.</w:t>
      </w:r>
    </w:p>
    <w:p w14:paraId="3093C257" w14:textId="69C23772" w:rsidR="002719B7" w:rsidRPr="004841EF" w:rsidRDefault="005235A8" w:rsidP="00037C18">
      <w:r w:rsidRPr="004841EF">
        <w:lastRenderedPageBreak/>
        <w:t xml:space="preserve">This report seeks to identify the practical obstacles in the way of a seamless reasonable accommodation process and highlight good practices as to how </w:t>
      </w:r>
      <w:r w:rsidR="00874995" w:rsidRPr="004841EF">
        <w:t xml:space="preserve">such </w:t>
      </w:r>
      <w:r w:rsidRPr="004841EF">
        <w:t>barriers can be addressed.</w:t>
      </w:r>
      <w:r w:rsidR="002719B7" w:rsidRPr="004841EF">
        <w:t xml:space="preserve"> It comprised of a literature review and a review of decisions from the Workplace Relations Commission and the Labour Court relating to reasonable accommodation, as well as consultation with key stakeholders, including persons with a disability.</w:t>
      </w:r>
      <w:r w:rsidR="00075C3C" w:rsidRPr="004841EF">
        <w:t xml:space="preserve"> As part of the consultations, four separate focus groups were </w:t>
      </w:r>
      <w:r w:rsidR="0060255C" w:rsidRPr="004841EF">
        <w:t xml:space="preserve">also </w:t>
      </w:r>
      <w:r w:rsidR="00075C3C" w:rsidRPr="004841EF">
        <w:t>organised comprising of EmployAbility job coaches; Disability Liaison Officers in the public service; employees with a disability in a private sector organisation; and trade union representatives.</w:t>
      </w:r>
    </w:p>
    <w:p w14:paraId="46E9A1A2" w14:textId="7D2A022C" w:rsidR="00BE34A3" w:rsidRPr="009B0E4D" w:rsidRDefault="00940156" w:rsidP="009B0E4D">
      <w:pPr>
        <w:rPr>
          <w:b/>
          <w:sz w:val="28"/>
          <w:szCs w:val="28"/>
        </w:rPr>
      </w:pPr>
      <w:bookmarkStart w:id="5" w:name="_Toc23839125"/>
      <w:bookmarkStart w:id="6" w:name="_Toc23928789"/>
      <w:bookmarkStart w:id="7" w:name="_Toc24554317"/>
      <w:bookmarkStart w:id="8" w:name="_Toc24632378"/>
      <w:bookmarkStart w:id="9" w:name="_Toc24632527"/>
      <w:bookmarkStart w:id="10" w:name="_Toc24644148"/>
      <w:bookmarkStart w:id="11" w:name="_Toc25940967"/>
      <w:bookmarkStart w:id="12" w:name="_Toc26177585"/>
      <w:bookmarkStart w:id="13" w:name="_Toc26192066"/>
      <w:r w:rsidRPr="009B0E4D">
        <w:rPr>
          <w:b/>
          <w:sz w:val="28"/>
          <w:szCs w:val="28"/>
        </w:rPr>
        <w:t>Reasonable Accommodation under the Employment Equality Acts 1998-2015</w:t>
      </w:r>
      <w:bookmarkEnd w:id="5"/>
      <w:bookmarkEnd w:id="6"/>
      <w:bookmarkEnd w:id="7"/>
      <w:bookmarkEnd w:id="8"/>
      <w:bookmarkEnd w:id="9"/>
      <w:bookmarkEnd w:id="10"/>
      <w:bookmarkEnd w:id="11"/>
      <w:bookmarkEnd w:id="12"/>
      <w:bookmarkEnd w:id="13"/>
    </w:p>
    <w:p w14:paraId="208522FB" w14:textId="455CAD7D" w:rsidR="00AC7DD1" w:rsidRPr="004841EF" w:rsidRDefault="001D3F24" w:rsidP="00CB7FF5">
      <w:pPr>
        <w:spacing w:after="120"/>
      </w:pPr>
      <w:r w:rsidRPr="004841EF">
        <w:t xml:space="preserve">The </w:t>
      </w:r>
      <w:r w:rsidRPr="004841EF">
        <w:rPr>
          <w:b/>
        </w:rPr>
        <w:t>Employment Equality Acts 1998-2015</w:t>
      </w:r>
      <w:r w:rsidRPr="004841EF">
        <w:t xml:space="preserve"> oblige employers to provide reasonable accommodations to both employment candidates and employees with disabilities</w:t>
      </w:r>
      <w:r w:rsidR="00E91AD4" w:rsidRPr="004841EF">
        <w:t>, unless these measures would impose a disproportionate burden on them</w:t>
      </w:r>
      <w:r w:rsidRPr="004841EF">
        <w:t xml:space="preserve">. </w:t>
      </w:r>
      <w:r w:rsidR="00AC7DD1" w:rsidRPr="004841EF">
        <w:t>The factors to be taken into account in assessing whether a reasonable accommodation request would impose a disproportionate burden on the e</w:t>
      </w:r>
      <w:r w:rsidR="00587238" w:rsidRPr="004841EF">
        <w:t>mployer include, in particular:</w:t>
      </w:r>
    </w:p>
    <w:p w14:paraId="2E9BAE42" w14:textId="77777777" w:rsidR="00AC7DD1" w:rsidRPr="004841EF" w:rsidRDefault="00AC7DD1" w:rsidP="006272C6">
      <w:pPr>
        <w:numPr>
          <w:ilvl w:val="0"/>
          <w:numId w:val="1"/>
        </w:numPr>
      </w:pPr>
      <w:r w:rsidRPr="004841EF">
        <w:t>The financial and other costs entailed in providing the accommodation</w:t>
      </w:r>
    </w:p>
    <w:p w14:paraId="497383E0" w14:textId="77777777" w:rsidR="00AC7DD1" w:rsidRPr="004841EF" w:rsidRDefault="00AC7DD1" w:rsidP="006272C6">
      <w:pPr>
        <w:numPr>
          <w:ilvl w:val="0"/>
          <w:numId w:val="1"/>
        </w:numPr>
      </w:pPr>
      <w:r w:rsidRPr="004841EF">
        <w:t>The resources available to the employer’s business</w:t>
      </w:r>
    </w:p>
    <w:p w14:paraId="34C8F843" w14:textId="1CE99E88" w:rsidR="00AC7DD1" w:rsidRPr="004841EF" w:rsidRDefault="00AC7DD1" w:rsidP="006272C6">
      <w:pPr>
        <w:numPr>
          <w:ilvl w:val="0"/>
          <w:numId w:val="1"/>
        </w:numPr>
        <w:ind w:left="357" w:hanging="357"/>
      </w:pPr>
      <w:r w:rsidRPr="004841EF">
        <w:t>The possibility of obtaining public funding or other assistance</w:t>
      </w:r>
    </w:p>
    <w:p w14:paraId="18A0BE8B" w14:textId="5EB9B5FB" w:rsidR="001D3F24" w:rsidRPr="004841EF" w:rsidRDefault="001D3F24" w:rsidP="00037C18">
      <w:r w:rsidRPr="004841EF">
        <w:t xml:space="preserve">Employers also have a duty to make reasonable accommodations under </w:t>
      </w:r>
      <w:r w:rsidR="004E54C3" w:rsidRPr="004841EF">
        <w:t xml:space="preserve">European Union law and the </w:t>
      </w:r>
      <w:r w:rsidR="004E54C3" w:rsidRPr="004841EF">
        <w:rPr>
          <w:b/>
        </w:rPr>
        <w:t>United Nations Convention on the Rights of Persons with Disabilities</w:t>
      </w:r>
      <w:r w:rsidR="00CB7FF5" w:rsidRPr="004841EF">
        <w:t>.</w:t>
      </w:r>
    </w:p>
    <w:p w14:paraId="03901EDD" w14:textId="673C49CF" w:rsidR="001D3F24" w:rsidRPr="004841EF" w:rsidRDefault="004E54C3" w:rsidP="00037C18">
      <w:r w:rsidRPr="004841EF">
        <w:t>Under domestic employment equality legislation, t</w:t>
      </w:r>
      <w:r w:rsidR="001D3F24" w:rsidRPr="004841EF">
        <w:t>he legal requirement to provide reasonable accommodations entails both substantive and procedural components.</w:t>
      </w:r>
      <w:r w:rsidR="005412DD" w:rsidRPr="004841EF">
        <w:t xml:space="preserve"> The procedural component requires an employer to take certain steps, such as to understand the employee's disability-related needs and to afford adequate consideration to a request for reasonable accommodation. The substantive element relates to the reasonableness of the accommodation offered or the employer's justification for not provid</w:t>
      </w:r>
      <w:r w:rsidR="00587238" w:rsidRPr="004841EF">
        <w:t>ing a requested accommodation.</w:t>
      </w:r>
    </w:p>
    <w:p w14:paraId="1409437E" w14:textId="15245C34" w:rsidR="005412DD" w:rsidRPr="004841EF" w:rsidRDefault="001D3F24" w:rsidP="005412DD">
      <w:r w:rsidRPr="004841EF">
        <w:lastRenderedPageBreak/>
        <w:t xml:space="preserve">The Supreme Court </w:t>
      </w:r>
      <w:r w:rsidR="00203086" w:rsidRPr="004841EF">
        <w:t>offered</w:t>
      </w:r>
      <w:r w:rsidR="005412DD" w:rsidRPr="004841EF">
        <w:t xml:space="preserve"> guidance on</w:t>
      </w:r>
      <w:r w:rsidR="004E54C3" w:rsidRPr="004841EF">
        <w:t xml:space="preserve"> the extent of an </w:t>
      </w:r>
      <w:r w:rsidR="009A543B" w:rsidRPr="004841EF">
        <w:t xml:space="preserve">employer’s duty to provide reasonable accommodation in the 2019 case of </w:t>
      </w:r>
      <w:r w:rsidR="005412DD" w:rsidRPr="004841EF">
        <w:rPr>
          <w:b/>
        </w:rPr>
        <w:t xml:space="preserve">Daly v </w:t>
      </w:r>
      <w:r w:rsidR="00C2409D" w:rsidRPr="004841EF">
        <w:rPr>
          <w:b/>
        </w:rPr>
        <w:t>Nano Nagle</w:t>
      </w:r>
      <w:r w:rsidR="005412DD" w:rsidRPr="004841EF">
        <w:rPr>
          <w:b/>
        </w:rPr>
        <w:t xml:space="preserve"> School</w:t>
      </w:r>
      <w:r w:rsidR="005412DD" w:rsidRPr="004841EF">
        <w:t>, in particular as regards consultation with a person with a disability</w:t>
      </w:r>
      <w:r w:rsidR="00C2409D" w:rsidRPr="004841EF">
        <w:t>.</w:t>
      </w:r>
      <w:r w:rsidR="005412DD" w:rsidRPr="004841EF">
        <w:t xml:space="preserve"> The Supreme Court confirmed that there is no mandatory duty to consult with an employee on their request for a reasonable accommodation in each and every case. Nonetheless, the Supreme Court commented that “</w:t>
      </w:r>
      <w:r w:rsidR="005412DD" w:rsidRPr="004841EF">
        <w:rPr>
          <w:iCs/>
        </w:rPr>
        <w:t>a wise employer will provide meaningful participation in vindication of his or her duty under the Act</w:t>
      </w:r>
      <w:r w:rsidR="005412DD" w:rsidRPr="004841EF">
        <w:t>”, in particular in light of the importance of fair procedures under Irish employment law.</w:t>
      </w:r>
    </w:p>
    <w:p w14:paraId="1A736CD2" w14:textId="1FA00C4B" w:rsidR="00940156" w:rsidRPr="009B0E4D" w:rsidRDefault="00940156" w:rsidP="009B0E4D">
      <w:pPr>
        <w:rPr>
          <w:b/>
          <w:sz w:val="28"/>
          <w:szCs w:val="28"/>
        </w:rPr>
      </w:pPr>
      <w:bookmarkStart w:id="14" w:name="_Toc23839126"/>
      <w:bookmarkStart w:id="15" w:name="_Toc23928790"/>
      <w:bookmarkStart w:id="16" w:name="_Toc24554318"/>
      <w:bookmarkStart w:id="17" w:name="_Toc24632379"/>
      <w:bookmarkStart w:id="18" w:name="_Toc24632528"/>
      <w:bookmarkStart w:id="19" w:name="_Toc24644149"/>
      <w:bookmarkStart w:id="20" w:name="_Toc25940968"/>
      <w:bookmarkStart w:id="21" w:name="_Toc26177586"/>
      <w:bookmarkStart w:id="22" w:name="_Toc26192067"/>
      <w:r w:rsidRPr="004841EF">
        <w:rPr>
          <w:b/>
          <w:sz w:val="28"/>
          <w:szCs w:val="28"/>
        </w:rPr>
        <w:t>R</w:t>
      </w:r>
      <w:r w:rsidRPr="009B0E4D">
        <w:rPr>
          <w:b/>
          <w:sz w:val="28"/>
          <w:szCs w:val="28"/>
        </w:rPr>
        <w:t>eview of Decisions from the Workplace Relations Commission and Labour Court</w:t>
      </w:r>
      <w:bookmarkEnd w:id="14"/>
      <w:bookmarkEnd w:id="15"/>
      <w:bookmarkEnd w:id="16"/>
      <w:bookmarkEnd w:id="17"/>
      <w:bookmarkEnd w:id="18"/>
      <w:bookmarkEnd w:id="19"/>
      <w:bookmarkEnd w:id="20"/>
      <w:bookmarkEnd w:id="21"/>
      <w:bookmarkEnd w:id="22"/>
    </w:p>
    <w:p w14:paraId="6DDD6879" w14:textId="7A8EC059" w:rsidR="00616CA9" w:rsidRPr="004841EF" w:rsidRDefault="00055006" w:rsidP="00587238">
      <w:pPr>
        <w:spacing w:after="120"/>
      </w:pPr>
      <w:r w:rsidRPr="004841EF">
        <w:t>A review was carried out of 82 Workplace Relations Commission and Labour Court decisions relating to an alleged failure to provide reasonable accommodation</w:t>
      </w:r>
      <w:r w:rsidR="00F50B29" w:rsidRPr="004841EF">
        <w:t>s</w:t>
      </w:r>
      <w:r w:rsidRPr="004841EF">
        <w:t xml:space="preserve">. </w:t>
      </w:r>
      <w:r w:rsidR="005C053C" w:rsidRPr="004841EF">
        <w:t>The purpose of this review was to</w:t>
      </w:r>
      <w:r w:rsidR="00616CA9" w:rsidRPr="004841EF">
        <w:t>:</w:t>
      </w:r>
    </w:p>
    <w:p w14:paraId="6C4CCAC6" w14:textId="5B5777F0" w:rsidR="00616CA9" w:rsidRPr="004841EF" w:rsidRDefault="005C053C" w:rsidP="00354449">
      <w:pPr>
        <w:pStyle w:val="ListNumber"/>
        <w:numPr>
          <w:ilvl w:val="0"/>
          <w:numId w:val="28"/>
        </w:numPr>
      </w:pPr>
      <w:r w:rsidRPr="004841EF">
        <w:t>analyse the types of issues, which arise in practice, in cases conce</w:t>
      </w:r>
      <w:r w:rsidR="00616CA9" w:rsidRPr="004841EF">
        <w:t>rning reasonable accommodation</w:t>
      </w:r>
    </w:p>
    <w:p w14:paraId="0AF15BB6" w14:textId="77777777" w:rsidR="00616CA9" w:rsidRPr="004841EF" w:rsidRDefault="005C053C" w:rsidP="00354449">
      <w:pPr>
        <w:pStyle w:val="ListNumber"/>
        <w:numPr>
          <w:ilvl w:val="0"/>
          <w:numId w:val="28"/>
        </w:numPr>
      </w:pPr>
      <w:r w:rsidRPr="004841EF">
        <w:t>identify the difficulties, or indeed the perceived difficulties, employers encounter in providing r</w:t>
      </w:r>
      <w:r w:rsidR="00616CA9" w:rsidRPr="004841EF">
        <w:t>easonable accommodation</w:t>
      </w:r>
    </w:p>
    <w:p w14:paraId="5AE20BDF" w14:textId="50F6377E" w:rsidR="00616CA9" w:rsidRPr="004841EF" w:rsidRDefault="005C053C" w:rsidP="00354449">
      <w:pPr>
        <w:pStyle w:val="ListNumber"/>
        <w:numPr>
          <w:ilvl w:val="0"/>
          <w:numId w:val="28"/>
        </w:numPr>
        <w:spacing w:after="240"/>
      </w:pPr>
      <w:r w:rsidRPr="004841EF">
        <w:t xml:space="preserve">highlight examples of good and </w:t>
      </w:r>
      <w:r w:rsidR="00F50B29" w:rsidRPr="004841EF">
        <w:t>poor practice amongst employers</w:t>
      </w:r>
      <w:r w:rsidRPr="004841EF">
        <w:t xml:space="preserve"> </w:t>
      </w:r>
      <w:r w:rsidR="00203086" w:rsidRPr="004841EF">
        <w:t>in the provision of reasonable accommodations</w:t>
      </w:r>
    </w:p>
    <w:p w14:paraId="49D836FB" w14:textId="67DE6BFF" w:rsidR="00055006" w:rsidRPr="004841EF" w:rsidRDefault="000E284B" w:rsidP="00616CA9">
      <w:pPr>
        <w:pStyle w:val="ListNumber"/>
      </w:pPr>
      <w:r w:rsidRPr="004841EF">
        <w:t>It should be noted that t</w:t>
      </w:r>
      <w:r w:rsidR="005C053C" w:rsidRPr="004841EF">
        <w:t xml:space="preserve">his review was undertaken prior to the Supreme Court judgment in </w:t>
      </w:r>
      <w:r w:rsidR="005C053C" w:rsidRPr="004841EF">
        <w:rPr>
          <w:b/>
        </w:rPr>
        <w:t>Daly v Nano Nagle School</w:t>
      </w:r>
      <w:r w:rsidR="005C053C" w:rsidRPr="004841EF">
        <w:t>.</w:t>
      </w:r>
    </w:p>
    <w:p w14:paraId="16398935" w14:textId="09C5A3DF" w:rsidR="009409DF" w:rsidRPr="009B0E4D" w:rsidRDefault="009409DF" w:rsidP="009B0E4D">
      <w:pPr>
        <w:rPr>
          <w:b/>
        </w:rPr>
      </w:pPr>
      <w:bookmarkStart w:id="23" w:name="_Toc23839127"/>
      <w:bookmarkStart w:id="24" w:name="_Toc23928791"/>
      <w:bookmarkStart w:id="25" w:name="_Toc24554319"/>
      <w:bookmarkStart w:id="26" w:name="_Toc24632380"/>
      <w:bookmarkStart w:id="27" w:name="_Toc24632529"/>
      <w:bookmarkStart w:id="28" w:name="_Toc24644150"/>
      <w:bookmarkStart w:id="29" w:name="_Toc25940969"/>
      <w:bookmarkStart w:id="30" w:name="_Toc26177587"/>
      <w:bookmarkStart w:id="31" w:name="_Toc26192068"/>
      <w:r w:rsidRPr="009B0E4D">
        <w:rPr>
          <w:b/>
        </w:rPr>
        <w:t>Decisions where there was a breach of the requirement to reasonably accommodate and where there was no such breach</w:t>
      </w:r>
      <w:bookmarkEnd w:id="23"/>
      <w:bookmarkEnd w:id="24"/>
      <w:bookmarkEnd w:id="25"/>
      <w:bookmarkEnd w:id="26"/>
      <w:bookmarkEnd w:id="27"/>
      <w:bookmarkEnd w:id="28"/>
      <w:bookmarkEnd w:id="29"/>
      <w:bookmarkEnd w:id="30"/>
      <w:bookmarkEnd w:id="31"/>
    </w:p>
    <w:p w14:paraId="327E3F49" w14:textId="6FA4DE45" w:rsidR="005C053C" w:rsidRPr="004841EF" w:rsidRDefault="005C053C" w:rsidP="009409DF">
      <w:r w:rsidRPr="004841EF">
        <w:t>In almost 60% of cases (49</w:t>
      </w:r>
      <w:r w:rsidR="0083547B" w:rsidRPr="004841EF">
        <w:t>/82</w:t>
      </w:r>
      <w:r w:rsidRPr="004841EF">
        <w:t>) examined, the relevant employer was found not to have breached the requirement to provide reasonable accommodation under employment equality legislation. The relevant employer was deemed to have breached their obligation to provide reasonable accommodation in 40% of cases</w:t>
      </w:r>
      <w:r w:rsidR="0083547B" w:rsidRPr="004841EF">
        <w:t xml:space="preserve"> (33/82)</w:t>
      </w:r>
      <w:r w:rsidRPr="004841EF">
        <w:t>.</w:t>
      </w:r>
    </w:p>
    <w:p w14:paraId="3F915325" w14:textId="61ACDB28" w:rsidR="009409DF" w:rsidRPr="009B0E4D" w:rsidRDefault="009409DF" w:rsidP="009B0E4D">
      <w:pPr>
        <w:rPr>
          <w:b/>
        </w:rPr>
      </w:pPr>
      <w:bookmarkStart w:id="32" w:name="_Toc23839128"/>
      <w:bookmarkStart w:id="33" w:name="_Toc23928792"/>
      <w:bookmarkStart w:id="34" w:name="_Toc24554320"/>
      <w:bookmarkStart w:id="35" w:name="_Toc24632381"/>
      <w:bookmarkStart w:id="36" w:name="_Toc24632530"/>
      <w:bookmarkStart w:id="37" w:name="_Toc24644151"/>
      <w:bookmarkStart w:id="38" w:name="_Toc25940970"/>
      <w:bookmarkStart w:id="39" w:name="_Toc26177588"/>
      <w:bookmarkStart w:id="40" w:name="_Toc26192069"/>
      <w:r w:rsidRPr="009B0E4D">
        <w:rPr>
          <w:b/>
        </w:rPr>
        <w:lastRenderedPageBreak/>
        <w:t xml:space="preserve">Decisions concerning a current </w:t>
      </w:r>
      <w:r w:rsidR="00931F63" w:rsidRPr="009B0E4D">
        <w:rPr>
          <w:b/>
        </w:rPr>
        <w:t xml:space="preserve">or former </w:t>
      </w:r>
      <w:r w:rsidRPr="009B0E4D">
        <w:rPr>
          <w:b/>
        </w:rPr>
        <w:t>employee and a prospective employee</w:t>
      </w:r>
      <w:bookmarkEnd w:id="32"/>
      <w:bookmarkEnd w:id="33"/>
      <w:bookmarkEnd w:id="34"/>
      <w:bookmarkEnd w:id="35"/>
      <w:bookmarkEnd w:id="36"/>
      <w:bookmarkEnd w:id="37"/>
      <w:bookmarkEnd w:id="38"/>
      <w:bookmarkEnd w:id="39"/>
      <w:bookmarkEnd w:id="40"/>
    </w:p>
    <w:p w14:paraId="6C3F2F1F" w14:textId="781E0BF0" w:rsidR="005C053C" w:rsidRPr="004841EF" w:rsidRDefault="005C053C" w:rsidP="005C053C">
      <w:r w:rsidRPr="004841EF">
        <w:t>Overall, the number of decisions concerning</w:t>
      </w:r>
      <w:r w:rsidR="00885EAF" w:rsidRPr="004841EF">
        <w:t xml:space="preserve"> an alleged failure to provide reasonable accommodation at the</w:t>
      </w:r>
      <w:r w:rsidRPr="004841EF">
        <w:t xml:space="preserve"> access to employment </w:t>
      </w:r>
      <w:r w:rsidR="00885EAF" w:rsidRPr="004841EF">
        <w:t>stage</w:t>
      </w:r>
      <w:r w:rsidRPr="004841EF">
        <w:t xml:space="preserve"> was quite low, accounting for just 8 out of 82 cases. </w:t>
      </w:r>
      <w:r w:rsidR="00885EAF" w:rsidRPr="004841EF">
        <w:t>Current or former employees brought the vast majority of complaints (74/82)</w:t>
      </w:r>
      <w:r w:rsidRPr="004841EF">
        <w:t>.</w:t>
      </w:r>
    </w:p>
    <w:p w14:paraId="33BCE502" w14:textId="14CA1BE7" w:rsidR="009409DF" w:rsidRPr="009B0E4D" w:rsidRDefault="009409DF" w:rsidP="009B0E4D">
      <w:pPr>
        <w:rPr>
          <w:b/>
        </w:rPr>
      </w:pPr>
      <w:bookmarkStart w:id="41" w:name="_Toc23839129"/>
      <w:bookmarkStart w:id="42" w:name="_Toc23928793"/>
      <w:bookmarkStart w:id="43" w:name="_Toc24554321"/>
      <w:bookmarkStart w:id="44" w:name="_Toc24632382"/>
      <w:bookmarkStart w:id="45" w:name="_Toc24632531"/>
      <w:bookmarkStart w:id="46" w:name="_Toc24644152"/>
      <w:bookmarkStart w:id="47" w:name="_Toc25940971"/>
      <w:bookmarkStart w:id="48" w:name="_Toc26177589"/>
      <w:bookmarkStart w:id="49" w:name="_Toc26192070"/>
      <w:r w:rsidRPr="009B0E4D">
        <w:rPr>
          <w:b/>
        </w:rPr>
        <w:t>Decisions concerni</w:t>
      </w:r>
      <w:r w:rsidR="00931F63" w:rsidRPr="009B0E4D">
        <w:rPr>
          <w:b/>
        </w:rPr>
        <w:t>ng a private sector employer,</w:t>
      </w:r>
      <w:r w:rsidRPr="009B0E4D">
        <w:rPr>
          <w:b/>
        </w:rPr>
        <w:t xml:space="preserve"> a public sector employer</w:t>
      </w:r>
      <w:bookmarkEnd w:id="41"/>
      <w:bookmarkEnd w:id="42"/>
      <w:bookmarkEnd w:id="43"/>
      <w:bookmarkEnd w:id="44"/>
      <w:bookmarkEnd w:id="45"/>
      <w:r w:rsidR="00931F63" w:rsidRPr="009B0E4D">
        <w:rPr>
          <w:b/>
        </w:rPr>
        <w:t xml:space="preserve"> and a community or voluntary sector employer</w:t>
      </w:r>
      <w:bookmarkEnd w:id="46"/>
      <w:bookmarkEnd w:id="47"/>
      <w:bookmarkEnd w:id="48"/>
      <w:bookmarkEnd w:id="49"/>
    </w:p>
    <w:p w14:paraId="02A22628" w14:textId="1EA8C02E" w:rsidR="005C053C" w:rsidRPr="004841EF" w:rsidRDefault="005C053C" w:rsidP="005C053C">
      <w:r w:rsidRPr="004841EF">
        <w:t>The majority of complaints alleging a breach of the reasonable accommodation requirement in the review were taken against private sector employers (</w:t>
      </w:r>
      <w:r w:rsidR="00973BFD" w:rsidRPr="004841EF">
        <w:t>55</w:t>
      </w:r>
      <w:r w:rsidR="0097586A" w:rsidRPr="004841EF">
        <w:t>/82</w:t>
      </w:r>
      <w:r w:rsidRPr="004841EF">
        <w:t>). Less than 25% of cases related to public sector employers (</w:t>
      </w:r>
      <w:r w:rsidR="0097586A" w:rsidRPr="004841EF">
        <w:t>19/82</w:t>
      </w:r>
      <w:r w:rsidRPr="004841EF">
        <w:t>)</w:t>
      </w:r>
      <w:r w:rsidR="00973BFD" w:rsidRPr="004841EF">
        <w:t xml:space="preserve">. Four cases were taken against community </w:t>
      </w:r>
      <w:r w:rsidR="00203097" w:rsidRPr="004841EF">
        <w:t>or</w:t>
      </w:r>
      <w:r w:rsidR="00973BFD" w:rsidRPr="004841EF">
        <w:t xml:space="preserve"> voluntary </w:t>
      </w:r>
      <w:r w:rsidR="00FA048A" w:rsidRPr="004841EF">
        <w:t xml:space="preserve">sector </w:t>
      </w:r>
      <w:r w:rsidR="00973BFD" w:rsidRPr="004841EF">
        <w:t>employers. In four</w:t>
      </w:r>
      <w:r w:rsidR="0097586A" w:rsidRPr="004841EF">
        <w:t xml:space="preserve"> </w:t>
      </w:r>
      <w:r w:rsidR="00973BFD" w:rsidRPr="004841EF">
        <w:t>other</w:t>
      </w:r>
      <w:r w:rsidR="0097586A" w:rsidRPr="004841EF">
        <w:t xml:space="preserve"> </w:t>
      </w:r>
      <w:r w:rsidR="000E284B" w:rsidRPr="004841EF">
        <w:t>cases,</w:t>
      </w:r>
      <w:r w:rsidR="0097586A" w:rsidRPr="004841EF">
        <w:t xml:space="preserve"> </w:t>
      </w:r>
      <w:r w:rsidR="00973BFD" w:rsidRPr="004841EF">
        <w:t>the nature of the employment was unclear</w:t>
      </w:r>
      <w:r w:rsidR="0097586A" w:rsidRPr="004841EF">
        <w:t>.</w:t>
      </w:r>
      <w:r w:rsidR="00973BFD" w:rsidRPr="004841EF">
        <w:t xml:space="preserve"> </w:t>
      </w:r>
    </w:p>
    <w:p w14:paraId="534DBCBD" w14:textId="76EAEC02" w:rsidR="009409DF" w:rsidRPr="008E7631" w:rsidRDefault="009409DF" w:rsidP="008E7631">
      <w:pPr>
        <w:rPr>
          <w:b/>
        </w:rPr>
      </w:pPr>
      <w:bookmarkStart w:id="50" w:name="_Toc23839130"/>
      <w:bookmarkStart w:id="51" w:name="_Toc23928794"/>
      <w:bookmarkStart w:id="52" w:name="_Toc24554322"/>
      <w:bookmarkStart w:id="53" w:name="_Toc24632383"/>
      <w:bookmarkStart w:id="54" w:name="_Toc24632532"/>
      <w:bookmarkStart w:id="55" w:name="_Toc24644153"/>
      <w:bookmarkStart w:id="56" w:name="_Toc25940972"/>
      <w:bookmarkStart w:id="57" w:name="_Toc26177590"/>
      <w:bookmarkStart w:id="58" w:name="_Toc26192071"/>
      <w:r w:rsidRPr="008E7631">
        <w:rPr>
          <w:b/>
        </w:rPr>
        <w:t>Types of disability cited by employees and prospective employees</w:t>
      </w:r>
      <w:bookmarkEnd w:id="50"/>
      <w:bookmarkEnd w:id="51"/>
      <w:bookmarkEnd w:id="52"/>
      <w:bookmarkEnd w:id="53"/>
      <w:bookmarkEnd w:id="54"/>
      <w:bookmarkEnd w:id="55"/>
      <w:bookmarkEnd w:id="56"/>
      <w:bookmarkEnd w:id="57"/>
      <w:bookmarkEnd w:id="58"/>
    </w:p>
    <w:p w14:paraId="5C65AD35" w14:textId="30309F6E" w:rsidR="00BE4DD2" w:rsidRPr="004841EF" w:rsidRDefault="001D3F24" w:rsidP="00037C18">
      <w:r w:rsidRPr="004841EF">
        <w:t>The most frequently cited disabilities in the case review were back issues</w:t>
      </w:r>
      <w:r w:rsidR="005C053C" w:rsidRPr="004841EF">
        <w:t xml:space="preserve"> (14)</w:t>
      </w:r>
      <w:r w:rsidRPr="004841EF">
        <w:t>, depression</w:t>
      </w:r>
      <w:r w:rsidR="005C053C" w:rsidRPr="004841EF">
        <w:t xml:space="preserve"> (</w:t>
      </w:r>
      <w:r w:rsidR="0097586A" w:rsidRPr="004841EF">
        <w:t>12</w:t>
      </w:r>
      <w:r w:rsidR="005C053C" w:rsidRPr="004841EF">
        <w:t>)</w:t>
      </w:r>
      <w:r w:rsidRPr="004841EF">
        <w:t xml:space="preserve">, </w:t>
      </w:r>
      <w:r w:rsidR="009E36AF" w:rsidRPr="004841EF">
        <w:t xml:space="preserve">anxiety </w:t>
      </w:r>
      <w:r w:rsidR="005C053C" w:rsidRPr="004841EF">
        <w:t>(</w:t>
      </w:r>
      <w:r w:rsidR="0097586A" w:rsidRPr="004841EF">
        <w:t>8</w:t>
      </w:r>
      <w:r w:rsidR="005C053C" w:rsidRPr="004841EF">
        <w:t xml:space="preserve">) </w:t>
      </w:r>
      <w:r w:rsidR="009E36AF" w:rsidRPr="004841EF">
        <w:t>and stress / workplace stress</w:t>
      </w:r>
      <w:r w:rsidR="005C053C" w:rsidRPr="004841EF">
        <w:t xml:space="preserve"> (</w:t>
      </w:r>
      <w:r w:rsidR="0097586A" w:rsidRPr="004841EF">
        <w:t>6</w:t>
      </w:r>
      <w:r w:rsidR="005C053C" w:rsidRPr="004841EF">
        <w:t>)</w:t>
      </w:r>
      <w:r w:rsidRPr="004841EF">
        <w:t>. Persons with autism and persons with an intellectual disability did not feature in the analysis.</w:t>
      </w:r>
    </w:p>
    <w:p w14:paraId="0306F996" w14:textId="618BE72E" w:rsidR="00BE4DD2" w:rsidRPr="009B0E4D" w:rsidRDefault="00BE34A3" w:rsidP="009B0E4D">
      <w:pPr>
        <w:rPr>
          <w:b/>
        </w:rPr>
      </w:pPr>
      <w:bookmarkStart w:id="59" w:name="_Toc23839131"/>
      <w:bookmarkStart w:id="60" w:name="_Toc23928795"/>
      <w:bookmarkStart w:id="61" w:name="_Toc24554323"/>
      <w:bookmarkStart w:id="62" w:name="_Toc24632384"/>
      <w:bookmarkStart w:id="63" w:name="_Toc24632533"/>
      <w:bookmarkStart w:id="64" w:name="_Toc24644154"/>
      <w:bookmarkStart w:id="65" w:name="_Toc25940973"/>
      <w:bookmarkStart w:id="66" w:name="_Toc26177591"/>
      <w:bookmarkStart w:id="67" w:name="_Toc26192072"/>
      <w:r w:rsidRPr="009B0E4D">
        <w:rPr>
          <w:b/>
        </w:rPr>
        <w:t>Decisions where a breach of the reasonable accommodation requirement was found</w:t>
      </w:r>
      <w:bookmarkEnd w:id="59"/>
      <w:bookmarkEnd w:id="60"/>
      <w:bookmarkEnd w:id="61"/>
      <w:bookmarkEnd w:id="62"/>
      <w:bookmarkEnd w:id="63"/>
      <w:bookmarkEnd w:id="64"/>
      <w:bookmarkEnd w:id="65"/>
      <w:bookmarkEnd w:id="66"/>
      <w:bookmarkEnd w:id="67"/>
    </w:p>
    <w:p w14:paraId="01E04470" w14:textId="3A58FDA2" w:rsidR="004E54C3" w:rsidRPr="004841EF" w:rsidRDefault="004E54C3" w:rsidP="00587238">
      <w:pPr>
        <w:spacing w:after="120"/>
      </w:pPr>
      <w:r w:rsidRPr="004841EF">
        <w:t>Of the 33 decisions where the employer was deemed to have breached their obligation to provide reasonable accommodations, 27 of those related to failures to adhere to procedural elements of the duty. These related to instances of an employer failing to:</w:t>
      </w:r>
    </w:p>
    <w:p w14:paraId="31AC55DE" w14:textId="77777777" w:rsidR="004E54C3" w:rsidRPr="004841EF" w:rsidRDefault="004E54C3" w:rsidP="00354449">
      <w:pPr>
        <w:pStyle w:val="ListNumber"/>
        <w:numPr>
          <w:ilvl w:val="0"/>
          <w:numId w:val="27"/>
        </w:numPr>
      </w:pPr>
      <w:r w:rsidRPr="004841EF">
        <w:t>undertake sufficient enquiries to determine the extent of the employee’s disability</w:t>
      </w:r>
    </w:p>
    <w:p w14:paraId="452AC287" w14:textId="77777777" w:rsidR="004E54C3" w:rsidRPr="004841EF" w:rsidRDefault="004E54C3" w:rsidP="00354449">
      <w:pPr>
        <w:pStyle w:val="ListNumber"/>
        <w:numPr>
          <w:ilvl w:val="0"/>
          <w:numId w:val="27"/>
        </w:numPr>
      </w:pPr>
      <w:r w:rsidRPr="004841EF">
        <w:t xml:space="preserve">consider whether special treatment and facilities could be provided </w:t>
      </w:r>
    </w:p>
    <w:p w14:paraId="7B9B16FC" w14:textId="4DF18291" w:rsidR="004E54C3" w:rsidRPr="004841EF" w:rsidRDefault="004E54C3" w:rsidP="00354449">
      <w:pPr>
        <w:pStyle w:val="ListNumber"/>
        <w:numPr>
          <w:ilvl w:val="0"/>
          <w:numId w:val="27"/>
        </w:numPr>
        <w:spacing w:after="240"/>
      </w:pPr>
      <w:r w:rsidRPr="004841EF">
        <w:t>consult with the employee at all stages of the process</w:t>
      </w:r>
    </w:p>
    <w:p w14:paraId="6B00711F" w14:textId="3A475BEE" w:rsidR="00037C18" w:rsidRPr="004841EF" w:rsidRDefault="004E54C3" w:rsidP="00037C18">
      <w:r w:rsidRPr="004841EF">
        <w:t xml:space="preserve">There were four decisions where the employer failed to meet the substantive components of the duty. In three of these cases, alternative working arrangements were denied to the employee, such as part-time working hours </w:t>
      </w:r>
      <w:r w:rsidR="000E284B" w:rsidRPr="004841EF">
        <w:t xml:space="preserve">or </w:t>
      </w:r>
      <w:r w:rsidRPr="004841EF">
        <w:t xml:space="preserve">a home-working arrangement. </w:t>
      </w:r>
      <w:r w:rsidR="009A543B" w:rsidRPr="004841EF">
        <w:t xml:space="preserve">In the other </w:t>
      </w:r>
      <w:r w:rsidR="009A543B" w:rsidRPr="004841EF">
        <w:lastRenderedPageBreak/>
        <w:t xml:space="preserve">decision, </w:t>
      </w:r>
      <w:r w:rsidR="000E284B" w:rsidRPr="004841EF">
        <w:t>an</w:t>
      </w:r>
      <w:r w:rsidR="009A543B" w:rsidRPr="004841EF">
        <w:t xml:space="preserve"> employer failed to reasonably accommodate a </w:t>
      </w:r>
      <w:r w:rsidR="00973BFD" w:rsidRPr="004841EF">
        <w:t xml:space="preserve">wheelchair user </w:t>
      </w:r>
      <w:r w:rsidR="009A543B" w:rsidRPr="004841EF">
        <w:t>seeking employment at the interview stage.</w:t>
      </w:r>
    </w:p>
    <w:p w14:paraId="72AD795D" w14:textId="489C23AF" w:rsidR="00E811B8" w:rsidRPr="004841EF" w:rsidRDefault="00E811B8" w:rsidP="00037C18">
      <w:r w:rsidRPr="004841EF">
        <w:t xml:space="preserve">In two of the decisions, a breach of the requirement to provide reasonable accommodation arose </w:t>
      </w:r>
      <w:r w:rsidR="00B65365" w:rsidRPr="004841EF">
        <w:t>because</w:t>
      </w:r>
      <w:r w:rsidRPr="004841EF">
        <w:t xml:space="preserve"> of delays in dealing with the request or implementing the</w:t>
      </w:r>
      <w:r w:rsidR="00E36388" w:rsidRPr="004841EF">
        <w:t xml:space="preserve"> approved</w:t>
      </w:r>
      <w:r w:rsidRPr="004841EF">
        <w:t xml:space="preserve"> accommodation.</w:t>
      </w:r>
    </w:p>
    <w:p w14:paraId="24A375CC" w14:textId="69E74089" w:rsidR="00BE34A3" w:rsidRPr="009B0E4D" w:rsidRDefault="00BE34A3" w:rsidP="009B0E4D">
      <w:pPr>
        <w:rPr>
          <w:b/>
        </w:rPr>
      </w:pPr>
      <w:bookmarkStart w:id="68" w:name="_Toc23839132"/>
      <w:bookmarkStart w:id="69" w:name="_Toc23928796"/>
      <w:bookmarkStart w:id="70" w:name="_Toc24554324"/>
      <w:bookmarkStart w:id="71" w:name="_Toc24632385"/>
      <w:bookmarkStart w:id="72" w:name="_Toc24632534"/>
      <w:bookmarkStart w:id="73" w:name="_Toc24644155"/>
      <w:bookmarkStart w:id="74" w:name="_Toc25940974"/>
      <w:bookmarkStart w:id="75" w:name="_Toc26177592"/>
      <w:bookmarkStart w:id="76" w:name="_Toc26192073"/>
      <w:r w:rsidRPr="009B0E4D">
        <w:rPr>
          <w:b/>
        </w:rPr>
        <w:t>Decisions where a breach of the reasonable accommodation requirement was not found</w:t>
      </w:r>
      <w:bookmarkEnd w:id="68"/>
      <w:bookmarkEnd w:id="69"/>
      <w:bookmarkEnd w:id="70"/>
      <w:bookmarkEnd w:id="71"/>
      <w:bookmarkEnd w:id="72"/>
      <w:bookmarkEnd w:id="73"/>
      <w:bookmarkEnd w:id="74"/>
      <w:bookmarkEnd w:id="75"/>
      <w:bookmarkEnd w:id="76"/>
    </w:p>
    <w:p w14:paraId="2C4A7158" w14:textId="5F3E89D0" w:rsidR="00B65365" w:rsidRPr="004841EF" w:rsidRDefault="00B65365" w:rsidP="00B65365">
      <w:r w:rsidRPr="004841EF">
        <w:t xml:space="preserve">In 49 cases, the complaint of an alleged failure to provide reasonable accommodation was dismissed. In 19 of these decisions, the Workplace Relations Commission or the Labour Court deemed that the employer had taken sufficient measures to fully comply with the </w:t>
      </w:r>
      <w:r w:rsidR="00F50B29" w:rsidRPr="004841EF">
        <w:t xml:space="preserve">procedural and substantive duties </w:t>
      </w:r>
      <w:r w:rsidRPr="004841EF">
        <w:t>placed on them by equality legislation in the provisio</w:t>
      </w:r>
      <w:r w:rsidR="00F73EC1">
        <w:t xml:space="preserve">n of reasonable accommodations. </w:t>
      </w:r>
      <w:r w:rsidRPr="004841EF">
        <w:t>In a further 11 cases, the Workplace Relations Commission or Labour Court determined that there was no breach of the reasonable accommodation requirement because the employee would not have been fully competent to undertake the r</w:t>
      </w:r>
      <w:r w:rsidR="00587238" w:rsidRPr="004841EF">
        <w:t>ole even with an accommodation.</w:t>
      </w:r>
    </w:p>
    <w:p w14:paraId="43C86E13" w14:textId="186CD1D0" w:rsidR="000E284B" w:rsidRPr="004841EF" w:rsidRDefault="00B65365" w:rsidP="00037C18">
      <w:r w:rsidRPr="004841EF">
        <w:t>Other common reasons why complaints were dismissed included that the employee</w:t>
      </w:r>
      <w:r w:rsidR="000876E1" w:rsidRPr="004841EF">
        <w:t xml:space="preserve"> either</w:t>
      </w:r>
      <w:r w:rsidRPr="004841EF">
        <w:t xml:space="preserve"> did not inform the employer of their disability</w:t>
      </w:r>
      <w:r w:rsidR="000876E1" w:rsidRPr="004841EF">
        <w:t xml:space="preserve"> or</w:t>
      </w:r>
      <w:r w:rsidRPr="004841EF">
        <w:t xml:space="preserve"> failed to request a reasonable accommodation</w:t>
      </w:r>
      <w:r w:rsidR="000876E1" w:rsidRPr="004841EF">
        <w:t xml:space="preserve"> (</w:t>
      </w:r>
      <w:r w:rsidR="00BC4F85" w:rsidRPr="004841EF">
        <w:t>5</w:t>
      </w:r>
      <w:r w:rsidR="000876E1" w:rsidRPr="004841EF">
        <w:t>). T</w:t>
      </w:r>
      <w:r w:rsidRPr="004841EF">
        <w:t xml:space="preserve">he employee </w:t>
      </w:r>
      <w:r w:rsidR="00BC4F85" w:rsidRPr="004841EF">
        <w:t>was judged</w:t>
      </w:r>
      <w:r w:rsidRPr="004841EF">
        <w:t xml:space="preserve"> not</w:t>
      </w:r>
      <w:r w:rsidR="00BC4F85" w:rsidRPr="004841EF">
        <w:t xml:space="preserve"> to</w:t>
      </w:r>
      <w:r w:rsidRPr="004841EF">
        <w:t xml:space="preserve"> have a disability within the meaning of employment equality legislation</w:t>
      </w:r>
      <w:r w:rsidR="000876E1" w:rsidRPr="004841EF">
        <w:t xml:space="preserve"> in </w:t>
      </w:r>
      <w:r w:rsidR="00835A4B" w:rsidRPr="004841EF">
        <w:t xml:space="preserve">another </w:t>
      </w:r>
      <w:r w:rsidR="00BC4F85" w:rsidRPr="004841EF">
        <w:t>five decisions</w:t>
      </w:r>
      <w:r w:rsidRPr="004841EF">
        <w:t>. In three cases, the Workplace Relations Commission or Labour Court found that the reasonable accommodation sought would impose a disproportionate burden on the employer, and in a further three decisions, the employee failed to establish a prima facie case that their employer had failed to provide reasonable accommodations. In one case, the claim was dismissed as the complainant was not considered an employee.</w:t>
      </w:r>
    </w:p>
    <w:p w14:paraId="21B9DCC0" w14:textId="23D2AFEC" w:rsidR="00814EDD" w:rsidRPr="009B0E4D" w:rsidRDefault="00814EDD" w:rsidP="009B0E4D">
      <w:pPr>
        <w:rPr>
          <w:b/>
          <w:sz w:val="28"/>
          <w:szCs w:val="28"/>
        </w:rPr>
      </w:pPr>
      <w:bookmarkStart w:id="77" w:name="_Toc23839133"/>
      <w:bookmarkStart w:id="78" w:name="_Toc23928797"/>
      <w:bookmarkStart w:id="79" w:name="_Toc24554325"/>
      <w:bookmarkStart w:id="80" w:name="_Toc24632386"/>
      <w:bookmarkStart w:id="81" w:name="_Toc24632535"/>
      <w:bookmarkStart w:id="82" w:name="_Toc24644156"/>
      <w:bookmarkStart w:id="83" w:name="_Toc25940975"/>
      <w:bookmarkStart w:id="84" w:name="_Toc26177593"/>
      <w:bookmarkStart w:id="85" w:name="_Toc26192074"/>
      <w:r w:rsidRPr="009B0E4D">
        <w:rPr>
          <w:b/>
          <w:sz w:val="28"/>
          <w:szCs w:val="28"/>
        </w:rPr>
        <w:t xml:space="preserve">Key learnings </w:t>
      </w:r>
      <w:r w:rsidR="00FA048A" w:rsidRPr="009B0E4D">
        <w:rPr>
          <w:b/>
          <w:sz w:val="28"/>
          <w:szCs w:val="28"/>
        </w:rPr>
        <w:t>and areas for</w:t>
      </w:r>
      <w:r w:rsidR="00BA5EDD" w:rsidRPr="009B0E4D">
        <w:rPr>
          <w:b/>
          <w:sz w:val="28"/>
          <w:szCs w:val="28"/>
        </w:rPr>
        <w:t xml:space="preserve"> improvement arising </w:t>
      </w:r>
      <w:r w:rsidRPr="009B0E4D">
        <w:rPr>
          <w:b/>
          <w:sz w:val="28"/>
          <w:szCs w:val="28"/>
        </w:rPr>
        <w:t>from the review</w:t>
      </w:r>
      <w:bookmarkEnd w:id="77"/>
      <w:bookmarkEnd w:id="78"/>
      <w:bookmarkEnd w:id="79"/>
      <w:bookmarkEnd w:id="80"/>
      <w:bookmarkEnd w:id="81"/>
      <w:bookmarkEnd w:id="82"/>
      <w:bookmarkEnd w:id="83"/>
      <w:bookmarkEnd w:id="84"/>
      <w:bookmarkEnd w:id="85"/>
    </w:p>
    <w:p w14:paraId="71F520DE" w14:textId="3E2B006F" w:rsidR="00814EDD" w:rsidRPr="004841EF" w:rsidRDefault="00B2387C" w:rsidP="00CB7FF5">
      <w:pPr>
        <w:spacing w:after="120"/>
      </w:pPr>
      <w:r w:rsidRPr="004841EF">
        <w:lastRenderedPageBreak/>
        <w:t>The</w:t>
      </w:r>
      <w:r w:rsidR="00131802" w:rsidRPr="004841EF">
        <w:t xml:space="preserve"> key lessons </w:t>
      </w:r>
      <w:r w:rsidR="00FA048A" w:rsidRPr="004841EF">
        <w:t>and areas for</w:t>
      </w:r>
      <w:r w:rsidR="00BA5EDD" w:rsidRPr="004841EF">
        <w:t xml:space="preserve"> improvement </w:t>
      </w:r>
      <w:r w:rsidR="00131802" w:rsidRPr="004841EF">
        <w:t>arising from</w:t>
      </w:r>
      <w:r w:rsidRPr="004841EF">
        <w:t xml:space="preserve"> the review of Workplace Relations Commission and Labour Court decisions relating to reasonable accommodation</w:t>
      </w:r>
      <w:r w:rsidR="00131802" w:rsidRPr="004841EF">
        <w:t xml:space="preserve"> are that e</w:t>
      </w:r>
      <w:r w:rsidR="00814EDD" w:rsidRPr="004841EF">
        <w:t>mployers should:</w:t>
      </w:r>
    </w:p>
    <w:p w14:paraId="73783C9A" w14:textId="592F3D02" w:rsidR="00814EDD" w:rsidRPr="004841EF" w:rsidRDefault="00814EDD" w:rsidP="00354449">
      <w:pPr>
        <w:pStyle w:val="ListNumber"/>
        <w:numPr>
          <w:ilvl w:val="0"/>
          <w:numId w:val="29"/>
        </w:numPr>
      </w:pPr>
      <w:r w:rsidRPr="004841EF">
        <w:t>Carry out a full assessment of the needs of the person with a disability and of the measures necessary to accommodate that person’s disability. It is necessary to ascertain the factual position concerning the employee’s capability, including the degree of impairment arising from the disab</w:t>
      </w:r>
      <w:r w:rsidR="00131802" w:rsidRPr="004841EF">
        <w:t>ility and its likely duration. The employer may be obliged to</w:t>
      </w:r>
      <w:r w:rsidR="009B2CCE" w:rsidRPr="004841EF">
        <w:t xml:space="preserve"> engage with the person with a disability and</w:t>
      </w:r>
      <w:r w:rsidR="00131802" w:rsidRPr="004841EF">
        <w:t xml:space="preserve"> o</w:t>
      </w:r>
      <w:r w:rsidRPr="004841EF">
        <w:t>btain appropriate</w:t>
      </w:r>
      <w:r w:rsidR="00131802" w:rsidRPr="004841EF">
        <w:t xml:space="preserve"> expert advice, including medical advice</w:t>
      </w:r>
      <w:r w:rsidRPr="004841EF">
        <w:t xml:space="preserve"> </w:t>
      </w:r>
    </w:p>
    <w:p w14:paraId="47C203AA" w14:textId="0ABF65A2" w:rsidR="00814EDD" w:rsidRPr="004841EF" w:rsidRDefault="00814EDD" w:rsidP="00354449">
      <w:pPr>
        <w:pStyle w:val="ListNumber"/>
        <w:numPr>
          <w:ilvl w:val="0"/>
          <w:numId w:val="29"/>
        </w:numPr>
      </w:pPr>
      <w:r w:rsidRPr="004841EF">
        <w:t xml:space="preserve">Consider with an open mind what special treatment or facilities could realistically overcome any obstacles to the </w:t>
      </w:r>
      <w:r w:rsidR="00131802" w:rsidRPr="004841EF">
        <w:t>person</w:t>
      </w:r>
      <w:r w:rsidRPr="004841EF">
        <w:t xml:space="preserve"> doing the job for which </w:t>
      </w:r>
      <w:r w:rsidR="00131802" w:rsidRPr="004841EF">
        <w:t>they are</w:t>
      </w:r>
      <w:r w:rsidRPr="004841EF">
        <w:t xml:space="preserve"> otherwise competent</w:t>
      </w:r>
    </w:p>
    <w:p w14:paraId="58C71262" w14:textId="3A3104E9" w:rsidR="00131802" w:rsidRPr="004841EF" w:rsidRDefault="00814EDD" w:rsidP="00354449">
      <w:pPr>
        <w:pStyle w:val="ListNumber"/>
        <w:numPr>
          <w:ilvl w:val="0"/>
          <w:numId w:val="29"/>
        </w:numPr>
      </w:pPr>
      <w:r w:rsidRPr="004841EF">
        <w:t xml:space="preserve">Consult with the </w:t>
      </w:r>
      <w:r w:rsidR="00131802" w:rsidRPr="004841EF">
        <w:t>person concerning their request for reasonable accommodation</w:t>
      </w:r>
      <w:r w:rsidRPr="004841EF">
        <w:t xml:space="preserve"> at every stage </w:t>
      </w:r>
      <w:r w:rsidR="00131802" w:rsidRPr="004841EF">
        <w:t>of the decision-making process. The employee should</w:t>
      </w:r>
      <w:r w:rsidRPr="004841EF">
        <w:t xml:space="preserve"> be allowed an opportunity to influence the employer’s decision and should be allowed present relevant medical reports and submissions</w:t>
      </w:r>
      <w:r w:rsidR="00131802" w:rsidRPr="004841EF">
        <w:rPr>
          <w:rStyle w:val="FootnoteReference"/>
          <w:rFonts w:ascii="Gill Sans MT" w:hAnsi="Gill Sans MT"/>
        </w:rPr>
        <w:footnoteReference w:id="1"/>
      </w:r>
    </w:p>
    <w:p w14:paraId="3EDE8FDA" w14:textId="77777777" w:rsidR="000C60DD" w:rsidRPr="004841EF" w:rsidRDefault="00814EDD" w:rsidP="00354449">
      <w:pPr>
        <w:pStyle w:val="ListNumber"/>
        <w:numPr>
          <w:ilvl w:val="0"/>
          <w:numId w:val="29"/>
        </w:numPr>
      </w:pPr>
      <w:r w:rsidRPr="004841EF">
        <w:t>Have specific policies and procedures that deal with reasonable accommodation</w:t>
      </w:r>
      <w:r w:rsidR="00131802" w:rsidRPr="004841EF">
        <w:t xml:space="preserve">s for employment candidates </w:t>
      </w:r>
      <w:r w:rsidR="000C60DD" w:rsidRPr="004841EF">
        <w:t>and employees with a disability</w:t>
      </w:r>
    </w:p>
    <w:p w14:paraId="7F8A2095" w14:textId="77777777" w:rsidR="000C60DD" w:rsidRPr="004841EF" w:rsidRDefault="00131802" w:rsidP="00354449">
      <w:pPr>
        <w:pStyle w:val="ListNumber"/>
        <w:numPr>
          <w:ilvl w:val="0"/>
          <w:numId w:val="29"/>
        </w:numPr>
      </w:pPr>
      <w:r w:rsidRPr="004841EF">
        <w:t>Respond to requests for reasonable accommodation and implement any approved ac</w:t>
      </w:r>
      <w:r w:rsidR="000C60DD" w:rsidRPr="004841EF">
        <w:t>commodations in a timely manner</w:t>
      </w:r>
    </w:p>
    <w:p w14:paraId="05C23943" w14:textId="45CF9FBA" w:rsidR="00131802" w:rsidRPr="004841EF" w:rsidRDefault="00B2387C" w:rsidP="00354449">
      <w:pPr>
        <w:pStyle w:val="ListNumber"/>
        <w:numPr>
          <w:ilvl w:val="0"/>
          <w:numId w:val="29"/>
        </w:numPr>
        <w:spacing w:after="240"/>
      </w:pPr>
      <w:r w:rsidRPr="004841EF">
        <w:t xml:space="preserve">Provide requested </w:t>
      </w:r>
      <w:r w:rsidR="00203097" w:rsidRPr="004841EF">
        <w:t xml:space="preserve">reasonable </w:t>
      </w:r>
      <w:r w:rsidRPr="004841EF">
        <w:t xml:space="preserve">accommodations to employment candidates and employees with a disability, </w:t>
      </w:r>
      <w:r w:rsidR="00B73F19" w:rsidRPr="004841EF">
        <w:t xml:space="preserve">in particular alternative working arrangements, </w:t>
      </w:r>
      <w:r w:rsidR="000C0D29" w:rsidRPr="004841EF">
        <w:t>subject to the proviso that</w:t>
      </w:r>
      <w:r w:rsidRPr="004841EF">
        <w:t xml:space="preserve"> these measures do not impose a dispropo</w:t>
      </w:r>
      <w:r w:rsidR="00CB7FF5" w:rsidRPr="004841EF">
        <w:t>rtionate burden on the employer</w:t>
      </w:r>
    </w:p>
    <w:p w14:paraId="21CC81AB" w14:textId="3249C35F" w:rsidR="009A543B" w:rsidRPr="009B0E4D" w:rsidRDefault="006B754B" w:rsidP="00F73EC1">
      <w:pPr>
        <w:rPr>
          <w:b/>
          <w:sz w:val="28"/>
          <w:szCs w:val="28"/>
        </w:rPr>
      </w:pPr>
      <w:bookmarkStart w:id="86" w:name="_Toc25940976"/>
      <w:bookmarkStart w:id="87" w:name="_Toc26177594"/>
      <w:bookmarkStart w:id="88" w:name="_Toc26192075"/>
      <w:bookmarkStart w:id="89" w:name="_Toc23839134"/>
      <w:bookmarkStart w:id="90" w:name="_Toc23928798"/>
      <w:bookmarkStart w:id="91" w:name="_Toc24554326"/>
      <w:bookmarkStart w:id="92" w:name="_Toc24632387"/>
      <w:bookmarkStart w:id="93" w:name="_Toc24632536"/>
      <w:bookmarkStart w:id="94" w:name="_Toc24644157"/>
      <w:r w:rsidRPr="009B0E4D">
        <w:rPr>
          <w:b/>
          <w:sz w:val="28"/>
          <w:szCs w:val="28"/>
        </w:rPr>
        <w:lastRenderedPageBreak/>
        <w:t xml:space="preserve">Summary of Key Findings – </w:t>
      </w:r>
      <w:r w:rsidR="00EB2714" w:rsidRPr="009B0E4D">
        <w:rPr>
          <w:b/>
          <w:sz w:val="28"/>
          <w:szCs w:val="28"/>
        </w:rPr>
        <w:t>Obstacles to Attaining and Providing Reasonable Accommodations</w:t>
      </w:r>
      <w:bookmarkEnd w:id="86"/>
      <w:bookmarkEnd w:id="87"/>
      <w:bookmarkEnd w:id="88"/>
      <w:r w:rsidR="00EB2714" w:rsidRPr="009B0E4D">
        <w:rPr>
          <w:b/>
          <w:sz w:val="28"/>
          <w:szCs w:val="28"/>
        </w:rPr>
        <w:t xml:space="preserve"> </w:t>
      </w:r>
      <w:bookmarkEnd w:id="89"/>
      <w:bookmarkEnd w:id="90"/>
      <w:bookmarkEnd w:id="91"/>
      <w:bookmarkEnd w:id="92"/>
      <w:bookmarkEnd w:id="93"/>
      <w:bookmarkEnd w:id="94"/>
    </w:p>
    <w:p w14:paraId="6E08ACEB" w14:textId="77777777" w:rsidR="006B754B" w:rsidRPr="004841EF" w:rsidRDefault="00346CED" w:rsidP="00F73EC1">
      <w:r w:rsidRPr="004841EF">
        <w:t xml:space="preserve">Various factors may impede a seamless reasonable accommodation process, such as, lack of human resources capacity; the affordability of obtaining medical or psychological reports etc. However, a number of key obstacles featured regularly in the literature review; the review of Workplace Relations Commission and Labour Court decisions relating to reasonable accommodation; and consultations with stakeholders. </w:t>
      </w:r>
    </w:p>
    <w:p w14:paraId="5DFF4DE2" w14:textId="07D99B2C" w:rsidR="00346CED" w:rsidRPr="004841EF" w:rsidRDefault="00346CED" w:rsidP="00CB7FF5">
      <w:pPr>
        <w:spacing w:after="120"/>
      </w:pPr>
      <w:r w:rsidRPr="004841EF">
        <w:t xml:space="preserve">While not an exhaustive list, the eight obstacles </w:t>
      </w:r>
      <w:r w:rsidR="00835A4B" w:rsidRPr="004841EF">
        <w:t>examined in this report</w:t>
      </w:r>
      <w:r w:rsidRPr="004841EF">
        <w:t xml:space="preserve"> are:</w:t>
      </w:r>
    </w:p>
    <w:p w14:paraId="265BB6C9" w14:textId="59F6D41C" w:rsidR="00346CED" w:rsidRPr="004841EF" w:rsidRDefault="00346CED" w:rsidP="00F73EC1">
      <w:pPr>
        <w:numPr>
          <w:ilvl w:val="0"/>
          <w:numId w:val="8"/>
        </w:numPr>
        <w:spacing w:before="120" w:after="120"/>
      </w:pPr>
      <w:r w:rsidRPr="004841EF">
        <w:t xml:space="preserve">The reluctance of </w:t>
      </w:r>
      <w:r w:rsidR="00931F63" w:rsidRPr="004841EF">
        <w:t xml:space="preserve">some </w:t>
      </w:r>
      <w:r w:rsidRPr="004841EF">
        <w:t>employees and prospective employees to disclose their disability to an employer and to request reaso</w:t>
      </w:r>
      <w:r w:rsidR="003C3C4B" w:rsidRPr="004841EF">
        <w:t>nable accommodations</w:t>
      </w:r>
    </w:p>
    <w:p w14:paraId="27801523" w14:textId="36875675" w:rsidR="00346CED" w:rsidRPr="004841EF" w:rsidRDefault="00346CED" w:rsidP="00F73EC1">
      <w:pPr>
        <w:numPr>
          <w:ilvl w:val="0"/>
          <w:numId w:val="8"/>
        </w:numPr>
        <w:spacing w:before="120" w:after="120"/>
      </w:pPr>
      <w:r w:rsidRPr="004841EF">
        <w:t xml:space="preserve">The failure of </w:t>
      </w:r>
      <w:r w:rsidR="00931F63" w:rsidRPr="004841EF">
        <w:t xml:space="preserve">some </w:t>
      </w:r>
      <w:r w:rsidRPr="004841EF">
        <w:t xml:space="preserve">employers to have policies and procedures in place regarding reasonable accommodations and to follow the </w:t>
      </w:r>
      <w:r w:rsidR="003C3C4B" w:rsidRPr="004841EF">
        <w:t>procedures required by law</w:t>
      </w:r>
    </w:p>
    <w:p w14:paraId="77B7AA91" w14:textId="26A7F988" w:rsidR="00346CED" w:rsidRPr="004841EF" w:rsidRDefault="00346CED" w:rsidP="00F73EC1">
      <w:pPr>
        <w:numPr>
          <w:ilvl w:val="0"/>
          <w:numId w:val="8"/>
        </w:numPr>
        <w:spacing w:before="120" w:after="120"/>
      </w:pPr>
      <w:r w:rsidRPr="004841EF">
        <w:t>The failure to provide reasonable a</w:t>
      </w:r>
      <w:r w:rsidR="003C3C4B" w:rsidRPr="004841EF">
        <w:t>ccommodation in a timely manner</w:t>
      </w:r>
    </w:p>
    <w:p w14:paraId="5C17681F" w14:textId="6B8C6D3D" w:rsidR="00346CED" w:rsidRPr="004841EF" w:rsidRDefault="00346CED" w:rsidP="00F73EC1">
      <w:pPr>
        <w:numPr>
          <w:ilvl w:val="0"/>
          <w:numId w:val="8"/>
        </w:numPr>
        <w:spacing w:before="120" w:after="120"/>
      </w:pPr>
      <w:r w:rsidRPr="004841EF">
        <w:t xml:space="preserve">The </w:t>
      </w:r>
      <w:r w:rsidR="00CB71C6" w:rsidRPr="004841EF">
        <w:t>low awareness of</w:t>
      </w:r>
      <w:r w:rsidR="00931F63" w:rsidRPr="004841EF">
        <w:t xml:space="preserve"> </w:t>
      </w:r>
      <w:r w:rsidRPr="004841EF">
        <w:t xml:space="preserve">the </w:t>
      </w:r>
      <w:r w:rsidR="00931F63" w:rsidRPr="004841EF">
        <w:t xml:space="preserve">legal </w:t>
      </w:r>
      <w:r w:rsidRPr="004841EF">
        <w:t>obligations on employers to provide reasonable accommodation</w:t>
      </w:r>
      <w:r w:rsidR="00931F63" w:rsidRPr="004841EF">
        <w:t>s and the types of reasonable accommodations available</w:t>
      </w:r>
      <w:r w:rsidRPr="004841EF">
        <w:t xml:space="preserve"> </w:t>
      </w:r>
    </w:p>
    <w:p w14:paraId="09025963" w14:textId="6D9A2803" w:rsidR="00346CED" w:rsidRPr="004841EF" w:rsidRDefault="00346CED" w:rsidP="00F73EC1">
      <w:pPr>
        <w:numPr>
          <w:ilvl w:val="0"/>
          <w:numId w:val="8"/>
        </w:numPr>
        <w:spacing w:before="120" w:after="120"/>
      </w:pPr>
      <w:r w:rsidRPr="004841EF">
        <w:t xml:space="preserve">The failure to provide reasonable accommodations arising from </w:t>
      </w:r>
      <w:r w:rsidR="00095242" w:rsidRPr="004841EF">
        <w:t xml:space="preserve">low levels of understanding and awareness of </w:t>
      </w:r>
      <w:r w:rsidRPr="004841EF">
        <w:t>disabilities a</w:t>
      </w:r>
      <w:r w:rsidR="00931F63" w:rsidRPr="004841EF">
        <w:t>s well as</w:t>
      </w:r>
      <w:r w:rsidRPr="004841EF">
        <w:t xml:space="preserve"> </w:t>
      </w:r>
      <w:r w:rsidR="00095242" w:rsidRPr="004841EF">
        <w:t xml:space="preserve">negative attitudes towards </w:t>
      </w:r>
      <w:r w:rsidRPr="004841EF">
        <w:t>reaso</w:t>
      </w:r>
      <w:r w:rsidR="003C3C4B" w:rsidRPr="004841EF">
        <w:t xml:space="preserve">nable accommodations </w:t>
      </w:r>
    </w:p>
    <w:p w14:paraId="3A2BE290" w14:textId="451A8B15" w:rsidR="00346CED" w:rsidRPr="004841EF" w:rsidRDefault="00346CED" w:rsidP="00F73EC1">
      <w:pPr>
        <w:numPr>
          <w:ilvl w:val="0"/>
          <w:numId w:val="8"/>
        </w:numPr>
        <w:spacing w:before="120" w:after="120"/>
      </w:pPr>
      <w:r w:rsidRPr="004841EF">
        <w:t xml:space="preserve">The </w:t>
      </w:r>
      <w:r w:rsidR="00772760" w:rsidRPr="004841EF">
        <w:t>low</w:t>
      </w:r>
      <w:r w:rsidRPr="004841EF">
        <w:t xml:space="preserve"> awareness of financial supports available to employers in the provisi</w:t>
      </w:r>
      <w:r w:rsidR="003C3C4B" w:rsidRPr="004841EF">
        <w:t>on of reasonable accommodations</w:t>
      </w:r>
    </w:p>
    <w:p w14:paraId="409F7F9C" w14:textId="184025D9" w:rsidR="00346CED" w:rsidRPr="004841EF" w:rsidRDefault="00346CED" w:rsidP="00F73EC1">
      <w:pPr>
        <w:numPr>
          <w:ilvl w:val="0"/>
          <w:numId w:val="8"/>
        </w:numPr>
        <w:spacing w:before="120" w:after="120"/>
      </w:pPr>
      <w:r w:rsidRPr="004841EF">
        <w:t>The limitations of existing financial supports available to employers to pr</w:t>
      </w:r>
      <w:r w:rsidR="003C3C4B" w:rsidRPr="004841EF">
        <w:t>ovide reasonable accommodations</w:t>
      </w:r>
    </w:p>
    <w:p w14:paraId="64738878" w14:textId="5F4A0DE1" w:rsidR="003C3C4B" w:rsidRPr="004841EF" w:rsidRDefault="00346CED" w:rsidP="00F73EC1">
      <w:pPr>
        <w:numPr>
          <w:ilvl w:val="0"/>
          <w:numId w:val="8"/>
        </w:numPr>
        <w:spacing w:before="120"/>
        <w:ind w:left="714" w:hanging="357"/>
      </w:pPr>
      <w:r w:rsidRPr="004841EF">
        <w:t>The lack of provision for monitoring and reviewing reasonable accommodations</w:t>
      </w:r>
    </w:p>
    <w:p w14:paraId="22EB9FEE" w14:textId="17E47E09" w:rsidR="003C3C4B" w:rsidRPr="009B0E4D" w:rsidRDefault="003C3C4B" w:rsidP="009B0E4D">
      <w:pPr>
        <w:rPr>
          <w:b/>
        </w:rPr>
      </w:pPr>
      <w:bookmarkStart w:id="95" w:name="_Toc23839135"/>
      <w:bookmarkStart w:id="96" w:name="_Toc23928799"/>
      <w:bookmarkStart w:id="97" w:name="_Toc24554327"/>
      <w:bookmarkStart w:id="98" w:name="_Toc24632388"/>
      <w:bookmarkStart w:id="99" w:name="_Toc24632537"/>
      <w:bookmarkStart w:id="100" w:name="_Toc24644158"/>
      <w:bookmarkStart w:id="101" w:name="_Toc25940977"/>
      <w:bookmarkStart w:id="102" w:name="_Toc26177595"/>
      <w:bookmarkStart w:id="103" w:name="_Toc26192076"/>
      <w:r w:rsidRPr="009B0E4D">
        <w:rPr>
          <w:b/>
        </w:rPr>
        <w:t xml:space="preserve">The reluctance of </w:t>
      </w:r>
      <w:r w:rsidR="00931F63" w:rsidRPr="009B0E4D">
        <w:rPr>
          <w:b/>
        </w:rPr>
        <w:t xml:space="preserve">some </w:t>
      </w:r>
      <w:r w:rsidRPr="009B0E4D">
        <w:rPr>
          <w:b/>
        </w:rPr>
        <w:t>employees and prospective employees to disclose their disability to an employer and to request reasonable accommodations</w:t>
      </w:r>
      <w:bookmarkEnd w:id="95"/>
      <w:bookmarkEnd w:id="96"/>
      <w:bookmarkEnd w:id="97"/>
      <w:bookmarkEnd w:id="98"/>
      <w:bookmarkEnd w:id="99"/>
      <w:bookmarkEnd w:id="100"/>
      <w:bookmarkEnd w:id="101"/>
      <w:bookmarkEnd w:id="102"/>
      <w:bookmarkEnd w:id="103"/>
    </w:p>
    <w:p w14:paraId="4FAEF677" w14:textId="21D74238" w:rsidR="007276C2" w:rsidRPr="004841EF" w:rsidRDefault="007276C2" w:rsidP="007276C2">
      <w:r w:rsidRPr="004841EF">
        <w:lastRenderedPageBreak/>
        <w:t xml:space="preserve">Employees can be reluctant to disclose their disability to an employer and request reasonable accommodations due to the perceived negative consequences of doing so. This sense of fear about disclosing a disability is primarily threefold: fear of being treated differently after disclosure, fear of disclosure affecting promotional opportunities and fear of being labelled. Concerns regarding disclosure can be particularly acute for those seeking access to employment </w:t>
      </w:r>
      <w:r w:rsidR="00835A4B" w:rsidRPr="004841EF">
        <w:t>and</w:t>
      </w:r>
      <w:r w:rsidRPr="004841EF">
        <w:t xml:space="preserve"> those with a hidden disability.</w:t>
      </w:r>
      <w:r w:rsidR="009871C4" w:rsidRPr="004841EF">
        <w:t xml:space="preserve"> </w:t>
      </w:r>
      <w:r w:rsidR="00DF27E0" w:rsidRPr="004841EF">
        <w:t>The particular concerns which persons with a mental health issue can have regarding disclosure, including the timing of disclosure, were raised in one of the focus groups.</w:t>
      </w:r>
    </w:p>
    <w:p w14:paraId="3AD0D61E" w14:textId="114F000A" w:rsidR="000B2C74" w:rsidRPr="009B0E4D" w:rsidRDefault="000B2C74" w:rsidP="009B0E4D">
      <w:pPr>
        <w:rPr>
          <w:b/>
        </w:rPr>
      </w:pPr>
      <w:bookmarkStart w:id="104" w:name="_Toc23839136"/>
      <w:bookmarkStart w:id="105" w:name="_Toc23928800"/>
      <w:bookmarkStart w:id="106" w:name="_Toc24554328"/>
      <w:bookmarkStart w:id="107" w:name="_Toc24632389"/>
      <w:bookmarkStart w:id="108" w:name="_Toc24632538"/>
      <w:bookmarkStart w:id="109" w:name="_Toc24644159"/>
      <w:bookmarkStart w:id="110" w:name="_Toc25940978"/>
      <w:bookmarkStart w:id="111" w:name="_Toc26177596"/>
      <w:bookmarkStart w:id="112" w:name="_Toc26192077"/>
      <w:r w:rsidRPr="009B0E4D">
        <w:rPr>
          <w:b/>
        </w:rPr>
        <w:t xml:space="preserve">The failure of </w:t>
      </w:r>
      <w:r w:rsidR="00931F63" w:rsidRPr="009B0E4D">
        <w:rPr>
          <w:b/>
        </w:rPr>
        <w:t xml:space="preserve">some </w:t>
      </w:r>
      <w:r w:rsidRPr="009B0E4D">
        <w:rPr>
          <w:b/>
        </w:rPr>
        <w:t>employers to have policies and procedures in place regarding reasonable accommodations and to follow the procedures required by law</w:t>
      </w:r>
      <w:bookmarkEnd w:id="104"/>
      <w:bookmarkEnd w:id="105"/>
      <w:bookmarkEnd w:id="106"/>
      <w:bookmarkEnd w:id="107"/>
      <w:bookmarkEnd w:id="108"/>
      <w:bookmarkEnd w:id="109"/>
      <w:bookmarkEnd w:id="110"/>
      <w:bookmarkEnd w:id="111"/>
      <w:bookmarkEnd w:id="112"/>
    </w:p>
    <w:p w14:paraId="52966C5F" w14:textId="77777777" w:rsidR="00896672" w:rsidRPr="004841EF" w:rsidRDefault="00E36388" w:rsidP="008143FF">
      <w:pPr>
        <w:rPr>
          <w:bCs/>
        </w:rPr>
      </w:pPr>
      <w:r w:rsidRPr="004841EF">
        <w:t>The review of Workplace Relations Commission and Labour Court decisions revealed that the most common reason why employers</w:t>
      </w:r>
      <w:r w:rsidR="000B2C74" w:rsidRPr="004841EF">
        <w:t xml:space="preserve"> were found to have breached the reasonable accommodation duty was for failing to meet the procedural elements of the duty. </w:t>
      </w:r>
      <w:r w:rsidR="007276C2" w:rsidRPr="004841EF">
        <w:t xml:space="preserve">Formal, written policies and procedures dealing with reasonable accommodations are extremely important in </w:t>
      </w:r>
      <w:r w:rsidR="000B2C74" w:rsidRPr="004841EF">
        <w:t>addressing these shortcomings</w:t>
      </w:r>
      <w:r w:rsidR="007276C2" w:rsidRPr="004841EF">
        <w:t xml:space="preserve">. </w:t>
      </w:r>
      <w:r w:rsidR="007276C2" w:rsidRPr="004841EF">
        <w:rPr>
          <w:bCs/>
        </w:rPr>
        <w:t>Policies and procedures provide employers with a structure or framework for dealing with requests for reasonable accommodation, offer guidance for decision-making and assist in complying with the various procedural requirements under employment equality legislation.</w:t>
      </w:r>
      <w:r w:rsidR="00075C3C" w:rsidRPr="004841EF">
        <w:rPr>
          <w:bCs/>
        </w:rPr>
        <w:t xml:space="preserve"> </w:t>
      </w:r>
      <w:r w:rsidR="00366F2D" w:rsidRPr="004841EF">
        <w:rPr>
          <w:bCs/>
        </w:rPr>
        <w:t>In particular, employers should engage with persons with disabilities themselves in identifying reasonable accommodations, and recognise those persons as experts in their own disability</w:t>
      </w:r>
      <w:r w:rsidR="00896672" w:rsidRPr="004841EF">
        <w:rPr>
          <w:bCs/>
        </w:rPr>
        <w:t>.</w:t>
      </w:r>
    </w:p>
    <w:p w14:paraId="7868B7C7" w14:textId="52BA6B21" w:rsidR="007276C2" w:rsidRPr="004841EF" w:rsidRDefault="00F92124" w:rsidP="008143FF">
      <w:r w:rsidRPr="004841EF">
        <w:rPr>
          <w:bCs/>
        </w:rPr>
        <w:t>Concerns were voiced in one of the focus groups that policies and procedures in some private sector organisations, particularly smaller and medium sized enterprises</w:t>
      </w:r>
      <w:r w:rsidR="000B5089" w:rsidRPr="004841EF">
        <w:rPr>
          <w:bCs/>
        </w:rPr>
        <w:t xml:space="preserve">, </w:t>
      </w:r>
      <w:r w:rsidR="009D659E" w:rsidRPr="004841EF">
        <w:rPr>
          <w:bCs/>
        </w:rPr>
        <w:t>can be</w:t>
      </w:r>
      <w:r w:rsidR="000B5089" w:rsidRPr="004841EF">
        <w:rPr>
          <w:bCs/>
        </w:rPr>
        <w:t xml:space="preserve"> lacking</w:t>
      </w:r>
      <w:r w:rsidRPr="004841EF">
        <w:rPr>
          <w:bCs/>
        </w:rPr>
        <w:t>.</w:t>
      </w:r>
      <w:r w:rsidR="00931F63" w:rsidRPr="004841EF">
        <w:t xml:space="preserve"> </w:t>
      </w:r>
      <w:r w:rsidR="00F9719B" w:rsidRPr="004841EF">
        <w:rPr>
          <w:bCs/>
        </w:rPr>
        <w:t>Feedback from two focus groups highlighted that even where workplace policies and procedures on reasonable accommodations are in place, there can be l</w:t>
      </w:r>
      <w:r w:rsidR="00075C3C" w:rsidRPr="004841EF">
        <w:rPr>
          <w:bCs/>
        </w:rPr>
        <w:t xml:space="preserve">ow awareness amongst employees of </w:t>
      </w:r>
      <w:r w:rsidR="00F9719B" w:rsidRPr="004841EF">
        <w:rPr>
          <w:bCs/>
        </w:rPr>
        <w:t>their existence</w:t>
      </w:r>
      <w:r w:rsidR="00075C3C" w:rsidRPr="004841EF">
        <w:rPr>
          <w:bCs/>
        </w:rPr>
        <w:t>.</w:t>
      </w:r>
    </w:p>
    <w:p w14:paraId="568BB720" w14:textId="77777777" w:rsidR="000B2C74" w:rsidRPr="009B0E4D" w:rsidRDefault="000B2C74" w:rsidP="009B0E4D">
      <w:pPr>
        <w:rPr>
          <w:b/>
        </w:rPr>
      </w:pPr>
      <w:bookmarkStart w:id="113" w:name="_Toc23839137"/>
      <w:bookmarkStart w:id="114" w:name="_Toc23928801"/>
      <w:bookmarkStart w:id="115" w:name="_Toc24554329"/>
      <w:bookmarkStart w:id="116" w:name="_Toc24632390"/>
      <w:bookmarkStart w:id="117" w:name="_Toc24632539"/>
      <w:bookmarkStart w:id="118" w:name="_Toc24644160"/>
      <w:bookmarkStart w:id="119" w:name="_Toc25940979"/>
      <w:bookmarkStart w:id="120" w:name="_Toc26177597"/>
      <w:bookmarkStart w:id="121" w:name="_Toc26192078"/>
      <w:r w:rsidRPr="009B0E4D">
        <w:rPr>
          <w:b/>
        </w:rPr>
        <w:t>The failure to provide reasonable accommodation in a timely manner</w:t>
      </w:r>
      <w:bookmarkEnd w:id="113"/>
      <w:bookmarkEnd w:id="114"/>
      <w:bookmarkEnd w:id="115"/>
      <w:bookmarkEnd w:id="116"/>
      <w:bookmarkEnd w:id="117"/>
      <w:bookmarkEnd w:id="118"/>
      <w:bookmarkEnd w:id="119"/>
      <w:bookmarkEnd w:id="120"/>
      <w:bookmarkEnd w:id="121"/>
    </w:p>
    <w:p w14:paraId="72C77352" w14:textId="48B079B3" w:rsidR="007276C2" w:rsidRPr="004841EF" w:rsidRDefault="007276C2" w:rsidP="008143FF">
      <w:r w:rsidRPr="004841EF">
        <w:t xml:space="preserve">Employers do not always treat requests for reasonable accommodations in an efficient manner. While delays arise from lack of proactivity on the part of employers, delays may also </w:t>
      </w:r>
      <w:r w:rsidRPr="004841EF">
        <w:lastRenderedPageBreak/>
        <w:t>arise due to circumstances beyond their control. For instance, concerns have been raised about the length of time it takes the Department of Employment Affairs and Social Protection to process applications for financial grants and implement any approved measures.</w:t>
      </w:r>
      <w:r w:rsidR="00F92124" w:rsidRPr="004841EF">
        <w:t xml:space="preserve"> </w:t>
      </w:r>
      <w:r w:rsidR="00931F63" w:rsidRPr="004841EF">
        <w:t>I</w:t>
      </w:r>
      <w:r w:rsidR="00F92124" w:rsidRPr="004841EF">
        <w:t>nformation</w:t>
      </w:r>
      <w:r w:rsidR="00931F63" w:rsidRPr="004841EF">
        <w:t xml:space="preserve"> received</w:t>
      </w:r>
      <w:r w:rsidR="00F92124" w:rsidRPr="004841EF">
        <w:t xml:space="preserve"> from one of the focus groups indicates that waiting times for the </w:t>
      </w:r>
      <w:r w:rsidR="00F92124" w:rsidRPr="004841EF">
        <w:rPr>
          <w:b/>
        </w:rPr>
        <w:t>Workplace Equipment and Adaptation Grant</w:t>
      </w:r>
      <w:r w:rsidR="00F92124" w:rsidRPr="004841EF">
        <w:t xml:space="preserve"> are inconsistent and vary from area to area.</w:t>
      </w:r>
    </w:p>
    <w:p w14:paraId="4CB72849" w14:textId="5738269A" w:rsidR="003C3C4B" w:rsidRPr="009B0E4D" w:rsidRDefault="003C3C4B" w:rsidP="009B0E4D">
      <w:pPr>
        <w:rPr>
          <w:b/>
        </w:rPr>
      </w:pPr>
      <w:bookmarkStart w:id="122" w:name="_Toc23839138"/>
      <w:bookmarkStart w:id="123" w:name="_Toc23928802"/>
      <w:bookmarkStart w:id="124" w:name="_Toc24554330"/>
      <w:bookmarkStart w:id="125" w:name="_Toc24632391"/>
      <w:bookmarkStart w:id="126" w:name="_Toc24632540"/>
      <w:bookmarkStart w:id="127" w:name="_Toc24644161"/>
      <w:bookmarkStart w:id="128" w:name="_Toc25940980"/>
      <w:bookmarkStart w:id="129" w:name="_Toc26177598"/>
      <w:bookmarkStart w:id="130" w:name="_Toc26192079"/>
      <w:r w:rsidRPr="009B0E4D">
        <w:rPr>
          <w:b/>
        </w:rPr>
        <w:t xml:space="preserve">The </w:t>
      </w:r>
      <w:r w:rsidR="00CB71C6" w:rsidRPr="009B0E4D">
        <w:rPr>
          <w:b/>
        </w:rPr>
        <w:t>low awareness of</w:t>
      </w:r>
      <w:r w:rsidRPr="009B0E4D">
        <w:rPr>
          <w:b/>
        </w:rPr>
        <w:t xml:space="preserve"> </w:t>
      </w:r>
      <w:r w:rsidR="00931F63" w:rsidRPr="009B0E4D">
        <w:rPr>
          <w:b/>
        </w:rPr>
        <w:t xml:space="preserve">the legal </w:t>
      </w:r>
      <w:r w:rsidRPr="009B0E4D">
        <w:rPr>
          <w:b/>
        </w:rPr>
        <w:t xml:space="preserve">obligations on employers to provide reasonable accommodation and </w:t>
      </w:r>
      <w:bookmarkEnd w:id="122"/>
      <w:bookmarkEnd w:id="123"/>
      <w:bookmarkEnd w:id="124"/>
      <w:bookmarkEnd w:id="125"/>
      <w:bookmarkEnd w:id="126"/>
      <w:r w:rsidR="00931F63" w:rsidRPr="009B0E4D">
        <w:rPr>
          <w:b/>
        </w:rPr>
        <w:t>the types of reasonable accommodations available</w:t>
      </w:r>
      <w:bookmarkEnd w:id="127"/>
      <w:bookmarkEnd w:id="128"/>
      <w:bookmarkEnd w:id="129"/>
      <w:bookmarkEnd w:id="130"/>
    </w:p>
    <w:p w14:paraId="0510E9B3" w14:textId="1F208BD0" w:rsidR="00B32FDB" w:rsidRPr="004841EF" w:rsidRDefault="007276C2" w:rsidP="007276C2">
      <w:r w:rsidRPr="004841EF">
        <w:t xml:space="preserve">There exists </w:t>
      </w:r>
      <w:r w:rsidR="00B024B0" w:rsidRPr="004841EF">
        <w:t>low</w:t>
      </w:r>
      <w:r w:rsidRPr="004841EF">
        <w:t xml:space="preserve"> knowledge amongst some employers </w:t>
      </w:r>
      <w:r w:rsidR="00203097" w:rsidRPr="004841EF">
        <w:t xml:space="preserve">about </w:t>
      </w:r>
      <w:r w:rsidR="000F042E" w:rsidRPr="004841EF">
        <w:t>the extent of their obligation to provide reasonable accommodations</w:t>
      </w:r>
      <w:r w:rsidRPr="004841EF">
        <w:t xml:space="preserve"> under employment equality legislation. This includes both the employer’s procedural and substantive obligations. </w:t>
      </w:r>
      <w:r w:rsidR="00203097" w:rsidRPr="004841EF">
        <w:t>Some employers are also unaware of the types of reasonable accommodations which may be available and</w:t>
      </w:r>
      <w:r w:rsidR="00FD79BE" w:rsidRPr="004841EF">
        <w:t xml:space="preserve"> appropriate, for instance the reasonable accommodations which may be appropriate in</w:t>
      </w:r>
      <w:r w:rsidR="00203097" w:rsidRPr="004841EF">
        <w:t xml:space="preserve"> the case of a person with a mental health issue.</w:t>
      </w:r>
    </w:p>
    <w:p w14:paraId="1DA53BEF" w14:textId="003F5801" w:rsidR="007276C2" w:rsidRPr="004841EF" w:rsidRDefault="007276C2" w:rsidP="007276C2">
      <w:r w:rsidRPr="004841EF">
        <w:t xml:space="preserve">Similarly, there is </w:t>
      </w:r>
      <w:r w:rsidR="007C588F" w:rsidRPr="004841EF">
        <w:t>low</w:t>
      </w:r>
      <w:r w:rsidRPr="004841EF">
        <w:t xml:space="preserve"> awareness amongst </w:t>
      </w:r>
      <w:r w:rsidR="00120838" w:rsidRPr="004841EF">
        <w:t xml:space="preserve">some </w:t>
      </w:r>
      <w:r w:rsidRPr="004841EF">
        <w:t xml:space="preserve">persons with disabilities as to their specific rights concerning reasonable accommodation in the workplace. </w:t>
      </w:r>
      <w:r w:rsidR="00B32FDB" w:rsidRPr="004841EF">
        <w:rPr>
          <w:bCs/>
        </w:rPr>
        <w:t xml:space="preserve">Feedback from two focus groups indicates that employees with disabilities do not have a good understanding of the law relating to reasonable accommodations. </w:t>
      </w:r>
      <w:r w:rsidR="007C588F" w:rsidRPr="004841EF">
        <w:t>Low</w:t>
      </w:r>
      <w:r w:rsidRPr="004841EF">
        <w:t xml:space="preserve"> awareness amongst management and employees </w:t>
      </w:r>
      <w:r w:rsidR="00F50B29" w:rsidRPr="004841EF">
        <w:t xml:space="preserve">without disabilities </w:t>
      </w:r>
      <w:r w:rsidRPr="004841EF">
        <w:t xml:space="preserve">of </w:t>
      </w:r>
      <w:r w:rsidR="00F50B29" w:rsidRPr="004841EF">
        <w:t xml:space="preserve">the needs of people with </w:t>
      </w:r>
      <w:r w:rsidRPr="004841EF">
        <w:t>disabilities, reasonable accommodations and the relevant law can create difficulties for persons with a disability in the workplace.</w:t>
      </w:r>
    </w:p>
    <w:p w14:paraId="66F9079A" w14:textId="6B641445" w:rsidR="007276C2" w:rsidRPr="004841EF" w:rsidRDefault="007276C2" w:rsidP="007276C2">
      <w:pPr>
        <w:rPr>
          <w:bCs/>
        </w:rPr>
      </w:pPr>
      <w:r w:rsidRPr="004841EF">
        <w:t xml:space="preserve">There is a demand amongst employers for more training and information resources concerning reasonable accommodation and supporting employees with disabilities more generally. However, there also exists </w:t>
      </w:r>
      <w:r w:rsidR="00DF3459" w:rsidRPr="004841EF">
        <w:t>low levels</w:t>
      </w:r>
      <w:r w:rsidRPr="004841EF">
        <w:t xml:space="preserve"> of awareness </w:t>
      </w:r>
      <w:r w:rsidR="00803EB4" w:rsidRPr="004841EF">
        <w:t xml:space="preserve">amongst some employers </w:t>
      </w:r>
      <w:r w:rsidRPr="004841EF">
        <w:t>about information and training supports which are currently available, including the</w:t>
      </w:r>
      <w:r w:rsidRPr="004841EF">
        <w:rPr>
          <w:b/>
        </w:rPr>
        <w:t xml:space="preserve"> </w:t>
      </w:r>
      <w:r w:rsidRPr="004841EF">
        <w:rPr>
          <w:b/>
          <w:bCs/>
        </w:rPr>
        <w:t>Disability Awareness Support Scheme</w:t>
      </w:r>
      <w:r w:rsidRPr="004841EF">
        <w:rPr>
          <w:bCs/>
        </w:rPr>
        <w:t>.</w:t>
      </w:r>
      <w:r w:rsidR="00DF27E0" w:rsidRPr="004841EF">
        <w:rPr>
          <w:bCs/>
        </w:rPr>
        <w:t xml:space="preserve"> This point was reinforced in one of the focus groups.</w:t>
      </w:r>
    </w:p>
    <w:p w14:paraId="35390180" w14:textId="3E78E51D" w:rsidR="007276C2" w:rsidRPr="004841EF" w:rsidRDefault="00DF3459" w:rsidP="008143FF">
      <w:r w:rsidRPr="004841EF">
        <w:t>T</w:t>
      </w:r>
      <w:r w:rsidR="007276C2" w:rsidRPr="004841EF">
        <w:t xml:space="preserve">here </w:t>
      </w:r>
      <w:r w:rsidR="007276C2" w:rsidRPr="004841EF">
        <w:rPr>
          <w:bCs/>
        </w:rPr>
        <w:t>is no dedicated, centrally-based national resource of peer advice and information for employers on the employment of persons with disabilities.</w:t>
      </w:r>
    </w:p>
    <w:p w14:paraId="6C9448D9" w14:textId="0CB3BB68" w:rsidR="003C3C4B" w:rsidRPr="009B0E4D" w:rsidRDefault="003C3C4B" w:rsidP="009B0E4D">
      <w:pPr>
        <w:rPr>
          <w:b/>
        </w:rPr>
      </w:pPr>
      <w:bookmarkStart w:id="131" w:name="_Toc25940981"/>
      <w:bookmarkStart w:id="132" w:name="_Toc26177599"/>
      <w:bookmarkStart w:id="133" w:name="_Toc26192080"/>
      <w:bookmarkStart w:id="134" w:name="_Toc23839139"/>
      <w:bookmarkStart w:id="135" w:name="_Toc23928803"/>
      <w:bookmarkStart w:id="136" w:name="_Toc24554331"/>
      <w:bookmarkStart w:id="137" w:name="_Toc24632392"/>
      <w:bookmarkStart w:id="138" w:name="_Toc24632541"/>
      <w:bookmarkStart w:id="139" w:name="_Toc24644162"/>
      <w:r w:rsidRPr="009B0E4D">
        <w:rPr>
          <w:b/>
        </w:rPr>
        <w:lastRenderedPageBreak/>
        <w:t xml:space="preserve">The failure of employers to provide reasonable accommodations arising from </w:t>
      </w:r>
      <w:r w:rsidR="00095242" w:rsidRPr="009B0E4D">
        <w:rPr>
          <w:b/>
        </w:rPr>
        <w:t xml:space="preserve">low levels of understanding and awareness of </w:t>
      </w:r>
      <w:r w:rsidRPr="009B0E4D">
        <w:rPr>
          <w:b/>
        </w:rPr>
        <w:t xml:space="preserve">disabilities </w:t>
      </w:r>
      <w:r w:rsidR="00931F63" w:rsidRPr="009B0E4D">
        <w:rPr>
          <w:b/>
        </w:rPr>
        <w:t xml:space="preserve">as well as </w:t>
      </w:r>
      <w:r w:rsidR="00095242" w:rsidRPr="009B0E4D">
        <w:rPr>
          <w:b/>
        </w:rPr>
        <w:t xml:space="preserve">negative attitudes towards </w:t>
      </w:r>
      <w:r w:rsidRPr="009B0E4D">
        <w:rPr>
          <w:b/>
        </w:rPr>
        <w:t>reasonable accommodations</w:t>
      </w:r>
      <w:bookmarkEnd w:id="131"/>
      <w:bookmarkEnd w:id="132"/>
      <w:bookmarkEnd w:id="133"/>
      <w:r w:rsidRPr="009B0E4D">
        <w:rPr>
          <w:b/>
        </w:rPr>
        <w:t xml:space="preserve"> </w:t>
      </w:r>
      <w:bookmarkEnd w:id="134"/>
      <w:bookmarkEnd w:id="135"/>
      <w:bookmarkEnd w:id="136"/>
      <w:bookmarkEnd w:id="137"/>
      <w:bookmarkEnd w:id="138"/>
      <w:bookmarkEnd w:id="139"/>
    </w:p>
    <w:p w14:paraId="7A53118D" w14:textId="70633803" w:rsidR="007276C2" w:rsidRPr="004841EF" w:rsidRDefault="007276C2" w:rsidP="008143FF">
      <w:r w:rsidRPr="004841EF">
        <w:rPr>
          <w:bCs/>
          <w:iCs/>
        </w:rPr>
        <w:t xml:space="preserve">Employees and job applicants with disabilities can be denied reasonable accommodations owing to an employer’s </w:t>
      </w:r>
      <w:r w:rsidR="00095242" w:rsidRPr="004841EF">
        <w:rPr>
          <w:bCs/>
          <w:iCs/>
        </w:rPr>
        <w:t xml:space="preserve">low level of understanding and awareness of </w:t>
      </w:r>
      <w:r w:rsidRPr="004841EF">
        <w:rPr>
          <w:bCs/>
          <w:iCs/>
        </w:rPr>
        <w:t>disabilities. This can have a particular adverse effect on those seeking</w:t>
      </w:r>
      <w:r w:rsidRPr="004841EF">
        <w:t xml:space="preserve"> reasonable accommodations at the recruitment stage</w:t>
      </w:r>
      <w:r w:rsidR="00D24D05" w:rsidRPr="004841EF">
        <w:t>,</w:t>
      </w:r>
      <w:r w:rsidRPr="004841EF">
        <w:t xml:space="preserve"> where discrimination can be more difficult to prove.</w:t>
      </w:r>
      <w:r w:rsidR="00FD79BE" w:rsidRPr="004841EF">
        <w:rPr>
          <w:bCs/>
          <w:iCs/>
        </w:rPr>
        <w:t xml:space="preserve"> </w:t>
      </w:r>
      <w:r w:rsidR="0087721E" w:rsidRPr="004841EF">
        <w:rPr>
          <w:bCs/>
          <w:iCs/>
        </w:rPr>
        <w:t>Some employers can also have</w:t>
      </w:r>
      <w:r w:rsidR="00FD79BE" w:rsidRPr="004841EF">
        <w:rPr>
          <w:bCs/>
          <w:iCs/>
        </w:rPr>
        <w:t xml:space="preserve"> negative attitudes towards reasonable accommodations themselves</w:t>
      </w:r>
      <w:r w:rsidR="0087721E" w:rsidRPr="004841EF">
        <w:rPr>
          <w:bCs/>
          <w:iCs/>
        </w:rPr>
        <w:t xml:space="preserve"> e.g. an employer may consider </w:t>
      </w:r>
      <w:r w:rsidR="00CE2D0A" w:rsidRPr="004841EF">
        <w:rPr>
          <w:bCs/>
          <w:iCs/>
        </w:rPr>
        <w:t xml:space="preserve">some forms of </w:t>
      </w:r>
      <w:r w:rsidR="0087721E" w:rsidRPr="004841EF">
        <w:rPr>
          <w:bCs/>
          <w:iCs/>
        </w:rPr>
        <w:t xml:space="preserve">reasonable </w:t>
      </w:r>
      <w:r w:rsidR="00CE2D0A" w:rsidRPr="004841EF">
        <w:rPr>
          <w:bCs/>
          <w:iCs/>
        </w:rPr>
        <w:t>accommodations, such as</w:t>
      </w:r>
      <w:r w:rsidR="0087721E" w:rsidRPr="004841EF">
        <w:rPr>
          <w:bCs/>
          <w:iCs/>
        </w:rPr>
        <w:t xml:space="preserve"> part-time or flexible working hours</w:t>
      </w:r>
      <w:r w:rsidR="00CE2D0A" w:rsidRPr="004841EF">
        <w:rPr>
          <w:bCs/>
          <w:iCs/>
        </w:rPr>
        <w:t>,</w:t>
      </w:r>
      <w:r w:rsidR="0087721E" w:rsidRPr="004841EF">
        <w:rPr>
          <w:bCs/>
          <w:iCs/>
        </w:rPr>
        <w:t xml:space="preserve"> as inconvenient.</w:t>
      </w:r>
    </w:p>
    <w:p w14:paraId="0FBB9EF3" w14:textId="6DC6F1AC" w:rsidR="003C3C4B" w:rsidRPr="009B0E4D" w:rsidRDefault="003C3C4B" w:rsidP="009B0E4D">
      <w:pPr>
        <w:rPr>
          <w:b/>
        </w:rPr>
      </w:pPr>
      <w:bookmarkStart w:id="140" w:name="_Toc23839140"/>
      <w:bookmarkStart w:id="141" w:name="_Toc23928804"/>
      <w:bookmarkStart w:id="142" w:name="_Toc24554332"/>
      <w:bookmarkStart w:id="143" w:name="_Toc24632393"/>
      <w:bookmarkStart w:id="144" w:name="_Toc24632542"/>
      <w:bookmarkStart w:id="145" w:name="_Toc24644163"/>
      <w:bookmarkStart w:id="146" w:name="_Toc25940982"/>
      <w:bookmarkStart w:id="147" w:name="_Toc26177600"/>
      <w:bookmarkStart w:id="148" w:name="_Toc26192081"/>
      <w:r w:rsidRPr="009B0E4D">
        <w:rPr>
          <w:b/>
        </w:rPr>
        <w:t xml:space="preserve">The </w:t>
      </w:r>
      <w:r w:rsidR="00772760" w:rsidRPr="009B0E4D">
        <w:rPr>
          <w:b/>
        </w:rPr>
        <w:t>low</w:t>
      </w:r>
      <w:r w:rsidRPr="009B0E4D">
        <w:rPr>
          <w:b/>
        </w:rPr>
        <w:t xml:space="preserve"> awareness of financial supports available to employers in the provision of reasonable accommodations</w:t>
      </w:r>
      <w:bookmarkEnd w:id="140"/>
      <w:bookmarkEnd w:id="141"/>
      <w:bookmarkEnd w:id="142"/>
      <w:bookmarkEnd w:id="143"/>
      <w:bookmarkEnd w:id="144"/>
      <w:bookmarkEnd w:id="145"/>
      <w:bookmarkEnd w:id="146"/>
      <w:bookmarkEnd w:id="147"/>
      <w:bookmarkEnd w:id="148"/>
    </w:p>
    <w:p w14:paraId="78409355" w14:textId="3E4272EA" w:rsidR="007276C2" w:rsidRPr="004841EF" w:rsidRDefault="00640665" w:rsidP="008143FF">
      <w:r w:rsidRPr="004841EF">
        <w:t xml:space="preserve">There is low awareness </w:t>
      </w:r>
      <w:r w:rsidR="007276C2" w:rsidRPr="004841EF">
        <w:t xml:space="preserve">amongst </w:t>
      </w:r>
      <w:r w:rsidR="00803EB4" w:rsidRPr="004841EF">
        <w:t xml:space="preserve">some </w:t>
      </w:r>
      <w:r w:rsidR="007276C2" w:rsidRPr="004841EF">
        <w:t xml:space="preserve">private sector employers of the financial supports provided by the Department of Employment Affairs and Social Protection to assist in accommodating the needs of prospective and current employees with disabilities. </w:t>
      </w:r>
      <w:r w:rsidR="00DF27E0" w:rsidRPr="004841EF">
        <w:t xml:space="preserve">This point was also highlighted in one of the focus groups. </w:t>
      </w:r>
      <w:r w:rsidR="007276C2" w:rsidRPr="004841EF">
        <w:t xml:space="preserve">Other than the </w:t>
      </w:r>
      <w:r w:rsidR="007276C2" w:rsidRPr="004841EF">
        <w:rPr>
          <w:b/>
        </w:rPr>
        <w:t>Wage Subsidy Scheme</w:t>
      </w:r>
      <w:r w:rsidR="007276C2" w:rsidRPr="004841EF">
        <w:t>, the number of applications for information and financial support granted through the</w:t>
      </w:r>
      <w:r w:rsidR="007276C2" w:rsidRPr="004841EF">
        <w:rPr>
          <w:b/>
        </w:rPr>
        <w:t xml:space="preserve"> Disability Awareness Support Scheme </w:t>
      </w:r>
      <w:r w:rsidR="007276C2" w:rsidRPr="004841EF">
        <w:t xml:space="preserve">and the </w:t>
      </w:r>
      <w:r w:rsidR="007276C2" w:rsidRPr="004841EF">
        <w:rPr>
          <w:b/>
        </w:rPr>
        <w:t>Reasonable Accommodation Fund</w:t>
      </w:r>
      <w:r w:rsidR="007276C2" w:rsidRPr="004841EF">
        <w:t xml:space="preserve"> are small.</w:t>
      </w:r>
    </w:p>
    <w:p w14:paraId="2BCD9C55" w14:textId="4AB3C60B" w:rsidR="003C3C4B" w:rsidRPr="009B0E4D" w:rsidRDefault="003C3C4B" w:rsidP="009B0E4D">
      <w:pPr>
        <w:rPr>
          <w:b/>
        </w:rPr>
      </w:pPr>
      <w:bookmarkStart w:id="149" w:name="_Toc23839141"/>
      <w:bookmarkStart w:id="150" w:name="_Toc23928805"/>
      <w:bookmarkStart w:id="151" w:name="_Toc24554333"/>
      <w:bookmarkStart w:id="152" w:name="_Toc24632394"/>
      <w:bookmarkStart w:id="153" w:name="_Toc24632543"/>
      <w:bookmarkStart w:id="154" w:name="_Toc24644164"/>
      <w:bookmarkStart w:id="155" w:name="_Toc25940983"/>
      <w:bookmarkStart w:id="156" w:name="_Toc26177601"/>
      <w:bookmarkStart w:id="157" w:name="_Toc26192082"/>
      <w:r w:rsidRPr="009B0E4D">
        <w:rPr>
          <w:b/>
        </w:rPr>
        <w:t>The limitations of existing financial supports available to employers to provide reasonable accommodations</w:t>
      </w:r>
      <w:bookmarkEnd w:id="149"/>
      <w:bookmarkEnd w:id="150"/>
      <w:bookmarkEnd w:id="151"/>
      <w:bookmarkEnd w:id="152"/>
      <w:bookmarkEnd w:id="153"/>
      <w:bookmarkEnd w:id="154"/>
      <w:bookmarkEnd w:id="155"/>
      <w:bookmarkEnd w:id="156"/>
      <w:bookmarkEnd w:id="157"/>
    </w:p>
    <w:p w14:paraId="6DC16D88" w14:textId="172D78DD" w:rsidR="003C3C4B" w:rsidRPr="004841EF" w:rsidRDefault="003C3C4B" w:rsidP="003C3C4B">
      <w:r w:rsidRPr="004841EF">
        <w:t>Concerns have been reported about specific issues and conditions associated with individual financial supports and incentives available through the Department of Employment Affairs and Social Protection, as well as of the overall structure of the supports.</w:t>
      </w:r>
      <w:r w:rsidR="00820C30" w:rsidRPr="004841EF">
        <w:t xml:space="preserve"> For instance, the </w:t>
      </w:r>
      <w:r w:rsidR="00820C30" w:rsidRPr="004841EF">
        <w:rPr>
          <w:b/>
        </w:rPr>
        <w:t>Workplace Equipment and Adaptation Grant</w:t>
      </w:r>
      <w:r w:rsidR="00820C30" w:rsidRPr="004841EF">
        <w:t xml:space="preserve"> is only available on a refund basis</w:t>
      </w:r>
      <w:r w:rsidR="00A37D33" w:rsidRPr="004841EF">
        <w:t xml:space="preserve">, thereby requiring employers to purchase equipment prior to </w:t>
      </w:r>
      <w:r w:rsidR="00DE47E3" w:rsidRPr="004841EF">
        <w:t>receipt of</w:t>
      </w:r>
      <w:r w:rsidR="00A37D33" w:rsidRPr="004841EF">
        <w:t xml:space="preserve"> funding.</w:t>
      </w:r>
      <w:r w:rsidR="00DE47E3" w:rsidRPr="004841EF">
        <w:t xml:space="preserve"> This can cause difficulties</w:t>
      </w:r>
      <w:r w:rsidR="00A37D33" w:rsidRPr="004841EF">
        <w:t xml:space="preserve"> for smaller and medium sized </w:t>
      </w:r>
      <w:r w:rsidR="00DE47E3" w:rsidRPr="004841EF">
        <w:t>employers</w:t>
      </w:r>
      <w:r w:rsidR="00A37D33" w:rsidRPr="004841EF">
        <w:t xml:space="preserve">. </w:t>
      </w:r>
      <w:r w:rsidR="00820C30" w:rsidRPr="004841EF">
        <w:t xml:space="preserve">Additionally, </w:t>
      </w:r>
      <w:r w:rsidR="00A37D33" w:rsidRPr="004841EF">
        <w:t>funding</w:t>
      </w:r>
      <w:r w:rsidR="00DE47E3" w:rsidRPr="004841EF">
        <w:t xml:space="preserve"> for a Sign Language Interpreter</w:t>
      </w:r>
      <w:r w:rsidR="00A37D33" w:rsidRPr="004841EF">
        <w:t xml:space="preserve"> under the </w:t>
      </w:r>
      <w:r w:rsidR="00A37D33" w:rsidRPr="004841EF">
        <w:rPr>
          <w:b/>
        </w:rPr>
        <w:t>Job Interview Interpreter Grant</w:t>
      </w:r>
      <w:r w:rsidR="00A37D33" w:rsidRPr="004841EF">
        <w:t xml:space="preserve"> is only available </w:t>
      </w:r>
      <w:r w:rsidR="00DE47E3" w:rsidRPr="004841EF">
        <w:t>at the</w:t>
      </w:r>
      <w:r w:rsidR="00820C30" w:rsidRPr="004841EF">
        <w:t xml:space="preserve"> </w:t>
      </w:r>
      <w:r w:rsidR="00DE47E3" w:rsidRPr="004841EF">
        <w:t xml:space="preserve">interview and induction stages, and at no other time during the employment relationship, </w:t>
      </w:r>
      <w:r w:rsidR="00F50B29" w:rsidRPr="004841EF">
        <w:lastRenderedPageBreak/>
        <w:t>such as</w:t>
      </w:r>
      <w:r w:rsidR="00DE47E3" w:rsidRPr="004841EF">
        <w:t xml:space="preserve"> </w:t>
      </w:r>
      <w:r w:rsidR="00820C30" w:rsidRPr="004841EF">
        <w:t>perfo</w:t>
      </w:r>
      <w:r w:rsidR="00DE47E3" w:rsidRPr="004841EF">
        <w:t>rmance management reviews or</w:t>
      </w:r>
      <w:r w:rsidR="00820C30" w:rsidRPr="004841EF">
        <w:t xml:space="preserve"> training opportunities.</w:t>
      </w:r>
      <w:r w:rsidR="002D2763" w:rsidRPr="004841EF">
        <w:t xml:space="preserve"> Concerns were also expressed in one of the focus groups regarding the qualifying criteria relating to the </w:t>
      </w:r>
      <w:r w:rsidR="002D2763" w:rsidRPr="004841EF">
        <w:rPr>
          <w:b/>
        </w:rPr>
        <w:t>Wage Subsidy Scheme</w:t>
      </w:r>
      <w:r w:rsidR="002D2763" w:rsidRPr="004841EF">
        <w:t>, in particular that the employee work for a minimum of 21 hours per week.</w:t>
      </w:r>
    </w:p>
    <w:p w14:paraId="328BC4AE" w14:textId="57463879" w:rsidR="003C3C4B" w:rsidRPr="009B0E4D" w:rsidRDefault="003C3C4B" w:rsidP="009B0E4D">
      <w:pPr>
        <w:rPr>
          <w:b/>
        </w:rPr>
      </w:pPr>
      <w:bookmarkStart w:id="158" w:name="_Toc23839142"/>
      <w:bookmarkStart w:id="159" w:name="_Toc23928806"/>
      <w:bookmarkStart w:id="160" w:name="_Toc24554334"/>
      <w:bookmarkStart w:id="161" w:name="_Toc24632395"/>
      <w:bookmarkStart w:id="162" w:name="_Toc24632544"/>
      <w:bookmarkStart w:id="163" w:name="_Toc24644165"/>
      <w:bookmarkStart w:id="164" w:name="_Toc25940984"/>
      <w:bookmarkStart w:id="165" w:name="_Toc26177602"/>
      <w:bookmarkStart w:id="166" w:name="_Toc26192083"/>
      <w:r w:rsidRPr="009B0E4D">
        <w:rPr>
          <w:b/>
        </w:rPr>
        <w:t>The lack of provision for monitoring and reviewing reasonable accommodations</w:t>
      </w:r>
      <w:bookmarkEnd w:id="158"/>
      <w:bookmarkEnd w:id="159"/>
      <w:bookmarkEnd w:id="160"/>
      <w:bookmarkEnd w:id="161"/>
      <w:bookmarkEnd w:id="162"/>
      <w:bookmarkEnd w:id="163"/>
      <w:bookmarkEnd w:id="164"/>
      <w:bookmarkEnd w:id="165"/>
      <w:bookmarkEnd w:id="166"/>
    </w:p>
    <w:p w14:paraId="014F2073" w14:textId="77777777" w:rsidR="00640665" w:rsidRPr="004841EF" w:rsidRDefault="003C3C4B" w:rsidP="008143FF">
      <w:r w:rsidRPr="004841EF">
        <w:t>Formalised structures for per</w:t>
      </w:r>
      <w:r w:rsidR="00BE4DD2" w:rsidRPr="004841EF">
        <w:t xml:space="preserve">iodically reviewing implemented </w:t>
      </w:r>
      <w:r w:rsidRPr="004841EF">
        <w:t>reasonable accommodations in the workplace are</w:t>
      </w:r>
      <w:r w:rsidR="007C588F" w:rsidRPr="004841EF">
        <w:t xml:space="preserve"> generally</w:t>
      </w:r>
      <w:r w:rsidRPr="004841EF">
        <w:t xml:space="preserve"> lacking. </w:t>
      </w:r>
      <w:r w:rsidR="002E2CF2" w:rsidRPr="004841EF">
        <w:t xml:space="preserve">Participants in three focus groups reported that there was an absence of formalised structures for monitoring and reviewing reasonable accommodations in the workplace. </w:t>
      </w:r>
    </w:p>
    <w:p w14:paraId="4828321A" w14:textId="4AD43AF9" w:rsidR="00BE4DD2" w:rsidRPr="004841EF" w:rsidRDefault="003C3C4B" w:rsidP="008143FF">
      <w:r w:rsidRPr="004841EF">
        <w:t xml:space="preserve">For many employers, the provision of the accommodation is the end stage in the process, and there is no further consultation with the employee to determine how the accommodation is operating in practice </w:t>
      </w:r>
      <w:r w:rsidR="00640665" w:rsidRPr="004841EF">
        <w:t xml:space="preserve">or </w:t>
      </w:r>
      <w:r w:rsidRPr="004841EF">
        <w:t>whether it needs to be adapted or replaced</w:t>
      </w:r>
      <w:r w:rsidRPr="004841EF">
        <w:rPr>
          <w:rFonts w:cs="Arial Bold"/>
          <w:sz w:val="28"/>
          <w:szCs w:val="28"/>
        </w:rPr>
        <w:t>.</w:t>
      </w:r>
      <w:r w:rsidR="00075C3C" w:rsidRPr="004841EF">
        <w:rPr>
          <w:rFonts w:cs="Arial Bold"/>
          <w:szCs w:val="26"/>
        </w:rPr>
        <w:t xml:space="preserve"> </w:t>
      </w:r>
      <w:r w:rsidR="00B32FDB" w:rsidRPr="004841EF">
        <w:rPr>
          <w:rFonts w:cs="Arial Bold"/>
          <w:szCs w:val="26"/>
        </w:rPr>
        <w:t>Mixed</w:t>
      </w:r>
      <w:r w:rsidR="002E2CF2" w:rsidRPr="004841EF">
        <w:rPr>
          <w:rFonts w:cs="Arial Bold"/>
          <w:szCs w:val="26"/>
        </w:rPr>
        <w:t xml:space="preserve"> views </w:t>
      </w:r>
      <w:r w:rsidR="00B32FDB" w:rsidRPr="004841EF">
        <w:rPr>
          <w:rFonts w:cs="Arial Bold"/>
          <w:szCs w:val="26"/>
        </w:rPr>
        <w:t xml:space="preserve">were </w:t>
      </w:r>
      <w:r w:rsidR="002E2CF2" w:rsidRPr="004841EF">
        <w:rPr>
          <w:rFonts w:cs="Arial Bold"/>
          <w:szCs w:val="26"/>
        </w:rPr>
        <w:t>expressed in some of the focus groups about the need to monitor or review reasonable accommodations.</w:t>
      </w:r>
    </w:p>
    <w:p w14:paraId="4DE00C9C" w14:textId="5312B1F1" w:rsidR="00037C18" w:rsidRPr="009B0E4D" w:rsidRDefault="00940156" w:rsidP="009B0E4D">
      <w:pPr>
        <w:rPr>
          <w:b/>
          <w:sz w:val="28"/>
          <w:szCs w:val="28"/>
        </w:rPr>
      </w:pPr>
      <w:bookmarkStart w:id="167" w:name="_Toc23839143"/>
      <w:bookmarkStart w:id="168" w:name="_Toc23928807"/>
      <w:bookmarkStart w:id="169" w:name="_Toc24554335"/>
      <w:bookmarkStart w:id="170" w:name="_Toc24632396"/>
      <w:bookmarkStart w:id="171" w:name="_Toc24632545"/>
      <w:bookmarkStart w:id="172" w:name="_Toc24644166"/>
      <w:bookmarkStart w:id="173" w:name="_Toc25940985"/>
      <w:bookmarkStart w:id="174" w:name="_Toc26177603"/>
      <w:bookmarkStart w:id="175" w:name="_Toc26192084"/>
      <w:r w:rsidRPr="009B0E4D">
        <w:rPr>
          <w:b/>
          <w:sz w:val="28"/>
          <w:szCs w:val="28"/>
        </w:rPr>
        <w:t>Good practice for employers in the provision of reasonable accommodations</w:t>
      </w:r>
      <w:bookmarkEnd w:id="167"/>
      <w:bookmarkEnd w:id="168"/>
      <w:bookmarkEnd w:id="169"/>
      <w:bookmarkEnd w:id="170"/>
      <w:bookmarkEnd w:id="171"/>
      <w:bookmarkEnd w:id="172"/>
      <w:bookmarkEnd w:id="173"/>
      <w:bookmarkEnd w:id="174"/>
      <w:bookmarkEnd w:id="175"/>
    </w:p>
    <w:p w14:paraId="6F8C59DB" w14:textId="22925207" w:rsidR="00BB123E" w:rsidRPr="004841EF" w:rsidRDefault="00BB123E" w:rsidP="00BB123E">
      <w:r w:rsidRPr="004841EF">
        <w:t>There exists a range of general, evidence-based good practices regarding the provision of reasonable accommodations which can support employers in making an individual analysis of an accommodation request and tailoring an </w:t>
      </w:r>
      <w:r w:rsidRPr="004841EF">
        <w:rPr>
          <w:bCs/>
        </w:rPr>
        <w:t>individual solution to meet a person’s needs.</w:t>
      </w:r>
      <w:r w:rsidRPr="004841EF">
        <w:t xml:space="preserve"> By adhering to good practices, employees and employment candidates with disabilities will be more likely to request reasonable accommodations, and employers will be less likely to breach the reasonable accommodation requirement. </w:t>
      </w:r>
    </w:p>
    <w:p w14:paraId="76601B4B" w14:textId="01DCA1B3" w:rsidR="00BB123E" w:rsidRPr="004841EF" w:rsidRDefault="00BB123E" w:rsidP="00BB123E">
      <w:r w:rsidRPr="004841EF">
        <w:t>In addition to reducing the risk of litigation, the provision of reasonable accommodations also makes business sense by helping employers to enhance business outcomes by maximis</w:t>
      </w:r>
      <w:r w:rsidRPr="004841EF">
        <w:lastRenderedPageBreak/>
        <w:t xml:space="preserve">ing the engagement and skills of employees in the workplace, </w:t>
      </w:r>
      <w:r w:rsidR="009801DD" w:rsidRPr="004841EF">
        <w:t xml:space="preserve">increasing productivity, </w:t>
      </w:r>
      <w:r w:rsidRPr="004841EF">
        <w:t>creating a positive working environment that is free from discrimination, retaining skilled staff, eliminating the cost of training new employees and promoting equality.</w:t>
      </w:r>
      <w:r w:rsidRPr="004841EF">
        <w:rPr>
          <w:sz w:val="22"/>
          <w:szCs w:val="22"/>
          <w:vertAlign w:val="superscript"/>
        </w:rPr>
        <w:footnoteReference w:id="2"/>
      </w:r>
      <w:r w:rsidRPr="004841EF">
        <w:t xml:space="preserve"> </w:t>
      </w:r>
    </w:p>
    <w:p w14:paraId="468D2EAC" w14:textId="77A30798" w:rsidR="00BE4DD2" w:rsidRPr="004841EF" w:rsidRDefault="00BE4DD2">
      <w:r w:rsidRPr="004841EF">
        <w:t>Good</w:t>
      </w:r>
      <w:r w:rsidR="00820C30" w:rsidRPr="004841EF">
        <w:t xml:space="preserve"> employment</w:t>
      </w:r>
      <w:r w:rsidRPr="004841EF">
        <w:t xml:space="preserve"> practices are also important in building a disability inclusive environment that encourages disability disclosure and reduces the likelihood of negative consequences for employees and applicants who request reasonable accommodations.</w:t>
      </w:r>
    </w:p>
    <w:p w14:paraId="44673CC4" w14:textId="5F315EE9" w:rsidR="00CE4244" w:rsidRPr="004841EF" w:rsidRDefault="00CE4244">
      <w:r w:rsidRPr="004841EF">
        <w:t xml:space="preserve">Good practices in the provision of reasonable accommodation </w:t>
      </w:r>
      <w:r w:rsidR="00075C3C" w:rsidRPr="004841EF">
        <w:t xml:space="preserve">can </w:t>
      </w:r>
      <w:r w:rsidR="00433A46" w:rsidRPr="004841EF">
        <w:t>assist employers at</w:t>
      </w:r>
      <w:r w:rsidRPr="004841EF">
        <w:t xml:space="preserve"> every stage of the recruitment and employment process; from job design, interview and assessment, through to making an offer, assisting an employee to continue in employment and decisions over the retention of existing employees.</w:t>
      </w:r>
    </w:p>
    <w:p w14:paraId="054BB23F" w14:textId="33B785A9" w:rsidR="002719B7" w:rsidRPr="009B0E4D" w:rsidRDefault="002719B7" w:rsidP="009B0E4D">
      <w:pPr>
        <w:rPr>
          <w:b/>
          <w:sz w:val="28"/>
          <w:szCs w:val="28"/>
        </w:rPr>
      </w:pPr>
      <w:bookmarkStart w:id="176" w:name="_Toc23839144"/>
      <w:bookmarkStart w:id="177" w:name="_Toc23928808"/>
      <w:bookmarkStart w:id="178" w:name="_Toc24554336"/>
      <w:bookmarkStart w:id="179" w:name="_Toc24632397"/>
      <w:bookmarkStart w:id="180" w:name="_Toc24632546"/>
      <w:bookmarkStart w:id="181" w:name="_Toc24644167"/>
      <w:bookmarkStart w:id="182" w:name="_Toc25940986"/>
      <w:bookmarkStart w:id="183" w:name="_Toc26177604"/>
      <w:bookmarkStart w:id="184" w:name="_Toc26192085"/>
      <w:r w:rsidRPr="009B0E4D">
        <w:rPr>
          <w:b/>
          <w:sz w:val="28"/>
          <w:szCs w:val="28"/>
        </w:rPr>
        <w:t>Summary of Recommendations</w:t>
      </w:r>
      <w:bookmarkEnd w:id="176"/>
      <w:bookmarkEnd w:id="177"/>
      <w:bookmarkEnd w:id="178"/>
      <w:bookmarkEnd w:id="179"/>
      <w:bookmarkEnd w:id="180"/>
      <w:bookmarkEnd w:id="181"/>
      <w:bookmarkEnd w:id="182"/>
      <w:bookmarkEnd w:id="183"/>
      <w:bookmarkEnd w:id="184"/>
      <w:r w:rsidRPr="009B0E4D">
        <w:rPr>
          <w:b/>
          <w:sz w:val="28"/>
          <w:szCs w:val="28"/>
        </w:rPr>
        <w:t xml:space="preserve"> </w:t>
      </w:r>
    </w:p>
    <w:p w14:paraId="425C2049" w14:textId="6188BB4D" w:rsidR="003C3C4B" w:rsidRPr="004841EF" w:rsidRDefault="00BB123E" w:rsidP="00CB7FF5">
      <w:pPr>
        <w:spacing w:after="120"/>
      </w:pPr>
      <w:r w:rsidRPr="004841EF">
        <w:t xml:space="preserve">Below is a summary of the recommendations </w:t>
      </w:r>
      <w:r w:rsidR="00504B61" w:rsidRPr="004841EF">
        <w:t xml:space="preserve">arising </w:t>
      </w:r>
      <w:r w:rsidRPr="004841EF">
        <w:t>for policy and practice concerning the provision of reasonable accommodations in the employment context</w:t>
      </w:r>
      <w:r w:rsidR="003C3C4B" w:rsidRPr="004841EF">
        <w:t>:</w:t>
      </w:r>
    </w:p>
    <w:p w14:paraId="634F55D4" w14:textId="3D522435" w:rsidR="003C3C4B" w:rsidRPr="004841EF" w:rsidRDefault="00067C04" w:rsidP="006272C6">
      <w:pPr>
        <w:numPr>
          <w:ilvl w:val="0"/>
          <w:numId w:val="1"/>
        </w:numPr>
      </w:pPr>
      <w:r w:rsidRPr="004841EF">
        <w:t>Both g</w:t>
      </w:r>
      <w:r w:rsidR="003C3C4B" w:rsidRPr="004841EF">
        <w:t xml:space="preserve">uidance and a code of practice concerning the provision of reasonable accommodations in the employment context, including the recruitment process, should be developed. </w:t>
      </w:r>
      <w:r w:rsidR="00F339B5" w:rsidRPr="004841EF">
        <w:t>A</w:t>
      </w:r>
      <w:r w:rsidR="003C3C4B" w:rsidRPr="004841EF">
        <w:t xml:space="preserve"> code of practice </w:t>
      </w:r>
      <w:r w:rsidR="00F339B5" w:rsidRPr="004841EF">
        <w:t xml:space="preserve">would </w:t>
      </w:r>
      <w:r w:rsidR="003C3C4B" w:rsidRPr="004841EF">
        <w:t xml:space="preserve">explain the complexities of the law in this area, and </w:t>
      </w:r>
      <w:r w:rsidR="00F339B5" w:rsidRPr="004841EF">
        <w:t xml:space="preserve">direct </w:t>
      </w:r>
      <w:r w:rsidR="003C3C4B" w:rsidRPr="004841EF">
        <w:t xml:space="preserve">employers </w:t>
      </w:r>
      <w:r w:rsidR="00F339B5" w:rsidRPr="004841EF">
        <w:t xml:space="preserve">about how they can </w:t>
      </w:r>
      <w:r w:rsidR="003C3C4B" w:rsidRPr="004841EF">
        <w:t xml:space="preserve">comply with </w:t>
      </w:r>
      <w:r w:rsidR="00433A46" w:rsidRPr="004841EF">
        <w:t>their statutory obligations</w:t>
      </w:r>
      <w:r w:rsidR="00F339B5" w:rsidRPr="004841EF">
        <w:t xml:space="preserve"> under the </w:t>
      </w:r>
      <w:r w:rsidR="00F339B5" w:rsidRPr="004841EF">
        <w:rPr>
          <w:b/>
        </w:rPr>
        <w:t>Employment Equality Acts</w:t>
      </w:r>
      <w:r w:rsidR="003C3C4B" w:rsidRPr="004841EF">
        <w:t>.</w:t>
      </w:r>
      <w:r w:rsidR="003C3C4B" w:rsidRPr="004841EF">
        <w:rPr>
          <w:sz w:val="22"/>
          <w:szCs w:val="22"/>
          <w:vertAlign w:val="superscript"/>
        </w:rPr>
        <w:footnoteReference w:id="3"/>
      </w:r>
      <w:r w:rsidR="003C3C4B" w:rsidRPr="004841EF">
        <w:t xml:space="preserve"> </w:t>
      </w:r>
      <w:r w:rsidR="00F339B5" w:rsidRPr="004841EF">
        <w:t xml:space="preserve">A code of practice </w:t>
      </w:r>
      <w:r w:rsidR="003C3C4B" w:rsidRPr="004841EF">
        <w:t>would also assist persons with a disability who are seeking to understand their entitlements in this area</w:t>
      </w:r>
      <w:r w:rsidR="00F339B5" w:rsidRPr="004841EF">
        <w:t xml:space="preserve">. </w:t>
      </w:r>
      <w:r w:rsidR="00F57EB4" w:rsidRPr="004841EF">
        <w:t xml:space="preserve">It is envisaged that </w:t>
      </w:r>
      <w:r w:rsidR="00F57EB4" w:rsidRPr="004841EF">
        <w:lastRenderedPageBreak/>
        <w:t>guidelines would be broader than a Code of Practice</w:t>
      </w:r>
      <w:r w:rsidR="00640665" w:rsidRPr="004841EF">
        <w:t>, with the latter</w:t>
      </w:r>
      <w:r w:rsidR="00F57EB4" w:rsidRPr="004841EF">
        <w:t xml:space="preserve"> focused on legal requirements and compliance</w:t>
      </w:r>
      <w:r w:rsidR="00640665" w:rsidRPr="004841EF">
        <w:t>,</w:t>
      </w:r>
      <w:r w:rsidR="00F57EB4" w:rsidRPr="004841EF">
        <w:t xml:space="preserve"> and admissible in evidence in court proceedings. </w:t>
      </w:r>
      <w:r w:rsidR="00F339B5" w:rsidRPr="004841EF">
        <w:t xml:space="preserve">Guidelines on reasonable accommodations would </w:t>
      </w:r>
      <w:r w:rsidRPr="004841EF">
        <w:t xml:space="preserve">provide a </w:t>
      </w:r>
      <w:r w:rsidR="00F57EB4" w:rsidRPr="004841EF">
        <w:t>non-mandatory,</w:t>
      </w:r>
      <w:r w:rsidRPr="004841EF">
        <w:t xml:space="preserve"> practical resource for employers and promote good practice, which in many cases extends beyond minimum legislative requirements</w:t>
      </w:r>
    </w:p>
    <w:p w14:paraId="759C8087" w14:textId="57A91981" w:rsidR="003C3C4B" w:rsidRPr="004841EF" w:rsidRDefault="00070CC1" w:rsidP="006272C6">
      <w:pPr>
        <w:numPr>
          <w:ilvl w:val="0"/>
          <w:numId w:val="1"/>
        </w:numPr>
      </w:pPr>
      <w:r w:rsidRPr="004841EF">
        <w:t>T</w:t>
      </w:r>
      <w:r w:rsidR="003C3C4B" w:rsidRPr="004841EF">
        <w:t xml:space="preserve">here </w:t>
      </w:r>
      <w:r w:rsidR="00165589" w:rsidRPr="004841EF">
        <w:t xml:space="preserve">is </w:t>
      </w:r>
      <w:r w:rsidR="003C3C4B" w:rsidRPr="004841EF">
        <w:t xml:space="preserve">no specific </w:t>
      </w:r>
      <w:r w:rsidR="00165589" w:rsidRPr="004841EF">
        <w:t xml:space="preserve">national </w:t>
      </w:r>
      <w:r w:rsidR="003C3C4B" w:rsidRPr="004841EF">
        <w:t>employer information and training resource currently available</w:t>
      </w:r>
      <w:r w:rsidRPr="004841EF">
        <w:t xml:space="preserve"> to guide employers on disability matters</w:t>
      </w:r>
      <w:r w:rsidR="003C3C4B" w:rsidRPr="004841EF">
        <w:t xml:space="preserve">. Consideration should be afforded to creating a dedicated </w:t>
      </w:r>
      <w:r w:rsidR="003C3C4B" w:rsidRPr="004841EF">
        <w:rPr>
          <w:bCs/>
        </w:rPr>
        <w:t>national resource of peer advice and information for employers on the employment of persons with disabilities, including reasonable accommodations</w:t>
      </w:r>
      <w:r w:rsidR="006733B2" w:rsidRPr="004841EF">
        <w:rPr>
          <w:bCs/>
        </w:rPr>
        <w:t>. This resource should</w:t>
      </w:r>
      <w:r w:rsidRPr="004841EF">
        <w:rPr>
          <w:bCs/>
        </w:rPr>
        <w:t xml:space="preserve"> build on the learning of the Employer Disability Information service pilot initiative</w:t>
      </w:r>
      <w:r w:rsidR="00C206E8" w:rsidRPr="004841EF">
        <w:rPr>
          <w:bCs/>
        </w:rPr>
        <w:t xml:space="preserve"> and</w:t>
      </w:r>
      <w:r w:rsidR="006733B2" w:rsidRPr="004841EF">
        <w:rPr>
          <w:bCs/>
        </w:rPr>
        <w:t xml:space="preserve"> draw on</w:t>
      </w:r>
      <w:r w:rsidR="00C206E8" w:rsidRPr="004841EF">
        <w:rPr>
          <w:bCs/>
        </w:rPr>
        <w:t xml:space="preserve"> international</w:t>
      </w:r>
      <w:r w:rsidR="006733B2" w:rsidRPr="004841EF">
        <w:rPr>
          <w:bCs/>
        </w:rPr>
        <w:t xml:space="preserve"> experience and</w:t>
      </w:r>
      <w:r w:rsidR="00C206E8" w:rsidRPr="004841EF">
        <w:rPr>
          <w:bCs/>
        </w:rPr>
        <w:t xml:space="preserve"> good practice, such as the Job Accommodation Network</w:t>
      </w:r>
      <w:r w:rsidR="003C3C4B" w:rsidRPr="004841EF">
        <w:rPr>
          <w:bCs/>
        </w:rPr>
        <w:t xml:space="preserve">. </w:t>
      </w:r>
      <w:r w:rsidR="006733B2" w:rsidRPr="004841EF">
        <w:rPr>
          <w:bCs/>
        </w:rPr>
        <w:t xml:space="preserve">The NDA advises that such a </w:t>
      </w:r>
      <w:r w:rsidR="003C3C4B" w:rsidRPr="004841EF">
        <w:rPr>
          <w:bCs/>
        </w:rPr>
        <w:t xml:space="preserve">resource could assist in </w:t>
      </w:r>
      <w:r w:rsidR="003C3C4B" w:rsidRPr="004841EF">
        <w:t>building awareness and understanding amongst employers of disabilities, reasonable accommodations and their obligations under employment equality legislation</w:t>
      </w:r>
      <w:r w:rsidR="00F50B29" w:rsidRPr="004841EF">
        <w:t xml:space="preserve">. </w:t>
      </w:r>
      <w:r w:rsidR="00072126" w:rsidRPr="004841EF">
        <w:t>It could also provide guidance to employers as to how reasonable accommodations can be implemented in practice</w:t>
      </w:r>
    </w:p>
    <w:p w14:paraId="0FFBA512" w14:textId="77777777" w:rsidR="003C3C4B" w:rsidRPr="004841EF" w:rsidRDefault="003C3C4B" w:rsidP="006272C6">
      <w:pPr>
        <w:numPr>
          <w:ilvl w:val="0"/>
          <w:numId w:val="1"/>
        </w:numPr>
      </w:pPr>
      <w:r w:rsidRPr="004841EF">
        <w:t>An information campaign could be undertaken to build awareness amongst persons with disabilities of their right to reasonable accommodation in the employment context. Such a campaign would help in educating both persons with disabilities and employers of their rights and responsibilities under employment equality legislation in relation to reasonable accommodations</w:t>
      </w:r>
    </w:p>
    <w:p w14:paraId="43F857EA" w14:textId="3891A5CA" w:rsidR="003C3C4B" w:rsidRPr="004841EF" w:rsidRDefault="003C3C4B" w:rsidP="006272C6">
      <w:pPr>
        <w:numPr>
          <w:ilvl w:val="0"/>
          <w:numId w:val="1"/>
        </w:numPr>
      </w:pPr>
      <w:r w:rsidRPr="004841EF">
        <w:lastRenderedPageBreak/>
        <w:t>A national awareness campaign may be of benefit in increasing understanding of the impo</w:t>
      </w:r>
      <w:r w:rsidR="002665FF">
        <w:t xml:space="preserve">rtant contribution persons with </w:t>
      </w:r>
      <w:r w:rsidRPr="004841EF">
        <w:rPr>
          <w:bCs/>
        </w:rPr>
        <w:t>disabilities make and the skills they</w:t>
      </w:r>
      <w:r w:rsidRPr="004841EF">
        <w:t xml:space="preserve"> bring to the workforce.</w:t>
      </w:r>
      <w:r w:rsidRPr="004841EF">
        <w:rPr>
          <w:sz w:val="22"/>
          <w:szCs w:val="22"/>
          <w:vertAlign w:val="superscript"/>
        </w:rPr>
        <w:footnoteReference w:id="4"/>
      </w:r>
      <w:r w:rsidRPr="004841EF">
        <w:t xml:space="preserve"> Such a campaign would be an important meas</w:t>
      </w:r>
      <w:r w:rsidR="00DF37E6" w:rsidRPr="004841EF">
        <w:t>ure in combating discrimination and</w:t>
      </w:r>
      <w:r w:rsidRPr="004841EF">
        <w:t xml:space="preserve"> negative attitudes </w:t>
      </w:r>
      <w:r w:rsidR="00DF37E6" w:rsidRPr="004841EF">
        <w:t>towards</w:t>
      </w:r>
      <w:r w:rsidRPr="004841EF">
        <w:t xml:space="preserve"> employees </w:t>
      </w:r>
      <w:r w:rsidR="00B304B6" w:rsidRPr="004841EF">
        <w:t xml:space="preserve">and employment candidates </w:t>
      </w:r>
      <w:r w:rsidRPr="004841EF">
        <w:t>with a disability</w:t>
      </w:r>
      <w:r w:rsidR="00DE07DD" w:rsidRPr="004841EF">
        <w:t>. Following the conclusion of the national awareness campaign, the NDA advises that a survey be undertaken amongst employers to assess its effectiveness</w:t>
      </w:r>
    </w:p>
    <w:p w14:paraId="29518493" w14:textId="6371A183" w:rsidR="003C3C4B" w:rsidRPr="004841EF" w:rsidRDefault="003C3C4B" w:rsidP="006272C6">
      <w:pPr>
        <w:numPr>
          <w:ilvl w:val="0"/>
          <w:numId w:val="1"/>
        </w:numPr>
      </w:pPr>
      <w:r w:rsidRPr="004841EF">
        <w:t xml:space="preserve">Further consideration is necessary to understand the reasons for the low numbers of published cases concerning reasonable accommodation at the access stage, as well as the absence of cases by persons with intellectual disabilities and autism. A discrete piece of research could examine whether there is reticence to bring employment equality claims related to access to employment in general, and whether there are any particular obstacles, which persons with a disability </w:t>
      </w:r>
      <w:r w:rsidR="00B304B6" w:rsidRPr="004841EF">
        <w:t>encounter</w:t>
      </w:r>
      <w:r w:rsidRPr="004841EF">
        <w:t xml:space="preserve"> in making such claims. The NDA further notes that persons with autism and persons with intellectual disabilities did not feature in the review of Workplace Relations Commission and Labour Court decisions, despite the specific challenges they face in the workplace. Any such research could also consider whether persons with certain types of disability encounter greater difficulties bringing employment equality claims</w:t>
      </w:r>
    </w:p>
    <w:p w14:paraId="3757C9B4" w14:textId="18A10CF9" w:rsidR="003C3C4B" w:rsidRPr="004841EF" w:rsidRDefault="003C3C4B" w:rsidP="006272C6">
      <w:pPr>
        <w:numPr>
          <w:ilvl w:val="0"/>
          <w:numId w:val="1"/>
        </w:numPr>
      </w:pPr>
      <w:r w:rsidRPr="004841EF">
        <w:t>The Department of Employment Affairs and Social Protection could consider a review of the adequacy and effectiveness of the training and financial supports available for employers to provide reasonable accommodations, including the</w:t>
      </w:r>
      <w:r w:rsidRPr="004841EF">
        <w:rPr>
          <w:b/>
        </w:rPr>
        <w:t xml:space="preserve"> Reasonable Accommodation Fund, </w:t>
      </w:r>
      <w:r w:rsidRPr="004841EF">
        <w:t>the</w:t>
      </w:r>
      <w:r w:rsidRPr="004841EF">
        <w:rPr>
          <w:b/>
        </w:rPr>
        <w:t xml:space="preserve"> Wage Subsidy Scheme</w:t>
      </w:r>
      <w:r w:rsidRPr="004841EF">
        <w:t xml:space="preserve"> and the </w:t>
      </w:r>
      <w:r w:rsidRPr="004841EF">
        <w:rPr>
          <w:b/>
        </w:rPr>
        <w:t>Disability Awareness Support Scheme</w:t>
      </w:r>
      <w:r w:rsidRPr="004841EF">
        <w:t>. Consultation with employers, employer representative groups, persons with disabilities and disability organisations should form part of thes</w:t>
      </w:r>
      <w:r w:rsidR="001D6689" w:rsidRPr="004841EF">
        <w:t xml:space="preserve">e reviews. </w:t>
      </w:r>
      <w:r w:rsidR="0044406A" w:rsidRPr="004841EF">
        <w:t xml:space="preserve">The adequacy of existing levels of grant assistance should also be examined. </w:t>
      </w:r>
      <w:r w:rsidR="001D6689" w:rsidRPr="004841EF">
        <w:t xml:space="preserve">The NDA notes that </w:t>
      </w:r>
      <w:r w:rsidRPr="004841EF">
        <w:t>review</w:t>
      </w:r>
      <w:r w:rsidR="001D6689" w:rsidRPr="004841EF">
        <w:t>s</w:t>
      </w:r>
      <w:r w:rsidRPr="004841EF">
        <w:t xml:space="preserve"> </w:t>
      </w:r>
      <w:r w:rsidRPr="004841EF">
        <w:lastRenderedPageBreak/>
        <w:t xml:space="preserve">of the </w:t>
      </w:r>
      <w:r w:rsidRPr="004841EF">
        <w:rPr>
          <w:b/>
        </w:rPr>
        <w:t>Reasonable Accommodation Fund</w:t>
      </w:r>
      <w:r w:rsidRPr="004841EF">
        <w:t xml:space="preserve"> and </w:t>
      </w:r>
      <w:r w:rsidRPr="004841EF">
        <w:rPr>
          <w:b/>
        </w:rPr>
        <w:t>Disability Awareness Support Scheme</w:t>
      </w:r>
      <w:r w:rsidR="001D6689" w:rsidRPr="004841EF">
        <w:t xml:space="preserve"> are</w:t>
      </w:r>
      <w:r w:rsidRPr="004841EF">
        <w:t xml:space="preserve"> scheduled to take place in 2019</w:t>
      </w:r>
      <w:r w:rsidR="0068751E" w:rsidRPr="004841EF">
        <w:t xml:space="preserve"> and would welcome a similar exercise with the </w:t>
      </w:r>
      <w:r w:rsidR="0068751E" w:rsidRPr="004841EF">
        <w:rPr>
          <w:b/>
        </w:rPr>
        <w:t>Wage Subsidy Scheme</w:t>
      </w:r>
    </w:p>
    <w:p w14:paraId="4D743CA3" w14:textId="6CB8D01C" w:rsidR="002731D4" w:rsidRPr="004841EF" w:rsidRDefault="003C3C4B" w:rsidP="006272C6">
      <w:pPr>
        <w:numPr>
          <w:ilvl w:val="0"/>
          <w:numId w:val="1"/>
        </w:numPr>
      </w:pPr>
      <w:r w:rsidRPr="004841EF">
        <w:t xml:space="preserve">Notwithstanding the outcome of </w:t>
      </w:r>
      <w:r w:rsidR="00640665" w:rsidRPr="004841EF">
        <w:t>the</w:t>
      </w:r>
      <w:r w:rsidRPr="004841EF">
        <w:t xml:space="preserve"> review</w:t>
      </w:r>
      <w:r w:rsidR="00640665" w:rsidRPr="004841EF">
        <w:t>s</w:t>
      </w:r>
      <w:r w:rsidRPr="004841EF">
        <w:t xml:space="preserve"> of the </w:t>
      </w:r>
      <w:r w:rsidRPr="004841EF">
        <w:rPr>
          <w:b/>
        </w:rPr>
        <w:t>Reasonable Accommodation Fund</w:t>
      </w:r>
      <w:r w:rsidR="00640665" w:rsidRPr="004841EF">
        <w:rPr>
          <w:b/>
        </w:rPr>
        <w:t xml:space="preserve"> </w:t>
      </w:r>
      <w:r w:rsidR="00640665" w:rsidRPr="004841EF">
        <w:t>and the</w:t>
      </w:r>
      <w:r w:rsidR="00640665" w:rsidRPr="004841EF">
        <w:rPr>
          <w:b/>
        </w:rPr>
        <w:t xml:space="preserve"> Disability Awareness Support Scheme</w:t>
      </w:r>
      <w:r w:rsidRPr="004841EF">
        <w:t>,</w:t>
      </w:r>
      <w:r w:rsidRPr="004841EF">
        <w:rPr>
          <w:b/>
        </w:rPr>
        <w:t xml:space="preserve"> </w:t>
      </w:r>
      <w:r w:rsidRPr="004841EF">
        <w:t xml:space="preserve">the Department of Employment Affairs and Social Protection could consider an information campaign to build awareness amongst employers of the financial supports available to provide reasonable accommodations. Such a campaign could </w:t>
      </w:r>
      <w:r w:rsidR="00640665" w:rsidRPr="004841EF">
        <w:t xml:space="preserve">be useful </w:t>
      </w:r>
      <w:r w:rsidRPr="004841EF">
        <w:t xml:space="preserve">in addressing </w:t>
      </w:r>
      <w:r w:rsidR="00640665" w:rsidRPr="004841EF">
        <w:t xml:space="preserve">the </w:t>
      </w:r>
      <w:r w:rsidRPr="004841EF">
        <w:t xml:space="preserve">information deficit which exists amongst </w:t>
      </w:r>
      <w:r w:rsidR="00640665" w:rsidRPr="004841EF">
        <w:t xml:space="preserve">some </w:t>
      </w:r>
      <w:r w:rsidRPr="004841EF">
        <w:t xml:space="preserve">employers of the various financial supports and incentives available to </w:t>
      </w:r>
      <w:r w:rsidR="00640665" w:rsidRPr="004841EF">
        <w:t xml:space="preserve">them </w:t>
      </w:r>
      <w:r w:rsidRPr="004841EF">
        <w:t>to assist in reasonably accommodating employees and employment candidates with a disability</w:t>
      </w:r>
    </w:p>
    <w:p w14:paraId="0914AF32" w14:textId="77777777" w:rsidR="002731D4" w:rsidRPr="004841EF" w:rsidRDefault="002731D4">
      <w:pPr>
        <w:spacing w:after="0"/>
      </w:pPr>
      <w:r w:rsidRPr="004841EF">
        <w:br w:type="page"/>
      </w:r>
    </w:p>
    <w:p w14:paraId="3C597317" w14:textId="3C0DEDD7" w:rsidR="00536B99" w:rsidRPr="004841EF" w:rsidRDefault="0045472D" w:rsidP="00440AB1">
      <w:pPr>
        <w:pStyle w:val="Heading1"/>
      </w:pPr>
      <w:bookmarkStart w:id="185" w:name="_Toc26192086"/>
      <w:bookmarkStart w:id="186" w:name="_Toc42172532"/>
      <w:r w:rsidRPr="004841EF">
        <w:lastRenderedPageBreak/>
        <w:t xml:space="preserve">Chapter 1 - </w:t>
      </w:r>
      <w:r w:rsidR="00536B99" w:rsidRPr="004841EF">
        <w:t>Introduction and Background</w:t>
      </w:r>
      <w:bookmarkEnd w:id="185"/>
      <w:bookmarkEnd w:id="186"/>
    </w:p>
    <w:p w14:paraId="4EA0FBBE" w14:textId="58CAC109" w:rsidR="00536B99" w:rsidRPr="004841EF" w:rsidRDefault="0045472D" w:rsidP="00536B99">
      <w:pPr>
        <w:pStyle w:val="Heading2"/>
      </w:pPr>
      <w:bookmarkStart w:id="187" w:name="_Toc26192087"/>
      <w:bookmarkStart w:id="188" w:name="_Toc42172533"/>
      <w:r w:rsidRPr="004841EF">
        <w:t>1.1</w:t>
      </w:r>
      <w:r w:rsidR="0082042B" w:rsidRPr="004841EF">
        <w:t>.</w:t>
      </w:r>
      <w:r w:rsidRPr="004841EF">
        <w:t xml:space="preserve"> </w:t>
      </w:r>
      <w:r w:rsidR="00536B99" w:rsidRPr="004841EF">
        <w:t>Context</w:t>
      </w:r>
      <w:bookmarkEnd w:id="187"/>
      <w:bookmarkEnd w:id="188"/>
    </w:p>
    <w:p w14:paraId="10E67F51" w14:textId="4A567B9F" w:rsidR="00BF50F8" w:rsidRPr="004841EF" w:rsidRDefault="008143FF" w:rsidP="00536B99">
      <w:r w:rsidRPr="004841EF">
        <w:t>Census d</w:t>
      </w:r>
      <w:r w:rsidR="00536B99" w:rsidRPr="004841EF">
        <w:t xml:space="preserve">ata compiled by the </w:t>
      </w:r>
      <w:r w:rsidR="00D80D5E" w:rsidRPr="004841EF">
        <w:t>National Disability Authority (</w:t>
      </w:r>
      <w:r w:rsidR="00536B99" w:rsidRPr="004841EF">
        <w:t>NDA</w:t>
      </w:r>
      <w:r w:rsidR="00D80D5E" w:rsidRPr="004841EF">
        <w:t>)</w:t>
      </w:r>
      <w:r w:rsidR="00536B99" w:rsidRPr="004841EF">
        <w:t xml:space="preserve"> shows that the unemployment rate for </w:t>
      </w:r>
      <w:r w:rsidR="00EB4927" w:rsidRPr="004841EF">
        <w:t xml:space="preserve">persons </w:t>
      </w:r>
      <w:r w:rsidR="00536B99" w:rsidRPr="004841EF">
        <w:t xml:space="preserve">with a disability is 26.6% compared to 11.5% for </w:t>
      </w:r>
      <w:r w:rsidR="00EB4927" w:rsidRPr="004841EF">
        <w:t xml:space="preserve">persons </w:t>
      </w:r>
      <w:r w:rsidR="00536B99" w:rsidRPr="004841EF">
        <w:t>who do not have a disability.</w:t>
      </w:r>
      <w:r w:rsidR="00536B99" w:rsidRPr="004841EF">
        <w:rPr>
          <w:sz w:val="22"/>
          <w:szCs w:val="22"/>
          <w:vertAlign w:val="superscript"/>
        </w:rPr>
        <w:footnoteReference w:id="5"/>
      </w:r>
      <w:r w:rsidR="00536B99" w:rsidRPr="004841EF">
        <w:t xml:space="preserve"> </w:t>
      </w:r>
      <w:r w:rsidR="0078157D" w:rsidRPr="004841EF">
        <w:t xml:space="preserve">Therefore, the unemployment rate for persons with a disability </w:t>
      </w:r>
      <w:r w:rsidR="00536B99" w:rsidRPr="004841EF">
        <w:t xml:space="preserve">is 2.3 times </w:t>
      </w:r>
      <w:r w:rsidR="0078157D" w:rsidRPr="004841EF">
        <w:t>greater than</w:t>
      </w:r>
      <w:r w:rsidR="003A1254" w:rsidRPr="004841EF">
        <w:t xml:space="preserve"> </w:t>
      </w:r>
      <w:r w:rsidR="00EB4927" w:rsidRPr="004841EF">
        <w:t xml:space="preserve">persons </w:t>
      </w:r>
      <w:r w:rsidR="003A1254" w:rsidRPr="004841EF">
        <w:t>without a disability. While t</w:t>
      </w:r>
      <w:r w:rsidR="00536B99" w:rsidRPr="004841EF">
        <w:t>he reasons for this</w:t>
      </w:r>
      <w:r w:rsidR="003A1254" w:rsidRPr="004841EF">
        <w:t xml:space="preserve"> are complex and varied</w:t>
      </w:r>
      <w:r w:rsidR="00536B99" w:rsidRPr="004841EF">
        <w:t xml:space="preserve">, </w:t>
      </w:r>
      <w:r w:rsidR="003A1254" w:rsidRPr="004841EF">
        <w:t xml:space="preserve">it has long been recognised that </w:t>
      </w:r>
      <w:r w:rsidR="00EB4927" w:rsidRPr="004841EF">
        <w:t xml:space="preserve">persons </w:t>
      </w:r>
      <w:r w:rsidR="003A1254" w:rsidRPr="004841EF">
        <w:t>with disabilities fac</w:t>
      </w:r>
      <w:r w:rsidR="00536B99" w:rsidRPr="004841EF">
        <w:t xml:space="preserve">e unique barriers - physical, organisational and attitudinal - which can prevent them from accessing </w:t>
      </w:r>
      <w:r w:rsidR="000E273D" w:rsidRPr="004841EF">
        <w:t>and/</w:t>
      </w:r>
      <w:r w:rsidR="00CB7FF5" w:rsidRPr="004841EF">
        <w:t>or retaining employment.</w:t>
      </w:r>
    </w:p>
    <w:p w14:paraId="75AF115A" w14:textId="1EB803F0" w:rsidR="003A1254" w:rsidRPr="004841EF" w:rsidRDefault="003A1254" w:rsidP="00536B99">
      <w:r w:rsidRPr="004841EF">
        <w:t xml:space="preserve">The </w:t>
      </w:r>
      <w:r w:rsidRPr="004841EF">
        <w:rPr>
          <w:b/>
        </w:rPr>
        <w:t>Comprehensive Employment Strategy for People with Disabilities 2015-2024</w:t>
      </w:r>
      <w:r w:rsidRPr="004841EF">
        <w:t xml:space="preserve"> is a response by government to maximise employment opportunities and address the obstacles that occur on the pathway to employment for those with disabilities who wish to work.</w:t>
      </w:r>
      <w:r w:rsidR="005E2DE8" w:rsidRPr="004841EF">
        <w:rPr>
          <w:rStyle w:val="FootnoteReference"/>
          <w:rFonts w:ascii="Gill Sans MT" w:hAnsi="Gill Sans MT"/>
        </w:rPr>
        <w:footnoteReference w:id="6"/>
      </w:r>
      <w:r w:rsidRPr="004841EF">
        <w:t xml:space="preserve"> This strategy sets out a ten-year approach, with a view to ensuring that </w:t>
      </w:r>
      <w:r w:rsidR="00EB4927" w:rsidRPr="004841EF">
        <w:t xml:space="preserve">persons </w:t>
      </w:r>
      <w:r w:rsidRPr="004841EF">
        <w:t>with disabilities who are able to, and want to work, are supported and enabled to do so.</w:t>
      </w:r>
      <w:r w:rsidR="003F664A" w:rsidRPr="004841EF">
        <w:t xml:space="preserve"> O</w:t>
      </w:r>
      <w:r w:rsidRPr="004841EF">
        <w:t xml:space="preserve">ne of </w:t>
      </w:r>
      <w:r w:rsidR="0078157D" w:rsidRPr="004841EF">
        <w:t xml:space="preserve">the </w:t>
      </w:r>
      <w:r w:rsidRPr="004841EF">
        <w:t xml:space="preserve">commitments detailed </w:t>
      </w:r>
      <w:r w:rsidR="003F664A" w:rsidRPr="004841EF">
        <w:t>therein</w:t>
      </w:r>
      <w:r w:rsidR="000E273D" w:rsidRPr="004841EF">
        <w:t xml:space="preserve"> </w:t>
      </w:r>
      <w:r w:rsidRPr="004841EF">
        <w:t xml:space="preserve">is to work with employers to guide how flexible work arrangements, modified tasks and other supports or accommodations can be provided to </w:t>
      </w:r>
      <w:r w:rsidR="00EB4927" w:rsidRPr="004841EF">
        <w:t xml:space="preserve">persons </w:t>
      </w:r>
      <w:r w:rsidRPr="004841EF">
        <w:t>with disabilities.</w:t>
      </w:r>
      <w:r w:rsidRPr="004841EF">
        <w:rPr>
          <w:rStyle w:val="FootnoteReference"/>
          <w:rFonts w:ascii="Gill Sans MT" w:hAnsi="Gill Sans MT"/>
        </w:rPr>
        <w:footnoteReference w:id="7"/>
      </w:r>
    </w:p>
    <w:p w14:paraId="58399C1C" w14:textId="7BEECB88" w:rsidR="000E273D" w:rsidRPr="004841EF" w:rsidRDefault="00D80D5E" w:rsidP="00AE3C49">
      <w:pPr>
        <w:pStyle w:val="NormalBeforeList"/>
      </w:pPr>
      <w:r w:rsidRPr="004841EF">
        <w:lastRenderedPageBreak/>
        <w:t xml:space="preserve">The </w:t>
      </w:r>
      <w:r w:rsidRPr="004841EF">
        <w:rPr>
          <w:b/>
        </w:rPr>
        <w:t>National Disability Survey</w:t>
      </w:r>
      <w:r w:rsidR="000E273D" w:rsidRPr="004841EF">
        <w:rPr>
          <w:b/>
        </w:rPr>
        <w:t xml:space="preserve"> 2006</w:t>
      </w:r>
      <w:r w:rsidRPr="004841EF">
        <w:t xml:space="preserve"> </w:t>
      </w:r>
      <w:r w:rsidR="00A44C3F" w:rsidRPr="004841EF">
        <w:t xml:space="preserve">revealed that </w:t>
      </w:r>
      <w:r w:rsidR="00EB4927" w:rsidRPr="004841EF">
        <w:t xml:space="preserve">persons </w:t>
      </w:r>
      <w:r w:rsidRPr="004841EF">
        <w:t xml:space="preserve">with disabilities in employment, seeking employment or willing to </w:t>
      </w:r>
      <w:r w:rsidR="00460834" w:rsidRPr="004841EF">
        <w:t>undertake employment</w:t>
      </w:r>
      <w:r w:rsidRPr="004841EF">
        <w:t xml:space="preserve"> </w:t>
      </w:r>
      <w:r w:rsidR="002745A3" w:rsidRPr="004841EF">
        <w:t>could benefit from a range of supports, including</w:t>
      </w:r>
      <w:r w:rsidR="00CB7FF5" w:rsidRPr="004841EF">
        <w:t>:</w:t>
      </w:r>
    </w:p>
    <w:p w14:paraId="1E20FBDC" w14:textId="77777777" w:rsidR="00B304B6" w:rsidRPr="004841EF" w:rsidRDefault="000E273D" w:rsidP="00B304B6">
      <w:pPr>
        <w:pStyle w:val="ListBullet"/>
      </w:pPr>
      <w:r w:rsidRPr="004841EF">
        <w:t>F</w:t>
      </w:r>
      <w:r w:rsidR="00D80D5E" w:rsidRPr="004841EF">
        <w:t>lexible work arrangements (45%)</w:t>
      </w:r>
    </w:p>
    <w:p w14:paraId="1D84588D" w14:textId="77777777" w:rsidR="00B304B6" w:rsidRPr="004841EF" w:rsidRDefault="000E273D" w:rsidP="00B304B6">
      <w:pPr>
        <w:pStyle w:val="ListBullet"/>
      </w:pPr>
      <w:r w:rsidRPr="004841EF">
        <w:t xml:space="preserve">Modified </w:t>
      </w:r>
      <w:r w:rsidR="00D80D5E" w:rsidRPr="004841EF">
        <w:t>tasks (29%)</w:t>
      </w:r>
    </w:p>
    <w:p w14:paraId="7C0801AC" w14:textId="75B435E4" w:rsidR="000E273D" w:rsidRPr="004841EF" w:rsidRDefault="000E273D" w:rsidP="00B304B6">
      <w:pPr>
        <w:pStyle w:val="ListBullet"/>
      </w:pPr>
      <w:r w:rsidRPr="004841EF">
        <w:t>A</w:t>
      </w:r>
      <w:r w:rsidR="00D80D5E" w:rsidRPr="004841EF">
        <w:t>ppropriate parking (14%)</w:t>
      </w:r>
    </w:p>
    <w:p w14:paraId="5A3511C7" w14:textId="33D189FA" w:rsidR="000E273D" w:rsidRPr="004841EF" w:rsidRDefault="000E273D" w:rsidP="00AE3C49">
      <w:pPr>
        <w:pStyle w:val="ListBullet"/>
      </w:pPr>
      <w:r w:rsidRPr="004841EF">
        <w:t xml:space="preserve">Accessible </w:t>
      </w:r>
      <w:r w:rsidR="00D80D5E" w:rsidRPr="004841EF">
        <w:t>building</w:t>
      </w:r>
      <w:r w:rsidR="00460834" w:rsidRPr="004841EF">
        <w:t>s</w:t>
      </w:r>
      <w:r w:rsidR="00D80D5E" w:rsidRPr="004841EF">
        <w:t xml:space="preserve"> (13%)</w:t>
      </w:r>
    </w:p>
    <w:p w14:paraId="40F7E785" w14:textId="6AF71060" w:rsidR="000E273D" w:rsidRPr="004841EF" w:rsidRDefault="000E273D" w:rsidP="00AE3C49">
      <w:pPr>
        <w:pStyle w:val="ListBullet"/>
      </w:pPr>
      <w:r w:rsidRPr="004841EF">
        <w:t xml:space="preserve">Modified </w:t>
      </w:r>
      <w:r w:rsidR="00D80D5E" w:rsidRPr="004841EF">
        <w:t>work station</w:t>
      </w:r>
      <w:r w:rsidR="00460834" w:rsidRPr="004841EF">
        <w:t>s</w:t>
      </w:r>
      <w:r w:rsidR="00D80D5E" w:rsidRPr="004841EF">
        <w:t xml:space="preserve"> (13%)</w:t>
      </w:r>
    </w:p>
    <w:p w14:paraId="0179A632" w14:textId="5C00953E" w:rsidR="000E273D" w:rsidRPr="004841EF" w:rsidRDefault="000E273D" w:rsidP="00AE3C49">
      <w:pPr>
        <w:pStyle w:val="ListBullet"/>
      </w:pPr>
      <w:r w:rsidRPr="004841EF">
        <w:t xml:space="preserve">Human </w:t>
      </w:r>
      <w:r w:rsidR="00D80D5E" w:rsidRPr="004841EF">
        <w:t xml:space="preserve">support (7%) </w:t>
      </w:r>
    </w:p>
    <w:p w14:paraId="32E98D94" w14:textId="741B70C9" w:rsidR="000E273D" w:rsidRPr="004841EF" w:rsidRDefault="000E273D" w:rsidP="00CB7FF5">
      <w:pPr>
        <w:pStyle w:val="ListBullet"/>
        <w:spacing w:after="240"/>
        <w:ind w:left="357" w:hanging="357"/>
      </w:pPr>
      <w:r w:rsidRPr="004841EF">
        <w:t xml:space="preserve">Assistive </w:t>
      </w:r>
      <w:r w:rsidR="00D80D5E" w:rsidRPr="004841EF">
        <w:t>technology or physical adjustments (4%)</w:t>
      </w:r>
      <w:r w:rsidR="00D80D5E" w:rsidRPr="004841EF">
        <w:rPr>
          <w:rStyle w:val="FootnoteReference"/>
          <w:rFonts w:ascii="Gill Sans MT" w:hAnsi="Gill Sans MT"/>
        </w:rPr>
        <w:footnoteReference w:id="8"/>
      </w:r>
    </w:p>
    <w:p w14:paraId="44E93032" w14:textId="77777777" w:rsidR="00D80D5E" w:rsidRPr="004841EF" w:rsidRDefault="00A44C3F" w:rsidP="00AE3C49">
      <w:pPr>
        <w:pStyle w:val="NormalAfterList"/>
      </w:pPr>
      <w:r w:rsidRPr="004841EF">
        <w:t xml:space="preserve">Many of these </w:t>
      </w:r>
      <w:r w:rsidR="0043534F" w:rsidRPr="004841EF">
        <w:t xml:space="preserve">workplace </w:t>
      </w:r>
      <w:r w:rsidR="00B353D9" w:rsidRPr="004841EF">
        <w:t>requirements could</w:t>
      </w:r>
      <w:r w:rsidRPr="004841EF">
        <w:t xml:space="preserve"> be considered reasonable accommodations.</w:t>
      </w:r>
    </w:p>
    <w:p w14:paraId="40EAD3CE" w14:textId="77777777" w:rsidR="000E273D" w:rsidRPr="004841EF" w:rsidRDefault="00536B99" w:rsidP="009700FF">
      <w:pPr>
        <w:spacing w:after="120"/>
      </w:pPr>
      <w:r w:rsidRPr="004841EF">
        <w:t>Reasonable accommodations are practical changes which employers are obliged to make so that employees or employment candidates with a disability can carry out their work or access employment on an equal footing with others.</w:t>
      </w:r>
      <w:r w:rsidRPr="004841EF">
        <w:rPr>
          <w:sz w:val="22"/>
          <w:szCs w:val="22"/>
          <w:vertAlign w:val="superscript"/>
        </w:rPr>
        <w:footnoteReference w:id="9"/>
      </w:r>
      <w:r w:rsidRPr="004841EF">
        <w:t xml:space="preserve"> Examples of reasonable accommodations include</w:t>
      </w:r>
      <w:r w:rsidR="000E273D" w:rsidRPr="004841EF">
        <w:t>:</w:t>
      </w:r>
    </w:p>
    <w:p w14:paraId="0BCC5BB5" w14:textId="2F9EA9EA" w:rsidR="000E273D" w:rsidRPr="004841EF" w:rsidRDefault="000E273D" w:rsidP="00AE3C49">
      <w:pPr>
        <w:pStyle w:val="ListBullet"/>
      </w:pPr>
      <w:r w:rsidRPr="004841EF">
        <w:t xml:space="preserve">Ensuring </w:t>
      </w:r>
      <w:r w:rsidR="00536B99" w:rsidRPr="004841EF">
        <w:t>recruitment and selection procedures are accessible to all</w:t>
      </w:r>
    </w:p>
    <w:p w14:paraId="39E6E860" w14:textId="74C94F56" w:rsidR="000E273D" w:rsidRPr="004841EF" w:rsidRDefault="000E273D" w:rsidP="00AE3C49">
      <w:pPr>
        <w:pStyle w:val="ListBullet"/>
      </w:pPr>
      <w:r w:rsidRPr="004841EF">
        <w:t xml:space="preserve">Adapting </w:t>
      </w:r>
      <w:r w:rsidR="00536B99" w:rsidRPr="004841EF">
        <w:t>the working environment</w:t>
      </w:r>
    </w:p>
    <w:p w14:paraId="6A6D7880" w14:textId="5F0A771D" w:rsidR="000E273D" w:rsidRPr="004841EF" w:rsidRDefault="000E273D" w:rsidP="00AE3C49">
      <w:pPr>
        <w:pStyle w:val="ListBullet"/>
      </w:pPr>
      <w:r w:rsidRPr="004841EF">
        <w:t xml:space="preserve">Modifying </w:t>
      </w:r>
      <w:r w:rsidR="00536B99" w:rsidRPr="004841EF">
        <w:t>working times and other working arrangements</w:t>
      </w:r>
    </w:p>
    <w:p w14:paraId="04B4A73D" w14:textId="34FF4189" w:rsidR="00536B99" w:rsidRPr="004841EF" w:rsidRDefault="000E273D" w:rsidP="009700FF">
      <w:pPr>
        <w:pStyle w:val="ListBullet"/>
        <w:spacing w:after="240"/>
        <w:ind w:left="357" w:hanging="357"/>
      </w:pPr>
      <w:r w:rsidRPr="004841EF">
        <w:lastRenderedPageBreak/>
        <w:t xml:space="preserve">Providing </w:t>
      </w:r>
      <w:r w:rsidR="00536B99" w:rsidRPr="004841EF">
        <w:t>screen-reader software and other assistive technologies</w:t>
      </w:r>
      <w:r w:rsidR="00536B99" w:rsidRPr="004841EF">
        <w:rPr>
          <w:sz w:val="22"/>
          <w:szCs w:val="22"/>
          <w:vertAlign w:val="superscript"/>
        </w:rPr>
        <w:footnoteReference w:id="10"/>
      </w:r>
    </w:p>
    <w:p w14:paraId="21806F62" w14:textId="2F31C616" w:rsidR="00487999" w:rsidRPr="004841EF" w:rsidRDefault="00487999" w:rsidP="0043534F">
      <w:r w:rsidRPr="004841EF">
        <w:t xml:space="preserve">Therefore, to overcome the barriers that disadvantage </w:t>
      </w:r>
      <w:r w:rsidR="00EB4927" w:rsidRPr="004841EF">
        <w:t xml:space="preserve">persons </w:t>
      </w:r>
      <w:r w:rsidRPr="004841EF">
        <w:t xml:space="preserve">with disabilities from entering, retaining, advancing in and returning to employment, reasonable accommodations may be required. </w:t>
      </w:r>
      <w:r w:rsidR="0043534F" w:rsidRPr="004841EF">
        <w:t xml:space="preserve">The failure to provide </w:t>
      </w:r>
      <w:r w:rsidR="002346AD" w:rsidRPr="004841EF">
        <w:t>such</w:t>
      </w:r>
      <w:r w:rsidR="0043534F" w:rsidRPr="004841EF">
        <w:t xml:space="preserve"> accommodations </w:t>
      </w:r>
      <w:r w:rsidR="002745A3" w:rsidRPr="004841EF">
        <w:t xml:space="preserve">can </w:t>
      </w:r>
      <w:r w:rsidR="0043534F" w:rsidRPr="004841EF">
        <w:t>hinder</w:t>
      </w:r>
      <w:r w:rsidR="008D7A7D" w:rsidRPr="004841EF">
        <w:t xml:space="preserve"> the</w:t>
      </w:r>
      <w:r w:rsidR="0043534F" w:rsidRPr="004841EF">
        <w:t xml:space="preserve"> participation </w:t>
      </w:r>
      <w:r w:rsidR="008D7A7D" w:rsidRPr="004841EF">
        <w:t xml:space="preserve">of </w:t>
      </w:r>
      <w:r w:rsidR="00EB4927" w:rsidRPr="004841EF">
        <w:t xml:space="preserve">persons </w:t>
      </w:r>
      <w:r w:rsidR="008D7A7D" w:rsidRPr="004841EF">
        <w:t xml:space="preserve">with a disability </w:t>
      </w:r>
      <w:r w:rsidR="0043534F" w:rsidRPr="004841EF">
        <w:t>in the workforce.</w:t>
      </w:r>
      <w:r w:rsidR="0043534F" w:rsidRPr="004841EF">
        <w:rPr>
          <w:rStyle w:val="FootnoteReference"/>
          <w:rFonts w:ascii="Gill Sans MT" w:hAnsi="Gill Sans MT"/>
        </w:rPr>
        <w:footnoteReference w:id="11"/>
      </w:r>
      <w:r w:rsidR="0043534F" w:rsidRPr="004841EF">
        <w:t xml:space="preserve"> </w:t>
      </w:r>
    </w:p>
    <w:p w14:paraId="573DBA1F" w14:textId="6BADC0FF" w:rsidR="0043534F" w:rsidRPr="004841EF" w:rsidRDefault="00FF5A6E" w:rsidP="0043534F">
      <w:r w:rsidRPr="004841EF">
        <w:t xml:space="preserve">Research commissioned by the NDA, and undertaken by the Economic and Social Research Institute (ESRI), found that flexible working conditions, such as reduced working hours, modified job tasks and accessibility modifications are important in enabling </w:t>
      </w:r>
      <w:r w:rsidR="00EB4927" w:rsidRPr="004841EF">
        <w:t xml:space="preserve">persons </w:t>
      </w:r>
      <w:r w:rsidRPr="004841EF">
        <w:t>with a disability to take up and retain employment.</w:t>
      </w:r>
      <w:r w:rsidRPr="004841EF">
        <w:rPr>
          <w:rStyle w:val="FootnoteReference"/>
          <w:rFonts w:ascii="Gill Sans MT" w:hAnsi="Gill Sans MT"/>
        </w:rPr>
        <w:footnoteReference w:id="12"/>
      </w:r>
      <w:r w:rsidRPr="004841EF">
        <w:t xml:space="preserve"> </w:t>
      </w:r>
      <w:r w:rsidR="0043534F" w:rsidRPr="004841EF">
        <w:t xml:space="preserve">Research </w:t>
      </w:r>
      <w:r w:rsidRPr="004841EF">
        <w:t xml:space="preserve">also </w:t>
      </w:r>
      <w:r w:rsidR="0043534F" w:rsidRPr="004841EF">
        <w:t xml:space="preserve">demonstrates that reasonable accommodations have the potential to </w:t>
      </w:r>
      <w:r w:rsidR="009606C1" w:rsidRPr="004841EF">
        <w:t xml:space="preserve">both </w:t>
      </w:r>
      <w:r w:rsidR="0043534F" w:rsidRPr="004841EF">
        <w:t xml:space="preserve">improve employment outcomes for </w:t>
      </w:r>
      <w:r w:rsidR="00EB4927" w:rsidRPr="004841EF">
        <w:t xml:space="preserve">persons </w:t>
      </w:r>
      <w:r w:rsidR="0043534F" w:rsidRPr="004841EF">
        <w:t xml:space="preserve">with disabilities in the workforce, </w:t>
      </w:r>
      <w:r w:rsidR="009606C1" w:rsidRPr="004841EF">
        <w:t>and reduce</w:t>
      </w:r>
      <w:r w:rsidR="00C03FD9" w:rsidRPr="004841EF">
        <w:t xml:space="preserve"> the risk of</w:t>
      </w:r>
      <w:r w:rsidR="0043534F" w:rsidRPr="004841EF">
        <w:t xml:space="preserve"> termination</w:t>
      </w:r>
      <w:r w:rsidR="00C03FD9" w:rsidRPr="004841EF">
        <w:t xml:space="preserve"> of employment</w:t>
      </w:r>
      <w:r w:rsidR="0043534F" w:rsidRPr="004841EF">
        <w:t>.</w:t>
      </w:r>
      <w:r w:rsidR="0043534F" w:rsidRPr="004841EF">
        <w:rPr>
          <w:rStyle w:val="FootnoteReference"/>
          <w:rFonts w:ascii="Gill Sans MT" w:hAnsi="Gill Sans MT"/>
        </w:rPr>
        <w:footnoteReference w:id="13"/>
      </w:r>
    </w:p>
    <w:p w14:paraId="761A27F3" w14:textId="5362388D" w:rsidR="00536B99" w:rsidRPr="004841EF" w:rsidRDefault="00536B99" w:rsidP="00536B99">
      <w:r w:rsidRPr="004841EF">
        <w:lastRenderedPageBreak/>
        <w:t xml:space="preserve">However, providing reasonable accommodations is not just a crucial element of </w:t>
      </w:r>
      <w:r w:rsidR="00C03FD9" w:rsidRPr="004841EF">
        <w:t>promoting</w:t>
      </w:r>
      <w:r w:rsidRPr="004841EF">
        <w:t xml:space="preserve"> good practice in the employment of </w:t>
      </w:r>
      <w:r w:rsidR="00EB4927" w:rsidRPr="004841EF">
        <w:t xml:space="preserve">persons </w:t>
      </w:r>
      <w:r w:rsidR="00487999" w:rsidRPr="004841EF">
        <w:t xml:space="preserve">with disabilities </w:t>
      </w:r>
      <w:r w:rsidR="005F0E42" w:rsidRPr="004841EF">
        <w:t>or</w:t>
      </w:r>
      <w:r w:rsidR="008D7A7D" w:rsidRPr="004841EF">
        <w:t xml:space="preserve"> </w:t>
      </w:r>
      <w:r w:rsidR="00F8041A" w:rsidRPr="004841EF">
        <w:t>diversity in the workplace</w:t>
      </w:r>
      <w:r w:rsidR="00487999" w:rsidRPr="004841EF">
        <w:t>.</w:t>
      </w:r>
      <w:r w:rsidR="00F8041A" w:rsidRPr="004841EF">
        <w:rPr>
          <w:rStyle w:val="FootnoteReference"/>
          <w:rFonts w:ascii="Gill Sans MT" w:hAnsi="Gill Sans MT"/>
        </w:rPr>
        <w:footnoteReference w:id="14"/>
      </w:r>
      <w:r w:rsidR="00487999" w:rsidRPr="004841EF">
        <w:t xml:space="preserve"> I</w:t>
      </w:r>
      <w:r w:rsidRPr="004841EF">
        <w:t>t is also a legal requirement under employment equality legislation.</w:t>
      </w:r>
    </w:p>
    <w:p w14:paraId="647B9CAC" w14:textId="13BC9B83" w:rsidR="00536B99" w:rsidRPr="004841EF" w:rsidRDefault="00536B99" w:rsidP="00536B99">
      <w:r w:rsidRPr="004841EF">
        <w:t>Under law, the obligation on employers to provide reasonable accommodation</w:t>
      </w:r>
      <w:r w:rsidR="0043534F" w:rsidRPr="004841EF">
        <w:t>s</w:t>
      </w:r>
      <w:r w:rsidRPr="004841EF">
        <w:t xml:space="preserve"> entails both substantive and procedural duties. The procedural component requires an</w:t>
      </w:r>
      <w:r w:rsidR="002745A3" w:rsidRPr="004841EF">
        <w:t xml:space="preserve"> employer to take certain steps, such as</w:t>
      </w:r>
      <w:r w:rsidRPr="004841EF">
        <w:t xml:space="preserve"> to understand the employee's disability-related needs and to investigate potential accommodation measures to address those needs. The substantive element relates to the reasonableness of the accommodation offered or the employer's justification for not provid</w:t>
      </w:r>
      <w:r w:rsidR="009700FF" w:rsidRPr="004841EF">
        <w:t>ing a requested accommodation.</w:t>
      </w:r>
    </w:p>
    <w:p w14:paraId="75365503" w14:textId="4AFD696B" w:rsidR="00536B99" w:rsidRPr="004841EF" w:rsidRDefault="00536B99" w:rsidP="00536B99">
      <w:r w:rsidRPr="004841EF">
        <w:t xml:space="preserve">Importantly, the </w:t>
      </w:r>
      <w:r w:rsidR="008E69A8" w:rsidRPr="004841EF">
        <w:t xml:space="preserve">employer’s </w:t>
      </w:r>
      <w:r w:rsidRPr="004841EF">
        <w:t>obligat</w:t>
      </w:r>
      <w:r w:rsidR="002745A3" w:rsidRPr="004841EF">
        <w:t>ion to reasonably accommodate can</w:t>
      </w:r>
      <w:r w:rsidRPr="004841EF">
        <w:t xml:space="preserve"> only </w:t>
      </w:r>
      <w:r w:rsidR="002745A3" w:rsidRPr="004841EF">
        <w:t xml:space="preserve">be </w:t>
      </w:r>
      <w:r w:rsidRPr="004841EF">
        <w:t>triggered once an employment candidate or an employee discloses that they have a disability</w:t>
      </w:r>
      <w:r w:rsidR="0050318A" w:rsidRPr="004841EF">
        <w:t xml:space="preserve"> (unless the employer has constructive knowledge of the disability)</w:t>
      </w:r>
      <w:r w:rsidRPr="004841EF">
        <w:t xml:space="preserve">. Therefore, the work culture and environment must be disability-friendly </w:t>
      </w:r>
      <w:r w:rsidR="002745A3" w:rsidRPr="004841EF">
        <w:t xml:space="preserve">and inclusive </w:t>
      </w:r>
      <w:r w:rsidRPr="004841EF">
        <w:t>to ensure that employees and employment candidates feel comfortable in disclosing their disability and initiating the reasonable accommodation process.</w:t>
      </w:r>
    </w:p>
    <w:p w14:paraId="40684ED3" w14:textId="13C21CAF" w:rsidR="009606C1" w:rsidRPr="004841EF" w:rsidRDefault="00A90C7C" w:rsidP="009700FF">
      <w:pPr>
        <w:spacing w:after="120"/>
      </w:pPr>
      <w:r w:rsidRPr="004841EF">
        <w:t xml:space="preserve">The reasonable accommodation process </w:t>
      </w:r>
      <w:r w:rsidR="00FF13F9" w:rsidRPr="004841EF">
        <w:t xml:space="preserve">itself </w:t>
      </w:r>
      <w:r w:rsidRPr="004841EF">
        <w:t xml:space="preserve">is a multifaceted one. The process </w:t>
      </w:r>
      <w:r w:rsidR="00ED3F61" w:rsidRPr="004841EF">
        <w:t xml:space="preserve">typically </w:t>
      </w:r>
      <w:r w:rsidRPr="004841EF">
        <w:t>comprises a number of stages</w:t>
      </w:r>
      <w:r w:rsidR="009606C1" w:rsidRPr="004841EF">
        <w:t>,</w:t>
      </w:r>
      <w:r w:rsidRPr="004841EF">
        <w:t xml:space="preserve"> including</w:t>
      </w:r>
      <w:r w:rsidR="00C6587E" w:rsidRPr="004841EF">
        <w:t xml:space="preserve"> the</w:t>
      </w:r>
      <w:r w:rsidR="009606C1" w:rsidRPr="004841EF">
        <w:t>:</w:t>
      </w:r>
    </w:p>
    <w:p w14:paraId="7CA4BC81" w14:textId="75F6152B" w:rsidR="00C6587E" w:rsidRPr="004841EF" w:rsidRDefault="00A90C7C" w:rsidP="00AE3C49">
      <w:pPr>
        <w:pStyle w:val="ListBullet"/>
      </w:pPr>
      <w:r w:rsidRPr="004841EF">
        <w:t>making of a request for reasonable accommodations by a person with a disability</w:t>
      </w:r>
    </w:p>
    <w:p w14:paraId="56E0A87C" w14:textId="6A1D67DB" w:rsidR="00C6587E" w:rsidRPr="004841EF" w:rsidRDefault="00A90C7C" w:rsidP="00AE3C49">
      <w:pPr>
        <w:pStyle w:val="ListBullet"/>
      </w:pPr>
      <w:r w:rsidRPr="004841EF">
        <w:t>evaluation of such a request by an employer and the process followed in reviewing such a request</w:t>
      </w:r>
    </w:p>
    <w:p w14:paraId="03AC6E33" w14:textId="01AC6E76" w:rsidR="00C6587E" w:rsidRPr="004841EF" w:rsidRDefault="00A90C7C" w:rsidP="00AE3C49">
      <w:pPr>
        <w:pStyle w:val="ListBullet"/>
      </w:pPr>
      <w:r w:rsidRPr="004841EF">
        <w:t>implementation of any approved reasonable accommodation measure</w:t>
      </w:r>
    </w:p>
    <w:p w14:paraId="090C4324" w14:textId="75F4D18D" w:rsidR="00A90C7C" w:rsidRPr="004841EF" w:rsidRDefault="00A90C7C" w:rsidP="009700FF">
      <w:pPr>
        <w:pStyle w:val="ListBullet"/>
        <w:spacing w:after="240"/>
        <w:ind w:left="357" w:hanging="357"/>
      </w:pPr>
      <w:r w:rsidRPr="004841EF">
        <w:t>monitoring of implemented re</w:t>
      </w:r>
      <w:r w:rsidR="009700FF" w:rsidRPr="004841EF">
        <w:t>asonable accommodation measures</w:t>
      </w:r>
    </w:p>
    <w:p w14:paraId="367880CA" w14:textId="3A0F5488" w:rsidR="00536B99" w:rsidRPr="004841EF" w:rsidRDefault="00536B99" w:rsidP="00536B99">
      <w:r w:rsidRPr="004841EF">
        <w:lastRenderedPageBreak/>
        <w:t xml:space="preserve">In practice, obstacles </w:t>
      </w:r>
      <w:r w:rsidR="0050318A" w:rsidRPr="004841EF">
        <w:t>in the provision of reasonable accommodation</w:t>
      </w:r>
      <w:r w:rsidR="00B77823" w:rsidRPr="004841EF">
        <w:t>s</w:t>
      </w:r>
      <w:r w:rsidR="0050318A" w:rsidRPr="004841EF">
        <w:t xml:space="preserve"> can be </w:t>
      </w:r>
      <w:r w:rsidRPr="004841EF">
        <w:t xml:space="preserve">encountered at every stage of the </w:t>
      </w:r>
      <w:r w:rsidR="0050318A" w:rsidRPr="004841EF">
        <w:t>recruitment and employment</w:t>
      </w:r>
      <w:r w:rsidRPr="004841EF">
        <w:t xml:space="preserve"> process</w:t>
      </w:r>
      <w:r w:rsidR="00B83391" w:rsidRPr="004841EF">
        <w:t>, and in both the public and private sector</w:t>
      </w:r>
      <w:r w:rsidRPr="004841EF">
        <w:t xml:space="preserve">; from job design, interview and assessment, through to making an offer, assisting an employee to continue in employment and decisions over the retention of existing employees. As a consequence, </w:t>
      </w:r>
      <w:r w:rsidR="00EB4927" w:rsidRPr="004841EF">
        <w:t xml:space="preserve">persons </w:t>
      </w:r>
      <w:r w:rsidR="002745A3" w:rsidRPr="004841EF">
        <w:t>with disabilities may be</w:t>
      </w:r>
      <w:r w:rsidRPr="004841EF">
        <w:t xml:space="preserve"> denied </w:t>
      </w:r>
      <w:r w:rsidR="008D7A7D" w:rsidRPr="004841EF">
        <w:t xml:space="preserve">their legal right to reasonable </w:t>
      </w:r>
      <w:r w:rsidRPr="004841EF">
        <w:t xml:space="preserve">accommodations which would enable them to access or continue in employment. </w:t>
      </w:r>
    </w:p>
    <w:p w14:paraId="47F18E83" w14:textId="78C2C9C5" w:rsidR="00536B99" w:rsidRPr="004841EF" w:rsidRDefault="0045472D" w:rsidP="00536B99">
      <w:pPr>
        <w:pStyle w:val="Heading2"/>
      </w:pPr>
      <w:bookmarkStart w:id="189" w:name="_Toc26192088"/>
      <w:bookmarkStart w:id="190" w:name="_Toc42172534"/>
      <w:r w:rsidRPr="004841EF">
        <w:t>1.2</w:t>
      </w:r>
      <w:r w:rsidR="0082042B" w:rsidRPr="004841EF">
        <w:t>.</w:t>
      </w:r>
      <w:r w:rsidRPr="004841EF">
        <w:t xml:space="preserve"> </w:t>
      </w:r>
      <w:r w:rsidR="00536B99" w:rsidRPr="004841EF">
        <w:t>Aims of the report</w:t>
      </w:r>
      <w:bookmarkEnd w:id="189"/>
      <w:bookmarkEnd w:id="190"/>
      <w:r w:rsidR="00536B99" w:rsidRPr="004841EF">
        <w:t xml:space="preserve"> </w:t>
      </w:r>
    </w:p>
    <w:p w14:paraId="18F51C39" w14:textId="77777777" w:rsidR="002C256B" w:rsidRPr="004841EF" w:rsidRDefault="00536B99" w:rsidP="009700FF">
      <w:pPr>
        <w:spacing w:after="120"/>
      </w:pPr>
      <w:r w:rsidRPr="004841EF">
        <w:t xml:space="preserve">The purpose of this </w:t>
      </w:r>
      <w:r w:rsidR="0003105A" w:rsidRPr="004841EF">
        <w:t>report</w:t>
      </w:r>
      <w:r w:rsidRPr="004841EF">
        <w:t xml:space="preserve"> </w:t>
      </w:r>
      <w:r w:rsidR="00425162" w:rsidRPr="004841EF">
        <w:t>is twofold.</w:t>
      </w:r>
    </w:p>
    <w:p w14:paraId="0E486803" w14:textId="2ABBA043" w:rsidR="002C256B" w:rsidRPr="004841EF" w:rsidRDefault="002C256B" w:rsidP="006272C6">
      <w:pPr>
        <w:pStyle w:val="ListParagraph"/>
        <w:numPr>
          <w:ilvl w:val="0"/>
          <w:numId w:val="9"/>
        </w:numPr>
      </w:pPr>
      <w:r w:rsidRPr="004841EF">
        <w:t>The</w:t>
      </w:r>
      <w:r w:rsidR="00425162" w:rsidRPr="004841EF">
        <w:t xml:space="preserve"> report </w:t>
      </w:r>
      <w:r w:rsidRPr="004841EF">
        <w:t>identifies</w:t>
      </w:r>
      <w:r w:rsidR="00536B99" w:rsidRPr="004841EF">
        <w:t xml:space="preserve"> the practical obst</w:t>
      </w:r>
      <w:r w:rsidR="00FF13F9" w:rsidRPr="004841EF">
        <w:t>acles in the way of a seamless reasonable accommodation</w:t>
      </w:r>
      <w:r w:rsidR="00536B99" w:rsidRPr="004841EF">
        <w:t xml:space="preserve"> process from the perspective of employers, em</w:t>
      </w:r>
      <w:r w:rsidR="00FF13F9" w:rsidRPr="004841EF">
        <w:t>ployees and potential employees</w:t>
      </w:r>
      <w:r w:rsidR="00536B99" w:rsidRPr="004841EF">
        <w:t xml:space="preserve"> </w:t>
      </w:r>
    </w:p>
    <w:p w14:paraId="0ACB0280" w14:textId="54950D1B" w:rsidR="00536B99" w:rsidRPr="004841EF" w:rsidRDefault="002C256B" w:rsidP="006272C6">
      <w:pPr>
        <w:pStyle w:val="ListParagraph"/>
        <w:numPr>
          <w:ilvl w:val="0"/>
          <w:numId w:val="9"/>
        </w:numPr>
        <w:ind w:left="714" w:hanging="357"/>
      </w:pPr>
      <w:r w:rsidRPr="004841EF">
        <w:t>The</w:t>
      </w:r>
      <w:r w:rsidR="00425162" w:rsidRPr="004841EF">
        <w:t xml:space="preserve"> report highlight</w:t>
      </w:r>
      <w:r w:rsidRPr="004841EF">
        <w:t>s</w:t>
      </w:r>
      <w:r w:rsidR="00425162" w:rsidRPr="004841EF">
        <w:t xml:space="preserve"> good practices as to how </w:t>
      </w:r>
      <w:r w:rsidR="00B83391" w:rsidRPr="004841EF">
        <w:t xml:space="preserve">these </w:t>
      </w:r>
      <w:r w:rsidR="00425162" w:rsidRPr="004841EF">
        <w:t>obstacles can be addressed</w:t>
      </w:r>
    </w:p>
    <w:p w14:paraId="09A3F0A4" w14:textId="36326F8B" w:rsidR="002C256B" w:rsidRPr="004841EF" w:rsidRDefault="00267BFA" w:rsidP="009700FF">
      <w:pPr>
        <w:spacing w:after="120"/>
      </w:pPr>
      <w:r w:rsidRPr="004841EF">
        <w:t xml:space="preserve">This </w:t>
      </w:r>
      <w:r w:rsidR="00156C4E" w:rsidRPr="004841EF">
        <w:t>work</w:t>
      </w:r>
      <w:r w:rsidRPr="004841EF">
        <w:t xml:space="preserve"> was </w:t>
      </w:r>
      <w:r w:rsidR="002A5CFA" w:rsidRPr="004841EF">
        <w:t xml:space="preserve">considered timely </w:t>
      </w:r>
      <w:r w:rsidR="009700FF" w:rsidRPr="004841EF">
        <w:t>for a number of reasons.</w:t>
      </w:r>
    </w:p>
    <w:p w14:paraId="0B64C061" w14:textId="32C57B91" w:rsidR="00156C4E" w:rsidRPr="004841EF" w:rsidRDefault="00156C4E" w:rsidP="006272C6">
      <w:pPr>
        <w:pStyle w:val="ListParagraph"/>
        <w:numPr>
          <w:ilvl w:val="0"/>
          <w:numId w:val="19"/>
        </w:numPr>
      </w:pPr>
      <w:r w:rsidRPr="004841EF">
        <w:t xml:space="preserve">This work was undertaken in the context of Strategic Priority Six of the </w:t>
      </w:r>
      <w:r w:rsidRPr="004841EF">
        <w:rPr>
          <w:b/>
        </w:rPr>
        <w:t>Comprehensive Employment Strategy for People with Disabilities</w:t>
      </w:r>
      <w:r w:rsidR="00347897" w:rsidRPr="004841EF">
        <w:rPr>
          <w:b/>
        </w:rPr>
        <w:t xml:space="preserve"> 2015-2024</w:t>
      </w:r>
      <w:r w:rsidRPr="004841EF">
        <w:t>, which seeks to advance employer engagement. The Strategy’s Phase Two Action Plan 2019-2021 commits the NDA to examining the current provision of reasonable accommodation in the employment context to guide good practice.</w:t>
      </w:r>
      <w:r w:rsidRPr="004841EF">
        <w:rPr>
          <w:sz w:val="22"/>
          <w:szCs w:val="22"/>
          <w:vertAlign w:val="superscript"/>
        </w:rPr>
        <w:footnoteReference w:id="15"/>
      </w:r>
    </w:p>
    <w:p w14:paraId="7153825E" w14:textId="7F6F249D" w:rsidR="002539EB" w:rsidRPr="004841EF" w:rsidRDefault="002A5CFA" w:rsidP="006272C6">
      <w:pPr>
        <w:pStyle w:val="ListContinue"/>
        <w:numPr>
          <w:ilvl w:val="0"/>
          <w:numId w:val="19"/>
        </w:numPr>
      </w:pPr>
      <w:r w:rsidRPr="004841EF">
        <w:rPr>
          <w:lang w:val="en-GB"/>
        </w:rPr>
        <w:t xml:space="preserve">Ireland’s </w:t>
      </w:r>
      <w:r w:rsidR="00E304AC" w:rsidRPr="004841EF">
        <w:rPr>
          <w:lang w:val="en-GB"/>
        </w:rPr>
        <w:t>initial State</w:t>
      </w:r>
      <w:r w:rsidRPr="004841EF">
        <w:rPr>
          <w:lang w:val="en-GB"/>
        </w:rPr>
        <w:t xml:space="preserve"> report under the </w:t>
      </w:r>
      <w:r w:rsidRPr="004841EF">
        <w:rPr>
          <w:b/>
          <w:lang w:val="en-GB"/>
        </w:rPr>
        <w:t>UN Convention on the Rights of Persons with Disabilities (UNCRPD)</w:t>
      </w:r>
      <w:r w:rsidRPr="004841EF">
        <w:rPr>
          <w:lang w:val="en-GB"/>
        </w:rPr>
        <w:t xml:space="preserve"> is due for submission in</w:t>
      </w:r>
      <w:r w:rsidR="00E304AC" w:rsidRPr="004841EF">
        <w:rPr>
          <w:lang w:val="en-GB"/>
        </w:rPr>
        <w:t xml:space="preserve"> the first half of</w:t>
      </w:r>
      <w:r w:rsidRPr="004841EF">
        <w:rPr>
          <w:lang w:val="en-GB"/>
        </w:rPr>
        <w:t xml:space="preserve"> 2020</w:t>
      </w:r>
      <w:r w:rsidR="00B353D9" w:rsidRPr="004841EF">
        <w:rPr>
          <w:lang w:val="en-GB"/>
        </w:rPr>
        <w:t>.</w:t>
      </w:r>
      <w:r w:rsidR="00B353D9" w:rsidRPr="004841EF">
        <w:t xml:space="preserve"> T</w:t>
      </w:r>
      <w:r w:rsidRPr="004841EF">
        <w:t>he</w:t>
      </w:r>
      <w:r w:rsidR="00B353D9" w:rsidRPr="004841EF">
        <w:t xml:space="preserve"> need</w:t>
      </w:r>
      <w:r w:rsidRPr="004841EF">
        <w:t xml:space="preserve"> </w:t>
      </w:r>
      <w:r w:rsidR="00B353D9" w:rsidRPr="004841EF">
        <w:rPr>
          <w:bCs/>
        </w:rPr>
        <w:t xml:space="preserve">to embed reasonable accommodations in legislation and practice </w:t>
      </w:r>
      <w:r w:rsidRPr="004841EF">
        <w:t xml:space="preserve">is regularly </w:t>
      </w:r>
      <w:r w:rsidRPr="004841EF">
        <w:lastRenderedPageBreak/>
        <w:t>raised in the UN Committee</w:t>
      </w:r>
      <w:r w:rsidR="00FF13F9" w:rsidRPr="004841EF">
        <w:t xml:space="preserve"> on the Rights of Persons with Disabilities’</w:t>
      </w:r>
      <w:r w:rsidRPr="004841EF">
        <w:t xml:space="preserve"> Concluding Observations</w:t>
      </w:r>
      <w:r w:rsidR="00690393" w:rsidRPr="004841EF">
        <w:t xml:space="preserve"> </w:t>
      </w:r>
      <w:r w:rsidR="00E304AC" w:rsidRPr="004841EF">
        <w:t xml:space="preserve">on Article 27, </w:t>
      </w:r>
      <w:r w:rsidR="00690393" w:rsidRPr="004841EF">
        <w:t>concerning the right to work</w:t>
      </w:r>
      <w:r w:rsidR="00E304AC" w:rsidRPr="004841EF">
        <w:t xml:space="preserve"> and employment</w:t>
      </w:r>
      <w:r w:rsidRPr="004841EF">
        <w:t>.</w:t>
      </w:r>
      <w:r w:rsidRPr="004841EF">
        <w:rPr>
          <w:rStyle w:val="FootnoteReference"/>
          <w:rFonts w:ascii="Gill Sans MT" w:hAnsi="Gill Sans MT"/>
          <w:szCs w:val="22"/>
        </w:rPr>
        <w:footnoteReference w:id="16"/>
      </w:r>
      <w:r w:rsidR="00B327CE" w:rsidRPr="004841EF">
        <w:t xml:space="preserve"> </w:t>
      </w:r>
    </w:p>
    <w:p w14:paraId="2BBD323B" w14:textId="65DC90D2" w:rsidR="00E304AC" w:rsidRPr="004841EF" w:rsidRDefault="002C256B" w:rsidP="006272C6">
      <w:pPr>
        <w:pStyle w:val="ListBullet"/>
        <w:numPr>
          <w:ilvl w:val="0"/>
          <w:numId w:val="19"/>
        </w:numPr>
        <w:spacing w:before="0" w:after="240"/>
      </w:pPr>
      <w:r w:rsidRPr="004841EF">
        <w:t>T</w:t>
      </w:r>
      <w:r w:rsidR="00C03FD9" w:rsidRPr="004841EF">
        <w:t>he Government has committed</w:t>
      </w:r>
      <w:r w:rsidR="00B327CE" w:rsidRPr="004841EF">
        <w:t xml:space="preserve"> to increasing the statutory</w:t>
      </w:r>
      <w:r w:rsidR="0003105A" w:rsidRPr="004841EF">
        <w:t xml:space="preserve"> public service</w:t>
      </w:r>
      <w:r w:rsidR="00B327CE" w:rsidRPr="004841EF">
        <w:t xml:space="preserve"> employment target</w:t>
      </w:r>
      <w:r w:rsidR="00E304AC" w:rsidRPr="004841EF">
        <w:t xml:space="preserve"> </w:t>
      </w:r>
      <w:r w:rsidR="0003105A" w:rsidRPr="004841EF">
        <w:t xml:space="preserve">for employees with a disability </w:t>
      </w:r>
      <w:r w:rsidR="00E304AC" w:rsidRPr="004841EF">
        <w:t>from</w:t>
      </w:r>
      <w:r w:rsidR="0003105A" w:rsidRPr="004841EF">
        <w:t xml:space="preserve"> a minimum</w:t>
      </w:r>
      <w:r w:rsidR="00E304AC" w:rsidRPr="004841EF">
        <w:t xml:space="preserve"> 3%</w:t>
      </w:r>
      <w:r w:rsidR="00B327CE" w:rsidRPr="004841EF">
        <w:t xml:space="preserve"> to 6% by 2024.</w:t>
      </w:r>
      <w:r w:rsidR="002539EB" w:rsidRPr="004841EF">
        <w:rPr>
          <w:rStyle w:val="FootnoteReference"/>
          <w:rFonts w:ascii="Gill Sans MT" w:hAnsi="Gill Sans MT"/>
          <w:szCs w:val="22"/>
        </w:rPr>
        <w:footnoteReference w:id="17"/>
      </w:r>
      <w:r w:rsidR="002539EB" w:rsidRPr="004841EF">
        <w:rPr>
          <w:color w:val="1F4E79"/>
          <w:sz w:val="24"/>
        </w:rPr>
        <w:t xml:space="preserve"> </w:t>
      </w:r>
      <w:r w:rsidR="00E13F31" w:rsidRPr="004841EF">
        <w:t xml:space="preserve">Under Part 5 of the Disability Act 2005, the NDA has a role to monitor the progress public bodies are making every year to promote and support the employment of </w:t>
      </w:r>
      <w:r w:rsidR="00EB4927" w:rsidRPr="004841EF">
        <w:t xml:space="preserve">persons </w:t>
      </w:r>
      <w:r w:rsidR="00E13F31" w:rsidRPr="004841EF">
        <w:t>with disabilities.</w:t>
      </w:r>
      <w:r w:rsidR="000C3272" w:rsidRPr="004841EF">
        <w:rPr>
          <w:rStyle w:val="FootnoteReference"/>
          <w:rFonts w:ascii="Gill Sans MT" w:hAnsi="Gill Sans MT"/>
        </w:rPr>
        <w:footnoteReference w:id="18"/>
      </w:r>
      <w:r w:rsidR="00E13F31" w:rsidRPr="004841EF">
        <w:t xml:space="preserve"> </w:t>
      </w:r>
      <w:r w:rsidR="0003105A" w:rsidRPr="004841EF">
        <w:t>The NDA’s</w:t>
      </w:r>
      <w:r w:rsidR="00E13F31" w:rsidRPr="004841EF">
        <w:t xml:space="preserve"> monitoring work has highlighted the importance of reasonable accommodations in ensuring that </w:t>
      </w:r>
      <w:r w:rsidR="00EB4927" w:rsidRPr="004841EF">
        <w:t xml:space="preserve">persons </w:t>
      </w:r>
      <w:r w:rsidR="00E13F31" w:rsidRPr="004841EF">
        <w:t>with disabilities enter and retain public service employment.</w:t>
      </w:r>
      <w:r w:rsidR="0003105A" w:rsidRPr="004841EF">
        <w:rPr>
          <w:rStyle w:val="FootnoteReference"/>
          <w:rFonts w:ascii="Gill Sans MT" w:hAnsi="Gill Sans MT"/>
        </w:rPr>
        <w:footnoteReference w:id="19"/>
      </w:r>
      <w:r w:rsidR="00E13F31" w:rsidRPr="004841EF">
        <w:t xml:space="preserve"> It is the NDA’s view that reasonable accommodations will have a greater role to play in ensuri</w:t>
      </w:r>
      <w:r w:rsidR="0003105A" w:rsidRPr="004841EF">
        <w:t>ng that public bodies meet the new 6% target</w:t>
      </w:r>
      <w:r w:rsidR="00E13F31" w:rsidRPr="004841EF">
        <w:t>.</w:t>
      </w:r>
    </w:p>
    <w:p w14:paraId="143CD26F" w14:textId="59ACB6CF" w:rsidR="00E304AC" w:rsidRPr="004841EF" w:rsidRDefault="002C256B" w:rsidP="006272C6">
      <w:pPr>
        <w:pStyle w:val="ListBullet"/>
        <w:numPr>
          <w:ilvl w:val="0"/>
          <w:numId w:val="19"/>
        </w:numPr>
        <w:spacing w:before="0" w:after="240"/>
      </w:pPr>
      <w:r w:rsidRPr="004841EF">
        <w:t>R</w:t>
      </w:r>
      <w:r w:rsidR="00E304AC" w:rsidRPr="004841EF">
        <w:t>easonable accommodations play a crucial role in demonstrating organisational commitment to human rights, equality, inclusion and diversity</w:t>
      </w:r>
      <w:r w:rsidR="00EB4A48" w:rsidRPr="004841EF">
        <w:t xml:space="preserve"> in both the public and private sectors</w:t>
      </w:r>
      <w:r w:rsidR="00E304AC" w:rsidRPr="004841EF">
        <w:t xml:space="preserve">. </w:t>
      </w:r>
      <w:r w:rsidR="00EB4A48" w:rsidRPr="004841EF">
        <w:t xml:space="preserve">As ever more employers recognise the benefits of a diverse and inclusive workforce, employers must be proactive about providing reasonable accommodations in order to ensure their organisation is </w:t>
      </w:r>
      <w:r w:rsidR="00E304AC" w:rsidRPr="004841EF">
        <w:rPr>
          <w:bCs/>
        </w:rPr>
        <w:t>disability</w:t>
      </w:r>
      <w:r w:rsidR="00E304AC" w:rsidRPr="004841EF">
        <w:t>-</w:t>
      </w:r>
      <w:r w:rsidR="00E304AC" w:rsidRPr="004841EF">
        <w:rPr>
          <w:bCs/>
        </w:rPr>
        <w:t>inclusive</w:t>
      </w:r>
      <w:r w:rsidR="00EB4A48" w:rsidRPr="004841EF">
        <w:rPr>
          <w:bCs/>
        </w:rPr>
        <w:t>. Reasonable accommodations</w:t>
      </w:r>
      <w:r w:rsidR="00E304AC" w:rsidRPr="004841EF">
        <w:rPr>
          <w:bCs/>
        </w:rPr>
        <w:t xml:space="preserve"> enable </w:t>
      </w:r>
      <w:r w:rsidR="00EB4927" w:rsidRPr="004841EF">
        <w:rPr>
          <w:bCs/>
        </w:rPr>
        <w:t xml:space="preserve">persons </w:t>
      </w:r>
      <w:r w:rsidR="00E304AC" w:rsidRPr="004841EF">
        <w:rPr>
          <w:bCs/>
        </w:rPr>
        <w:t xml:space="preserve">with disabilities to overcome </w:t>
      </w:r>
      <w:r w:rsidR="00B353D9" w:rsidRPr="004841EF">
        <w:rPr>
          <w:bCs/>
        </w:rPr>
        <w:t>barriers in the workplace</w:t>
      </w:r>
      <w:r w:rsidR="00E304AC" w:rsidRPr="004841EF">
        <w:t>.</w:t>
      </w:r>
    </w:p>
    <w:p w14:paraId="4A4495BC" w14:textId="5090F90C" w:rsidR="00536B99" w:rsidRPr="004841EF" w:rsidRDefault="0045472D" w:rsidP="00536B99">
      <w:pPr>
        <w:pStyle w:val="Heading2"/>
      </w:pPr>
      <w:bookmarkStart w:id="191" w:name="_Toc26192089"/>
      <w:bookmarkStart w:id="192" w:name="_Toc42172535"/>
      <w:r w:rsidRPr="004841EF">
        <w:lastRenderedPageBreak/>
        <w:t>1.3</w:t>
      </w:r>
      <w:r w:rsidR="0082042B" w:rsidRPr="004841EF">
        <w:t>.</w:t>
      </w:r>
      <w:r w:rsidRPr="004841EF">
        <w:t xml:space="preserve"> </w:t>
      </w:r>
      <w:r w:rsidR="00536B99" w:rsidRPr="004841EF">
        <w:t>Structure of the report</w:t>
      </w:r>
      <w:bookmarkEnd w:id="191"/>
      <w:bookmarkEnd w:id="192"/>
    </w:p>
    <w:p w14:paraId="44313C1E" w14:textId="77777777" w:rsidR="00425162" w:rsidRPr="004841EF" w:rsidRDefault="00425162" w:rsidP="00536B99">
      <w:r w:rsidRPr="004841EF">
        <w:t>Chapter 1 of this report outlines the context and background to the project. It also describes the methodology used to carry out the research.</w:t>
      </w:r>
    </w:p>
    <w:p w14:paraId="2FDC172D" w14:textId="6B6C2C6F" w:rsidR="00425162" w:rsidRPr="004841EF" w:rsidRDefault="00425162" w:rsidP="00536B99">
      <w:r w:rsidRPr="004841EF">
        <w:t xml:space="preserve">Chapter 2 </w:t>
      </w:r>
      <w:r w:rsidR="00536B99" w:rsidRPr="004841EF">
        <w:t xml:space="preserve">sets out the </w:t>
      </w:r>
      <w:r w:rsidR="002118C9" w:rsidRPr="004841EF">
        <w:t xml:space="preserve">legislation </w:t>
      </w:r>
      <w:r w:rsidR="00536B99" w:rsidRPr="004841EF">
        <w:t xml:space="preserve">relating to reasonable accommodation and relevant case law. </w:t>
      </w:r>
    </w:p>
    <w:p w14:paraId="2971EFBE" w14:textId="77777777" w:rsidR="00425162" w:rsidRPr="004841EF" w:rsidRDefault="00425162" w:rsidP="00536B99">
      <w:r w:rsidRPr="004841EF">
        <w:t>Chapter 3</w:t>
      </w:r>
      <w:r w:rsidR="00536B99" w:rsidRPr="004841EF">
        <w:t xml:space="preserve"> details the main findings of an analysis of 82 Workplace Relations Commission </w:t>
      </w:r>
      <w:r w:rsidR="00A81F75" w:rsidRPr="004841EF">
        <w:t xml:space="preserve">and Labour Court </w:t>
      </w:r>
      <w:r w:rsidR="00536B99" w:rsidRPr="004841EF">
        <w:t xml:space="preserve">decisions concerning reasonable accommodation. </w:t>
      </w:r>
    </w:p>
    <w:p w14:paraId="13071010" w14:textId="67F943B4" w:rsidR="00425162" w:rsidRPr="004841EF" w:rsidRDefault="00425162" w:rsidP="00536B99">
      <w:r w:rsidRPr="004841EF">
        <w:t xml:space="preserve">Chapter 4 </w:t>
      </w:r>
      <w:r w:rsidR="00A9662E" w:rsidRPr="004841EF">
        <w:t>identifies</w:t>
      </w:r>
      <w:r w:rsidR="00536B99" w:rsidRPr="004841EF">
        <w:t xml:space="preserve"> </w:t>
      </w:r>
      <w:r w:rsidR="00B353D9" w:rsidRPr="004841EF">
        <w:t>eight</w:t>
      </w:r>
      <w:r w:rsidR="00536B99" w:rsidRPr="004841EF">
        <w:t xml:space="preserve"> key issues arising from the </w:t>
      </w:r>
      <w:r w:rsidR="00104F83" w:rsidRPr="004841EF">
        <w:t>literature review</w:t>
      </w:r>
      <w:r w:rsidR="00B353D9" w:rsidRPr="004841EF">
        <w:t>, consultations and review</w:t>
      </w:r>
      <w:r w:rsidR="005206AB" w:rsidRPr="004841EF">
        <w:t xml:space="preserve"> of Workplace Relations Commission and Labour Court decisions</w:t>
      </w:r>
      <w:r w:rsidR="00536B99" w:rsidRPr="004841EF">
        <w:t xml:space="preserve"> which </w:t>
      </w:r>
      <w:r w:rsidR="00156C4E" w:rsidRPr="004841EF">
        <w:t>can impede</w:t>
      </w:r>
      <w:r w:rsidR="00536B99" w:rsidRPr="004841EF">
        <w:t xml:space="preserve"> a seamless reasonable accommodation process. </w:t>
      </w:r>
    </w:p>
    <w:p w14:paraId="10FFE698" w14:textId="419D3375" w:rsidR="00B3539C" w:rsidRPr="004841EF" w:rsidRDefault="00425162" w:rsidP="00536B99">
      <w:r w:rsidRPr="004841EF">
        <w:t xml:space="preserve">Chapter 5 </w:t>
      </w:r>
      <w:r w:rsidR="00A9662E" w:rsidRPr="004841EF">
        <w:t>provides a</w:t>
      </w:r>
      <w:r w:rsidR="00761662" w:rsidRPr="004841EF">
        <w:t xml:space="preserve"> select</w:t>
      </w:r>
      <w:r w:rsidR="00A9662E" w:rsidRPr="004841EF">
        <w:t xml:space="preserve"> </w:t>
      </w:r>
      <w:r w:rsidR="00B3539C" w:rsidRPr="004841EF">
        <w:t xml:space="preserve">compendium of good practices </w:t>
      </w:r>
      <w:r w:rsidR="00761662" w:rsidRPr="004841EF">
        <w:t>for</w:t>
      </w:r>
      <w:r w:rsidR="00156C4E" w:rsidRPr="004841EF">
        <w:t xml:space="preserve"> employers on</w:t>
      </w:r>
      <w:r w:rsidR="00B3539C" w:rsidRPr="004841EF">
        <w:t xml:space="preserve"> ways to provide reasonable accommodation to current and prospective employees</w:t>
      </w:r>
      <w:r w:rsidR="00E5245E" w:rsidRPr="004841EF">
        <w:t xml:space="preserve"> with a disability</w:t>
      </w:r>
      <w:r w:rsidR="00EF1854" w:rsidRPr="004841EF">
        <w:t>, informed by the literature review, consultations and review of Workplace Relations Commission and Labour Court decisions</w:t>
      </w:r>
      <w:r w:rsidR="00B3539C" w:rsidRPr="004841EF">
        <w:t>.</w:t>
      </w:r>
    </w:p>
    <w:p w14:paraId="443E1236" w14:textId="24377010" w:rsidR="00CB34BE" w:rsidRPr="004841EF" w:rsidRDefault="00B3539C" w:rsidP="00536B99">
      <w:r w:rsidRPr="004841EF">
        <w:t>Chapter</w:t>
      </w:r>
      <w:r w:rsidR="00CB34BE" w:rsidRPr="004841EF">
        <w:t xml:space="preserve"> 6 offers some conclusions based on the literature review, consultations and review of Workplace Relations Commission and Labour Court decisions.</w:t>
      </w:r>
    </w:p>
    <w:p w14:paraId="1C4D75EA" w14:textId="77777777" w:rsidR="00B3539C" w:rsidRPr="004841EF" w:rsidRDefault="00CB34BE" w:rsidP="00536B99">
      <w:r w:rsidRPr="004841EF">
        <w:t xml:space="preserve">Chapter 7 </w:t>
      </w:r>
      <w:r w:rsidR="00B3539C" w:rsidRPr="004841EF">
        <w:t xml:space="preserve">identifies </w:t>
      </w:r>
      <w:r w:rsidRPr="004841EF">
        <w:t>the implications of the report’s main findings for policy and practice.</w:t>
      </w:r>
    </w:p>
    <w:p w14:paraId="62B152BE" w14:textId="190AF292" w:rsidR="00536B99" w:rsidRPr="004841EF" w:rsidRDefault="0045472D" w:rsidP="00536B99">
      <w:pPr>
        <w:pStyle w:val="Heading2"/>
      </w:pPr>
      <w:bookmarkStart w:id="193" w:name="_Toc26192090"/>
      <w:bookmarkStart w:id="194" w:name="_Toc42172536"/>
      <w:r w:rsidRPr="004841EF">
        <w:t>1.4</w:t>
      </w:r>
      <w:r w:rsidR="0082042B" w:rsidRPr="004841EF">
        <w:t>.</w:t>
      </w:r>
      <w:r w:rsidRPr="004841EF">
        <w:t xml:space="preserve"> </w:t>
      </w:r>
      <w:r w:rsidR="00536B99" w:rsidRPr="004841EF">
        <w:t xml:space="preserve">Research </w:t>
      </w:r>
      <w:r w:rsidR="00D20497" w:rsidRPr="004841EF">
        <w:t>strands and consultation</w:t>
      </w:r>
      <w:bookmarkEnd w:id="193"/>
      <w:bookmarkEnd w:id="194"/>
    </w:p>
    <w:p w14:paraId="47C040D4" w14:textId="01F63F44" w:rsidR="008D46FC" w:rsidRPr="004841EF" w:rsidRDefault="008D46FC" w:rsidP="008D46FC">
      <w:r w:rsidRPr="004841EF">
        <w:t xml:space="preserve">The </w:t>
      </w:r>
      <w:r w:rsidR="00D20497" w:rsidRPr="004841EF">
        <w:t xml:space="preserve">two primary research strands comprised a literature review and a select review of Workplace Relations Commission and Labour Court decisions relating to reasonable accommodation under the </w:t>
      </w:r>
      <w:r w:rsidR="00D20497" w:rsidRPr="004841EF">
        <w:rPr>
          <w:b/>
        </w:rPr>
        <w:t>Employment Equality Acts 1998-2015</w:t>
      </w:r>
      <w:r w:rsidR="00D20497" w:rsidRPr="004841EF">
        <w:t xml:space="preserve">. </w:t>
      </w:r>
      <w:r w:rsidR="00291852" w:rsidRPr="004841EF">
        <w:t>B</w:t>
      </w:r>
      <w:r w:rsidR="00D20497" w:rsidRPr="004841EF">
        <w:t>ilateral and focus groups</w:t>
      </w:r>
      <w:r w:rsidR="00291852" w:rsidRPr="004841EF">
        <w:t xml:space="preserve"> consultations</w:t>
      </w:r>
      <w:r w:rsidRPr="004841EF">
        <w:t xml:space="preserve"> </w:t>
      </w:r>
      <w:r w:rsidR="00D20497" w:rsidRPr="004841EF">
        <w:t xml:space="preserve">were also undertaken to </w:t>
      </w:r>
      <w:r w:rsidRPr="004841EF">
        <w:t xml:space="preserve">capture a broad range of views on the </w:t>
      </w:r>
      <w:r w:rsidR="00D07345" w:rsidRPr="004841EF">
        <w:t>provision of reasonable accommodations</w:t>
      </w:r>
      <w:r w:rsidRPr="004841EF">
        <w:t xml:space="preserve"> in </w:t>
      </w:r>
      <w:r w:rsidR="00F378F8" w:rsidRPr="004841EF">
        <w:t>practice</w:t>
      </w:r>
      <w:r w:rsidRPr="004841EF">
        <w:t>.</w:t>
      </w:r>
    </w:p>
    <w:p w14:paraId="3583DDE2" w14:textId="25B3F31A" w:rsidR="00536B99" w:rsidRPr="004841EF" w:rsidRDefault="00622B6E" w:rsidP="00D20497">
      <w:pPr>
        <w:pStyle w:val="Heading3"/>
      </w:pPr>
      <w:bookmarkStart w:id="195" w:name="_Toc26192091"/>
      <w:r w:rsidRPr="004841EF">
        <w:lastRenderedPageBreak/>
        <w:t>1.4.1</w:t>
      </w:r>
      <w:r w:rsidR="0082042B" w:rsidRPr="004841EF">
        <w:t>.</w:t>
      </w:r>
      <w:r w:rsidRPr="004841EF">
        <w:t xml:space="preserve"> </w:t>
      </w:r>
      <w:r w:rsidR="00E70BD9" w:rsidRPr="004841EF">
        <w:t>Literature Review</w:t>
      </w:r>
      <w:bookmarkEnd w:id="195"/>
    </w:p>
    <w:p w14:paraId="1EE3EAEA" w14:textId="1ABD8239" w:rsidR="00E70BD9" w:rsidRPr="004841EF" w:rsidRDefault="00E70BD9" w:rsidP="00E70BD9">
      <w:r w:rsidRPr="004841EF">
        <w:t>The literature</w:t>
      </w:r>
      <w:r w:rsidR="00622B6E" w:rsidRPr="004841EF">
        <w:t xml:space="preserve"> review examined </w:t>
      </w:r>
      <w:r w:rsidR="008D46FC" w:rsidRPr="004841EF">
        <w:t>obstacles encountered</w:t>
      </w:r>
      <w:r w:rsidR="00FF13F9" w:rsidRPr="004841EF">
        <w:t xml:space="preserve"> and good practices</w:t>
      </w:r>
      <w:r w:rsidR="008D46FC" w:rsidRPr="004841EF">
        <w:t xml:space="preserve"> in the provision of reasonable accommodations to </w:t>
      </w:r>
      <w:r w:rsidR="00EB4927" w:rsidRPr="004841EF">
        <w:t xml:space="preserve">persons </w:t>
      </w:r>
      <w:r w:rsidR="008D46FC" w:rsidRPr="004841EF">
        <w:t xml:space="preserve">with disabilities </w:t>
      </w:r>
      <w:r w:rsidRPr="004841EF">
        <w:t>to determine the key relevant themes in this area. Different search terms were used for the literature review. These search terms included</w:t>
      </w:r>
      <w:r w:rsidR="00291852" w:rsidRPr="004841EF">
        <w:t>:</w:t>
      </w:r>
      <w:r w:rsidRPr="004841EF">
        <w:t xml:space="preserve"> “good practice in employing people with disabilities”, </w:t>
      </w:r>
      <w:r w:rsidR="00AF7A3C" w:rsidRPr="004841EF">
        <w:t xml:space="preserve">“good practice on making reasonable accommodation”, </w:t>
      </w:r>
      <w:r w:rsidR="00AB505A" w:rsidRPr="004841EF">
        <w:t xml:space="preserve">“good practice on workplace adjustments”, </w:t>
      </w:r>
      <w:r w:rsidR="0028444A" w:rsidRPr="004841EF">
        <w:t xml:space="preserve">“disclosure of disability in employment”, </w:t>
      </w:r>
      <w:r w:rsidRPr="004841EF">
        <w:t>“reasonable acc</w:t>
      </w:r>
      <w:r w:rsidR="00143AE5" w:rsidRPr="004841EF">
        <w:t xml:space="preserve">ommodations in the workplace”, </w:t>
      </w:r>
      <w:r w:rsidRPr="004841EF">
        <w:t>and “equality legislation”.</w:t>
      </w:r>
    </w:p>
    <w:p w14:paraId="28B7D53F" w14:textId="67710FFC" w:rsidR="00E70BD9" w:rsidRPr="004841EF" w:rsidRDefault="00622B6E" w:rsidP="00D20497">
      <w:pPr>
        <w:pStyle w:val="Heading3"/>
      </w:pPr>
      <w:bookmarkStart w:id="196" w:name="_Toc26192092"/>
      <w:r w:rsidRPr="004841EF">
        <w:t>1.4.2</w:t>
      </w:r>
      <w:r w:rsidR="0082042B" w:rsidRPr="004841EF">
        <w:t>.</w:t>
      </w:r>
      <w:r w:rsidRPr="004841EF">
        <w:t xml:space="preserve"> </w:t>
      </w:r>
      <w:r w:rsidR="00E70BD9" w:rsidRPr="004841EF">
        <w:t>Review of Workplace Relations Commission</w:t>
      </w:r>
      <w:r w:rsidR="003F664A" w:rsidRPr="004841EF">
        <w:t xml:space="preserve"> and Labour Court</w:t>
      </w:r>
      <w:r w:rsidR="00E70BD9" w:rsidRPr="004841EF">
        <w:t xml:space="preserve"> decisions</w:t>
      </w:r>
      <w:bookmarkEnd w:id="196"/>
    </w:p>
    <w:p w14:paraId="2F7C9B3E" w14:textId="43C536DD" w:rsidR="00E70BD9" w:rsidRPr="004841EF" w:rsidRDefault="00E70BD9" w:rsidP="00E70BD9">
      <w:r w:rsidRPr="004841EF">
        <w:t>The Workplace Relations Commission operates an online database of equality decisions.</w:t>
      </w:r>
      <w:r w:rsidR="001306E2" w:rsidRPr="004841EF">
        <w:rPr>
          <w:rStyle w:val="FootnoteReference"/>
          <w:rFonts w:ascii="Gill Sans MT" w:hAnsi="Gill Sans MT"/>
        </w:rPr>
        <w:footnoteReference w:id="20"/>
      </w:r>
      <w:r w:rsidRPr="004841EF">
        <w:t xml:space="preserve"> A search of this database was undertaken in January 2019. The search was limited to cases under the “Employment Equality Acts” and to results which included the search term “reasonable accommodation”. This search produced 400 case results and the first 100 (most recent) of these were analysed. Some of the decisions were not relevant for the purposes of this review. For example, in some cases, the complainant did not attend the hearing or a preliminary jurisdictional issue was successfully raised, such as</w:t>
      </w:r>
      <w:r w:rsidR="00622B6E" w:rsidRPr="004841EF">
        <w:t>,</w:t>
      </w:r>
      <w:r w:rsidRPr="004841EF">
        <w:t xml:space="preserve"> the complaint was not submitted within the statutory time limits. In other decisions, reasonable accommodation was mentioned in the contex</w:t>
      </w:r>
      <w:r w:rsidR="009700FF" w:rsidRPr="004841EF">
        <w:t>t of pregnancy, not disability.</w:t>
      </w:r>
    </w:p>
    <w:p w14:paraId="5A5C6CB1" w14:textId="0BECED6F" w:rsidR="00E70BD9" w:rsidRPr="004841EF" w:rsidRDefault="00E70BD9" w:rsidP="00E70BD9">
      <w:r w:rsidRPr="004841EF">
        <w:t xml:space="preserve">Following an initial review, it was determined that the number of decisions concerning reasonable accommodation in the context of access to employment was low. A further search was undertaken of the database. This time the search was narrowed to cases under the “Employment Equality Acts” concerning “Section 16 – Reasonable Accommodation” and which included the search term “access to employment”. This search produced 30 results, and all of these decisions were reviewed as part of the study. Again, a number of these results were not relevant to the </w:t>
      </w:r>
      <w:r w:rsidR="00104F83" w:rsidRPr="004841EF">
        <w:t>paper</w:t>
      </w:r>
      <w:r w:rsidR="000D437B" w:rsidRPr="004841EF">
        <w:t xml:space="preserve"> because the complainant did not attend the hearing etc</w:t>
      </w:r>
      <w:r w:rsidRPr="004841EF">
        <w:t>.</w:t>
      </w:r>
    </w:p>
    <w:p w14:paraId="26C2B3F8" w14:textId="6F8630F8" w:rsidR="00E70BD9" w:rsidRPr="004841EF" w:rsidRDefault="00E70BD9" w:rsidP="00E70BD9">
      <w:r w:rsidRPr="004841EF">
        <w:lastRenderedPageBreak/>
        <w:t xml:space="preserve">It is important to note that in some of the cases examined, a number of reasons form the basis for the decision. However, this </w:t>
      </w:r>
      <w:r w:rsidR="00104F83" w:rsidRPr="004841EF">
        <w:t>report</w:t>
      </w:r>
      <w:r w:rsidRPr="004841EF">
        <w:t xml:space="preserve"> sought to identify the principal or overriding b</w:t>
      </w:r>
      <w:r w:rsidR="009700FF" w:rsidRPr="004841EF">
        <w:t>asis for each of the decisions.</w:t>
      </w:r>
    </w:p>
    <w:p w14:paraId="167EF9A1" w14:textId="2C4F2BC9" w:rsidR="00E70BD9" w:rsidRPr="004841EF" w:rsidRDefault="00622B6E" w:rsidP="00D20497">
      <w:pPr>
        <w:pStyle w:val="Heading3"/>
      </w:pPr>
      <w:bookmarkStart w:id="197" w:name="_Toc26192093"/>
      <w:r w:rsidRPr="004841EF">
        <w:t>1.4.3</w:t>
      </w:r>
      <w:r w:rsidR="0082042B" w:rsidRPr="004841EF">
        <w:t>.</w:t>
      </w:r>
      <w:r w:rsidRPr="004841EF">
        <w:t xml:space="preserve"> </w:t>
      </w:r>
      <w:r w:rsidR="00E70BD9" w:rsidRPr="004841EF">
        <w:t>Consultations with stakeholders</w:t>
      </w:r>
      <w:r w:rsidR="00897DD4" w:rsidRPr="004841EF">
        <w:rPr>
          <w:rStyle w:val="FootnoteReference"/>
          <w:rFonts w:ascii="Gill Sans MT" w:hAnsi="Gill Sans MT"/>
          <w:b w:val="0"/>
        </w:rPr>
        <w:footnoteReference w:id="21"/>
      </w:r>
      <w:bookmarkEnd w:id="197"/>
    </w:p>
    <w:p w14:paraId="203B425F" w14:textId="77777777" w:rsidR="00622B6E" w:rsidRPr="00DB5E63" w:rsidRDefault="00622B6E" w:rsidP="00685E04">
      <w:pPr>
        <w:pStyle w:val="Heading4"/>
        <w:rPr>
          <w:bCs w:val="0"/>
          <w:color w:val="auto"/>
        </w:rPr>
      </w:pPr>
      <w:r w:rsidRPr="00DB5E63">
        <w:rPr>
          <w:bCs w:val="0"/>
          <w:color w:val="auto"/>
        </w:rPr>
        <w:t>Bilateral consultations</w:t>
      </w:r>
    </w:p>
    <w:p w14:paraId="1C6E08C9" w14:textId="6128E826" w:rsidR="00E70BD9" w:rsidRPr="004841EF" w:rsidRDefault="00714A01" w:rsidP="00E70BD9">
      <w:r w:rsidRPr="004841EF">
        <w:t>Bilateral c</w:t>
      </w:r>
      <w:r w:rsidR="00143AE5" w:rsidRPr="004841EF">
        <w:t>onsultations were held with</w:t>
      </w:r>
      <w:r w:rsidR="00D94C45" w:rsidRPr="004841EF">
        <w:t xml:space="preserve"> a </w:t>
      </w:r>
      <w:r w:rsidR="000C4532" w:rsidRPr="004841EF">
        <w:t>range</w:t>
      </w:r>
      <w:r w:rsidR="00D94C45" w:rsidRPr="004841EF">
        <w:t xml:space="preserve"> of relevan</w:t>
      </w:r>
      <w:r w:rsidR="0039567E" w:rsidRPr="004841EF">
        <w:t>t</w:t>
      </w:r>
      <w:r w:rsidR="008C78E6" w:rsidRPr="004841EF">
        <w:t xml:space="preserve"> </w:t>
      </w:r>
      <w:r w:rsidR="00AA58AE" w:rsidRPr="004841EF">
        <w:t xml:space="preserve">individuals and </w:t>
      </w:r>
      <w:r w:rsidR="008C78E6" w:rsidRPr="004841EF">
        <w:t>statutory and non-statutory</w:t>
      </w:r>
      <w:r w:rsidR="0039567E" w:rsidRPr="004841EF">
        <w:t xml:space="preserve"> stakeholders including</w:t>
      </w:r>
      <w:r w:rsidR="00622B6E" w:rsidRPr="004841EF">
        <w:t>,</w:t>
      </w:r>
      <w:r w:rsidR="000C4532" w:rsidRPr="004841EF">
        <w:t xml:space="preserve"> but not limited to,</w:t>
      </w:r>
      <w:r w:rsidR="0039567E" w:rsidRPr="004841EF">
        <w:t xml:space="preserve"> </w:t>
      </w:r>
      <w:r w:rsidR="002E48B0" w:rsidRPr="004841EF">
        <w:t>‘key informant</w:t>
      </w:r>
      <w:r w:rsidR="00227943" w:rsidRPr="004841EF">
        <w:t>s</w:t>
      </w:r>
      <w:r w:rsidR="002E48B0" w:rsidRPr="004841EF">
        <w:t>’ who provided lived experience</w:t>
      </w:r>
      <w:r w:rsidR="00622B6E" w:rsidRPr="004841EF">
        <w:t>;</w:t>
      </w:r>
      <w:r w:rsidR="00D94C45" w:rsidRPr="004841EF">
        <w:t xml:space="preserve"> </w:t>
      </w:r>
      <w:r w:rsidR="0039567E" w:rsidRPr="004841EF">
        <w:t xml:space="preserve">a private sector </w:t>
      </w:r>
      <w:r w:rsidR="000C4532" w:rsidRPr="004841EF">
        <w:t>employer</w:t>
      </w:r>
      <w:r w:rsidR="00622B6E" w:rsidRPr="004841EF">
        <w:t xml:space="preserve">; </w:t>
      </w:r>
      <w:r w:rsidR="00B353D9" w:rsidRPr="004841EF">
        <w:t>the Public Appointments Service</w:t>
      </w:r>
      <w:r w:rsidR="00622B6E" w:rsidRPr="004841EF">
        <w:t>;</w:t>
      </w:r>
      <w:r w:rsidR="00B353D9" w:rsidRPr="004841EF">
        <w:t xml:space="preserve"> and</w:t>
      </w:r>
      <w:r w:rsidR="00D94C45" w:rsidRPr="004841EF">
        <w:t xml:space="preserve"> the I</w:t>
      </w:r>
      <w:r w:rsidR="0039567E" w:rsidRPr="004841EF">
        <w:t xml:space="preserve">rish </w:t>
      </w:r>
      <w:r w:rsidR="00D94C45" w:rsidRPr="004841EF">
        <w:t>B</w:t>
      </w:r>
      <w:r w:rsidR="0039567E" w:rsidRPr="004841EF">
        <w:t xml:space="preserve">usiness and </w:t>
      </w:r>
      <w:r w:rsidR="00D94C45" w:rsidRPr="004841EF">
        <w:t>E</w:t>
      </w:r>
      <w:r w:rsidR="0039567E" w:rsidRPr="004841EF">
        <w:t xml:space="preserve">mployers </w:t>
      </w:r>
      <w:r w:rsidR="00D94C45" w:rsidRPr="004841EF">
        <w:t>C</w:t>
      </w:r>
      <w:r w:rsidR="0039567E" w:rsidRPr="004841EF">
        <w:t xml:space="preserve">onfederation. </w:t>
      </w:r>
      <w:r w:rsidR="00AC7CEE" w:rsidRPr="004841EF">
        <w:t xml:space="preserve">These consultations were undertaken with a view to </w:t>
      </w:r>
      <w:r w:rsidR="00227943" w:rsidRPr="004841EF">
        <w:t xml:space="preserve">exploring barriers in attaining and providing reasonable accommodations, as well as </w:t>
      </w:r>
      <w:r w:rsidR="00AC7CEE" w:rsidRPr="004841EF">
        <w:t xml:space="preserve">ensuring a thorough examination of </w:t>
      </w:r>
      <w:r w:rsidR="00BF2CCB" w:rsidRPr="004841EF">
        <w:t xml:space="preserve">good </w:t>
      </w:r>
      <w:r w:rsidR="00AC7CEE" w:rsidRPr="004841EF">
        <w:t>practice</w:t>
      </w:r>
      <w:r w:rsidR="00227943" w:rsidRPr="004841EF">
        <w:t xml:space="preserve"> in this area</w:t>
      </w:r>
      <w:r w:rsidR="00AC7CEE" w:rsidRPr="004841EF">
        <w:t>.</w:t>
      </w:r>
    </w:p>
    <w:p w14:paraId="4453CB6E" w14:textId="77777777" w:rsidR="00E70BD9" w:rsidRPr="00DB5E63" w:rsidRDefault="00E70BD9" w:rsidP="00AE3C49">
      <w:pPr>
        <w:pStyle w:val="Heading4"/>
        <w:rPr>
          <w:bCs w:val="0"/>
          <w:color w:val="auto"/>
        </w:rPr>
      </w:pPr>
      <w:r w:rsidRPr="00DB5E63">
        <w:rPr>
          <w:bCs w:val="0"/>
          <w:color w:val="auto"/>
        </w:rPr>
        <w:t>Focus Groups</w:t>
      </w:r>
    </w:p>
    <w:p w14:paraId="5DB00E94" w14:textId="7187D0E4" w:rsidR="006E5D51" w:rsidRPr="004841EF" w:rsidRDefault="00FF13F9" w:rsidP="006E5D51">
      <w:r w:rsidRPr="004841EF">
        <w:t xml:space="preserve">Four </w:t>
      </w:r>
      <w:r w:rsidR="00143AE5" w:rsidRPr="004841EF">
        <w:t xml:space="preserve">focus groups were held as part of this report. Focus groups were held </w:t>
      </w:r>
      <w:r w:rsidR="006E5D51" w:rsidRPr="004841EF">
        <w:t xml:space="preserve">with </w:t>
      </w:r>
      <w:r w:rsidR="00335A38" w:rsidRPr="004841EF">
        <w:t>EmployAbility job coaches</w:t>
      </w:r>
      <w:r w:rsidR="00622B6E" w:rsidRPr="004841EF">
        <w:t xml:space="preserve">; </w:t>
      </w:r>
      <w:r w:rsidR="00335A38" w:rsidRPr="004841EF">
        <w:t>Disability Liaison Officers in the public service</w:t>
      </w:r>
      <w:r w:rsidR="00622B6E" w:rsidRPr="004841EF">
        <w:t xml:space="preserve">; </w:t>
      </w:r>
      <w:r w:rsidR="0039567E" w:rsidRPr="004841EF">
        <w:t>employees with disabilities in a private sector organisation</w:t>
      </w:r>
      <w:r w:rsidR="00622B6E" w:rsidRPr="004841EF">
        <w:t>;</w:t>
      </w:r>
      <w:r w:rsidR="0039567E" w:rsidRPr="004841EF">
        <w:t xml:space="preserve"> and trade union representatives.</w:t>
      </w:r>
    </w:p>
    <w:p w14:paraId="462C38E1" w14:textId="08D4FE7A" w:rsidR="00536B99" w:rsidRPr="004841EF" w:rsidRDefault="00143AE5" w:rsidP="00536B99">
      <w:r w:rsidRPr="004841EF">
        <w:t xml:space="preserve">The objective of each focus group was to identify obstacles in the provision of reasonable accommodations and capture examples of good practice in employing </w:t>
      </w:r>
      <w:r w:rsidR="000F7C06" w:rsidRPr="004841EF">
        <w:t xml:space="preserve">persons </w:t>
      </w:r>
      <w:r w:rsidRPr="004841EF">
        <w:t>with disabilities in the public</w:t>
      </w:r>
      <w:r w:rsidR="000F7C06" w:rsidRPr="004841EF">
        <w:t xml:space="preserve"> and private</w:t>
      </w:r>
      <w:r w:rsidRPr="004841EF">
        <w:t xml:space="preserve"> sector.</w:t>
      </w:r>
    </w:p>
    <w:p w14:paraId="298EE5E8" w14:textId="0F1170EF" w:rsidR="00762D3C" w:rsidRPr="004841EF" w:rsidRDefault="00B77823" w:rsidP="009700FF">
      <w:pPr>
        <w:spacing w:after="120"/>
      </w:pPr>
      <w:r w:rsidRPr="004841EF">
        <w:t>Three f</w:t>
      </w:r>
      <w:r w:rsidR="00762D3C" w:rsidRPr="004841EF">
        <w:t>ocus group</w:t>
      </w:r>
      <w:r w:rsidRPr="004841EF">
        <w:t>s</w:t>
      </w:r>
      <w:r w:rsidR="00762D3C" w:rsidRPr="004841EF">
        <w:t xml:space="preserve"> </w:t>
      </w:r>
      <w:r w:rsidR="00BF2CCB" w:rsidRPr="004841EF">
        <w:t>considered</w:t>
      </w:r>
      <w:r w:rsidR="00762D3C" w:rsidRPr="004841EF">
        <w:t xml:space="preserve"> the following</w:t>
      </w:r>
      <w:r w:rsidRPr="004841EF">
        <w:t xml:space="preserve"> questions</w:t>
      </w:r>
      <w:r w:rsidR="00762D3C" w:rsidRPr="004841EF">
        <w:t>:</w:t>
      </w:r>
    </w:p>
    <w:p w14:paraId="6A16CAC6" w14:textId="77777777" w:rsidR="00762D3C" w:rsidRPr="004841EF" w:rsidRDefault="00335A38" w:rsidP="00762D3C">
      <w:pPr>
        <w:pStyle w:val="ListBullet"/>
      </w:pPr>
      <w:r w:rsidRPr="004841EF">
        <w:t>What measures do employers take to encourage employees and employment candidates to disclose their disability?</w:t>
      </w:r>
    </w:p>
    <w:p w14:paraId="076DF170" w14:textId="77777777" w:rsidR="00335A38" w:rsidRPr="004841EF" w:rsidRDefault="00335A38" w:rsidP="00762D3C">
      <w:pPr>
        <w:pStyle w:val="ListBullet"/>
      </w:pPr>
      <w:r w:rsidRPr="004841EF">
        <w:t>What policies and procedures do employers have in place to deal with requests for reasonable accommodations?</w:t>
      </w:r>
    </w:p>
    <w:p w14:paraId="1FD4118F" w14:textId="77777777" w:rsidR="00335A38" w:rsidRPr="004841EF" w:rsidRDefault="00335A38" w:rsidP="00762D3C">
      <w:pPr>
        <w:pStyle w:val="ListBullet"/>
      </w:pPr>
      <w:r w:rsidRPr="004841EF">
        <w:lastRenderedPageBreak/>
        <w:t xml:space="preserve">What barriers do employers encounter in providing reasonable accommodations e.g. </w:t>
      </w:r>
      <w:r w:rsidR="00B16E1D" w:rsidRPr="004841EF">
        <w:t>information</w:t>
      </w:r>
      <w:r w:rsidRPr="004841EF">
        <w:t>, financial etc.?</w:t>
      </w:r>
    </w:p>
    <w:p w14:paraId="25B25372" w14:textId="77777777" w:rsidR="00335A38" w:rsidRPr="004841EF" w:rsidRDefault="00335A38" w:rsidP="00762D3C">
      <w:pPr>
        <w:pStyle w:val="ListBullet"/>
      </w:pPr>
      <w:r w:rsidRPr="004841EF">
        <w:t>What barriers do employees or employment candidates with disabilities encounter in requesting or receiving reasonable accommodations?</w:t>
      </w:r>
    </w:p>
    <w:p w14:paraId="4538149B" w14:textId="77777777" w:rsidR="00C35D37" w:rsidRPr="004841EF" w:rsidRDefault="00C35D37" w:rsidP="00C35D37">
      <w:pPr>
        <w:pStyle w:val="ListBullet"/>
      </w:pPr>
      <w:r w:rsidRPr="004841EF">
        <w:t>What processes do employers have in place to monitor and review reasonable accommodations?</w:t>
      </w:r>
    </w:p>
    <w:p w14:paraId="137B5022" w14:textId="55CC2702" w:rsidR="00335A38" w:rsidRPr="004841EF" w:rsidRDefault="00335A38" w:rsidP="009700FF">
      <w:pPr>
        <w:pStyle w:val="ListBullet"/>
        <w:spacing w:after="240"/>
        <w:ind w:left="357" w:hanging="357"/>
      </w:pPr>
      <w:r w:rsidRPr="004841EF">
        <w:t xml:space="preserve">What good practices </w:t>
      </w:r>
      <w:r w:rsidR="003A7D08" w:rsidRPr="004841EF">
        <w:t>exist</w:t>
      </w:r>
      <w:r w:rsidRPr="004841EF">
        <w:t xml:space="preserve"> in the provisio</w:t>
      </w:r>
      <w:r w:rsidR="009700FF" w:rsidRPr="004841EF">
        <w:t>n of reasonable accommodations?</w:t>
      </w:r>
    </w:p>
    <w:p w14:paraId="7CBDE950" w14:textId="5E6EDF18" w:rsidR="008C31E0" w:rsidRPr="004841EF" w:rsidRDefault="00FF13F9" w:rsidP="009700FF">
      <w:pPr>
        <w:pStyle w:val="ListBullet"/>
        <w:numPr>
          <w:ilvl w:val="0"/>
          <w:numId w:val="0"/>
        </w:numPr>
      </w:pPr>
      <w:r w:rsidRPr="004841EF">
        <w:t>One focus group was</w:t>
      </w:r>
      <w:r w:rsidR="008C31E0" w:rsidRPr="004841EF">
        <w:t xml:space="preserve"> also held with employees </w:t>
      </w:r>
      <w:r w:rsidR="00863575" w:rsidRPr="004841EF">
        <w:t>with a disability</w:t>
      </w:r>
      <w:r w:rsidR="008C31E0" w:rsidRPr="004841EF">
        <w:t xml:space="preserve"> to discuss their experiences of reasonable accommodations in the workplace. Focus group questions for employees concerned the following topics:</w:t>
      </w:r>
    </w:p>
    <w:p w14:paraId="1CAC8E69" w14:textId="77777777" w:rsidR="00E74793" w:rsidRPr="004841EF" w:rsidRDefault="00E74793" w:rsidP="00E74793">
      <w:pPr>
        <w:pStyle w:val="ListBullet"/>
      </w:pPr>
      <w:r w:rsidRPr="004841EF">
        <w:t>What barriers they encountered in requesting or receiving reasonable accommodations?</w:t>
      </w:r>
    </w:p>
    <w:p w14:paraId="22E01ECC" w14:textId="4F9211F8" w:rsidR="008C31E0" w:rsidRPr="004841EF" w:rsidRDefault="00863575" w:rsidP="008C31E0">
      <w:pPr>
        <w:pStyle w:val="ListBullet"/>
      </w:pPr>
      <w:r w:rsidRPr="004841EF">
        <w:t xml:space="preserve">What measures, if any, are employers taking to encourage </w:t>
      </w:r>
      <w:r w:rsidR="000F7C06" w:rsidRPr="004841EF">
        <w:t xml:space="preserve">persons </w:t>
      </w:r>
      <w:r w:rsidRPr="004841EF">
        <w:t>with disabilities to request reasonable accommodations?</w:t>
      </w:r>
    </w:p>
    <w:p w14:paraId="0B0A4AFC" w14:textId="77777777" w:rsidR="00863575" w:rsidRPr="004841EF" w:rsidRDefault="00863575" w:rsidP="008C31E0">
      <w:pPr>
        <w:pStyle w:val="ListBullet"/>
      </w:pPr>
      <w:r w:rsidRPr="004841EF">
        <w:t>What processes, if any, employers have in place to provide reasonable accommodations where a request has been made?</w:t>
      </w:r>
    </w:p>
    <w:p w14:paraId="24EB54FA" w14:textId="77777777" w:rsidR="00863575" w:rsidRPr="004841EF" w:rsidRDefault="00863575" w:rsidP="00863575">
      <w:pPr>
        <w:pStyle w:val="ListBullet"/>
      </w:pPr>
      <w:r w:rsidRPr="004841EF">
        <w:t>What fears or concerns, if any, might an employee with a disability have about requesting reasonable accommodation?</w:t>
      </w:r>
    </w:p>
    <w:p w14:paraId="7327D3D5" w14:textId="77777777" w:rsidR="00863575" w:rsidRPr="004841EF" w:rsidRDefault="00863575" w:rsidP="00863575">
      <w:pPr>
        <w:pStyle w:val="ListBullet"/>
      </w:pPr>
      <w:r w:rsidRPr="004841EF">
        <w:t>How can a person with a disability be best supported to request reasonable accommodations or articulate their accommodation needs?</w:t>
      </w:r>
    </w:p>
    <w:p w14:paraId="59F68A7D" w14:textId="77777777" w:rsidR="006967A5" w:rsidRPr="004841EF" w:rsidRDefault="006967A5" w:rsidP="006967A5">
      <w:pPr>
        <w:pStyle w:val="ListBullet"/>
      </w:pPr>
      <w:r w:rsidRPr="004841EF">
        <w:t>What processes do employers have in place to monitor and review reasonable accommodations?</w:t>
      </w:r>
    </w:p>
    <w:p w14:paraId="79E6FC9C" w14:textId="11FD3C3F" w:rsidR="00B4738F" w:rsidRPr="004841EF" w:rsidRDefault="006967A5" w:rsidP="00536B99">
      <w:pPr>
        <w:pStyle w:val="ListBullet"/>
      </w:pPr>
      <w:r w:rsidRPr="004841EF">
        <w:t xml:space="preserve">What good practices </w:t>
      </w:r>
      <w:r w:rsidR="003A7D08" w:rsidRPr="004841EF">
        <w:t>exist</w:t>
      </w:r>
      <w:r w:rsidRPr="004841EF">
        <w:t xml:space="preserve"> in the provision of reasonable accommodations?</w:t>
      </w:r>
    </w:p>
    <w:p w14:paraId="3AFCFC94" w14:textId="77777777" w:rsidR="00B4738F" w:rsidRPr="004841EF" w:rsidRDefault="00B4738F">
      <w:pPr>
        <w:spacing w:after="0"/>
      </w:pPr>
      <w:r w:rsidRPr="004841EF">
        <w:br w:type="page"/>
      </w:r>
    </w:p>
    <w:p w14:paraId="307CFA29" w14:textId="290FCB4F" w:rsidR="00536B99" w:rsidRPr="004841EF" w:rsidRDefault="0045472D" w:rsidP="00440AB1">
      <w:pPr>
        <w:pStyle w:val="Heading1"/>
      </w:pPr>
      <w:bookmarkStart w:id="198" w:name="_Toc26192094"/>
      <w:bookmarkStart w:id="199" w:name="_Toc42172537"/>
      <w:r w:rsidRPr="004841EF">
        <w:lastRenderedPageBreak/>
        <w:t xml:space="preserve">Chapter 2 - </w:t>
      </w:r>
      <w:r w:rsidR="00536B99" w:rsidRPr="004841EF">
        <w:t>Reasonable Accommodation under the Employment Equality Acts 1998-2015</w:t>
      </w:r>
      <w:bookmarkEnd w:id="198"/>
      <w:bookmarkEnd w:id="199"/>
    </w:p>
    <w:p w14:paraId="4595CFD6" w14:textId="0648590C" w:rsidR="00536B99" w:rsidRPr="009B0E4D" w:rsidRDefault="00AA2EA5" w:rsidP="009B0E4D">
      <w:pPr>
        <w:pStyle w:val="Heading2"/>
      </w:pPr>
      <w:bookmarkStart w:id="200" w:name="_Toc26192095"/>
      <w:bookmarkStart w:id="201" w:name="_Toc42172538"/>
      <w:r w:rsidRPr="009B0E4D">
        <w:t>2.1</w:t>
      </w:r>
      <w:r w:rsidR="0082042B" w:rsidRPr="009B0E4D">
        <w:t>.</w:t>
      </w:r>
      <w:r w:rsidRPr="009B0E4D">
        <w:t xml:space="preserve"> </w:t>
      </w:r>
      <w:r w:rsidR="00B82789" w:rsidRPr="009B0E4D">
        <w:t xml:space="preserve">The Right to </w:t>
      </w:r>
      <w:r w:rsidR="00593F62" w:rsidRPr="009B0E4D">
        <w:t>Reasonable Accommodation</w:t>
      </w:r>
      <w:r w:rsidR="00B82789" w:rsidRPr="009B0E4D">
        <w:t>s</w:t>
      </w:r>
      <w:r w:rsidR="002E664C" w:rsidRPr="009B0E4D">
        <w:rPr>
          <w:rStyle w:val="FootnoteReference"/>
          <w:rFonts w:ascii="Gill Sans MT" w:hAnsi="Gill Sans MT" w:cs="Times New Roman"/>
          <w:b w:val="0"/>
          <w:bCs w:val="0"/>
          <w:iCs w:val="0"/>
          <w:szCs w:val="24"/>
        </w:rPr>
        <w:footnoteReference w:id="22"/>
      </w:r>
      <w:bookmarkEnd w:id="200"/>
      <w:bookmarkEnd w:id="201"/>
    </w:p>
    <w:p w14:paraId="1F530F86" w14:textId="3192949A" w:rsidR="00593F62" w:rsidRPr="004841EF" w:rsidRDefault="00593F62" w:rsidP="00593F62">
      <w:pPr>
        <w:pStyle w:val="Heading3"/>
      </w:pPr>
      <w:bookmarkStart w:id="202" w:name="_Toc26192096"/>
      <w:r w:rsidRPr="004841EF">
        <w:t>2.1.1. Employment Equality Acts 1998-2015</w:t>
      </w:r>
      <w:bookmarkEnd w:id="202"/>
    </w:p>
    <w:p w14:paraId="508745CB" w14:textId="539FBF36" w:rsidR="00321CDE" w:rsidRPr="004841EF" w:rsidRDefault="00321CDE" w:rsidP="00321CDE">
      <w:r w:rsidRPr="004841EF">
        <w:t xml:space="preserve">The </w:t>
      </w:r>
      <w:r w:rsidR="00770B6A" w:rsidRPr="004841EF">
        <w:rPr>
          <w:b/>
        </w:rPr>
        <w:t>Employment Equality Acts 1998-2015</w:t>
      </w:r>
      <w:r w:rsidR="00770B6A" w:rsidRPr="004841EF">
        <w:t xml:space="preserve"> (“the Employment Equality Acts”) </w:t>
      </w:r>
      <w:r w:rsidRPr="004841EF">
        <w:t>prohibit discrimination in employment and in access to employment on nine different grounds, including disability.</w:t>
      </w:r>
      <w:r w:rsidRPr="004841EF">
        <w:rPr>
          <w:sz w:val="22"/>
          <w:szCs w:val="22"/>
          <w:vertAlign w:val="superscript"/>
        </w:rPr>
        <w:footnoteReference w:id="23"/>
      </w:r>
      <w:r w:rsidRPr="004841EF">
        <w:t xml:space="preserve"> </w:t>
      </w:r>
      <w:r w:rsidR="00B16E1D" w:rsidRPr="004841EF">
        <w:t xml:space="preserve">Discrimination is defined as treating one person in a less favourable way than another person </w:t>
      </w:r>
      <w:r w:rsidR="00176BCE" w:rsidRPr="004841EF">
        <w:t xml:space="preserve">in a comparable situation </w:t>
      </w:r>
      <w:r w:rsidR="00B16E1D" w:rsidRPr="004841EF">
        <w:t>based on any of the nine protected grounds.</w:t>
      </w:r>
      <w:r w:rsidR="004E1E8C" w:rsidRPr="004841EF">
        <w:rPr>
          <w:rStyle w:val="FootnoteReference"/>
          <w:rFonts w:ascii="Gill Sans MT" w:hAnsi="Gill Sans MT"/>
        </w:rPr>
        <w:footnoteReference w:id="24"/>
      </w:r>
      <w:r w:rsidR="00B16E1D" w:rsidRPr="004841EF">
        <w:t xml:space="preserve"> </w:t>
      </w:r>
      <w:r w:rsidRPr="004841EF">
        <w:t xml:space="preserve">The </w:t>
      </w:r>
      <w:r w:rsidRPr="004841EF">
        <w:rPr>
          <w:b/>
        </w:rPr>
        <w:t>Employment Equality Acts</w:t>
      </w:r>
      <w:r w:rsidRPr="004841EF">
        <w:t xml:space="preserve"> </w:t>
      </w:r>
      <w:r w:rsidRPr="004841EF">
        <w:rPr>
          <w:lang w:val="en-US"/>
        </w:rPr>
        <w:t>cover all aspects of the working relationship, starting with the recruitment process, including selection arrangements, pre-employment medical screening and occupational health assessments, job adverts and the conduct of interviews.</w:t>
      </w:r>
      <w:r w:rsidRPr="004841EF">
        <w:rPr>
          <w:sz w:val="22"/>
          <w:szCs w:val="22"/>
          <w:vertAlign w:val="superscript"/>
          <w:lang w:val="en-US"/>
        </w:rPr>
        <w:footnoteReference w:id="25"/>
      </w:r>
    </w:p>
    <w:p w14:paraId="708D6CD6" w14:textId="285CDED8" w:rsidR="00321CDE" w:rsidRPr="004841EF" w:rsidRDefault="00321CDE" w:rsidP="00321CDE">
      <w:pPr>
        <w:rPr>
          <w:lang w:val="en-US"/>
        </w:rPr>
      </w:pPr>
      <w:r w:rsidRPr="004841EF">
        <w:rPr>
          <w:lang w:val="en-US"/>
        </w:rPr>
        <w:t>The scope of the legislation also includes all of the terms and conditions and policies in employment, pay, collective agreements, overtime, shift work, transfers, promotion, grievance and disciplinary measures, counseling, work experience, training and vocational training. It also extends to layoffs, redundancies and dismissals.</w:t>
      </w:r>
      <w:r w:rsidR="004E1E8C" w:rsidRPr="004841EF">
        <w:rPr>
          <w:rStyle w:val="FootnoteReference"/>
          <w:rFonts w:ascii="Gill Sans MT" w:hAnsi="Gill Sans MT"/>
          <w:lang w:val="en-US"/>
        </w:rPr>
        <w:footnoteReference w:id="26"/>
      </w:r>
    </w:p>
    <w:p w14:paraId="7C9543C0" w14:textId="3D465853" w:rsidR="00321CDE" w:rsidRPr="004841EF" w:rsidRDefault="00321CDE" w:rsidP="00321CDE">
      <w:pPr>
        <w:rPr>
          <w:lang w:val="en-US"/>
        </w:rPr>
      </w:pPr>
      <w:r w:rsidRPr="004841EF">
        <w:rPr>
          <w:lang w:val="en-US"/>
        </w:rPr>
        <w:t xml:space="preserve">The </w:t>
      </w:r>
      <w:r w:rsidRPr="004841EF">
        <w:rPr>
          <w:b/>
          <w:lang w:val="en-US"/>
        </w:rPr>
        <w:t>Employment Equality Acts</w:t>
      </w:r>
      <w:r w:rsidRPr="004841EF">
        <w:rPr>
          <w:lang w:val="en-US"/>
        </w:rPr>
        <w:t xml:space="preserve"> apply to employees and potential employees in both the public and private sectors in a wide range of employments including full-time, part-time and </w:t>
      </w:r>
      <w:r w:rsidRPr="004841EF">
        <w:rPr>
          <w:lang w:val="en-US"/>
        </w:rPr>
        <w:lastRenderedPageBreak/>
        <w:t>temporary employees</w:t>
      </w:r>
      <w:r w:rsidR="00770B6A" w:rsidRPr="004841EF">
        <w:rPr>
          <w:lang w:val="en-US"/>
        </w:rPr>
        <w:t xml:space="preserve">. </w:t>
      </w:r>
      <w:r w:rsidRPr="004841EF">
        <w:t xml:space="preserve">Unlike </w:t>
      </w:r>
      <w:r w:rsidR="001B65E4" w:rsidRPr="004841EF">
        <w:t>general unfair dismissals legislation</w:t>
      </w:r>
      <w:r w:rsidRPr="004841EF">
        <w:t>, there is no minimum service requirement.</w:t>
      </w:r>
      <w:r w:rsidRPr="004841EF">
        <w:rPr>
          <w:sz w:val="22"/>
          <w:vertAlign w:val="superscript"/>
        </w:rPr>
        <w:footnoteReference w:id="27"/>
      </w:r>
    </w:p>
    <w:p w14:paraId="05552041" w14:textId="7A1A5A2E" w:rsidR="00321CDE" w:rsidRPr="004841EF" w:rsidRDefault="00B16E1D" w:rsidP="00321CDE">
      <w:r w:rsidRPr="004841EF">
        <w:t>In addition to prohibiting less favourable treatment,</w:t>
      </w:r>
      <w:r w:rsidR="00321CDE" w:rsidRPr="004841EF">
        <w:t xml:space="preserve"> the</w:t>
      </w:r>
      <w:r w:rsidR="00321CDE" w:rsidRPr="004841EF">
        <w:rPr>
          <w:b/>
        </w:rPr>
        <w:t xml:space="preserve"> Employment Equality Acts</w:t>
      </w:r>
      <w:r w:rsidR="00321CDE" w:rsidRPr="004841EF">
        <w:t xml:space="preserve"> legally </w:t>
      </w:r>
      <w:r w:rsidRPr="004841EF">
        <w:t>oblige employers</w:t>
      </w:r>
      <w:r w:rsidR="00321CDE" w:rsidRPr="004841EF">
        <w:t xml:space="preserve"> to take reasonable steps to accommodate the needs of both employees and job applicants with disabilities, except where to do so would impose a di</w:t>
      </w:r>
      <w:r w:rsidR="00770B6A" w:rsidRPr="004841EF">
        <w:t xml:space="preserve">sproportionate burden on them. </w:t>
      </w:r>
      <w:r w:rsidR="00321CDE" w:rsidRPr="004841EF">
        <w:t xml:space="preserve">Denial of reasonable accommodation </w:t>
      </w:r>
      <w:r w:rsidR="00BE5187" w:rsidRPr="004841EF">
        <w:t xml:space="preserve">can be a </w:t>
      </w:r>
      <w:r w:rsidR="00064280" w:rsidRPr="004841EF">
        <w:t>freestanding</w:t>
      </w:r>
      <w:r w:rsidR="00BE5187" w:rsidRPr="004841EF">
        <w:t xml:space="preserve"> cause of action under the </w:t>
      </w:r>
      <w:r w:rsidR="00BE5187" w:rsidRPr="004841EF">
        <w:rPr>
          <w:b/>
        </w:rPr>
        <w:t>Employment Equality Acts</w:t>
      </w:r>
      <w:r w:rsidR="003E4F1D" w:rsidRPr="004841EF">
        <w:t xml:space="preserve"> and</w:t>
      </w:r>
      <w:r w:rsidR="00BE5187" w:rsidRPr="004841EF">
        <w:t xml:space="preserve"> amount</w:t>
      </w:r>
      <w:r w:rsidR="00321CDE" w:rsidRPr="004841EF">
        <w:t xml:space="preserve"> to discrimination on the disability ground.</w:t>
      </w:r>
      <w:r w:rsidR="00321CDE" w:rsidRPr="004841EF">
        <w:rPr>
          <w:rStyle w:val="FootnoteReference"/>
          <w:rFonts w:ascii="Gill Sans MT" w:hAnsi="Gill Sans MT"/>
        </w:rPr>
        <w:footnoteReference w:id="28"/>
      </w:r>
    </w:p>
    <w:p w14:paraId="2DC308B3" w14:textId="06D7EB65" w:rsidR="00863575" w:rsidRPr="004841EF" w:rsidRDefault="00252A7E" w:rsidP="00321CDE">
      <w:r w:rsidRPr="004841EF">
        <w:t>As well as</w:t>
      </w:r>
      <w:r w:rsidR="00863575" w:rsidRPr="004841EF">
        <w:t xml:space="preserve"> the </w:t>
      </w:r>
      <w:r w:rsidR="00863575" w:rsidRPr="004841EF">
        <w:rPr>
          <w:b/>
        </w:rPr>
        <w:t>Employment Equality Acts</w:t>
      </w:r>
      <w:r w:rsidR="00863575" w:rsidRPr="004841EF">
        <w:t xml:space="preserve">, the </w:t>
      </w:r>
      <w:r w:rsidR="00863575" w:rsidRPr="004841EF">
        <w:rPr>
          <w:b/>
        </w:rPr>
        <w:t>Disability Act 2005</w:t>
      </w:r>
      <w:r w:rsidR="00863575" w:rsidRPr="004841EF">
        <w:t xml:space="preserve"> places obligations on </w:t>
      </w:r>
      <w:r w:rsidR="00863575" w:rsidRPr="004841EF">
        <w:rPr>
          <w:b/>
        </w:rPr>
        <w:t>public bodies</w:t>
      </w:r>
      <w:r w:rsidR="00863575" w:rsidRPr="004841EF">
        <w:t xml:space="preserve"> to, in so far as practicable, take all reasonable measures to promote and support the employment by it of persons with disabilities, and to meet compliance targets relating to the recruitment and employment of persons with disabilities.</w:t>
      </w:r>
      <w:r w:rsidR="00863575" w:rsidRPr="004841EF">
        <w:rPr>
          <w:rStyle w:val="FootnoteReference"/>
          <w:rFonts w:ascii="Gill Sans MT" w:hAnsi="Gill Sans MT"/>
        </w:rPr>
        <w:footnoteReference w:id="29"/>
      </w:r>
    </w:p>
    <w:p w14:paraId="246E48A7" w14:textId="46F590CA" w:rsidR="00BA49E3" w:rsidRPr="004841EF" w:rsidRDefault="00BA49E3" w:rsidP="00321CDE">
      <w:r w:rsidRPr="004841EF">
        <w:t>There are a</w:t>
      </w:r>
      <w:r w:rsidR="001B65E4" w:rsidRPr="004841EF">
        <w:t>lso a</w:t>
      </w:r>
      <w:r w:rsidRPr="004841EF">
        <w:t xml:space="preserve"> number of other</w:t>
      </w:r>
      <w:r w:rsidR="001B65E4" w:rsidRPr="004841EF">
        <w:t xml:space="preserve"> employment</w:t>
      </w:r>
      <w:r w:rsidRPr="004841EF">
        <w:t xml:space="preserve"> statutes that may provide protection and avenues of redress for persons with a disability, including the </w:t>
      </w:r>
      <w:r w:rsidRPr="004841EF">
        <w:rPr>
          <w:b/>
        </w:rPr>
        <w:t>Unfair Dismissals Acts 1977–2015</w:t>
      </w:r>
      <w:r w:rsidRPr="004841EF">
        <w:t xml:space="preserve"> and the </w:t>
      </w:r>
      <w:r w:rsidRPr="004841EF">
        <w:rPr>
          <w:b/>
        </w:rPr>
        <w:t>Safety, Health and Welfare at Work Act 2005</w:t>
      </w:r>
      <w:r w:rsidRPr="004841EF">
        <w:t xml:space="preserve"> (as amended).</w:t>
      </w:r>
      <w:r w:rsidR="001B65E4" w:rsidRPr="004841EF">
        <w:t xml:space="preserve"> However, they do not deal with reasonable accommodations.</w:t>
      </w:r>
    </w:p>
    <w:p w14:paraId="2E317F83" w14:textId="488552CE" w:rsidR="00321CDE" w:rsidRPr="004841EF" w:rsidRDefault="00593F62" w:rsidP="00593F62">
      <w:pPr>
        <w:pStyle w:val="Heading3"/>
      </w:pPr>
      <w:bookmarkStart w:id="203" w:name="_Toc26192097"/>
      <w:r w:rsidRPr="004841EF">
        <w:lastRenderedPageBreak/>
        <w:t xml:space="preserve">2.1.2. </w:t>
      </w:r>
      <w:r w:rsidR="00321CDE" w:rsidRPr="004841EF">
        <w:t>Employment Equality Directive - Directive 2000/78/EC</w:t>
      </w:r>
      <w:bookmarkEnd w:id="203"/>
    </w:p>
    <w:p w14:paraId="3BF59F2E" w14:textId="176F8BB7" w:rsidR="000A1D27" w:rsidRPr="004841EF" w:rsidRDefault="00770B6A" w:rsidP="00981D93">
      <w:pPr>
        <w:spacing w:after="120"/>
      </w:pPr>
      <w:r w:rsidRPr="004841EF">
        <w:t xml:space="preserve">The Framework Directive on equal treatment in employment and occupation of 2000 (“the </w:t>
      </w:r>
      <w:r w:rsidRPr="004841EF">
        <w:rPr>
          <w:b/>
        </w:rPr>
        <w:t>Employment Equality Directive</w:t>
      </w:r>
      <w:r w:rsidRPr="004841EF">
        <w:t>”)</w:t>
      </w:r>
      <w:r w:rsidRPr="004841EF">
        <w:rPr>
          <w:sz w:val="22"/>
          <w:szCs w:val="22"/>
          <w:vertAlign w:val="superscript"/>
        </w:rPr>
        <w:footnoteReference w:id="30"/>
      </w:r>
      <w:r w:rsidR="00331FBE" w:rsidRPr="004841EF">
        <w:t xml:space="preserve"> requires </w:t>
      </w:r>
      <w:r w:rsidRPr="004841EF">
        <w:t xml:space="preserve">European Union </w:t>
      </w:r>
      <w:r w:rsidR="00331FBE" w:rsidRPr="004841EF">
        <w:t>Member States to prohibit</w:t>
      </w:r>
      <w:r w:rsidR="003A7D08" w:rsidRPr="004841EF">
        <w:t xml:space="preserve"> </w:t>
      </w:r>
      <w:r w:rsidR="00331FBE" w:rsidRPr="004841EF">
        <w:t>discrimination on the grounds of disability in the fields of employment, occupation and vocational training</w:t>
      </w:r>
      <w:r w:rsidRPr="004841EF">
        <w:t>. This Directive also requires employers to provide reasonable accommodation to employees and prospective employees with disabilit</w:t>
      </w:r>
      <w:r w:rsidR="007A565D" w:rsidRPr="004841EF">
        <w:t>y,</w:t>
      </w:r>
      <w:r w:rsidR="007A565D" w:rsidRPr="004841EF">
        <w:rPr>
          <w:rFonts w:cs="Arial"/>
          <w:color w:val="222222"/>
          <w:shd w:val="clear" w:color="auto" w:fill="FFFFFF"/>
        </w:rPr>
        <w:t xml:space="preserve"> </w:t>
      </w:r>
      <w:r w:rsidR="007A565D" w:rsidRPr="004841EF">
        <w:t>to the extent t</w:t>
      </w:r>
      <w:r w:rsidR="00C97AF7">
        <w:t xml:space="preserve">hat doing so would not impose a </w:t>
      </w:r>
      <w:r w:rsidR="007A565D" w:rsidRPr="004841EF">
        <w:rPr>
          <w:bCs/>
        </w:rPr>
        <w:t>disproportionate burden</w:t>
      </w:r>
      <w:r w:rsidR="00981D93">
        <w:t xml:space="preserve"> </w:t>
      </w:r>
      <w:r w:rsidR="007A565D" w:rsidRPr="004841EF">
        <w:t>to the organisation.</w:t>
      </w:r>
      <w:r w:rsidR="009A56F3" w:rsidRPr="004841EF">
        <w:rPr>
          <w:rStyle w:val="FootnoteReference"/>
          <w:rFonts w:ascii="Gill Sans MT" w:hAnsi="Gill Sans MT"/>
        </w:rPr>
        <w:footnoteReference w:id="31"/>
      </w:r>
      <w:r w:rsidRPr="004841EF">
        <w:t xml:space="preserve"> </w:t>
      </w:r>
      <w:r w:rsidR="0050270E" w:rsidRPr="004841EF">
        <w:t xml:space="preserve">The </w:t>
      </w:r>
      <w:r w:rsidR="0050270E" w:rsidRPr="004841EF">
        <w:rPr>
          <w:b/>
        </w:rPr>
        <w:t xml:space="preserve">Employment Equality Acts </w:t>
      </w:r>
      <w:r w:rsidR="0050270E" w:rsidRPr="004841EF">
        <w:t>are the principal means by which the State has transposed</w:t>
      </w:r>
      <w:r w:rsidRPr="004841EF">
        <w:t>, or given effect to,</w:t>
      </w:r>
      <w:r w:rsidR="0050270E" w:rsidRPr="004841EF">
        <w:t xml:space="preserve"> the Employment Equality Directive into Irish law.</w:t>
      </w:r>
      <w:r w:rsidR="00500675" w:rsidRPr="004841EF">
        <w:rPr>
          <w:rStyle w:val="FootnoteReference"/>
          <w:rFonts w:ascii="Gill Sans MT" w:hAnsi="Gill Sans MT"/>
        </w:rPr>
        <w:footnoteReference w:id="32"/>
      </w:r>
    </w:p>
    <w:p w14:paraId="58E87257" w14:textId="6262CF09" w:rsidR="00321CDE" w:rsidRPr="004841EF" w:rsidRDefault="00593F62" w:rsidP="00593F62">
      <w:pPr>
        <w:pStyle w:val="Heading3"/>
      </w:pPr>
      <w:bookmarkStart w:id="204" w:name="_Toc26192098"/>
      <w:r w:rsidRPr="004841EF">
        <w:t xml:space="preserve">2.1.3. </w:t>
      </w:r>
      <w:r w:rsidR="00321CDE" w:rsidRPr="004841EF">
        <w:t>UN Convention on the Rights of Persons with Disabilities</w:t>
      </w:r>
      <w:bookmarkEnd w:id="204"/>
    </w:p>
    <w:p w14:paraId="68774A25" w14:textId="77777777" w:rsidR="00321CDE" w:rsidRPr="004841EF" w:rsidRDefault="000A1D27" w:rsidP="00321CDE">
      <w:r w:rsidRPr="004841EF">
        <w:t xml:space="preserve">Article 27(1) of the </w:t>
      </w:r>
      <w:r w:rsidRPr="004841EF">
        <w:rPr>
          <w:b/>
        </w:rPr>
        <w:t>UN Convention on the Rights of Persons with Disabilities</w:t>
      </w:r>
      <w:r w:rsidRPr="004841EF">
        <w:t xml:space="preserve"> (UNCRPD) recognises the right of persons with disabilities to work, on an equal basis with others. </w:t>
      </w:r>
      <w:r w:rsidR="00331FBE" w:rsidRPr="004841EF">
        <w:t>Article 27 of the</w:t>
      </w:r>
      <w:r w:rsidR="00331FBE" w:rsidRPr="004841EF">
        <w:rPr>
          <w:b/>
        </w:rPr>
        <w:t xml:space="preserve"> UNCRPD</w:t>
      </w:r>
      <w:r w:rsidR="00331FBE" w:rsidRPr="004841EF">
        <w:t xml:space="preserve"> further requires States Parties to safeguard and promote the realisation of the right to work of persons with disabilities by taking appropriate steps to ensure that reasonable accommodation is provided to persons with disabilities in </w:t>
      </w:r>
      <w:r w:rsidR="00331FBE" w:rsidRPr="004841EF">
        <w:lastRenderedPageBreak/>
        <w:t>the workplace.</w:t>
      </w:r>
      <w:r w:rsidR="007A565D" w:rsidRPr="004841EF">
        <w:t xml:space="preserve"> The </w:t>
      </w:r>
      <w:r w:rsidR="007A565D" w:rsidRPr="004841EF">
        <w:rPr>
          <w:b/>
        </w:rPr>
        <w:t>UNCRPD</w:t>
      </w:r>
      <w:r w:rsidR="007A565D" w:rsidRPr="004841EF">
        <w:t xml:space="preserve"> limits the obligation on employers to provide reasonable accommodation where to do so would impose a disproportionate or undue burden on them.</w:t>
      </w:r>
      <w:r w:rsidR="002B1D7D" w:rsidRPr="004841EF">
        <w:rPr>
          <w:rStyle w:val="FootnoteReference"/>
          <w:rFonts w:ascii="Gill Sans MT" w:hAnsi="Gill Sans MT"/>
        </w:rPr>
        <w:footnoteReference w:id="33"/>
      </w:r>
      <w:r w:rsidR="00E96662" w:rsidRPr="004841EF">
        <w:t xml:space="preserve"> Legislation must stipulate that both public and private-sector employers are responsible for providing reasonable accommodation to individual employees with disabilities.</w:t>
      </w:r>
      <w:r w:rsidR="004B4E47" w:rsidRPr="004841EF">
        <w:rPr>
          <w:rStyle w:val="FootnoteReference"/>
          <w:rFonts w:ascii="Gill Sans MT" w:hAnsi="Gill Sans MT"/>
        </w:rPr>
        <w:footnoteReference w:id="34"/>
      </w:r>
    </w:p>
    <w:p w14:paraId="436465C7" w14:textId="18492E88" w:rsidR="00770B6A" w:rsidRPr="004841EF" w:rsidRDefault="00770B6A" w:rsidP="00770B6A">
      <w:pPr>
        <w:pStyle w:val="Heading2"/>
      </w:pPr>
      <w:bookmarkStart w:id="205" w:name="_Toc26192099"/>
      <w:bookmarkStart w:id="206" w:name="_Toc42172539"/>
      <w:r w:rsidRPr="004841EF">
        <w:t>2.2. Key Stakeholders</w:t>
      </w:r>
      <w:bookmarkEnd w:id="205"/>
      <w:bookmarkEnd w:id="206"/>
    </w:p>
    <w:p w14:paraId="4473396A" w14:textId="607404FC" w:rsidR="00AC7DD1" w:rsidRPr="004841EF" w:rsidRDefault="00AC7DD1" w:rsidP="002624AB">
      <w:r w:rsidRPr="004841EF">
        <w:t xml:space="preserve">There are a number of </w:t>
      </w:r>
      <w:r w:rsidR="002624AB" w:rsidRPr="004841EF">
        <w:t>statutory bodies</w:t>
      </w:r>
      <w:r w:rsidRPr="004841EF">
        <w:t xml:space="preserve"> responsible for </w:t>
      </w:r>
      <w:r w:rsidR="002624AB" w:rsidRPr="004841EF">
        <w:t>dealing with legal cases on reasonable accommodation, and providing policy advice and research on reasonable accommodations in the employment context.</w:t>
      </w:r>
    </w:p>
    <w:p w14:paraId="7DA15230" w14:textId="30B71A7E" w:rsidR="00770B6A" w:rsidRPr="004841EF" w:rsidRDefault="00770B6A" w:rsidP="00770B6A">
      <w:pPr>
        <w:pStyle w:val="Heading3"/>
      </w:pPr>
      <w:bookmarkStart w:id="207" w:name="_Toc26192100"/>
      <w:r w:rsidRPr="004841EF">
        <w:t>2.2.1. Workplace Relations Commission</w:t>
      </w:r>
      <w:bookmarkEnd w:id="207"/>
    </w:p>
    <w:p w14:paraId="30DB05E8" w14:textId="57D0D0AA" w:rsidR="00770B6A" w:rsidRPr="004841EF" w:rsidRDefault="00770B6A" w:rsidP="00770B6A">
      <w:r w:rsidRPr="004841EF">
        <w:t>The Workplace Relations Commission (WRC) is an independent, statutory body with a number of functions concerning the resolution of </w:t>
      </w:r>
      <w:r w:rsidRPr="004841EF">
        <w:rPr>
          <w:bCs/>
        </w:rPr>
        <w:t>industrial</w:t>
      </w:r>
      <w:r w:rsidRPr="004841EF">
        <w:t> dis</w:t>
      </w:r>
      <w:r w:rsidR="00981D93">
        <w:t xml:space="preserve">putes and the implementation of </w:t>
      </w:r>
      <w:r w:rsidRPr="004841EF">
        <w:rPr>
          <w:bCs/>
        </w:rPr>
        <w:t>employment</w:t>
      </w:r>
      <w:r w:rsidR="00981D93">
        <w:t xml:space="preserve"> </w:t>
      </w:r>
      <w:r w:rsidRPr="004841EF">
        <w:t xml:space="preserve">laws. The WRC is the body charged with adjudicating on complaints under the </w:t>
      </w:r>
      <w:r w:rsidRPr="004841EF">
        <w:rPr>
          <w:b/>
        </w:rPr>
        <w:t>Employment Equality Acts</w:t>
      </w:r>
      <w:r w:rsidRPr="004841EF">
        <w:t xml:space="preserve">, including complaints concerning alleged denial of reasonable accommodation. The WRC was established </w:t>
      </w:r>
      <w:r w:rsidR="006C69FB" w:rsidRPr="004841EF">
        <w:t xml:space="preserve">under the </w:t>
      </w:r>
      <w:r w:rsidR="006C69FB" w:rsidRPr="004841EF">
        <w:rPr>
          <w:b/>
        </w:rPr>
        <w:t>Workplace Relations Commission Act 2015</w:t>
      </w:r>
      <w:r w:rsidRPr="004841EF">
        <w:t xml:space="preserve">, and subsumed the functions of a number of bodies, including the Equality Tribunal. Previously, the Equality Tribunal dealt with employment equality cases. </w:t>
      </w:r>
    </w:p>
    <w:p w14:paraId="5D7E6288" w14:textId="581E131F" w:rsidR="00770B6A" w:rsidRPr="004841EF" w:rsidRDefault="00770B6A" w:rsidP="00770B6A">
      <w:pPr>
        <w:pStyle w:val="Heading3"/>
      </w:pPr>
      <w:bookmarkStart w:id="208" w:name="_Toc26192101"/>
      <w:r w:rsidRPr="004841EF">
        <w:t>2.2.2. Labour Court</w:t>
      </w:r>
      <w:bookmarkEnd w:id="208"/>
    </w:p>
    <w:p w14:paraId="5496DFA9" w14:textId="3FB84A0A" w:rsidR="00770B6A" w:rsidRPr="004841EF" w:rsidRDefault="00E2150D" w:rsidP="001A5081">
      <w:pPr>
        <w:spacing w:after="120"/>
      </w:pPr>
      <w:r w:rsidRPr="004841EF">
        <w:t xml:space="preserve">Decisions under the </w:t>
      </w:r>
      <w:r w:rsidRPr="004841EF">
        <w:rPr>
          <w:b/>
        </w:rPr>
        <w:t xml:space="preserve">Employment Equality Acts </w:t>
      </w:r>
      <w:r w:rsidRPr="004841EF">
        <w:t xml:space="preserve">can be appealed from the Workplace Relations Commission to the Labour Court. </w:t>
      </w:r>
      <w:r w:rsidR="00981D93">
        <w:t xml:space="preserve">The </w:t>
      </w:r>
      <w:r w:rsidR="00770B6A" w:rsidRPr="004841EF">
        <w:rPr>
          <w:b/>
          <w:bCs/>
        </w:rPr>
        <w:t>Labour Court</w:t>
      </w:r>
      <w:r w:rsidR="00B7088D" w:rsidRPr="004841EF">
        <w:rPr>
          <w:bCs/>
        </w:rPr>
        <w:t xml:space="preserve">, established under the </w:t>
      </w:r>
      <w:r w:rsidR="00B7088D" w:rsidRPr="004841EF">
        <w:rPr>
          <w:b/>
          <w:bCs/>
        </w:rPr>
        <w:t>Industrial Relations Act 1946</w:t>
      </w:r>
      <w:r w:rsidR="00B7088D" w:rsidRPr="004841EF">
        <w:rPr>
          <w:bCs/>
        </w:rPr>
        <w:t>,</w:t>
      </w:r>
      <w:r w:rsidR="00981D93">
        <w:t xml:space="preserve"> </w:t>
      </w:r>
      <w:r w:rsidR="00770B6A" w:rsidRPr="004841EF">
        <w:t>is the single appeals body dealing with employment rights and industrial relations matters, including appeals under employment equality legislation.</w:t>
      </w:r>
    </w:p>
    <w:p w14:paraId="3B0F3195" w14:textId="19B8ECEE" w:rsidR="00895F3E" w:rsidRPr="004841EF" w:rsidRDefault="00770B6A" w:rsidP="00770B6A">
      <w:pPr>
        <w:pStyle w:val="Heading3"/>
      </w:pPr>
      <w:bookmarkStart w:id="209" w:name="_Toc26192102"/>
      <w:r w:rsidRPr="004841EF">
        <w:lastRenderedPageBreak/>
        <w:t xml:space="preserve">2.2.3. </w:t>
      </w:r>
      <w:r w:rsidR="00895F3E" w:rsidRPr="004841EF">
        <w:t>Irish Human Rights and Equality Commission</w:t>
      </w:r>
      <w:bookmarkEnd w:id="209"/>
    </w:p>
    <w:p w14:paraId="50EDFD24" w14:textId="0A209741" w:rsidR="00895F3E" w:rsidRPr="004841EF" w:rsidRDefault="00895F3E" w:rsidP="00536B99">
      <w:r w:rsidRPr="004841EF">
        <w:t>The Irish Human Rights and Equality Commission</w:t>
      </w:r>
      <w:r w:rsidR="00B7088D" w:rsidRPr="004841EF">
        <w:t xml:space="preserve"> (IHREC)</w:t>
      </w:r>
      <w:r w:rsidRPr="004841EF">
        <w:t xml:space="preserve"> is an independent public body, appointed by the President and directly accountable to the Oireachtas. The Commission has a statutory remit set out under the</w:t>
      </w:r>
      <w:r w:rsidR="00981D93">
        <w:rPr>
          <w:b/>
        </w:rPr>
        <w:t xml:space="preserve"> </w:t>
      </w:r>
      <w:r w:rsidRPr="004841EF">
        <w:rPr>
          <w:b/>
          <w:iCs/>
        </w:rPr>
        <w:t>Irish Human Righ</w:t>
      </w:r>
      <w:r w:rsidR="004512AE" w:rsidRPr="004841EF">
        <w:rPr>
          <w:b/>
          <w:iCs/>
        </w:rPr>
        <w:t>ts and Equality Commission Act 2014</w:t>
      </w:r>
      <w:r w:rsidR="00981D93">
        <w:rPr>
          <w:b/>
        </w:rPr>
        <w:t xml:space="preserve"> </w:t>
      </w:r>
      <w:r w:rsidRPr="004841EF">
        <w:t>to</w:t>
      </w:r>
      <w:r w:rsidRPr="004841EF">
        <w:rPr>
          <w:b/>
        </w:rPr>
        <w:t xml:space="preserve"> </w:t>
      </w:r>
      <w:r w:rsidRPr="004841EF">
        <w:t>protect and promo</w:t>
      </w:r>
      <w:r w:rsidR="00981D93">
        <w:t xml:space="preserve">te human rights and equality in </w:t>
      </w:r>
      <w:r w:rsidRPr="004841EF">
        <w:t>Ireland, and build a culture of respect for human rights, equality and intercultural understanding in the State.</w:t>
      </w:r>
    </w:p>
    <w:p w14:paraId="55152A04" w14:textId="6CEC6E81" w:rsidR="000A1D27" w:rsidRPr="004841EF" w:rsidRDefault="00E96662" w:rsidP="00536B99">
      <w:r w:rsidRPr="004841EF">
        <w:t>Under its stat</w:t>
      </w:r>
      <w:r w:rsidR="004512AE" w:rsidRPr="004841EF">
        <w:t>utory powers, IHREC can provide</w:t>
      </w:r>
      <w:r w:rsidRPr="004841EF">
        <w:t xml:space="preserve"> legal assistance, advice and representation to a person bringing a claim under the </w:t>
      </w:r>
      <w:r w:rsidRPr="004841EF">
        <w:rPr>
          <w:b/>
        </w:rPr>
        <w:t>Employment Equality Acts</w:t>
      </w:r>
      <w:r w:rsidRPr="004841EF">
        <w:t xml:space="preserve"> to the Workplace Relations Commission</w:t>
      </w:r>
      <w:r w:rsidR="00B77823" w:rsidRPr="004841EF">
        <w:t xml:space="preserve"> or the Labour Court</w:t>
      </w:r>
      <w:r w:rsidRPr="004841EF">
        <w:t>.</w:t>
      </w:r>
      <w:r w:rsidR="001715E1" w:rsidRPr="004841EF">
        <w:rPr>
          <w:rStyle w:val="FootnoteReference"/>
          <w:rFonts w:ascii="Gill Sans MT" w:hAnsi="Gill Sans MT"/>
        </w:rPr>
        <w:footnoteReference w:id="35"/>
      </w:r>
      <w:r w:rsidRPr="004841EF">
        <w:t xml:space="preserve"> IHREC</w:t>
      </w:r>
      <w:r w:rsidR="004512AE" w:rsidRPr="004841EF">
        <w:t xml:space="preserve"> also</w:t>
      </w:r>
      <w:r w:rsidRPr="004841EF">
        <w:t xml:space="preserve"> provides information to members of the public on the </w:t>
      </w:r>
      <w:r w:rsidRPr="004841EF">
        <w:rPr>
          <w:b/>
        </w:rPr>
        <w:t>Employment Equality Acts</w:t>
      </w:r>
      <w:r w:rsidR="001715E1" w:rsidRPr="004841EF">
        <w:rPr>
          <w:rStyle w:val="FootnoteReference"/>
          <w:rFonts w:ascii="Gill Sans MT" w:hAnsi="Gill Sans MT"/>
        </w:rPr>
        <w:footnoteReference w:id="36"/>
      </w:r>
      <w:r w:rsidR="001715E1" w:rsidRPr="004841EF">
        <w:t xml:space="preserve"> and has a statutory role to keep under review the effectiveness of the working of the </w:t>
      </w:r>
      <w:r w:rsidR="001715E1" w:rsidRPr="004841EF">
        <w:rPr>
          <w:b/>
        </w:rPr>
        <w:t>Employment Equality Acts</w:t>
      </w:r>
      <w:r w:rsidR="001715E1" w:rsidRPr="004841EF">
        <w:rPr>
          <w:rStyle w:val="FootnoteReference"/>
          <w:rFonts w:ascii="Gill Sans MT" w:hAnsi="Gill Sans MT"/>
        </w:rPr>
        <w:footnoteReference w:id="37"/>
      </w:r>
      <w:r w:rsidR="001715E1" w:rsidRPr="004841EF">
        <w:t>.</w:t>
      </w:r>
    </w:p>
    <w:p w14:paraId="27F9B06C" w14:textId="522715E2" w:rsidR="00895F3E" w:rsidRPr="004841EF" w:rsidRDefault="00770B6A" w:rsidP="00770B6A">
      <w:pPr>
        <w:pStyle w:val="Heading3"/>
      </w:pPr>
      <w:bookmarkStart w:id="210" w:name="_Toc26192103"/>
      <w:r w:rsidRPr="004841EF">
        <w:t xml:space="preserve">2.2.4. </w:t>
      </w:r>
      <w:r w:rsidR="00895F3E" w:rsidRPr="004841EF">
        <w:t>National Disability Authority</w:t>
      </w:r>
      <w:bookmarkEnd w:id="210"/>
    </w:p>
    <w:p w14:paraId="30F1F853" w14:textId="749697EE" w:rsidR="000E2906" w:rsidRPr="004841EF" w:rsidRDefault="00895F3E" w:rsidP="00536B99">
      <w:r w:rsidRPr="004841EF">
        <w:t xml:space="preserve">The National Disability Authority (NDA) </w:t>
      </w:r>
      <w:r w:rsidR="00981D93">
        <w:t xml:space="preserve">was </w:t>
      </w:r>
      <w:r w:rsidR="006C69FB" w:rsidRPr="004841EF">
        <w:rPr>
          <w:bCs/>
        </w:rPr>
        <w:t>established</w:t>
      </w:r>
      <w:r w:rsidR="00981D93">
        <w:t xml:space="preserve"> </w:t>
      </w:r>
      <w:r w:rsidR="006C69FB" w:rsidRPr="004841EF">
        <w:t xml:space="preserve">in June 2000, under the </w:t>
      </w:r>
      <w:r w:rsidR="006C69FB" w:rsidRPr="004841EF">
        <w:rPr>
          <w:b/>
        </w:rPr>
        <w:t>Na</w:t>
      </w:r>
      <w:r w:rsidR="00981D93">
        <w:rPr>
          <w:b/>
        </w:rPr>
        <w:t xml:space="preserve">tional Disability Authority </w:t>
      </w:r>
      <w:r w:rsidR="006C69FB" w:rsidRPr="004841EF">
        <w:rPr>
          <w:b/>
          <w:bCs/>
        </w:rPr>
        <w:t>Act</w:t>
      </w:r>
      <w:r w:rsidR="006C69FB" w:rsidRPr="004841EF">
        <w:rPr>
          <w:b/>
        </w:rPr>
        <w:t xml:space="preserve"> 1999</w:t>
      </w:r>
      <w:r w:rsidR="006C69FB" w:rsidRPr="004841EF">
        <w:t xml:space="preserve">. It </w:t>
      </w:r>
      <w:r w:rsidRPr="004841EF">
        <w:t>is the independent statutory body which provides information and advice to the Government on policy and practice relevant to the lives of persons with disabilities</w:t>
      </w:r>
      <w:r w:rsidR="004537B8" w:rsidRPr="004841EF">
        <w:t>, and promotes</w:t>
      </w:r>
      <w:r w:rsidR="000E2906" w:rsidRPr="004841EF">
        <w:t xml:space="preserve"> universal design</w:t>
      </w:r>
      <w:r w:rsidRPr="004841EF">
        <w:t xml:space="preserve">. The NDA </w:t>
      </w:r>
      <w:r w:rsidR="000E2906" w:rsidRPr="004841EF">
        <w:t xml:space="preserve">also </w:t>
      </w:r>
      <w:r w:rsidRPr="004841EF">
        <w:t>has a role to assist the Minister for Justice and Equality in the co-ordination of disability policy.</w:t>
      </w:r>
    </w:p>
    <w:p w14:paraId="4DD060DE" w14:textId="3ECA950D" w:rsidR="00895F3E" w:rsidRPr="004841EF" w:rsidRDefault="000E2906" w:rsidP="00536B99">
      <w:r w:rsidRPr="004841EF">
        <w:t xml:space="preserve">The NDA has a statutory role in monitoring employment of persons with disabilities in the public sector, arising from Part 5 of the </w:t>
      </w:r>
      <w:r w:rsidRPr="004841EF">
        <w:rPr>
          <w:b/>
        </w:rPr>
        <w:t>Disability Act 2005</w:t>
      </w:r>
      <w:r w:rsidR="00697A1E" w:rsidRPr="004841EF">
        <w:rPr>
          <w:b/>
        </w:rPr>
        <w:t xml:space="preserve"> </w:t>
      </w:r>
      <w:r w:rsidR="00F561AA" w:rsidRPr="004841EF">
        <w:t>and report</w:t>
      </w:r>
      <w:r w:rsidR="00B7088D" w:rsidRPr="004841EF">
        <w:t>s</w:t>
      </w:r>
      <w:r w:rsidR="00F561AA" w:rsidRPr="004841EF">
        <w:t xml:space="preserve"> annually</w:t>
      </w:r>
      <w:r w:rsidR="00697A1E" w:rsidRPr="004841EF">
        <w:t xml:space="preserve"> to the Minister on compliance of public sector bodies</w:t>
      </w:r>
      <w:r w:rsidRPr="004841EF">
        <w:t>.</w:t>
      </w:r>
      <w:r w:rsidR="004537B8" w:rsidRPr="004841EF">
        <w:t xml:space="preserve"> </w:t>
      </w:r>
      <w:r w:rsidR="00697A1E" w:rsidRPr="004841EF">
        <w:t>In addition, the</w:t>
      </w:r>
      <w:r w:rsidR="004537B8" w:rsidRPr="004841EF">
        <w:t xml:space="preserve"> NDA publishes an annual in</w:t>
      </w:r>
      <w:r w:rsidR="004537B8" w:rsidRPr="004841EF">
        <w:lastRenderedPageBreak/>
        <w:t xml:space="preserve">dependent assessment of progress </w:t>
      </w:r>
      <w:r w:rsidR="00AC7DD1" w:rsidRPr="004841EF">
        <w:t xml:space="preserve">in the implementation of </w:t>
      </w:r>
      <w:r w:rsidR="004537B8" w:rsidRPr="004841EF">
        <w:t xml:space="preserve">the </w:t>
      </w:r>
      <w:r w:rsidR="004537B8" w:rsidRPr="004841EF">
        <w:rPr>
          <w:b/>
        </w:rPr>
        <w:t>Comprehensive Employment Strategy for People with Disabilities</w:t>
      </w:r>
      <w:r w:rsidR="00347897" w:rsidRPr="004841EF">
        <w:rPr>
          <w:b/>
        </w:rPr>
        <w:t xml:space="preserve"> 2015-2024</w:t>
      </w:r>
      <w:r w:rsidR="004537B8" w:rsidRPr="004841EF">
        <w:t>.</w:t>
      </w:r>
      <w:r w:rsidR="001715E1" w:rsidRPr="004841EF">
        <w:rPr>
          <w:rStyle w:val="FootnoteReference"/>
          <w:rFonts w:ascii="Gill Sans MT" w:hAnsi="Gill Sans MT"/>
        </w:rPr>
        <w:footnoteReference w:id="38"/>
      </w:r>
      <w:r w:rsidR="00AC7DD1" w:rsidRPr="004841EF">
        <w:t xml:space="preserve"> The NDA also conducts research and advises the government on matters relevant to progressing access to and retention of employment for persons with a disability.</w:t>
      </w:r>
    </w:p>
    <w:p w14:paraId="4E2100E2" w14:textId="637EEACE" w:rsidR="00536B99" w:rsidRPr="004841EF" w:rsidRDefault="00770B6A" w:rsidP="00770B6A">
      <w:pPr>
        <w:pStyle w:val="Heading2"/>
      </w:pPr>
      <w:bookmarkStart w:id="211" w:name="_Toc26192104"/>
      <w:bookmarkStart w:id="212" w:name="_Toc42172540"/>
      <w:r w:rsidRPr="004841EF">
        <w:t>2.3</w:t>
      </w:r>
      <w:r w:rsidR="0082042B" w:rsidRPr="004841EF">
        <w:t>.</w:t>
      </w:r>
      <w:r w:rsidR="00AA2EA5" w:rsidRPr="004841EF">
        <w:t xml:space="preserve"> </w:t>
      </w:r>
      <w:r w:rsidRPr="004841EF">
        <w:t>Reasonable Accommodation under</w:t>
      </w:r>
      <w:r w:rsidR="00536B99" w:rsidRPr="004841EF">
        <w:t xml:space="preserve"> the Employment Equality Acts 1998-2015</w:t>
      </w:r>
      <w:bookmarkEnd w:id="211"/>
      <w:bookmarkEnd w:id="212"/>
    </w:p>
    <w:p w14:paraId="632BCEF1" w14:textId="0233436A" w:rsidR="00536B99" w:rsidRPr="004841EF" w:rsidRDefault="00593F62" w:rsidP="00536B99">
      <w:pPr>
        <w:keepNext/>
        <w:spacing w:after="0"/>
        <w:outlineLvl w:val="2"/>
        <w:rPr>
          <w:rFonts w:cs="Arial Bold"/>
          <w:b/>
          <w:bCs/>
        </w:rPr>
      </w:pPr>
      <w:bookmarkStart w:id="213" w:name="_Toc26192105"/>
      <w:r w:rsidRPr="004841EF">
        <w:rPr>
          <w:rFonts w:cs="Arial Bold"/>
          <w:b/>
          <w:bCs/>
        </w:rPr>
        <w:t>2.3.1</w:t>
      </w:r>
      <w:r w:rsidR="00AA2EA5" w:rsidRPr="004841EF">
        <w:rPr>
          <w:rFonts w:cs="Arial Bold"/>
          <w:b/>
          <w:bCs/>
        </w:rPr>
        <w:t xml:space="preserve">. </w:t>
      </w:r>
      <w:r w:rsidR="00536B99" w:rsidRPr="004841EF">
        <w:rPr>
          <w:rFonts w:cs="Arial Bold"/>
          <w:b/>
          <w:bCs/>
        </w:rPr>
        <w:t>Definition of Disability</w:t>
      </w:r>
      <w:bookmarkEnd w:id="213"/>
    </w:p>
    <w:p w14:paraId="22AEE286" w14:textId="209FA62C" w:rsidR="00536B99" w:rsidRPr="004841EF" w:rsidRDefault="00176BCE" w:rsidP="00981D93">
      <w:pPr>
        <w:spacing w:after="120"/>
      </w:pPr>
      <w:r w:rsidRPr="004841EF">
        <w:t>The</w:t>
      </w:r>
      <w:r w:rsidR="001715E1" w:rsidRPr="004841EF">
        <w:t xml:space="preserve"> obligation on an employer to provide ‘</w:t>
      </w:r>
      <w:r w:rsidR="001715E1" w:rsidRPr="004841EF">
        <w:rPr>
          <w:bCs/>
        </w:rPr>
        <w:t>reasonable accommodation</w:t>
      </w:r>
      <w:r w:rsidR="001715E1" w:rsidRPr="004841EF">
        <w:t xml:space="preserve">’ extends only to a person with a disability. </w:t>
      </w:r>
      <w:r w:rsidR="00536B99" w:rsidRPr="004841EF">
        <w:t xml:space="preserve">Section 2 of the </w:t>
      </w:r>
      <w:r w:rsidR="00536B99" w:rsidRPr="004841EF">
        <w:rPr>
          <w:b/>
        </w:rPr>
        <w:t xml:space="preserve">Employment Equality Acts </w:t>
      </w:r>
      <w:r w:rsidR="009700FF" w:rsidRPr="004841EF">
        <w:t>defines disability as follows:</w:t>
      </w:r>
    </w:p>
    <w:p w14:paraId="2A34E288" w14:textId="77777777" w:rsidR="00536B99" w:rsidRPr="004841EF" w:rsidRDefault="00536B99" w:rsidP="006272C6">
      <w:pPr>
        <w:numPr>
          <w:ilvl w:val="0"/>
          <w:numId w:val="7"/>
        </w:numPr>
      </w:pPr>
      <w:r w:rsidRPr="004841EF">
        <w:t xml:space="preserve">“the total or partial absence of a person’s bodily or mental functions, including the absence of a part of the person’s body, </w:t>
      </w:r>
    </w:p>
    <w:p w14:paraId="49E3498E" w14:textId="77777777" w:rsidR="00536B99" w:rsidRPr="004841EF" w:rsidRDefault="00536B99" w:rsidP="006272C6">
      <w:pPr>
        <w:numPr>
          <w:ilvl w:val="0"/>
          <w:numId w:val="7"/>
        </w:numPr>
      </w:pPr>
      <w:r w:rsidRPr="004841EF">
        <w:t xml:space="preserve">the presence in the body of organisms causing, or likely to cause, chronic disease or illness, </w:t>
      </w:r>
    </w:p>
    <w:p w14:paraId="2F89B7BC" w14:textId="77777777" w:rsidR="00536B99" w:rsidRPr="004841EF" w:rsidRDefault="00536B99" w:rsidP="006272C6">
      <w:pPr>
        <w:numPr>
          <w:ilvl w:val="0"/>
          <w:numId w:val="7"/>
        </w:numPr>
      </w:pPr>
      <w:r w:rsidRPr="004841EF">
        <w:t xml:space="preserve">the malfunction, malformation or disfigurement of a part of a persons body, </w:t>
      </w:r>
    </w:p>
    <w:p w14:paraId="515A7765" w14:textId="77777777" w:rsidR="00536B99" w:rsidRPr="004841EF" w:rsidRDefault="00536B99" w:rsidP="006272C6">
      <w:pPr>
        <w:numPr>
          <w:ilvl w:val="0"/>
          <w:numId w:val="7"/>
        </w:numPr>
      </w:pPr>
      <w:r w:rsidRPr="004841EF">
        <w:t xml:space="preserve">a condition or malfunction which results in a person learning differently from a person without the condition or malfunction, or </w:t>
      </w:r>
    </w:p>
    <w:p w14:paraId="16A33E34" w14:textId="77777777" w:rsidR="00536B99" w:rsidRPr="004841EF" w:rsidRDefault="00536B99" w:rsidP="006272C6">
      <w:pPr>
        <w:numPr>
          <w:ilvl w:val="0"/>
          <w:numId w:val="7"/>
        </w:numPr>
      </w:pPr>
      <w:r w:rsidRPr="004841EF">
        <w:t xml:space="preserve">a condition, illness or disease which affects a person’s thought processes, perception of reality, emotions or judgement or which results in disturbed behaviour, </w:t>
      </w:r>
    </w:p>
    <w:p w14:paraId="0F960292" w14:textId="00676A75" w:rsidR="0016439B" w:rsidRPr="004841EF" w:rsidRDefault="00536B99" w:rsidP="0016439B">
      <w:pPr>
        <w:ind w:left="720" w:right="720"/>
      </w:pPr>
      <w:r w:rsidRPr="004841EF">
        <w:lastRenderedPageBreak/>
        <w:t>and shall be taken to include a disability which exists at present or which previously existed but no longer exists, or which may exist in the future or which is imputed to a person.”</w:t>
      </w:r>
      <w:r w:rsidR="00F561AA" w:rsidRPr="004841EF">
        <w:rPr>
          <w:rStyle w:val="FootnoteReference"/>
          <w:rFonts w:ascii="Gill Sans MT" w:hAnsi="Gill Sans MT"/>
        </w:rPr>
        <w:footnoteReference w:id="39"/>
      </w:r>
    </w:p>
    <w:p w14:paraId="08ED5EEE" w14:textId="230B0C14" w:rsidR="00536B99" w:rsidRPr="004841EF" w:rsidRDefault="00536B99" w:rsidP="009700FF">
      <w:pPr>
        <w:spacing w:after="120"/>
      </w:pPr>
      <w:r w:rsidRPr="004841EF">
        <w:t xml:space="preserve">By contrast, the </w:t>
      </w:r>
      <w:r w:rsidRPr="004841EF">
        <w:rPr>
          <w:b/>
        </w:rPr>
        <w:t>Disability Act 2005</w:t>
      </w:r>
      <w:r w:rsidRPr="004841EF">
        <w:t xml:space="preserve"> sets out the following definition for d</w:t>
      </w:r>
      <w:r w:rsidR="009700FF" w:rsidRPr="004841EF">
        <w:t>isability:</w:t>
      </w:r>
    </w:p>
    <w:p w14:paraId="155F734E" w14:textId="5D9DA81C" w:rsidR="00536B99" w:rsidRPr="004841EF" w:rsidRDefault="00536B99" w:rsidP="00536B99">
      <w:pPr>
        <w:ind w:left="720" w:right="720"/>
      </w:pPr>
      <w:r w:rsidRPr="004841EF">
        <w:t>“disability”, in relation to a person, means a substantial restriction in the capacity of the person to carry on a profession, business or occupation in the State or to participate in social or cultural life in the State by reason of an enduring physical, sensory, mental health or intellectual impairment.</w:t>
      </w:r>
      <w:r w:rsidR="0002734F" w:rsidRPr="004841EF">
        <w:rPr>
          <w:rStyle w:val="FootnoteReference"/>
          <w:rFonts w:ascii="Gill Sans MT" w:hAnsi="Gill Sans MT"/>
        </w:rPr>
        <w:footnoteReference w:id="40"/>
      </w:r>
    </w:p>
    <w:p w14:paraId="09D73C93" w14:textId="5AA2F519" w:rsidR="00536B99" w:rsidRPr="004841EF" w:rsidRDefault="00E9128F" w:rsidP="00536B99">
      <w:r w:rsidRPr="004841EF">
        <w:t xml:space="preserve">The NDA notes that the </w:t>
      </w:r>
      <w:r w:rsidR="00536B99" w:rsidRPr="004841EF">
        <w:t>definitions</w:t>
      </w:r>
      <w:r w:rsidRPr="004841EF">
        <w:t xml:space="preserve"> of “disability” under both pieces of legislation</w:t>
      </w:r>
      <w:r w:rsidR="00536B99" w:rsidRPr="004841EF">
        <w:t xml:space="preserve"> are different. The definition under the </w:t>
      </w:r>
      <w:r w:rsidR="00536B99" w:rsidRPr="004841EF">
        <w:rPr>
          <w:b/>
        </w:rPr>
        <w:t>Disability Act 2005</w:t>
      </w:r>
      <w:r w:rsidR="00536B99" w:rsidRPr="004841EF">
        <w:t xml:space="preserve"> reflects the social model of disability, where the disability is framed as a restriction in the individual’s ability to participate by virtue of society’s constraints rather than as a medical condition. </w:t>
      </w:r>
      <w:r w:rsidR="00267C6B" w:rsidRPr="004841EF">
        <w:t xml:space="preserve">While broader than the </w:t>
      </w:r>
      <w:r w:rsidR="00697A1E" w:rsidRPr="004841EF">
        <w:rPr>
          <w:b/>
        </w:rPr>
        <w:t>Disability Act 2005</w:t>
      </w:r>
      <w:r w:rsidR="00536B99" w:rsidRPr="004841EF">
        <w:t>, the definition under employment equality leg</w:t>
      </w:r>
      <w:r w:rsidR="00267C6B" w:rsidRPr="004841EF">
        <w:t>islation</w:t>
      </w:r>
      <w:r w:rsidR="00536B99" w:rsidRPr="004841EF">
        <w:t xml:space="preserve"> reflects a medical model of disability.</w:t>
      </w:r>
      <w:r w:rsidR="00536B99" w:rsidRPr="004841EF">
        <w:rPr>
          <w:sz w:val="22"/>
          <w:szCs w:val="22"/>
          <w:vertAlign w:val="superscript"/>
        </w:rPr>
        <w:footnoteReference w:id="41"/>
      </w:r>
    </w:p>
    <w:p w14:paraId="213B8096" w14:textId="77777777" w:rsidR="0016439B" w:rsidRPr="004841EF" w:rsidRDefault="0016439B" w:rsidP="00536B99">
      <w:r w:rsidRPr="004841EF">
        <w:t xml:space="preserve">Experts have </w:t>
      </w:r>
      <w:r w:rsidR="001715E1" w:rsidRPr="004841EF">
        <w:t>found</w:t>
      </w:r>
      <w:r w:rsidRPr="004841EF">
        <w:t xml:space="preserve"> that the definition of “disability” under the </w:t>
      </w:r>
      <w:r w:rsidRPr="004841EF">
        <w:rPr>
          <w:b/>
        </w:rPr>
        <w:t>Employment Equality Acts</w:t>
      </w:r>
      <w:r w:rsidRPr="004841EF">
        <w:t xml:space="preserve"> is interpreted broadly in this jurisdiction, and complainants have not faced much resistance in convincing decision-makers that they have a disability.</w:t>
      </w:r>
      <w:r w:rsidRPr="004841EF">
        <w:rPr>
          <w:rStyle w:val="FootnoteReference"/>
          <w:rFonts w:ascii="Gill Sans MT" w:hAnsi="Gill Sans MT"/>
        </w:rPr>
        <w:footnoteReference w:id="42"/>
      </w:r>
    </w:p>
    <w:p w14:paraId="02C0C247" w14:textId="3EC19357" w:rsidR="00536B99" w:rsidRPr="004841EF" w:rsidRDefault="00593F62" w:rsidP="00593F62">
      <w:pPr>
        <w:pStyle w:val="Heading3"/>
      </w:pPr>
      <w:bookmarkStart w:id="214" w:name="_Toc26192106"/>
      <w:r w:rsidRPr="004841EF">
        <w:lastRenderedPageBreak/>
        <w:t>2.3.2</w:t>
      </w:r>
      <w:r w:rsidR="00AA2EA5" w:rsidRPr="004841EF">
        <w:t xml:space="preserve">. </w:t>
      </w:r>
      <w:r w:rsidR="00536B99" w:rsidRPr="004841EF">
        <w:t>Scope of the</w:t>
      </w:r>
      <w:r w:rsidRPr="004841EF">
        <w:t xml:space="preserve"> substantive</w:t>
      </w:r>
      <w:r w:rsidR="00536B99" w:rsidRPr="004841EF">
        <w:t xml:space="preserve"> duty to provide reasonable accommodation</w:t>
      </w:r>
      <w:bookmarkEnd w:id="214"/>
    </w:p>
    <w:p w14:paraId="37E9D1B8" w14:textId="590FC425" w:rsidR="00536B99" w:rsidRPr="004841EF" w:rsidRDefault="001715E1" w:rsidP="00657A3B">
      <w:pPr>
        <w:pStyle w:val="NormalBeforeList"/>
      </w:pPr>
      <w:r w:rsidRPr="004841EF">
        <w:t>Reasonable accommodations</w:t>
      </w:r>
      <w:r w:rsidR="00536B99" w:rsidRPr="004841EF">
        <w:t xml:space="preserve"> are also known as “appropriate measures” unde</w:t>
      </w:r>
      <w:r w:rsidRPr="004841EF">
        <w:t xml:space="preserve">r Section 16 of the </w:t>
      </w:r>
      <w:r w:rsidR="00B7088D" w:rsidRPr="004841EF">
        <w:rPr>
          <w:b/>
        </w:rPr>
        <w:t>Employment Equality Acts</w:t>
      </w:r>
      <w:r w:rsidRPr="004841EF">
        <w:t>.</w:t>
      </w:r>
      <w:r w:rsidR="00B7088D" w:rsidRPr="004841EF">
        <w:rPr>
          <w:rStyle w:val="FootnoteReference"/>
          <w:rFonts w:ascii="Gill Sans MT" w:hAnsi="Gill Sans MT"/>
        </w:rPr>
        <w:footnoteReference w:id="43"/>
      </w:r>
      <w:r w:rsidRPr="004841EF">
        <w:t xml:space="preserve"> Reasonable accommodations</w:t>
      </w:r>
      <w:r w:rsidR="00536B99" w:rsidRPr="004841EF">
        <w:t xml:space="preserve"> are</w:t>
      </w:r>
      <w:r w:rsidRPr="004841EF">
        <w:t xml:space="preserve"> defined as</w:t>
      </w:r>
      <w:r w:rsidR="00536B99" w:rsidRPr="004841EF">
        <w:t xml:space="preserve"> effective and practical changes that </w:t>
      </w:r>
      <w:r w:rsidRPr="004841EF">
        <w:t>an</w:t>
      </w:r>
      <w:r w:rsidR="00536B99" w:rsidRPr="004841EF">
        <w:t xml:space="preserve"> employer is required to put in place to enable a person with a disability to access employment or carry out their work on an equal footing with others, unless this would give rise to a disproportiona</w:t>
      </w:r>
      <w:r w:rsidR="00267C6B" w:rsidRPr="004841EF">
        <w:t>te burden on the employer.</w:t>
      </w:r>
      <w:r w:rsidR="00B7088D" w:rsidRPr="004841EF">
        <w:rPr>
          <w:rStyle w:val="FootnoteReference"/>
          <w:rFonts w:ascii="Gill Sans MT" w:hAnsi="Gill Sans MT"/>
        </w:rPr>
        <w:footnoteReference w:id="44"/>
      </w:r>
      <w:r w:rsidR="00267C6B" w:rsidRPr="004841EF">
        <w:t xml:space="preserve"> Reasonable accommodations</w:t>
      </w:r>
      <w:r w:rsidR="00EF23D5" w:rsidRPr="004841EF">
        <w:t xml:space="preserve"> may</w:t>
      </w:r>
      <w:r w:rsidR="00536B99" w:rsidRPr="004841EF">
        <w:t xml:space="preserve"> include</w:t>
      </w:r>
      <w:r w:rsidR="00267C6B" w:rsidRPr="004841EF">
        <w:t>, but are not limited to</w:t>
      </w:r>
      <w:r w:rsidR="00536B99" w:rsidRPr="004841EF">
        <w:t>:</w:t>
      </w:r>
    </w:p>
    <w:p w14:paraId="201F54F8" w14:textId="00D9CAB0" w:rsidR="00EF23D5" w:rsidRPr="004841EF" w:rsidRDefault="00697A1E" w:rsidP="007D2306">
      <w:pPr>
        <w:pStyle w:val="ListBullet"/>
      </w:pPr>
      <w:r w:rsidRPr="004841EF">
        <w:t>A</w:t>
      </w:r>
      <w:r w:rsidR="00536B99" w:rsidRPr="004841EF">
        <w:t>dapting the premises or the equipment</w:t>
      </w:r>
    </w:p>
    <w:p w14:paraId="6D0B5F65" w14:textId="7ACB654B" w:rsidR="00CE15CD" w:rsidRPr="004841EF" w:rsidRDefault="00697A1E" w:rsidP="007D2306">
      <w:pPr>
        <w:pStyle w:val="ListBullet"/>
      </w:pPr>
      <w:r w:rsidRPr="004841EF">
        <w:t xml:space="preserve">Patterns </w:t>
      </w:r>
      <w:r w:rsidR="00EF23D5" w:rsidRPr="004841EF">
        <w:t>of</w:t>
      </w:r>
      <w:r w:rsidR="00536B99" w:rsidRPr="004841EF">
        <w:t xml:space="preserve"> working times</w:t>
      </w:r>
    </w:p>
    <w:p w14:paraId="68579376" w14:textId="71239818" w:rsidR="00CE15CD" w:rsidRPr="004841EF" w:rsidRDefault="00697A1E" w:rsidP="00CE15CD">
      <w:pPr>
        <w:pStyle w:val="ListBullet"/>
      </w:pPr>
      <w:r w:rsidRPr="004841EF">
        <w:t xml:space="preserve">Providing </w:t>
      </w:r>
      <w:r w:rsidR="00536B99" w:rsidRPr="004841EF">
        <w:t>training or other supports</w:t>
      </w:r>
    </w:p>
    <w:p w14:paraId="02C0F3C2" w14:textId="45708B38" w:rsidR="00536B99" w:rsidRPr="004841EF" w:rsidRDefault="00697A1E" w:rsidP="00CE15CD">
      <w:pPr>
        <w:pStyle w:val="ListBullet"/>
      </w:pPr>
      <w:r w:rsidRPr="004841EF">
        <w:t xml:space="preserve">Distribution </w:t>
      </w:r>
      <w:r w:rsidR="00EF23D5" w:rsidRPr="004841EF">
        <w:t>of tasks</w:t>
      </w:r>
      <w:r w:rsidR="00536B99" w:rsidRPr="004841EF">
        <w:rPr>
          <w:sz w:val="22"/>
          <w:szCs w:val="22"/>
          <w:vertAlign w:val="superscript"/>
        </w:rPr>
        <w:footnoteReference w:id="45"/>
      </w:r>
    </w:p>
    <w:p w14:paraId="0999ABE1" w14:textId="1214560B" w:rsidR="00A97432" w:rsidRPr="004841EF" w:rsidRDefault="00A97432" w:rsidP="00A97432">
      <w:pPr>
        <w:pStyle w:val="ListBullet"/>
        <w:numPr>
          <w:ilvl w:val="0"/>
          <w:numId w:val="0"/>
        </w:numPr>
      </w:pPr>
      <w:r w:rsidRPr="004841EF">
        <w:t>A wide range of measures have been recognised in case-law as constituting reasonable accommodations. Ultimately, these reflect the facts of the case.</w:t>
      </w:r>
      <w:r w:rsidRPr="004841EF">
        <w:rPr>
          <w:rStyle w:val="FootnoteReference"/>
          <w:rFonts w:ascii="Gill Sans MT" w:hAnsi="Gill Sans MT"/>
        </w:rPr>
        <w:footnoteReference w:id="46"/>
      </w:r>
      <w:r w:rsidRPr="004841EF">
        <w:t xml:space="preserve"> However, in line with the need for measures to be “effective and practical”, there must be a connection between the measure sought and facilitating participation in employment.</w:t>
      </w:r>
      <w:r w:rsidRPr="004841EF">
        <w:rPr>
          <w:rStyle w:val="FootnoteReference"/>
          <w:rFonts w:ascii="Gill Sans MT" w:hAnsi="Gill Sans MT"/>
        </w:rPr>
        <w:footnoteReference w:id="47"/>
      </w:r>
      <w:r w:rsidRPr="004841EF">
        <w:t xml:space="preserve"> For instance, in </w:t>
      </w:r>
      <w:r w:rsidRPr="004841EF">
        <w:rPr>
          <w:b/>
        </w:rPr>
        <w:t>An Employee v A Government Department DEC-E2012-063</w:t>
      </w:r>
      <w:r w:rsidRPr="004841EF">
        <w:t xml:space="preserve">, </w:t>
      </w:r>
      <w:r w:rsidR="007B7B82" w:rsidRPr="004841EF">
        <w:t xml:space="preserve">the employee was on long-term sick leave due to depression and panic attacks. She argued that she should continue to </w:t>
      </w:r>
      <w:r w:rsidR="007B7B82" w:rsidRPr="004841EF">
        <w:lastRenderedPageBreak/>
        <w:t>receive annual salary increments as a reasonable accommodation. The former Equality Tribunal rejected her contention, finding that the reasonable accommodation sought would not have facilitated her return to work.</w:t>
      </w:r>
    </w:p>
    <w:p w14:paraId="000BE4F5" w14:textId="77777777" w:rsidR="00EF23D5" w:rsidRPr="004841EF" w:rsidRDefault="00536B99" w:rsidP="00536B99">
      <w:r w:rsidRPr="004841EF">
        <w:t xml:space="preserve">In </w:t>
      </w:r>
      <w:r w:rsidRPr="004841EF">
        <w:rPr>
          <w:b/>
        </w:rPr>
        <w:t>A Worker v An Employer [2005] ELR 159</w:t>
      </w:r>
      <w:r w:rsidRPr="004841EF">
        <w:t>, the Labour Court stated</w:t>
      </w:r>
      <w:r w:rsidR="00EF23D5" w:rsidRPr="004841EF">
        <w:t>:</w:t>
      </w:r>
    </w:p>
    <w:p w14:paraId="431DDBE8" w14:textId="77777777" w:rsidR="001D254E" w:rsidRPr="004841EF" w:rsidRDefault="00536B99" w:rsidP="00A97432">
      <w:pPr>
        <w:pStyle w:val="BlockQuote"/>
      </w:pPr>
      <w:r w:rsidRPr="004841EF">
        <w:t xml:space="preserve">“The provision of special treatment or facilities is not an end in itself. It is a means to an end and that end is achieved when the person with a disability is placed in a position where they can have access to, or as the case may be, participate in or advance in employment or to undergo training. This can involve affording the person with a disability more favourable treatment than would </w:t>
      </w:r>
      <w:r w:rsidR="00AC7DD1" w:rsidRPr="004841EF">
        <w:t xml:space="preserve">be </w:t>
      </w:r>
      <w:r w:rsidRPr="004841EF">
        <w:t>awarded to an employee without a disability. Thus it may be necessary to consider such matters as adjusting the person’s attendance hours or to allow them to work partially from home. The duty to provide special treatment may also involve relieving a disabled employee of the requirement to undertake certain tasks which others doing similar work are expected to perform. The scope of the duty is determined by what is reasonable, which includes consideration of the costs involved. This is an objective test which must have regard to all the circumstances of the particular case.”</w:t>
      </w:r>
    </w:p>
    <w:p w14:paraId="50E10F63" w14:textId="4C1B57A9" w:rsidR="00325547" w:rsidRPr="004841EF" w:rsidRDefault="00A25A69" w:rsidP="001D254E">
      <w:pPr>
        <w:pStyle w:val="BlockQuote"/>
        <w:ind w:left="0"/>
        <w:rPr>
          <w:bCs/>
        </w:rPr>
      </w:pPr>
      <w:r w:rsidRPr="004841EF">
        <w:t>The Labour Court has also provided guidance on the obligations of an employer where a reasonable accommodation measure</w:t>
      </w:r>
      <w:r w:rsidR="00325547" w:rsidRPr="004841EF">
        <w:t>,</w:t>
      </w:r>
      <w:r w:rsidRPr="004841EF">
        <w:t xml:space="preserve"> which results in the </w:t>
      </w:r>
      <w:r w:rsidR="00325547" w:rsidRPr="004841EF">
        <w:t xml:space="preserve">employee </w:t>
      </w:r>
      <w:r w:rsidRPr="004841EF">
        <w:t>being relieved of certain tasks</w:t>
      </w:r>
      <w:r w:rsidR="00325547" w:rsidRPr="004841EF">
        <w:t>,</w:t>
      </w:r>
      <w:r w:rsidRPr="004841EF">
        <w:t xml:space="preserve"> can have a detrimental impact on the employee in the future. </w:t>
      </w:r>
      <w:r w:rsidR="00043856" w:rsidRPr="004841EF">
        <w:t xml:space="preserve">In </w:t>
      </w:r>
      <w:r w:rsidR="00043856" w:rsidRPr="004841EF">
        <w:rPr>
          <w:b/>
        </w:rPr>
        <w:t>A Government Department v An Employee (Ms. B) EDA061</w:t>
      </w:r>
      <w:r w:rsidR="00043856" w:rsidRPr="004841EF">
        <w:t xml:space="preserve">, the employee </w:t>
      </w:r>
      <w:r w:rsidR="001D254E" w:rsidRPr="004841EF">
        <w:t xml:space="preserve">had a serious eye condition and </w:t>
      </w:r>
      <w:r w:rsidR="00043856" w:rsidRPr="004841EF">
        <w:t>worked as a Clerical</w:t>
      </w:r>
      <w:r w:rsidR="001D254E" w:rsidRPr="004841EF">
        <w:t xml:space="preserve"> Officer in the civil service. Owing to her disability, s</w:t>
      </w:r>
      <w:r w:rsidR="00043856" w:rsidRPr="004841EF">
        <w:t xml:space="preserve">he was </w:t>
      </w:r>
      <w:r w:rsidR="001D254E" w:rsidRPr="004841EF">
        <w:t xml:space="preserve">only permitted to undertake </w:t>
      </w:r>
      <w:r w:rsidR="00043856" w:rsidRPr="004841EF">
        <w:t xml:space="preserve">non-computerised work. The volume of such work diminished over time, which </w:t>
      </w:r>
      <w:r w:rsidR="00043856" w:rsidRPr="004841EF">
        <w:rPr>
          <w:bCs/>
        </w:rPr>
        <w:t>in turn progressively restricted the range of experience available to her in the different duties and tasks involved in running the office. Ultimately, this had the effect of hindering h</w:t>
      </w:r>
      <w:r w:rsidR="00657A3B" w:rsidRPr="004841EF">
        <w:rPr>
          <w:bCs/>
        </w:rPr>
        <w:t>er opportunities for promotion.</w:t>
      </w:r>
    </w:p>
    <w:p w14:paraId="35C48E86" w14:textId="2A45BFEF" w:rsidR="002D0546" w:rsidRPr="004841EF" w:rsidRDefault="00043856" w:rsidP="001D254E">
      <w:pPr>
        <w:pStyle w:val="BlockQuote"/>
        <w:ind w:left="0"/>
        <w:rPr>
          <w:bCs/>
        </w:rPr>
      </w:pPr>
      <w:r w:rsidRPr="004841EF">
        <w:rPr>
          <w:bCs/>
        </w:rPr>
        <w:lastRenderedPageBreak/>
        <w:t>The Labour Court held that the employer should have anticipated the effects of these arrangements on her promotional prospects</w:t>
      </w:r>
      <w:r w:rsidR="001D254E" w:rsidRPr="004841EF">
        <w:rPr>
          <w:bCs/>
        </w:rPr>
        <w:t>. According to the Labour Court, if a reasonable accommodation results in a diminution of the person’s prospects of advancement in employment, then the employer should consider if any countervailing measures could be taken to ameliorate that disadvantage. In the absence of such consideration, the employer was found to have breached the obligation to provide reasonable accommodation.</w:t>
      </w:r>
    </w:p>
    <w:p w14:paraId="018C80A6" w14:textId="704D39E8" w:rsidR="002D0546" w:rsidRPr="004841EF" w:rsidRDefault="002D0546" w:rsidP="00657A3B">
      <w:pPr>
        <w:pStyle w:val="BlockQuote"/>
        <w:spacing w:after="120"/>
        <w:ind w:left="0"/>
      </w:pPr>
      <w:r w:rsidRPr="004841EF">
        <w:rPr>
          <w:bCs/>
        </w:rPr>
        <w:t>Reasonable accommodation</w:t>
      </w:r>
      <w:r w:rsidR="00657A3B" w:rsidRPr="004841EF">
        <w:t xml:space="preserve"> </w:t>
      </w:r>
      <w:r w:rsidRPr="004841EF">
        <w:t xml:space="preserve">must only be provided where the provision of such measures would </w:t>
      </w:r>
      <w:r w:rsidR="00657A3B" w:rsidRPr="004841EF">
        <w:t xml:space="preserve">not </w:t>
      </w:r>
      <w:r w:rsidRPr="004841EF">
        <w:rPr>
          <w:bCs/>
        </w:rPr>
        <w:t>impose</w:t>
      </w:r>
      <w:r w:rsidR="00657A3B" w:rsidRPr="004841EF">
        <w:t xml:space="preserve"> greater than a </w:t>
      </w:r>
      <w:r w:rsidRPr="004841EF">
        <w:rPr>
          <w:bCs/>
        </w:rPr>
        <w:t>disproportionate burden</w:t>
      </w:r>
      <w:r w:rsidR="00657A3B" w:rsidRPr="004841EF">
        <w:t xml:space="preserve"> on the </w:t>
      </w:r>
      <w:r w:rsidRPr="004841EF">
        <w:rPr>
          <w:bCs/>
        </w:rPr>
        <w:t>employer</w:t>
      </w:r>
      <w:r w:rsidRPr="004841EF">
        <w:t>. The factors to be taken into account in assessing whether a reasonable accommodation request would impose a disproportionate burden on the e</w:t>
      </w:r>
      <w:r w:rsidR="00657A3B" w:rsidRPr="004841EF">
        <w:t>mployer include, in particular:</w:t>
      </w:r>
    </w:p>
    <w:p w14:paraId="0630089F" w14:textId="77777777" w:rsidR="002D0546" w:rsidRPr="004841EF" w:rsidRDefault="002D0546" w:rsidP="006272C6">
      <w:pPr>
        <w:pStyle w:val="BlockQuote"/>
        <w:numPr>
          <w:ilvl w:val="0"/>
          <w:numId w:val="1"/>
        </w:numPr>
      </w:pPr>
      <w:r w:rsidRPr="004841EF">
        <w:t>The financial and other costs entailed in providing the accommodation</w:t>
      </w:r>
    </w:p>
    <w:p w14:paraId="7BC76498" w14:textId="77777777" w:rsidR="002D0546" w:rsidRPr="004841EF" w:rsidRDefault="002D0546" w:rsidP="006272C6">
      <w:pPr>
        <w:pStyle w:val="BlockQuote"/>
        <w:numPr>
          <w:ilvl w:val="0"/>
          <w:numId w:val="1"/>
        </w:numPr>
      </w:pPr>
      <w:r w:rsidRPr="004841EF">
        <w:t>The resources available to the employer’s business</w:t>
      </w:r>
    </w:p>
    <w:p w14:paraId="2B6B26B2" w14:textId="77777777" w:rsidR="002D0546" w:rsidRPr="004841EF" w:rsidRDefault="002D0546" w:rsidP="006272C6">
      <w:pPr>
        <w:pStyle w:val="BlockQuote"/>
        <w:numPr>
          <w:ilvl w:val="0"/>
          <w:numId w:val="1"/>
        </w:numPr>
      </w:pPr>
      <w:r w:rsidRPr="004841EF">
        <w:t>The possibility of obtaining public funding or other assistance</w:t>
      </w:r>
      <w:r w:rsidRPr="004841EF">
        <w:rPr>
          <w:vertAlign w:val="superscript"/>
        </w:rPr>
        <w:footnoteReference w:id="48"/>
      </w:r>
    </w:p>
    <w:p w14:paraId="7D27D68E" w14:textId="5300780C" w:rsidR="002D0546" w:rsidRPr="004841EF" w:rsidRDefault="002D0546" w:rsidP="001D254E">
      <w:pPr>
        <w:pStyle w:val="BlockQuote"/>
        <w:ind w:left="0"/>
      </w:pPr>
      <w:r w:rsidRPr="004841EF">
        <w:t>There have been relatively few decisions on what constitutes a disproportionate burden.</w:t>
      </w:r>
      <w:r w:rsidRPr="004841EF">
        <w:rPr>
          <w:rStyle w:val="FootnoteReference"/>
          <w:rFonts w:ascii="Gill Sans MT" w:hAnsi="Gill Sans MT"/>
        </w:rPr>
        <w:footnoteReference w:id="49"/>
      </w:r>
      <w:r w:rsidRPr="004841EF">
        <w:t xml:space="preserve"> In </w:t>
      </w:r>
      <w:r w:rsidRPr="004841EF">
        <w:rPr>
          <w:b/>
        </w:rPr>
        <w:t>Multinational Employer v A Worker EDA 1435</w:t>
      </w:r>
      <w:r w:rsidRPr="004841EF">
        <w:t xml:space="preserve">, </w:t>
      </w:r>
      <w:r w:rsidR="00517921" w:rsidRPr="004841EF">
        <w:t xml:space="preserve">the employee sought the installation of a toilet on the floor where she worked. </w:t>
      </w:r>
      <w:r w:rsidR="007E14E1" w:rsidRPr="004841EF">
        <w:rPr>
          <w:bCs/>
        </w:rPr>
        <w:t>She had a colectomy in 2001</w:t>
      </w:r>
      <w:r w:rsidR="002F0640" w:rsidRPr="004841EF">
        <w:rPr>
          <w:bCs/>
        </w:rPr>
        <w:t>,</w:t>
      </w:r>
      <w:r w:rsidR="007E14E1" w:rsidRPr="004841EF">
        <w:rPr>
          <w:bCs/>
        </w:rPr>
        <w:t xml:space="preserve"> which meant she needed ready access to a toilet</w:t>
      </w:r>
      <w:r w:rsidR="00D35C4E" w:rsidRPr="004841EF">
        <w:rPr>
          <w:bCs/>
        </w:rPr>
        <w:t>, as well as</w:t>
      </w:r>
      <w:r w:rsidR="007E14E1" w:rsidRPr="004841EF">
        <w:rPr>
          <w:bCs/>
        </w:rPr>
        <w:t xml:space="preserve"> two knee replacements in 2005 which limited her mobility.</w:t>
      </w:r>
      <w:r w:rsidR="007E14E1" w:rsidRPr="004841EF">
        <w:rPr>
          <w:b/>
          <w:bCs/>
        </w:rPr>
        <w:t xml:space="preserve"> </w:t>
      </w:r>
      <w:r w:rsidR="00517921" w:rsidRPr="004841EF">
        <w:t>The employer argued that the cost of such a measure, €22,000, would impose a disproportionate burden on them and that the employee could use facilities elsewhere</w:t>
      </w:r>
      <w:r w:rsidR="00FF73E7" w:rsidRPr="004841EF">
        <w:t xml:space="preserve"> in the building</w:t>
      </w:r>
      <w:r w:rsidR="00517921" w:rsidRPr="004841EF">
        <w:t xml:space="preserve">. </w:t>
      </w:r>
      <w:r w:rsidR="00FF73E7" w:rsidRPr="004841EF">
        <w:t xml:space="preserve">Given the resources available to the employer, and taking into account the benefit that others would also gain from </w:t>
      </w:r>
      <w:r w:rsidR="00FF73E7" w:rsidRPr="004841EF">
        <w:lastRenderedPageBreak/>
        <w:t>the additional toilet facilities, the Labour Court determined that the cost of the reasonable accommodation did not impose a disproportionate burden on the employer.</w:t>
      </w:r>
    </w:p>
    <w:p w14:paraId="7661A73C" w14:textId="6BAF2CAB" w:rsidR="002D0546" w:rsidRPr="004841EF" w:rsidRDefault="002D0546" w:rsidP="001D254E">
      <w:pPr>
        <w:pStyle w:val="BlockQuote"/>
        <w:ind w:left="0"/>
      </w:pPr>
      <w:r w:rsidRPr="004841EF">
        <w:t xml:space="preserve">In </w:t>
      </w:r>
      <w:r w:rsidRPr="004841EF">
        <w:rPr>
          <w:b/>
        </w:rPr>
        <w:t>An Employee v Health Services DEC-E2016-088</w:t>
      </w:r>
      <w:r w:rsidRPr="004841EF">
        <w:t xml:space="preserve">, </w:t>
      </w:r>
      <w:r w:rsidR="00CA0804" w:rsidRPr="004841EF">
        <w:t>the employee had a physical disability</w:t>
      </w:r>
      <w:r w:rsidR="002F0640" w:rsidRPr="004841EF">
        <w:t>,</w:t>
      </w:r>
      <w:r w:rsidR="00CA0804" w:rsidRPr="004841EF">
        <w:t xml:space="preserve"> which restricted her mobility. She sought assistance with certain tasks, such as photocopying and filing. Her employer </w:t>
      </w:r>
      <w:r w:rsidR="00F77273" w:rsidRPr="004841EF">
        <w:t>provided her with some accommodations, such as a ground floor office space, but would not provide the</w:t>
      </w:r>
      <w:r w:rsidR="00517921" w:rsidRPr="004841EF">
        <w:t xml:space="preserve"> specific</w:t>
      </w:r>
      <w:r w:rsidR="00F77273" w:rsidRPr="004841EF">
        <w:t xml:space="preserve"> assistance</w:t>
      </w:r>
      <w:r w:rsidR="00517921" w:rsidRPr="004841EF">
        <w:t xml:space="preserve"> she had</w:t>
      </w:r>
      <w:r w:rsidR="00F77273" w:rsidRPr="004841EF">
        <w:t xml:space="preserve"> requested on the basis of the “challenging fiscal environment” (the case arose during the </w:t>
      </w:r>
      <w:r w:rsidR="007537D8" w:rsidRPr="004841EF">
        <w:t>recession</w:t>
      </w:r>
      <w:r w:rsidR="00F77273" w:rsidRPr="004841EF">
        <w:t>). Nevertheless, the former Equality Tribunal found that the cost of the accommodation was “trifling” in the context of “a major state funded organisation with an extensive property portfolio, a very large number of staff and a significant budget”</w:t>
      </w:r>
      <w:r w:rsidR="00325547" w:rsidRPr="004841EF">
        <w:t xml:space="preserve"> and determined that the employer failed to provide reasonable accommodation</w:t>
      </w:r>
      <w:r w:rsidR="00F77273" w:rsidRPr="004841EF">
        <w:t>.</w:t>
      </w:r>
    </w:p>
    <w:p w14:paraId="3D6D7262" w14:textId="7640E9E8" w:rsidR="00536B99" w:rsidRPr="004841EF" w:rsidRDefault="00593F62" w:rsidP="00593F62">
      <w:pPr>
        <w:pStyle w:val="Heading3"/>
      </w:pPr>
      <w:bookmarkStart w:id="215" w:name="_Toc26192107"/>
      <w:r w:rsidRPr="004841EF">
        <w:t>2.3.3.</w:t>
      </w:r>
      <w:r w:rsidR="00AA2EA5" w:rsidRPr="004841EF">
        <w:t xml:space="preserve"> </w:t>
      </w:r>
      <w:r w:rsidRPr="004841EF">
        <w:t>Scope of the procedural duty to provide reasonable accommodation</w:t>
      </w:r>
      <w:bookmarkEnd w:id="215"/>
    </w:p>
    <w:p w14:paraId="6704144C" w14:textId="4120E0F3" w:rsidR="00C817CA" w:rsidRPr="004841EF" w:rsidRDefault="00536B99" w:rsidP="00536B99">
      <w:r w:rsidRPr="004841EF">
        <w:t>In addition to the substantive duty to provide reasonable accommodation, there are procedural obligations on employers in considering what an appropriate reasonable accommodation is.</w:t>
      </w:r>
      <w:r w:rsidR="0041117A" w:rsidRPr="004841EF">
        <w:t xml:space="preserve"> In particular, there is a strong obligation on employers to follow fair procedures when considering whether measures can be taken to remove or mitigate any barriers to participation in employment.</w:t>
      </w:r>
      <w:r w:rsidR="0041117A" w:rsidRPr="004841EF">
        <w:rPr>
          <w:rStyle w:val="FootnoteReference"/>
          <w:rFonts w:ascii="Gill Sans MT" w:hAnsi="Gill Sans MT"/>
        </w:rPr>
        <w:footnoteReference w:id="50"/>
      </w:r>
      <w:r w:rsidRPr="004841EF">
        <w:t xml:space="preserve"> </w:t>
      </w:r>
      <w:r w:rsidR="00346BBE" w:rsidRPr="004841EF">
        <w:t>If the employer does not follow fair and effective procedures when handling a request for a reasonable accommodation, then this will constitute a breach of the legislation, irrespective of the substantive dimension.</w:t>
      </w:r>
      <w:r w:rsidR="00346BBE" w:rsidRPr="004841EF">
        <w:rPr>
          <w:rStyle w:val="FootnoteReference"/>
          <w:rFonts w:ascii="Gill Sans MT" w:hAnsi="Gill Sans MT"/>
        </w:rPr>
        <w:footnoteReference w:id="51"/>
      </w:r>
    </w:p>
    <w:p w14:paraId="2ACA0041" w14:textId="2C42AAA8" w:rsidR="00536B99" w:rsidRPr="004841EF" w:rsidRDefault="00C817CA" w:rsidP="00536B99">
      <w:r w:rsidRPr="004841EF">
        <w:lastRenderedPageBreak/>
        <w:t xml:space="preserve">The </w:t>
      </w:r>
      <w:r w:rsidRPr="004841EF">
        <w:rPr>
          <w:b/>
        </w:rPr>
        <w:t>Employment Equality Acts</w:t>
      </w:r>
      <w:r w:rsidRPr="004841EF">
        <w:t xml:space="preserve"> do not contain any express requirements with regards to the procedures that employers should follow when considering the provision of reasonable accommodations.</w:t>
      </w:r>
      <w:r w:rsidRPr="004841EF">
        <w:rPr>
          <w:rStyle w:val="FootnoteReference"/>
          <w:rFonts w:ascii="Gill Sans MT" w:hAnsi="Gill Sans MT"/>
        </w:rPr>
        <w:footnoteReference w:id="52"/>
      </w:r>
      <w:r w:rsidRPr="004841EF">
        <w:t xml:space="preserve"> </w:t>
      </w:r>
      <w:r w:rsidR="00536B99" w:rsidRPr="004841EF">
        <w:t>The basis of the procedural aspect is to ensure that employers have sufficient information at their disposal to evaluate their compliance with the substantive obligation.</w:t>
      </w:r>
      <w:r w:rsidR="00536B99" w:rsidRPr="004841EF">
        <w:rPr>
          <w:sz w:val="22"/>
          <w:vertAlign w:val="superscript"/>
        </w:rPr>
        <w:footnoteReference w:id="53"/>
      </w:r>
    </w:p>
    <w:p w14:paraId="2278919C" w14:textId="7191F4F9" w:rsidR="00536B99" w:rsidRPr="004841EF" w:rsidRDefault="00536B99" w:rsidP="00536B99">
      <w:r w:rsidRPr="004841EF">
        <w:rPr>
          <w:bCs/>
        </w:rPr>
        <w:t xml:space="preserve">In </w:t>
      </w:r>
      <w:r w:rsidRPr="004841EF">
        <w:rPr>
          <w:b/>
        </w:rPr>
        <w:t>Humphreys v Westwood Fitness Club</w:t>
      </w:r>
      <w:r w:rsidRPr="004841EF">
        <w:rPr>
          <w:sz w:val="22"/>
          <w:szCs w:val="22"/>
          <w:vertAlign w:val="superscript"/>
        </w:rPr>
        <w:footnoteReference w:id="54"/>
      </w:r>
      <w:r w:rsidRPr="004841EF">
        <w:rPr>
          <w:iCs/>
        </w:rPr>
        <w:t xml:space="preserve">, the Circuit Court held that </w:t>
      </w:r>
      <w:r w:rsidRPr="004841EF">
        <w:t>employers are required to undertake a two-stage enquiry when evaluating requests for reasonable accommodation. Firstly, they have to establish the employee’s capacity to undertake their duties</w:t>
      </w:r>
      <w:r w:rsidR="00DC0EE6" w:rsidRPr="004841EF">
        <w:t>.</w:t>
      </w:r>
      <w:r w:rsidRPr="004841EF">
        <w:t xml:space="preserve"> </w:t>
      </w:r>
      <w:r w:rsidR="00DC0EE6" w:rsidRPr="004841EF">
        <w:t>S</w:t>
      </w:r>
      <w:r w:rsidRPr="004841EF">
        <w:t xml:space="preserve">econdly, if it is apparent that the employee is not fully capable, the employer is required to consider what, if any, special treatment or facilities may be availed of by which the employee can become fully capable. The nature and extent of the enquiry depends upon the particular circumstances of each case but </w:t>
      </w:r>
      <w:r w:rsidRPr="004841EF">
        <w:rPr>
          <w:iCs/>
        </w:rPr>
        <w:t>“…an employer should ensure that he or she is in full possession of all of the material facts concerning the employee’s condition…</w:t>
      </w:r>
      <w:r w:rsidRPr="004841EF">
        <w:t>” and “</w:t>
      </w:r>
      <w:r w:rsidRPr="004841EF">
        <w:rPr>
          <w:iCs/>
        </w:rPr>
        <w:t>The employee must also be allowed an opportunity to influence the employer’s decision</w:t>
      </w:r>
      <w:r w:rsidR="00657A3B" w:rsidRPr="004841EF">
        <w:t>”.</w:t>
      </w:r>
    </w:p>
    <w:p w14:paraId="3435C516" w14:textId="34FEC0B7" w:rsidR="00F629BC" w:rsidRPr="004841EF" w:rsidRDefault="00F629BC" w:rsidP="00536B99">
      <w:r w:rsidRPr="004841EF">
        <w:t>In addition, the Labour Court expressed the view that the process for evaluating a request for reasonable accommodation “normally” entails the gathering of medical evidence by the employer and the opportunity for the employee to present medical evidence.</w:t>
      </w:r>
      <w:r w:rsidRPr="004841EF">
        <w:rPr>
          <w:rStyle w:val="FootnoteReference"/>
          <w:rFonts w:ascii="Gill Sans MT" w:hAnsi="Gill Sans MT"/>
        </w:rPr>
        <w:footnoteReference w:id="55"/>
      </w:r>
    </w:p>
    <w:p w14:paraId="44C7E006" w14:textId="3225A9AA" w:rsidR="008656B7" w:rsidRPr="004841EF" w:rsidRDefault="00536B99" w:rsidP="00536B99">
      <w:r w:rsidRPr="004841EF">
        <w:t xml:space="preserve">The proactive nature of </w:t>
      </w:r>
      <w:r w:rsidR="00F629BC" w:rsidRPr="004841EF">
        <w:t xml:space="preserve">the reasonable accommodation </w:t>
      </w:r>
      <w:r w:rsidRPr="004841EF">
        <w:t xml:space="preserve">process was confirmed by the Labour Court </w:t>
      </w:r>
      <w:r w:rsidR="009B7709" w:rsidRPr="004841EF">
        <w:t xml:space="preserve">in a different case </w:t>
      </w:r>
      <w:r w:rsidR="00657A3B" w:rsidRPr="004841EF">
        <w:t>as follows:</w:t>
      </w:r>
    </w:p>
    <w:p w14:paraId="0676D8E7" w14:textId="4BC0F6C6" w:rsidR="00536B99" w:rsidRPr="004841EF" w:rsidRDefault="00536B99" w:rsidP="00AE3C49">
      <w:pPr>
        <w:pStyle w:val="BlockQuote"/>
      </w:pPr>
      <w:r w:rsidRPr="004841EF">
        <w:lastRenderedPageBreak/>
        <w:t>“The duty to provide special treatment or facilities is proactive in nature. It includes an obligation to carry out a full assessment of the needs of the person with a disability and of the measures necessary to accommodate that person’s disability”.</w:t>
      </w:r>
      <w:r w:rsidRPr="004841EF">
        <w:rPr>
          <w:sz w:val="22"/>
          <w:szCs w:val="22"/>
          <w:vertAlign w:val="superscript"/>
        </w:rPr>
        <w:footnoteReference w:id="56"/>
      </w:r>
    </w:p>
    <w:p w14:paraId="0BDFA819" w14:textId="77777777" w:rsidR="008656B7" w:rsidRPr="004841EF" w:rsidRDefault="00536B99" w:rsidP="00536B99">
      <w:r w:rsidRPr="004841EF">
        <w:t xml:space="preserve">In </w:t>
      </w:r>
      <w:r w:rsidRPr="004841EF">
        <w:rPr>
          <w:bCs/>
        </w:rPr>
        <w:t>another decision</w:t>
      </w:r>
      <w:r w:rsidRPr="004841EF">
        <w:t xml:space="preserve">, the Labour Court also confirmed that an </w:t>
      </w:r>
      <w:r w:rsidRPr="004841EF">
        <w:rPr>
          <w:b/>
        </w:rPr>
        <w:t>objective test</w:t>
      </w:r>
      <w:r w:rsidRPr="004841EF">
        <w:t xml:space="preserve"> applies and that the extent of the special treatment and facilities required: </w:t>
      </w:r>
    </w:p>
    <w:p w14:paraId="186BD77C" w14:textId="34CF32E1" w:rsidR="00536B99" w:rsidRPr="004841EF" w:rsidRDefault="00536B99" w:rsidP="00AE3C49">
      <w:pPr>
        <w:pStyle w:val="BlockQuote"/>
        <w:rPr>
          <w:vertAlign w:val="superscript"/>
        </w:rPr>
      </w:pPr>
      <w:r w:rsidRPr="004841EF">
        <w:t>“…may also involve relieving a disabled employee of the requirement to undertake certain tasks which others doing similar work are expected to perform. The scope of the duty is determined by what is reasonable, which includes consideration of the costs involved. This is an objective test which must have regard to all the circumstances of the particular case”.</w:t>
      </w:r>
      <w:r w:rsidRPr="004841EF">
        <w:rPr>
          <w:vertAlign w:val="superscript"/>
        </w:rPr>
        <w:t xml:space="preserve"> </w:t>
      </w:r>
      <w:r w:rsidRPr="004841EF">
        <w:rPr>
          <w:sz w:val="22"/>
          <w:szCs w:val="22"/>
          <w:vertAlign w:val="superscript"/>
        </w:rPr>
        <w:footnoteReference w:id="57"/>
      </w:r>
    </w:p>
    <w:p w14:paraId="486DFFAE" w14:textId="54B03340" w:rsidR="008656B7" w:rsidRPr="004841EF" w:rsidRDefault="00536B99" w:rsidP="00536B99">
      <w:r w:rsidRPr="004841EF">
        <w:t xml:space="preserve">In </w:t>
      </w:r>
      <w:r w:rsidRPr="004841EF">
        <w:rPr>
          <w:b/>
        </w:rPr>
        <w:t>Farrell v Kerry Group Serviced Ltd DEC-E2012-109</w:t>
      </w:r>
      <w:r w:rsidRPr="004841EF">
        <w:t>, it was noted that the process-orientated approach</w:t>
      </w:r>
      <w:r w:rsidR="009B7709" w:rsidRPr="004841EF">
        <w:t>:</w:t>
      </w:r>
    </w:p>
    <w:p w14:paraId="7C36610C" w14:textId="61850DC4" w:rsidR="00536B99" w:rsidRPr="004841EF" w:rsidRDefault="00536B99" w:rsidP="00AE3C49">
      <w:pPr>
        <w:pStyle w:val="BlockQuote"/>
      </w:pPr>
      <w:r w:rsidRPr="004841EF">
        <w:t xml:space="preserve"> “places an obligation upon an employer to embark upon a process of ascertaining the real implications for the employee's ability to do the job, taking appropriate expert advice, consulting with the employee concerned and considering with an open mind what special treatment or facilities could realistically overcome any obstacles to the employee doing the job for which s/he is otherwise competent and assessing the actual cost and practicality of providing that accommodation.”</w:t>
      </w:r>
    </w:p>
    <w:p w14:paraId="2797FF34" w14:textId="691F65E8" w:rsidR="00777093" w:rsidRPr="004841EF" w:rsidRDefault="004E7020" w:rsidP="00777093">
      <w:pPr>
        <w:rPr>
          <w:bCs/>
        </w:rPr>
      </w:pPr>
      <w:r w:rsidRPr="004841EF">
        <w:t xml:space="preserve">In the recent decision </w:t>
      </w:r>
      <w:r w:rsidR="00536B99" w:rsidRPr="004841EF">
        <w:rPr>
          <w:bCs/>
        </w:rPr>
        <w:t xml:space="preserve">of </w:t>
      </w:r>
      <w:r w:rsidR="00421E9F" w:rsidRPr="004841EF">
        <w:rPr>
          <w:b/>
          <w:bCs/>
        </w:rPr>
        <w:t xml:space="preserve">Nano </w:t>
      </w:r>
      <w:r w:rsidR="00536B99" w:rsidRPr="004841EF">
        <w:rPr>
          <w:b/>
          <w:bCs/>
        </w:rPr>
        <w:t xml:space="preserve">Nagle School v Marie Daly </w:t>
      </w:r>
      <w:r w:rsidRPr="004841EF">
        <w:rPr>
          <w:b/>
          <w:bCs/>
        </w:rPr>
        <w:t xml:space="preserve">[2019] IESC 63, </w:t>
      </w:r>
      <w:r w:rsidR="00777093" w:rsidRPr="004841EF">
        <w:rPr>
          <w:bCs/>
        </w:rPr>
        <w:t xml:space="preserve">the issue of consultation with an employee on a request for reasonable accommodations arose. This case centred on Marie Daly, a Special Needs Assistant (‘SNA’), who had worked for the </w:t>
      </w:r>
      <w:r w:rsidR="00777093" w:rsidRPr="004841EF">
        <w:rPr>
          <w:bCs/>
        </w:rPr>
        <w:lastRenderedPageBreak/>
        <w:t>Nano Nagle School for children with learning and physical disabilities since 1998. In 2010, she had an accident which left her paralysed from the waist down and requiring the use of a wheelchair. After a period of rehabilitation, in 2011 she sought to return to work. A medical report found that while Ms Daly could perform many of the tasks of an SNA, there</w:t>
      </w:r>
      <w:r w:rsidR="00657A3B" w:rsidRPr="004841EF">
        <w:rPr>
          <w:bCs/>
        </w:rPr>
        <w:t xml:space="preserve"> were some which she could not.</w:t>
      </w:r>
    </w:p>
    <w:p w14:paraId="2A550E5D" w14:textId="1A180C2E" w:rsidR="00777093" w:rsidRPr="004841EF" w:rsidRDefault="00777093" w:rsidP="00777093">
      <w:pPr>
        <w:rPr>
          <w:bCs/>
        </w:rPr>
      </w:pPr>
      <w:r w:rsidRPr="004841EF">
        <w:rPr>
          <w:bCs/>
        </w:rPr>
        <w:t>She sought to be accommodated as a ‘floating’ SNA, which would necessitate the reorganisation of the duties of other SNAs. Following a review, the School Board concluded that Ms Daly did not have the capacity to undertake the full set of duties associated with a SNA, and nor would she in the future, and so decided not to permit her to return to work.</w:t>
      </w:r>
    </w:p>
    <w:p w14:paraId="3E1BA595" w14:textId="1C14C27B" w:rsidR="00777093" w:rsidRPr="004841EF" w:rsidRDefault="00777093" w:rsidP="00777093">
      <w:pPr>
        <w:rPr>
          <w:bCs/>
        </w:rPr>
      </w:pPr>
      <w:r w:rsidRPr="004841EF">
        <w:rPr>
          <w:bCs/>
        </w:rPr>
        <w:t xml:space="preserve">The school sought to rely on a provision in section 16 of the </w:t>
      </w:r>
      <w:r w:rsidRPr="004841EF">
        <w:rPr>
          <w:b/>
          <w:bCs/>
        </w:rPr>
        <w:t>Employment Equality Acts</w:t>
      </w:r>
      <w:r w:rsidRPr="004841EF">
        <w:rPr>
          <w:bCs/>
        </w:rPr>
        <w:t>, which states that an individual does not have to be recruited, promoted or retained in a position if they will not, or cannot, undertake the duties attached to that position. Ms Daly argued that the school had failed to fully consider the redistribution of tasks among all the SNAs to relieve her of those duties she was unable to perform. She also claimed that the school failed to fully consult with her regarding her request for reasonable accommodations.</w:t>
      </w:r>
    </w:p>
    <w:p w14:paraId="3BD4FE5C" w14:textId="7B1FD094" w:rsidR="00777093" w:rsidRPr="004841EF" w:rsidRDefault="00777093" w:rsidP="00536B99">
      <w:pPr>
        <w:rPr>
          <w:bCs/>
        </w:rPr>
      </w:pPr>
      <w:r w:rsidRPr="004841EF">
        <w:rPr>
          <w:bCs/>
        </w:rPr>
        <w:t>T</w:t>
      </w:r>
      <w:r w:rsidR="004E7020" w:rsidRPr="004841EF">
        <w:rPr>
          <w:bCs/>
        </w:rPr>
        <w:t>he Supreme Court held that while there is no mandatory duty of consultation with an employee in each and every case</w:t>
      </w:r>
      <w:r w:rsidR="00E12A58" w:rsidRPr="004841EF">
        <w:rPr>
          <w:bCs/>
        </w:rPr>
        <w:t xml:space="preserve">, </w:t>
      </w:r>
      <w:r w:rsidR="003A7D08" w:rsidRPr="004841EF">
        <w:rPr>
          <w:bCs/>
        </w:rPr>
        <w:t>“</w:t>
      </w:r>
      <w:r w:rsidR="00E12A58" w:rsidRPr="004841EF">
        <w:rPr>
          <w:bCs/>
        </w:rPr>
        <w:t>a wise employer</w:t>
      </w:r>
      <w:r w:rsidR="003A7D08" w:rsidRPr="004841EF">
        <w:rPr>
          <w:bCs/>
        </w:rPr>
        <w:t>”</w:t>
      </w:r>
      <w:r w:rsidR="00E12A58" w:rsidRPr="004841EF">
        <w:rPr>
          <w:bCs/>
        </w:rPr>
        <w:t xml:space="preserve"> will provide meaningful participation in vindication of their duty to provide reasonable accommodation</w:t>
      </w:r>
      <w:r w:rsidR="004E7020" w:rsidRPr="004841EF">
        <w:rPr>
          <w:bCs/>
        </w:rPr>
        <w:t xml:space="preserve">. The </w:t>
      </w:r>
      <w:r w:rsidR="00EF23D5" w:rsidRPr="004841EF">
        <w:rPr>
          <w:bCs/>
        </w:rPr>
        <w:t>IHREC</w:t>
      </w:r>
      <w:r w:rsidR="004E7020" w:rsidRPr="004841EF">
        <w:rPr>
          <w:bCs/>
        </w:rPr>
        <w:t>, which intervened as an amicus cur</w:t>
      </w:r>
      <w:r w:rsidR="003A7D08" w:rsidRPr="004841EF">
        <w:rPr>
          <w:bCs/>
        </w:rPr>
        <w:t>iae in the case,</w:t>
      </w:r>
      <w:r w:rsidR="00DC0EE6" w:rsidRPr="004841EF">
        <w:rPr>
          <w:rStyle w:val="FootnoteReference"/>
          <w:rFonts w:ascii="Gill Sans MT" w:hAnsi="Gill Sans MT"/>
          <w:bCs/>
        </w:rPr>
        <w:footnoteReference w:id="58"/>
      </w:r>
      <w:r w:rsidR="003A7D08" w:rsidRPr="004841EF">
        <w:rPr>
          <w:bCs/>
        </w:rPr>
        <w:t xml:space="preserve"> has</w:t>
      </w:r>
      <w:r w:rsidR="00E12A58" w:rsidRPr="004841EF">
        <w:rPr>
          <w:bCs/>
        </w:rPr>
        <w:t xml:space="preserve"> expressed the view that the judgment creates “an expectation of consultation of employees on reasonable accommodation”.</w:t>
      </w:r>
      <w:r w:rsidR="00E12A58" w:rsidRPr="004841EF">
        <w:rPr>
          <w:rStyle w:val="FootnoteReference"/>
          <w:rFonts w:ascii="Gill Sans MT" w:hAnsi="Gill Sans MT"/>
          <w:bCs/>
        </w:rPr>
        <w:footnoteReference w:id="59"/>
      </w:r>
    </w:p>
    <w:p w14:paraId="2BE8F8C5" w14:textId="77777777" w:rsidR="00536B99" w:rsidRPr="004841EF" w:rsidRDefault="00536B99" w:rsidP="00536B99">
      <w:r w:rsidRPr="004841EF">
        <w:lastRenderedPageBreak/>
        <w:t>An employer must also act without delay when it has been brought to its attention that reasonable accommodation is required for an employee with a disability to carry out their work.</w:t>
      </w:r>
      <w:r w:rsidRPr="004841EF">
        <w:rPr>
          <w:sz w:val="22"/>
          <w:szCs w:val="22"/>
          <w:vertAlign w:val="superscript"/>
        </w:rPr>
        <w:footnoteReference w:id="60"/>
      </w:r>
      <w:r w:rsidRPr="004841EF">
        <w:t xml:space="preserve"> The Labour Court’s decision in </w:t>
      </w:r>
      <w:r w:rsidRPr="004841EF">
        <w:rPr>
          <w:b/>
        </w:rPr>
        <w:t>A Government Department v A Worker (ADE-0516)</w:t>
      </w:r>
      <w:r w:rsidRPr="004841EF">
        <w:t xml:space="preserve"> discusses the issue of delay in the provision of reasonable accommodation:</w:t>
      </w:r>
    </w:p>
    <w:p w14:paraId="239C6666" w14:textId="79C43DFA" w:rsidR="00536B99" w:rsidRPr="004841EF" w:rsidRDefault="00536B99" w:rsidP="00EF23D5">
      <w:pPr>
        <w:pStyle w:val="BlockQuote"/>
      </w:pPr>
      <w:r w:rsidRPr="004841EF">
        <w:t>… “I note that it was nearly 6 months after the complainant went on sick leave after she was moved from her office before the respondent had a meeting with the complainant and her union representative and engaged actively in seeking a resolution to the issue. This meeting took place on the 13th of December 2007. I note that the respondent was very slow in responding to IMPACT and before the respondent actively engaged with the issue IMPACT had to raise the matter under the grievance procedures. It is clear from the evidence that the respondent was not proactive in any way in seeking a single office near a toilet for the complainant….. The decision to ignore her request for a single office on her own near a toilet had serious consequences for the complainant in that her condition was exacerbated.”</w:t>
      </w:r>
    </w:p>
    <w:p w14:paraId="788A8B44" w14:textId="0BE8DD88" w:rsidR="00F629BC" w:rsidRPr="004841EF" w:rsidRDefault="006D4994" w:rsidP="00F629BC">
      <w:pPr>
        <w:pStyle w:val="BlockQuote"/>
        <w:ind w:left="0"/>
      </w:pPr>
      <w:r w:rsidRPr="004841EF">
        <w:t xml:space="preserve">In </w:t>
      </w:r>
      <w:r w:rsidRPr="004841EF">
        <w:rPr>
          <w:b/>
        </w:rPr>
        <w:t>Sea and Shore Safety Services v Byrne ESDA 143</w:t>
      </w:r>
      <w:r w:rsidRPr="004841EF">
        <w:t xml:space="preserve">, </w:t>
      </w:r>
      <w:r w:rsidR="008C38B9" w:rsidRPr="004841EF">
        <w:t xml:space="preserve">one of the </w:t>
      </w:r>
      <w:r w:rsidR="004A4A76" w:rsidRPr="004841EF">
        <w:t>reasons why the employer was found to have breached the requirement to provide reasonable accommodations was for a delay in adopting effective measures of accommodation</w:t>
      </w:r>
      <w:r w:rsidRPr="004841EF">
        <w:t xml:space="preserve">. Similarly, in </w:t>
      </w:r>
      <w:r w:rsidRPr="004841EF">
        <w:rPr>
          <w:b/>
        </w:rPr>
        <w:t>Clews v DSG Retail DEC-E2014-081</w:t>
      </w:r>
      <w:r w:rsidRPr="004841EF">
        <w:t xml:space="preserve">, </w:t>
      </w:r>
      <w:r w:rsidR="004A4A76" w:rsidRPr="004841EF">
        <w:t>an employee with a visual impairment had resigned after a considerable delay in responding to his request for reasonable accommodation. While the employer eventually gave serious consideration to his request, the delay was sufficient to breach the reasonable accommodation duty.</w:t>
      </w:r>
    </w:p>
    <w:p w14:paraId="00BFB34B" w14:textId="631AA024" w:rsidR="00D71639" w:rsidRPr="004841EF" w:rsidRDefault="00D71639" w:rsidP="00D71639">
      <w:pPr>
        <w:pStyle w:val="BlockQuote"/>
        <w:ind w:left="0"/>
      </w:pPr>
      <w:r w:rsidRPr="004841EF">
        <w:lastRenderedPageBreak/>
        <w:t xml:space="preserve">It is important to emphasise that reasonable accommodation is a legal right for employees </w:t>
      </w:r>
      <w:r w:rsidR="00231A04" w:rsidRPr="004841EF">
        <w:t xml:space="preserve">and employment candidates with a disability, </w:t>
      </w:r>
      <w:r w:rsidRPr="004841EF">
        <w:t xml:space="preserve">and a legal obligation for employers. However, </w:t>
      </w:r>
      <w:r w:rsidR="00021451" w:rsidRPr="004841EF">
        <w:t xml:space="preserve">procedural duties can also extend to an employee or employment candidate. </w:t>
      </w:r>
      <w:r w:rsidR="001F2DAD" w:rsidRPr="004841EF">
        <w:t xml:space="preserve">A failure on the part of </w:t>
      </w:r>
      <w:r w:rsidR="00231A04" w:rsidRPr="004841EF">
        <w:t>the</w:t>
      </w:r>
      <w:r w:rsidR="001F2DAD" w:rsidRPr="004841EF">
        <w:t xml:space="preserve"> employee to cooperate with the employer’s efforts to facilitate reasonable accommodation will be taken into account when</w:t>
      </w:r>
      <w:r w:rsidR="00231A04" w:rsidRPr="004841EF">
        <w:t xml:space="preserve"> deciding whether the employer</w:t>
      </w:r>
      <w:r w:rsidR="001F2DAD" w:rsidRPr="004841EF">
        <w:t xml:space="preserve"> has complied with their obligations under the </w:t>
      </w:r>
      <w:r w:rsidR="001F2DAD" w:rsidRPr="004841EF">
        <w:rPr>
          <w:b/>
        </w:rPr>
        <w:t>Employment Equality Acts</w:t>
      </w:r>
      <w:r w:rsidR="001F2DAD" w:rsidRPr="004841EF">
        <w:t>.</w:t>
      </w:r>
      <w:r w:rsidR="001F2DAD" w:rsidRPr="004841EF">
        <w:rPr>
          <w:rStyle w:val="FootnoteReference"/>
          <w:rFonts w:ascii="Gill Sans MT" w:hAnsi="Gill Sans MT"/>
        </w:rPr>
        <w:footnoteReference w:id="61"/>
      </w:r>
    </w:p>
    <w:p w14:paraId="7CF307BD" w14:textId="5923EA20" w:rsidR="001F2DAD" w:rsidRPr="004841EF" w:rsidRDefault="008C38B9" w:rsidP="001A5081">
      <w:pPr>
        <w:pStyle w:val="BlockQuote"/>
        <w:spacing w:after="120"/>
        <w:ind w:left="0"/>
        <w:rPr>
          <w:bCs/>
        </w:rPr>
      </w:pPr>
      <w:r w:rsidRPr="004841EF">
        <w:t xml:space="preserve">In </w:t>
      </w:r>
      <w:r w:rsidRPr="004841EF">
        <w:rPr>
          <w:b/>
        </w:rPr>
        <w:t>Ms A v A Charitable Organisation DEC-E2011-049</w:t>
      </w:r>
      <w:r w:rsidRPr="004841EF">
        <w:t xml:space="preserve">, the former Equality Tribunal determined that an employer had not breached the obligation to provide reasonable accommodation in circumstances where the employee had frustrated efforts by the employer to organise meetings </w:t>
      </w:r>
      <w:r w:rsidR="007537D8" w:rsidRPr="004841EF">
        <w:t>and</w:t>
      </w:r>
      <w:r w:rsidRPr="004841EF">
        <w:t xml:space="preserve"> discuss ways to facilitate her return to work. Similarly, in </w:t>
      </w:r>
      <w:r w:rsidRPr="004841EF">
        <w:rPr>
          <w:b/>
        </w:rPr>
        <w:t xml:space="preserve">An Employee v A Food Services Company </w:t>
      </w:r>
      <w:r w:rsidRPr="004841EF">
        <w:rPr>
          <w:b/>
          <w:bCs/>
        </w:rPr>
        <w:t xml:space="preserve">DEC-E2016-020 </w:t>
      </w:r>
      <w:r w:rsidRPr="004841EF">
        <w:rPr>
          <w:bCs/>
        </w:rPr>
        <w:t xml:space="preserve">there was no failure on the part of the employer arising from the fact that the employee had obstructed </w:t>
      </w:r>
      <w:r w:rsidR="00231A04" w:rsidRPr="004841EF">
        <w:rPr>
          <w:bCs/>
        </w:rPr>
        <w:t xml:space="preserve">the employer’s </w:t>
      </w:r>
      <w:r w:rsidRPr="004841EF">
        <w:rPr>
          <w:bCs/>
        </w:rPr>
        <w:t>efforts to gather medical evidence in order to consider what reasonable accommodations would be appropriate.</w:t>
      </w:r>
    </w:p>
    <w:p w14:paraId="42111FCF" w14:textId="474E249F" w:rsidR="00536B99" w:rsidRPr="004841EF" w:rsidRDefault="00593F62" w:rsidP="00536B99">
      <w:pPr>
        <w:keepNext/>
        <w:spacing w:after="0"/>
        <w:outlineLvl w:val="2"/>
        <w:rPr>
          <w:rFonts w:cs="Arial Bold"/>
          <w:b/>
          <w:bCs/>
        </w:rPr>
      </w:pPr>
      <w:bookmarkStart w:id="216" w:name="_Toc26192108"/>
      <w:r w:rsidRPr="004841EF">
        <w:rPr>
          <w:rFonts w:cs="Arial Bold"/>
          <w:b/>
          <w:bCs/>
        </w:rPr>
        <w:t>2.3</w:t>
      </w:r>
      <w:r w:rsidR="00AA2EA5" w:rsidRPr="004841EF">
        <w:rPr>
          <w:rFonts w:cs="Arial Bold"/>
          <w:b/>
          <w:bCs/>
        </w:rPr>
        <w:t xml:space="preserve">.4. </w:t>
      </w:r>
      <w:r w:rsidR="00536B99" w:rsidRPr="004841EF">
        <w:rPr>
          <w:rFonts w:cs="Arial Bold"/>
          <w:b/>
          <w:bCs/>
        </w:rPr>
        <w:t>Knowledge of the Disability</w:t>
      </w:r>
      <w:r w:rsidR="00C13094" w:rsidRPr="004841EF">
        <w:rPr>
          <w:rFonts w:cs="Arial Bold"/>
          <w:b/>
          <w:bCs/>
        </w:rPr>
        <w:t xml:space="preserve"> and Need for Reasonable Accommodations</w:t>
      </w:r>
      <w:bookmarkEnd w:id="216"/>
    </w:p>
    <w:p w14:paraId="25FE305A" w14:textId="483FC613" w:rsidR="00536B99" w:rsidRPr="004841EF" w:rsidRDefault="00F417B3" w:rsidP="00536B99">
      <w:r w:rsidRPr="004841EF">
        <w:t>Reasonable accommodation</w:t>
      </w:r>
      <w:r w:rsidR="00021451" w:rsidRPr="004841EF">
        <w:t xml:space="preserve">s are </w:t>
      </w:r>
      <w:r w:rsidRPr="004841EF">
        <w:t xml:space="preserve">a response to the needs of an individual; section 16(3)(b) of the </w:t>
      </w:r>
      <w:r w:rsidRPr="004841EF">
        <w:rPr>
          <w:b/>
        </w:rPr>
        <w:t>Employment Equality Acts</w:t>
      </w:r>
      <w:r w:rsidRPr="004841EF">
        <w:t xml:space="preserve"> states that “the employer shall take appropriate measures where needed in a particular case”. </w:t>
      </w:r>
      <w:r w:rsidR="00536B99" w:rsidRPr="004841EF">
        <w:t>T</w:t>
      </w:r>
      <w:r w:rsidRPr="004841EF">
        <w:t>ypically, t</w:t>
      </w:r>
      <w:r w:rsidR="00536B99" w:rsidRPr="004841EF">
        <w:t>he obligation to provide reasonable accommodation is triggered once the employer receives a request from an employee</w:t>
      </w:r>
      <w:r w:rsidR="0051309A" w:rsidRPr="004841EF">
        <w:t xml:space="preserve"> with a disability</w:t>
      </w:r>
      <w:r w:rsidR="00536B99" w:rsidRPr="004841EF">
        <w:t xml:space="preserve">. However, if the employer has knowledge of the employee’s disability, they are required to make enquiries about the potential need for reasonable accommodation. Knowledge may consist of actual knowledge of the disability or constructive knowledge, in </w:t>
      </w:r>
      <w:r w:rsidR="00536B99" w:rsidRPr="004841EF">
        <w:lastRenderedPageBreak/>
        <w:t>that the employer ought reasonably to have known of the existence of the disability</w:t>
      </w:r>
      <w:r w:rsidRPr="004841EF">
        <w:t>, and that the disability gave rise to a need for reasonable accommodation</w:t>
      </w:r>
      <w:r w:rsidR="00536B99" w:rsidRPr="004841EF">
        <w:t>.</w:t>
      </w:r>
      <w:r w:rsidR="00976F39" w:rsidRPr="004841EF">
        <w:rPr>
          <w:rStyle w:val="FootnoteReference"/>
          <w:rFonts w:ascii="Gill Sans MT" w:hAnsi="Gill Sans MT"/>
        </w:rPr>
        <w:footnoteReference w:id="62"/>
      </w:r>
    </w:p>
    <w:p w14:paraId="2391B29B" w14:textId="10B85432" w:rsidR="00536B99" w:rsidRPr="004841EF" w:rsidRDefault="00536B99" w:rsidP="00536B99">
      <w:r w:rsidRPr="004841EF">
        <w:t xml:space="preserve">In </w:t>
      </w:r>
      <w:r w:rsidRPr="004841EF">
        <w:rPr>
          <w:b/>
        </w:rPr>
        <w:t>Connacht Gold Cooperative Society v A Worker EDA0822</w:t>
      </w:r>
      <w:r w:rsidRPr="004841EF">
        <w:t>, the employee claimed that the employer</w:t>
      </w:r>
      <w:r w:rsidR="00E9128F" w:rsidRPr="004841EF">
        <w:t xml:space="preserve"> had</w:t>
      </w:r>
      <w:r w:rsidRPr="004841EF">
        <w:t xml:space="preserve"> failed to </w:t>
      </w:r>
      <w:r w:rsidR="00E9128F" w:rsidRPr="004841EF">
        <w:t>make adequate enquiries about the potential need for</w:t>
      </w:r>
      <w:r w:rsidRPr="004841EF">
        <w:t xml:space="preserve"> reasonable accommodat</w:t>
      </w:r>
      <w:r w:rsidR="00E9128F" w:rsidRPr="004841EF">
        <w:t>ion. The employer argued that they</w:t>
      </w:r>
      <w:r w:rsidRPr="004841EF">
        <w:t xml:space="preserve"> had no knowledge that the</w:t>
      </w:r>
      <w:r w:rsidR="00E9128F" w:rsidRPr="004841EF">
        <w:t xml:space="preserve"> relevant</w:t>
      </w:r>
      <w:r w:rsidRPr="004841EF">
        <w:t xml:space="preserve"> employee had depression, </w:t>
      </w:r>
      <w:r w:rsidR="00E9128F" w:rsidRPr="004841EF">
        <w:t xml:space="preserve">as </w:t>
      </w:r>
      <w:r w:rsidRPr="004841EF">
        <w:t>t</w:t>
      </w:r>
      <w:r w:rsidR="00E9128F" w:rsidRPr="004841EF">
        <w:t>hey</w:t>
      </w:r>
      <w:r w:rsidRPr="004841EF">
        <w:t xml:space="preserve"> had received certificates stating that the employee was unfit for work due to “illness/medical illness” and “stomach trouble”. The Labour Court found that the employer “was not aware of the [employee’s] disability and furthermore, there was no indications/signs to alert it to enquire about his need </w:t>
      </w:r>
      <w:r w:rsidR="00657A3B" w:rsidRPr="004841EF">
        <w:t>for reasonable accommodation”.</w:t>
      </w:r>
    </w:p>
    <w:p w14:paraId="0C9E57A2" w14:textId="569E534F" w:rsidR="006B72AE" w:rsidRPr="004841EF" w:rsidRDefault="007455E2" w:rsidP="006B72AE">
      <w:r w:rsidRPr="004841EF">
        <w:t xml:space="preserve">In </w:t>
      </w:r>
      <w:r w:rsidRPr="004841EF">
        <w:rPr>
          <w:b/>
        </w:rPr>
        <w:t xml:space="preserve">Swan O’Sullivan Accountants &amp; Registered Auditors v Seamus Counihan EDA1810, </w:t>
      </w:r>
      <w:r w:rsidRPr="004841EF">
        <w:t xml:space="preserve">the Labour Court examined the constructive knowledge test for employers in a case of alleged discriminatory dismissal based on disability. Mr Counihan </w:t>
      </w:r>
      <w:r w:rsidR="006B72AE" w:rsidRPr="004841EF">
        <w:t>experienced a seizure during his probationary period as a trainee accountant. According to Mr Counihan, he was assessed as having probable epilepsy and was prescribed anti-epileptic medication as a precautionary measure. A few months later, Mr Counihan was dismissed based on poor performance having failed to pass his probationary period. He claimed that the dismissal was because of his disability. The employer refuted this claim, submitting that they were not aware Mr Counihan had epilepsy until the matter was referred to the Workplace Relations Commission</w:t>
      </w:r>
      <w:r w:rsidR="00657A3B" w:rsidRPr="004841EF">
        <w:t>.</w:t>
      </w:r>
    </w:p>
    <w:p w14:paraId="06C63002" w14:textId="4B234F0F" w:rsidR="006B72AE" w:rsidRPr="004841EF" w:rsidRDefault="006B72AE" w:rsidP="006B72AE">
      <w:r w:rsidRPr="004841EF">
        <w:t xml:space="preserve">The Labour Court concluded that the doctrine of constructive notice of the employee’s disability did not apply in the circumstances. The Labour Court determined that Mr Counihan had not been diagnosed with epilepsy. At no point had he supplied his employer with a medical certificate nor </w:t>
      </w:r>
      <w:r w:rsidR="00382A6C" w:rsidRPr="004841EF">
        <w:t>had</w:t>
      </w:r>
      <w:r w:rsidRPr="004841EF">
        <w:t xml:space="preserve"> he discuss</w:t>
      </w:r>
      <w:r w:rsidR="00382A6C" w:rsidRPr="004841EF">
        <w:t>ed</w:t>
      </w:r>
      <w:r w:rsidRPr="004841EF">
        <w:t xml:space="preserve"> the management of his condition with his manager or </w:t>
      </w:r>
      <w:r w:rsidRPr="004841EF">
        <w:lastRenderedPageBreak/>
        <w:t>colleagues other than to say that the seizure he suffered was a one-off occurrence. In addition, despite</w:t>
      </w:r>
      <w:r w:rsidR="00382A6C" w:rsidRPr="004841EF">
        <w:t xml:space="preserve"> numerous</w:t>
      </w:r>
      <w:r w:rsidRPr="004841EF">
        <w:t xml:space="preserve"> queries regarding his health, he was reluctant to discuss it.</w:t>
      </w:r>
    </w:p>
    <w:p w14:paraId="0CCF315D" w14:textId="69A1C39A" w:rsidR="007455E2" w:rsidRPr="004841EF" w:rsidRDefault="006B72AE" w:rsidP="00536B99">
      <w:r w:rsidRPr="004841EF">
        <w:t xml:space="preserve">The Labour Court did not dispute that if Mr Counihan had epilepsy, this would almost certainly have come within the broad definition of disability under the </w:t>
      </w:r>
      <w:r w:rsidRPr="004841EF">
        <w:rPr>
          <w:b/>
        </w:rPr>
        <w:t>Employment Equality Acts</w:t>
      </w:r>
      <w:r w:rsidRPr="004841EF">
        <w:t xml:space="preserve">. However, the employer "could not have had direct or constructive knowledge to indicate" that Mr Counihan "was suffering from an illness that </w:t>
      </w:r>
      <w:r w:rsidR="00657A3B" w:rsidRPr="004841EF">
        <w:t>amounted to such a disability".</w:t>
      </w:r>
    </w:p>
    <w:p w14:paraId="277DA9D8" w14:textId="41222BBE" w:rsidR="00536B99" w:rsidRPr="004841EF" w:rsidRDefault="006B72AE" w:rsidP="00536B99">
      <w:r w:rsidRPr="004841EF">
        <w:t>Similarly, i</w:t>
      </w:r>
      <w:r w:rsidR="00536B99" w:rsidRPr="004841EF">
        <w:t xml:space="preserve">n </w:t>
      </w:r>
      <w:r w:rsidR="00536B99" w:rsidRPr="004841EF">
        <w:rPr>
          <w:b/>
        </w:rPr>
        <w:t>A Cleaning Operative v A Contract Cleaning Company DEC-E2010-089</w:t>
      </w:r>
      <w:r w:rsidR="00536B99" w:rsidRPr="004841EF">
        <w:t>, the employer sought to argue that he was not aware that the employee had a disability. The medical certificates supplied by the employee stated that she had an illness, but did not specify that it was high blood pressure</w:t>
      </w:r>
      <w:r w:rsidR="00BB62A5" w:rsidRPr="004841EF">
        <w:t xml:space="preserve"> (which </w:t>
      </w:r>
      <w:r w:rsidR="00AB0EC2" w:rsidRPr="004841EF">
        <w:t>satisfied the definition of “</w:t>
      </w:r>
      <w:r w:rsidR="00BB62A5" w:rsidRPr="004841EF">
        <w:t>disability</w:t>
      </w:r>
      <w:r w:rsidR="00AB0EC2" w:rsidRPr="004841EF">
        <w:t>” under the Employment Equality Acts</w:t>
      </w:r>
      <w:r w:rsidR="00BB62A5" w:rsidRPr="004841EF">
        <w:t>)</w:t>
      </w:r>
      <w:r w:rsidR="00536B99" w:rsidRPr="004841EF">
        <w:t>. The Equality Officer found that the employer “did not ask the [employee] about her health nor did they request further certification”.</w:t>
      </w:r>
      <w:r w:rsidR="00AB0EC2" w:rsidRPr="004841EF">
        <w:t xml:space="preserve"> The Equality Officer also noted that the employer had facilitated the employee’s request to transfer from night shifts to day shifts. </w:t>
      </w:r>
      <w:r w:rsidR="007455E2" w:rsidRPr="004841EF">
        <w:t>Day shifts were requested</w:t>
      </w:r>
      <w:r w:rsidR="00AB0EC2" w:rsidRPr="004841EF">
        <w:t xml:space="preserve"> on foot of a medical report indicating that night shifts were having a negative impact on </w:t>
      </w:r>
      <w:r w:rsidR="007455E2" w:rsidRPr="004841EF">
        <w:t>the employee’s</w:t>
      </w:r>
      <w:r w:rsidR="00AB0EC2" w:rsidRPr="004841EF">
        <w:t xml:space="preserve"> health.</w:t>
      </w:r>
      <w:r w:rsidR="00536B99" w:rsidRPr="004841EF">
        <w:t xml:space="preserve"> In such circumstances, the Equality Officer was satisfied that the employer was aware that the employee had a disability.</w:t>
      </w:r>
    </w:p>
    <w:p w14:paraId="56F501F9" w14:textId="5D0AC16C" w:rsidR="00F417B3" w:rsidRPr="004841EF" w:rsidRDefault="00F417B3" w:rsidP="00536B99">
      <w:r w:rsidRPr="004841EF">
        <w:t>However, in some circumstances, the employee will need to communicate clearly to their employer or prospective employer the type of reasonable accommodation they are seeking.</w:t>
      </w:r>
      <w:r w:rsidRPr="004841EF">
        <w:rPr>
          <w:rStyle w:val="FootnoteReference"/>
          <w:rFonts w:ascii="Gill Sans MT" w:hAnsi="Gill Sans MT"/>
        </w:rPr>
        <w:footnoteReference w:id="63"/>
      </w:r>
      <w:r w:rsidRPr="004841EF">
        <w:t xml:space="preserve"> In </w:t>
      </w:r>
      <w:r w:rsidR="00F63FDD" w:rsidRPr="004841EF">
        <w:rPr>
          <w:b/>
        </w:rPr>
        <w:t>A Worker v An Employer [2005] 16 ELR 159</w:t>
      </w:r>
      <w:r w:rsidR="00F63FDD" w:rsidRPr="004841EF">
        <w:t xml:space="preserve">, an employee with multiple sclerosis had been provided with a reasonable accommodation which relieved him of driving duties. The employee argued that relieving him of driving duties had caused stress and anxiety, and resulted in his resignation. The Labour Court rejected the employee’s claim, finding that the employer had no “actual or constructive knowledge that the arrangements in place </w:t>
      </w:r>
      <w:r w:rsidR="00F63FDD" w:rsidRPr="004841EF">
        <w:lastRenderedPageBreak/>
        <w:t>whereby he was not required to drive were a source of difficulty or distress for the complainant”.</w:t>
      </w:r>
    </w:p>
    <w:p w14:paraId="1AE98C87" w14:textId="2B9FE9EA" w:rsidR="00536B99" w:rsidRPr="004841EF" w:rsidRDefault="00593F62" w:rsidP="00536B99">
      <w:pPr>
        <w:keepNext/>
        <w:spacing w:after="0"/>
        <w:outlineLvl w:val="2"/>
        <w:rPr>
          <w:rFonts w:cs="Arial Bold"/>
          <w:b/>
          <w:bCs/>
        </w:rPr>
      </w:pPr>
      <w:bookmarkStart w:id="217" w:name="_Toc26192109"/>
      <w:r w:rsidRPr="004841EF">
        <w:rPr>
          <w:rFonts w:cs="Arial Bold"/>
          <w:b/>
          <w:bCs/>
        </w:rPr>
        <w:t>2.3</w:t>
      </w:r>
      <w:r w:rsidR="00AA2EA5" w:rsidRPr="004841EF">
        <w:rPr>
          <w:rFonts w:cs="Arial Bold"/>
          <w:b/>
          <w:bCs/>
        </w:rPr>
        <w:t xml:space="preserve">.5. </w:t>
      </w:r>
      <w:r w:rsidR="00536B99" w:rsidRPr="004841EF">
        <w:rPr>
          <w:rFonts w:cs="Arial Bold"/>
          <w:b/>
          <w:bCs/>
        </w:rPr>
        <w:t>Defences and Exemptions</w:t>
      </w:r>
      <w:bookmarkEnd w:id="217"/>
    </w:p>
    <w:p w14:paraId="0CC0CE58" w14:textId="5F4BA08C" w:rsidR="00536B99" w:rsidRPr="004841EF" w:rsidRDefault="00657A3B" w:rsidP="00536B99">
      <w:r w:rsidRPr="004841EF">
        <w:t xml:space="preserve">Employers are </w:t>
      </w:r>
      <w:r w:rsidR="00536B99" w:rsidRPr="004841EF">
        <w:t>not obliged to provide anything that the person would normally provide for themselves.</w:t>
      </w:r>
      <w:r w:rsidR="003F1D36" w:rsidRPr="004841EF">
        <w:rPr>
          <w:rStyle w:val="FootnoteReference"/>
          <w:rFonts w:ascii="Gill Sans MT" w:hAnsi="Gill Sans MT"/>
        </w:rPr>
        <w:footnoteReference w:id="64"/>
      </w:r>
      <w:r w:rsidR="00536B99" w:rsidRPr="004841EF">
        <w:t xml:space="preserve"> For example, an employer would not be expected to provide hearing aids for a person with a hearing difficulty.</w:t>
      </w:r>
      <w:r w:rsidR="00F13F84" w:rsidRPr="004841EF">
        <w:rPr>
          <w:rStyle w:val="FootnoteReference"/>
          <w:rFonts w:ascii="Gill Sans MT" w:hAnsi="Gill Sans MT"/>
        </w:rPr>
        <w:footnoteReference w:id="65"/>
      </w:r>
      <w:r w:rsidR="00536B99" w:rsidRPr="004841EF">
        <w:t xml:space="preserve"> Additionally, employers are not required to employ, retain or promote someone who will not undertake the duties or is not fully competent or capable of doing the </w:t>
      </w:r>
      <w:r w:rsidR="00536B99" w:rsidRPr="004841EF">
        <w:rPr>
          <w:b/>
        </w:rPr>
        <w:t>essential duties</w:t>
      </w:r>
      <w:r w:rsidR="00536B99" w:rsidRPr="004841EF">
        <w:t xml:space="preserve"> of the job.</w:t>
      </w:r>
      <w:r w:rsidR="003F1D36" w:rsidRPr="004841EF">
        <w:rPr>
          <w:rStyle w:val="FootnoteReference"/>
          <w:rFonts w:ascii="Gill Sans MT" w:hAnsi="Gill Sans MT"/>
        </w:rPr>
        <w:footnoteReference w:id="66"/>
      </w:r>
      <w:r w:rsidR="00536B99" w:rsidRPr="004841EF">
        <w:t xml:space="preserve"> However, in law, a person with a disability is considered fully competent and capable of undertaking any duties, if the person would be fully competent and capable when reasonably accommodated by the employer.</w:t>
      </w:r>
    </w:p>
    <w:p w14:paraId="5BB8BB64" w14:textId="4D70C89A" w:rsidR="004E7020" w:rsidRPr="004841EF" w:rsidRDefault="00536B99" w:rsidP="00536B99">
      <w:pPr>
        <w:rPr>
          <w:bCs/>
        </w:rPr>
      </w:pPr>
      <w:r w:rsidRPr="004841EF">
        <w:rPr>
          <w:bCs/>
        </w:rPr>
        <w:t xml:space="preserve">In </w:t>
      </w:r>
      <w:r w:rsidR="00657A3B" w:rsidRPr="004841EF">
        <w:rPr>
          <w:b/>
          <w:bCs/>
        </w:rPr>
        <w:t xml:space="preserve">Nano </w:t>
      </w:r>
      <w:r w:rsidRPr="004841EF">
        <w:rPr>
          <w:b/>
          <w:bCs/>
        </w:rPr>
        <w:t>Nagle School v Marie Daly</w:t>
      </w:r>
      <w:r w:rsidR="00685E04" w:rsidRPr="004841EF">
        <w:rPr>
          <w:rStyle w:val="FootnoteReference"/>
          <w:rFonts w:ascii="Gill Sans MT" w:hAnsi="Gill Sans MT"/>
          <w:b/>
          <w:bCs/>
        </w:rPr>
        <w:footnoteReference w:id="67"/>
      </w:r>
      <w:r w:rsidRPr="004841EF">
        <w:rPr>
          <w:bCs/>
        </w:rPr>
        <w:t xml:space="preserve">, the </w:t>
      </w:r>
      <w:r w:rsidR="00747F76" w:rsidRPr="004841EF">
        <w:rPr>
          <w:bCs/>
        </w:rPr>
        <w:t xml:space="preserve">Supreme Court determined that where a person is not fully competent or capable of doing the essential duties </w:t>
      </w:r>
      <w:r w:rsidR="002F3460" w:rsidRPr="004841EF">
        <w:rPr>
          <w:bCs/>
        </w:rPr>
        <w:t xml:space="preserve">and functions </w:t>
      </w:r>
      <w:r w:rsidR="00747F76" w:rsidRPr="004841EF">
        <w:rPr>
          <w:bCs/>
        </w:rPr>
        <w:t xml:space="preserve">of the job, </w:t>
      </w:r>
      <w:r w:rsidR="00630CDD" w:rsidRPr="004841EF">
        <w:rPr>
          <w:bCs/>
        </w:rPr>
        <w:t xml:space="preserve">an employer is obliged to consider whether these tasks or duties could be redistributed. </w:t>
      </w:r>
      <w:r w:rsidR="004E7020" w:rsidRPr="004841EF">
        <w:rPr>
          <w:bCs/>
        </w:rPr>
        <w:t xml:space="preserve">However, this is subject to the proviso that the redistribution of tasks or duties does not impose a disproportionate burden on the employer. The Supreme Court noted that </w:t>
      </w:r>
      <w:r w:rsidR="00777FE9" w:rsidRPr="004841EF">
        <w:rPr>
          <w:bCs/>
        </w:rPr>
        <w:t>the test “</w:t>
      </w:r>
      <w:r w:rsidR="00777FE9" w:rsidRPr="004841EF">
        <w:rPr>
          <w:bCs/>
          <w:iCs/>
        </w:rPr>
        <w:t xml:space="preserve">is one of reasonableness and proportionality”; </w:t>
      </w:r>
      <w:r w:rsidR="004E7020" w:rsidRPr="004841EF">
        <w:rPr>
          <w:bCs/>
        </w:rPr>
        <w:t>where the redistribution of tasks</w:t>
      </w:r>
      <w:r w:rsidR="004E7020" w:rsidRPr="004841EF">
        <w:rPr>
          <w:color w:val="000000"/>
          <w:shd w:val="clear" w:color="auto" w:fill="FFFFFF"/>
        </w:rPr>
        <w:t xml:space="preserve"> i</w:t>
      </w:r>
      <w:r w:rsidR="004E7020" w:rsidRPr="004841EF">
        <w:rPr>
          <w:bCs/>
        </w:rPr>
        <w:t>s such as to effectively create a different job entirely, this would almost inevitably impose a disproportionate burden on an employer.</w:t>
      </w:r>
    </w:p>
    <w:p w14:paraId="58F9D8B9" w14:textId="77777777" w:rsidR="00536B99" w:rsidRPr="004841EF" w:rsidRDefault="00536B99" w:rsidP="00536B99">
      <w:r w:rsidRPr="004841EF">
        <w:lastRenderedPageBreak/>
        <w:t xml:space="preserve">Additionally, while there is no explicit exemption in relation to health and safety in the </w:t>
      </w:r>
      <w:r w:rsidRPr="004841EF">
        <w:rPr>
          <w:b/>
        </w:rPr>
        <w:t>Employment Equality Acts</w:t>
      </w:r>
      <w:r w:rsidRPr="004841EF">
        <w:t>, the exemption on competence and capacity includes a competence and capacity to do the job in a safe manner.</w:t>
      </w:r>
      <w:r w:rsidRPr="004841EF">
        <w:rPr>
          <w:sz w:val="22"/>
          <w:vertAlign w:val="superscript"/>
        </w:rPr>
        <w:footnoteReference w:id="68"/>
      </w:r>
      <w:r w:rsidRPr="004841EF">
        <w:t xml:space="preserve"> However, even where genuine health and safety concerns do exist, the reasonable accommodation duty may require the employer to consider possible alternative positions within their employment.</w:t>
      </w:r>
    </w:p>
    <w:p w14:paraId="1F1BD9EB" w14:textId="68E1CD9A" w:rsidR="00B4738F" w:rsidRPr="004841EF" w:rsidRDefault="006F2AA6" w:rsidP="004014FC">
      <w:r w:rsidRPr="004841EF">
        <w:t xml:space="preserve">There are also specific exemptions for certain types of employment. A specific exemption is </w:t>
      </w:r>
      <w:r w:rsidR="008B69BF" w:rsidRPr="004841EF">
        <w:t>provided to the Defence Forces which precludes employment equality cases on the disability ground.</w:t>
      </w:r>
      <w:r w:rsidR="004014FC" w:rsidRPr="004841EF">
        <w:rPr>
          <w:rStyle w:val="FootnoteReference"/>
          <w:rFonts w:ascii="Gill Sans MT" w:hAnsi="Gill Sans MT"/>
        </w:rPr>
        <w:footnoteReference w:id="69"/>
      </w:r>
      <w:r w:rsidR="00493397" w:rsidRPr="004841EF">
        <w:t xml:space="preserve"> The </w:t>
      </w:r>
      <w:r w:rsidR="004014FC" w:rsidRPr="004841EF">
        <w:rPr>
          <w:b/>
        </w:rPr>
        <w:t xml:space="preserve">Employment Equality </w:t>
      </w:r>
      <w:r w:rsidR="00493397" w:rsidRPr="004841EF">
        <w:rPr>
          <w:b/>
        </w:rPr>
        <w:t>Act</w:t>
      </w:r>
      <w:r w:rsidR="004014FC" w:rsidRPr="004841EF">
        <w:rPr>
          <w:b/>
        </w:rPr>
        <w:t>s</w:t>
      </w:r>
      <w:r w:rsidR="004014FC" w:rsidRPr="004841EF">
        <w:t xml:space="preserve"> </w:t>
      </w:r>
      <w:r w:rsidRPr="004841EF">
        <w:t xml:space="preserve">also </w:t>
      </w:r>
      <w:r w:rsidR="004014FC" w:rsidRPr="004841EF">
        <w:t>provide</w:t>
      </w:r>
      <w:r w:rsidR="00493397" w:rsidRPr="004841EF">
        <w:t xml:space="preserve"> that it is an occupational requirement for employment in </w:t>
      </w:r>
      <w:r w:rsidR="008656B7" w:rsidRPr="004841EF">
        <w:t xml:space="preserve">an </w:t>
      </w:r>
      <w:r w:rsidR="00493397" w:rsidRPr="004841EF">
        <w:t>Garda Síochána, prison service or any emergency service that persons employed therein</w:t>
      </w:r>
      <w:r w:rsidR="008656B7" w:rsidRPr="004841EF">
        <w:t>,</w:t>
      </w:r>
      <w:r w:rsidR="00493397" w:rsidRPr="004841EF">
        <w:t xml:space="preserve"> are fully competent and available to undertake, and fully capable of undertaking, the range of functions that they may be called upon to perform so that the operational capacity of </w:t>
      </w:r>
      <w:r w:rsidR="008656B7" w:rsidRPr="004841EF">
        <w:t xml:space="preserve">an </w:t>
      </w:r>
      <w:r w:rsidR="00493397" w:rsidRPr="004841EF">
        <w:t>Garda Síochána or the ser</w:t>
      </w:r>
      <w:r w:rsidR="004014FC" w:rsidRPr="004841EF">
        <w:t>vice concerned may be preserved.</w:t>
      </w:r>
      <w:r w:rsidR="004014FC" w:rsidRPr="004841EF">
        <w:rPr>
          <w:rStyle w:val="FootnoteReference"/>
          <w:rFonts w:ascii="Gill Sans MT" w:hAnsi="Gill Sans MT"/>
        </w:rPr>
        <w:footnoteReference w:id="70"/>
      </w:r>
    </w:p>
    <w:p w14:paraId="399983A2" w14:textId="77777777" w:rsidR="00B4738F" w:rsidRPr="004841EF" w:rsidRDefault="00B4738F">
      <w:pPr>
        <w:spacing w:after="0"/>
      </w:pPr>
      <w:r w:rsidRPr="004841EF">
        <w:br w:type="page"/>
      </w:r>
    </w:p>
    <w:p w14:paraId="4F0036ED" w14:textId="143E4166" w:rsidR="00536B99" w:rsidRPr="004841EF" w:rsidRDefault="0045472D" w:rsidP="00440AB1">
      <w:pPr>
        <w:pStyle w:val="Heading1"/>
      </w:pPr>
      <w:bookmarkStart w:id="218" w:name="_Toc26192110"/>
      <w:bookmarkStart w:id="219" w:name="_Toc42172541"/>
      <w:r w:rsidRPr="004841EF">
        <w:lastRenderedPageBreak/>
        <w:t xml:space="preserve">Chapter 3 </w:t>
      </w:r>
      <w:r w:rsidR="008E5784" w:rsidRPr="004841EF">
        <w:t>–</w:t>
      </w:r>
      <w:r w:rsidR="00685E04" w:rsidRPr="004841EF">
        <w:t xml:space="preserve"> </w:t>
      </w:r>
      <w:r w:rsidR="008E5784" w:rsidRPr="004841EF">
        <w:t>Review</w:t>
      </w:r>
      <w:r w:rsidR="00536B99" w:rsidRPr="004841EF">
        <w:t xml:space="preserve"> of Decisions from the Workplace Relations Commission</w:t>
      </w:r>
      <w:r w:rsidR="00A81F75" w:rsidRPr="004841EF">
        <w:t xml:space="preserve"> and Labour Court</w:t>
      </w:r>
      <w:bookmarkEnd w:id="218"/>
      <w:bookmarkEnd w:id="219"/>
    </w:p>
    <w:p w14:paraId="5647F305" w14:textId="1BFA627A" w:rsidR="00536B99" w:rsidRPr="004841EF" w:rsidRDefault="00AA2EA5" w:rsidP="00F07BBC">
      <w:pPr>
        <w:pStyle w:val="Heading2"/>
      </w:pPr>
      <w:bookmarkStart w:id="220" w:name="_Toc26192111"/>
      <w:bookmarkStart w:id="221" w:name="_Toc42172542"/>
      <w:r w:rsidRPr="004841EF">
        <w:t xml:space="preserve">3.1. </w:t>
      </w:r>
      <w:r w:rsidR="00536B99" w:rsidRPr="004841EF">
        <w:t>Purpose</w:t>
      </w:r>
      <w:bookmarkEnd w:id="220"/>
      <w:bookmarkEnd w:id="221"/>
      <w:r w:rsidR="00536B99" w:rsidRPr="004841EF">
        <w:t xml:space="preserve"> </w:t>
      </w:r>
    </w:p>
    <w:p w14:paraId="05F36459" w14:textId="29C668C9" w:rsidR="009057EB" w:rsidRPr="004841EF" w:rsidRDefault="00536B99" w:rsidP="00657A3B">
      <w:pPr>
        <w:spacing w:after="120"/>
      </w:pPr>
      <w:r w:rsidRPr="004841EF">
        <w:t xml:space="preserve">Given the longstanding </w:t>
      </w:r>
      <w:r w:rsidR="00E9128F" w:rsidRPr="004841EF">
        <w:t>employment equality</w:t>
      </w:r>
      <w:r w:rsidRPr="004841EF">
        <w:t xml:space="preserve"> protections</w:t>
      </w:r>
      <w:r w:rsidR="008656B7" w:rsidRPr="004841EF">
        <w:t>,</w:t>
      </w:r>
      <w:r w:rsidRPr="004841EF">
        <w:t xml:space="preserve"> which are in place for those with disabilities, the NDA </w:t>
      </w:r>
      <w:r w:rsidR="009E0BC7" w:rsidRPr="004841EF">
        <w:t>considered</w:t>
      </w:r>
      <w:r w:rsidRPr="004841EF">
        <w:t xml:space="preserve"> that an analysis should be undertaken of a select number of Workplace Relations Commission</w:t>
      </w:r>
      <w:r w:rsidR="00A81F75" w:rsidRPr="004841EF">
        <w:t xml:space="preserve"> and Labour Court</w:t>
      </w:r>
      <w:r w:rsidRPr="004841EF">
        <w:t xml:space="preserve"> decisions concerning alleged failures by employers to provide reasonable accommodation.</w:t>
      </w:r>
      <w:r w:rsidR="00871D68" w:rsidRPr="004841EF">
        <w:t xml:space="preserve"> The purpose of this review was to</w:t>
      </w:r>
      <w:r w:rsidR="009057EB" w:rsidRPr="004841EF">
        <w:t>:</w:t>
      </w:r>
    </w:p>
    <w:p w14:paraId="0F462B10" w14:textId="06C4B769" w:rsidR="009057EB" w:rsidRPr="004841EF" w:rsidRDefault="00871D68" w:rsidP="00B90F54">
      <w:pPr>
        <w:pStyle w:val="ListNumber"/>
        <w:numPr>
          <w:ilvl w:val="0"/>
          <w:numId w:val="24"/>
        </w:numPr>
      </w:pPr>
      <w:r w:rsidRPr="004841EF">
        <w:t>analyse the types of issues</w:t>
      </w:r>
      <w:r w:rsidR="008656B7" w:rsidRPr="004841EF">
        <w:t>,</w:t>
      </w:r>
      <w:r w:rsidRPr="004841EF">
        <w:t xml:space="preserve"> which arise in </w:t>
      </w:r>
      <w:r w:rsidR="00DE475E" w:rsidRPr="004841EF">
        <w:t>practice</w:t>
      </w:r>
      <w:r w:rsidR="008656B7" w:rsidRPr="004841EF">
        <w:t>,</w:t>
      </w:r>
      <w:r w:rsidR="00DE475E" w:rsidRPr="004841EF">
        <w:t xml:space="preserve"> in </w:t>
      </w:r>
      <w:r w:rsidRPr="004841EF">
        <w:t>cases concern</w:t>
      </w:r>
      <w:r w:rsidR="009057EB" w:rsidRPr="004841EF">
        <w:t>ing reasonable accommodation</w:t>
      </w:r>
    </w:p>
    <w:p w14:paraId="497AA826" w14:textId="77777777" w:rsidR="009057EB" w:rsidRPr="004841EF" w:rsidRDefault="00871D68" w:rsidP="00B90F54">
      <w:pPr>
        <w:pStyle w:val="ListNumber"/>
        <w:numPr>
          <w:ilvl w:val="0"/>
          <w:numId w:val="24"/>
        </w:numPr>
      </w:pPr>
      <w:r w:rsidRPr="004841EF">
        <w:t>identify the difficulties, or indeed the perceived difficulties, employers encounter in providing reas</w:t>
      </w:r>
      <w:r w:rsidR="009057EB" w:rsidRPr="004841EF">
        <w:t>onable accommodation</w:t>
      </w:r>
    </w:p>
    <w:p w14:paraId="2542232E" w14:textId="707D1A77" w:rsidR="009057EB" w:rsidRPr="004841EF" w:rsidRDefault="00871D68" w:rsidP="00B90F54">
      <w:pPr>
        <w:pStyle w:val="ListNumber"/>
        <w:numPr>
          <w:ilvl w:val="0"/>
          <w:numId w:val="24"/>
        </w:numPr>
        <w:spacing w:after="240"/>
      </w:pPr>
      <w:r w:rsidRPr="004841EF">
        <w:t xml:space="preserve">highlight examples of good and </w:t>
      </w:r>
      <w:r w:rsidR="00976F39" w:rsidRPr="004841EF">
        <w:t>poor practice amo</w:t>
      </w:r>
      <w:r w:rsidR="00B90F54">
        <w:t xml:space="preserve">ngst employers in the provision </w:t>
      </w:r>
      <w:r w:rsidR="00976F39" w:rsidRPr="004841EF">
        <w:t>of reasonable accommodations</w:t>
      </w:r>
    </w:p>
    <w:p w14:paraId="2142E740" w14:textId="4CE26B7B" w:rsidR="00871D68" w:rsidRPr="004841EF" w:rsidRDefault="00871D68" w:rsidP="009057EB">
      <w:pPr>
        <w:pStyle w:val="ListNumber"/>
      </w:pPr>
      <w:r w:rsidRPr="004841EF">
        <w:t>The findings of this review are detailed below.</w:t>
      </w:r>
    </w:p>
    <w:p w14:paraId="46951DAF" w14:textId="5DB4E798" w:rsidR="00A34144" w:rsidRPr="004841EF" w:rsidRDefault="00871D68" w:rsidP="00536B99">
      <w:r w:rsidRPr="004841EF">
        <w:t>The NDA recognises that this limited analysis does not capture the full spectrum of issues which arise in the reasonable accommodation context. It represents an overview of relevant decisions which were pu</w:t>
      </w:r>
      <w:r w:rsidR="00657A3B" w:rsidRPr="004841EF">
        <w:t>blished over a certain period.</w:t>
      </w:r>
    </w:p>
    <w:p w14:paraId="1EAE5353" w14:textId="4FB4EAAD" w:rsidR="00536B99" w:rsidRPr="004841EF" w:rsidRDefault="00871D68" w:rsidP="00536B99">
      <w:r w:rsidRPr="004841EF">
        <w:t>Additionally, as a case l</w:t>
      </w:r>
      <w:r w:rsidR="009E0BC7" w:rsidRPr="004841EF">
        <w:t>aw analysis, only claims which we</w:t>
      </w:r>
      <w:r w:rsidRPr="004841EF">
        <w:t>re pursued to adjudication are examined.</w:t>
      </w:r>
      <w:r w:rsidR="00A34144" w:rsidRPr="004841EF">
        <w:t xml:space="preserve"> </w:t>
      </w:r>
      <w:r w:rsidR="00A67E95" w:rsidRPr="004841EF">
        <w:t>A</w:t>
      </w:r>
      <w:r w:rsidR="003200B3" w:rsidRPr="004841EF">
        <w:t xml:space="preserve"> person may</w:t>
      </w:r>
      <w:r w:rsidR="00A67E95" w:rsidRPr="004841EF">
        <w:t xml:space="preserve"> decide to</w:t>
      </w:r>
      <w:r w:rsidR="003200B3" w:rsidRPr="004841EF">
        <w:t xml:space="preserve"> settle a claim</w:t>
      </w:r>
      <w:r w:rsidR="00A34144" w:rsidRPr="004841EF">
        <w:t xml:space="preserve"> pri</w:t>
      </w:r>
      <w:r w:rsidR="003200B3" w:rsidRPr="004841EF">
        <w:t>or to adjudication or</w:t>
      </w:r>
      <w:r w:rsidR="00A34144" w:rsidRPr="004841EF">
        <w:t xml:space="preserve"> may decide not to </w:t>
      </w:r>
      <w:r w:rsidR="003200B3" w:rsidRPr="004841EF">
        <w:t>proceed with a complaint</w:t>
      </w:r>
      <w:r w:rsidR="00A34144" w:rsidRPr="004841EF">
        <w:t xml:space="preserve">. </w:t>
      </w:r>
      <w:r w:rsidR="00A67E95" w:rsidRPr="004841EF">
        <w:t>Regarding the latter, t</w:t>
      </w:r>
      <w:r w:rsidR="00A34144" w:rsidRPr="004841EF">
        <w:t xml:space="preserve">he </w:t>
      </w:r>
      <w:r w:rsidR="007101B8" w:rsidRPr="004841EF">
        <w:t xml:space="preserve">UN Committee on the Rights of Persons with Disabilities </w:t>
      </w:r>
      <w:r w:rsidR="004269F0" w:rsidRPr="004841EF">
        <w:t>states</w:t>
      </w:r>
      <w:r w:rsidR="005F243C" w:rsidRPr="004841EF">
        <w:t xml:space="preserve"> that people with disabilities </w:t>
      </w:r>
      <w:r w:rsidR="004269F0" w:rsidRPr="004841EF">
        <w:t xml:space="preserve">can </w:t>
      </w:r>
      <w:r w:rsidR="005F243C" w:rsidRPr="004841EF">
        <w:t xml:space="preserve">encounter barriers accessing justice </w:t>
      </w:r>
      <w:r w:rsidR="005F243C" w:rsidRPr="004841EF">
        <w:lastRenderedPageBreak/>
        <w:t>and equal access to the law</w:t>
      </w:r>
      <w:r w:rsidR="007101B8" w:rsidRPr="004841EF">
        <w:t>, including physical, communication, information and cost barriers.</w:t>
      </w:r>
      <w:r w:rsidR="005F243C" w:rsidRPr="004841EF">
        <w:rPr>
          <w:rStyle w:val="FootnoteReference"/>
          <w:rFonts w:ascii="Gill Sans MT" w:hAnsi="Gill Sans MT"/>
        </w:rPr>
        <w:footnoteReference w:id="71"/>
      </w:r>
      <w:r w:rsidR="007101B8" w:rsidRPr="004841EF">
        <w:t xml:space="preserve"> </w:t>
      </w:r>
      <w:r w:rsidR="003200B3" w:rsidRPr="004841EF">
        <w:t>While there is no charge for lodging a complaint</w:t>
      </w:r>
      <w:r w:rsidR="007101B8" w:rsidRPr="004841EF">
        <w:t xml:space="preserve"> with the Workplace Relations Commission</w:t>
      </w:r>
      <w:r w:rsidR="003200B3" w:rsidRPr="004841EF">
        <w:t>, t</w:t>
      </w:r>
      <w:r w:rsidR="00A34144" w:rsidRPr="004841EF">
        <w:t>he</w:t>
      </w:r>
      <w:r w:rsidR="007101B8" w:rsidRPr="004841EF">
        <w:t xml:space="preserve"> NDA notes that the</w:t>
      </w:r>
      <w:r w:rsidR="00865B7A">
        <w:t xml:space="preserve"> </w:t>
      </w:r>
      <w:r w:rsidR="00A34144" w:rsidRPr="004841EF">
        <w:rPr>
          <w:bCs/>
        </w:rPr>
        <w:t>Workplace Relations Commission cannot award legal costs</w:t>
      </w:r>
      <w:r w:rsidR="00865B7A">
        <w:t xml:space="preserve"> </w:t>
      </w:r>
      <w:r w:rsidR="00A34144" w:rsidRPr="004841EF">
        <w:t>to either side</w:t>
      </w:r>
      <w:r w:rsidR="003200B3" w:rsidRPr="004841EF">
        <w:t xml:space="preserve"> and </w:t>
      </w:r>
      <w:r w:rsidR="005F243C" w:rsidRPr="004841EF">
        <w:t xml:space="preserve">that </w:t>
      </w:r>
      <w:r w:rsidR="00A34144" w:rsidRPr="004841EF">
        <w:t xml:space="preserve">civil legal aid is </w:t>
      </w:r>
      <w:r w:rsidR="007101B8" w:rsidRPr="004841EF">
        <w:t xml:space="preserve">not </w:t>
      </w:r>
      <w:r w:rsidR="00A34144" w:rsidRPr="004841EF">
        <w:t>available for employment equality claims, irrespective of the complexity of the case</w:t>
      </w:r>
      <w:r w:rsidR="002A54CC" w:rsidRPr="004841EF">
        <w:t xml:space="preserve"> or the needs of the individual</w:t>
      </w:r>
      <w:r w:rsidR="00A34144" w:rsidRPr="004841EF">
        <w:t>.</w:t>
      </w:r>
      <w:r w:rsidR="00A34144" w:rsidRPr="004841EF">
        <w:rPr>
          <w:rStyle w:val="FootnoteReference"/>
          <w:rFonts w:ascii="Gill Sans MT" w:hAnsi="Gill Sans MT"/>
        </w:rPr>
        <w:footnoteReference w:id="72"/>
      </w:r>
    </w:p>
    <w:p w14:paraId="20BF5F29" w14:textId="70D31179" w:rsidR="00536B99" w:rsidRPr="004841EF" w:rsidRDefault="00AA2EA5" w:rsidP="00F07BBC">
      <w:pPr>
        <w:pStyle w:val="Heading2"/>
      </w:pPr>
      <w:bookmarkStart w:id="222" w:name="_Toc26192112"/>
      <w:bookmarkStart w:id="223" w:name="_Toc42172543"/>
      <w:r w:rsidRPr="004841EF">
        <w:t xml:space="preserve">3.2. </w:t>
      </w:r>
      <w:r w:rsidR="00536B99" w:rsidRPr="004841EF">
        <w:t>Findings</w:t>
      </w:r>
      <w:bookmarkEnd w:id="222"/>
      <w:bookmarkEnd w:id="223"/>
    </w:p>
    <w:p w14:paraId="0AAEC580" w14:textId="4C0F5AF8" w:rsidR="004B0FAD" w:rsidRPr="004841EF" w:rsidRDefault="004B0FAD" w:rsidP="004B0FAD">
      <w:pPr>
        <w:pStyle w:val="Heading3"/>
      </w:pPr>
      <w:bookmarkStart w:id="224" w:name="_Toc26192113"/>
      <w:r w:rsidRPr="004841EF">
        <w:t>3.2.1. Decisions analysed where there was a breach of the requirement to provide reasonable accommodations and decisions analysed where there was no such breach</w:t>
      </w:r>
      <w:bookmarkEnd w:id="224"/>
    </w:p>
    <w:p w14:paraId="0298504F" w14:textId="74D94043" w:rsidR="0050094A" w:rsidRPr="004841EF" w:rsidRDefault="0050094A" w:rsidP="00536B99">
      <w:r w:rsidRPr="004841EF">
        <w:t xml:space="preserve">82 decisions were considered relevant to this review. Each of the decisions examined related to a complaint against a current or prospective employer that had allegedly failed to provide reasonable accommodation. In almost 60% of cases examined, </w:t>
      </w:r>
      <w:r w:rsidR="009E0BC7" w:rsidRPr="004841EF">
        <w:t xml:space="preserve">it was judged that </w:t>
      </w:r>
      <w:r w:rsidRPr="004841EF">
        <w:t>there was no breach of the reasonable accommodation requirement. The reasons for such decisions were varied and are explored in greater detail later in this section.</w:t>
      </w:r>
    </w:p>
    <w:p w14:paraId="056288D8" w14:textId="4A0C31A6" w:rsidR="0051309A" w:rsidRPr="004841EF" w:rsidRDefault="00536B99" w:rsidP="00536B99">
      <w:r w:rsidRPr="004841EF">
        <w:t>Nevertheless, in a significant number of cases</w:t>
      </w:r>
      <w:r w:rsidR="00E9128F" w:rsidRPr="004841EF">
        <w:t>, totalling 40% of those</w:t>
      </w:r>
      <w:r w:rsidRPr="004841EF">
        <w:t xml:space="preserve"> reviewed, it was determined that the employer had failed in their duty to make reasonable accommodations. Again, the rationale for these decisions is examined in more depth below.</w:t>
      </w:r>
    </w:p>
    <w:p w14:paraId="6C9A8E24" w14:textId="4A1DF61E" w:rsidR="000F401C" w:rsidRPr="004841EF" w:rsidRDefault="00536B99" w:rsidP="00194957">
      <w:pPr>
        <w:pStyle w:val="TableTitle"/>
        <w:jc w:val="left"/>
        <w:rPr>
          <w:rFonts w:eastAsia="Calibri"/>
        </w:rPr>
      </w:pPr>
      <w:r w:rsidRPr="004841EF">
        <w:rPr>
          <w:rFonts w:eastAsia="Calibri"/>
        </w:rPr>
        <w:t xml:space="preserve">Table 1: Number of decisions analysed where there was a breach of the </w:t>
      </w:r>
      <w:r w:rsidR="008B0528" w:rsidRPr="004841EF">
        <w:rPr>
          <w:rFonts w:eastAsia="Calibri"/>
        </w:rPr>
        <w:t xml:space="preserve">obligation </w:t>
      </w:r>
      <w:r w:rsidRPr="004841EF">
        <w:rPr>
          <w:rFonts w:eastAsia="Calibri"/>
        </w:rPr>
        <w:t>to</w:t>
      </w:r>
      <w:r w:rsidR="008B0528" w:rsidRPr="004841EF">
        <w:rPr>
          <w:rFonts w:eastAsia="Calibri"/>
        </w:rPr>
        <w:t xml:space="preserve"> provide reasonable accommodation</w:t>
      </w:r>
      <w:r w:rsidRPr="004841EF">
        <w:rPr>
          <w:rFonts w:eastAsia="Calibri"/>
        </w:rPr>
        <w:t xml:space="preserve"> and where there was no such breach</w:t>
      </w:r>
    </w:p>
    <w:tbl>
      <w:tblPr>
        <w:tblW w:w="902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Caption w:val="Number of decisions analysed where there was a breach of the obligation to provide reasonable accommodation and where there was no such breach"/>
        <w:tblDescription w:val="Number of decisions analysed where there was a breach of the obligation to provide reasonable accommodation and where there was no such breach"/>
      </w:tblPr>
      <w:tblGrid>
        <w:gridCol w:w="6237"/>
        <w:gridCol w:w="2789"/>
      </w:tblGrid>
      <w:tr w:rsidR="00536B99" w:rsidRPr="00194957" w14:paraId="3ABA44D4" w14:textId="77777777" w:rsidTr="00657A3B">
        <w:trPr>
          <w:tblHeader/>
        </w:trPr>
        <w:tc>
          <w:tcPr>
            <w:tcW w:w="6237" w:type="dxa"/>
            <w:tcBorders>
              <w:bottom w:val="single" w:sz="12" w:space="0" w:color="000000"/>
            </w:tcBorders>
            <w:shd w:val="clear" w:color="auto" w:fill="auto"/>
          </w:tcPr>
          <w:p w14:paraId="1C4565CE" w14:textId="10464AEB" w:rsidR="002665FF" w:rsidRPr="00194957" w:rsidRDefault="00536B99" w:rsidP="00194957">
            <w:pPr>
              <w:pStyle w:val="TableHead"/>
              <w:spacing w:after="120"/>
              <w:rPr>
                <w:sz w:val="22"/>
                <w:szCs w:val="22"/>
              </w:rPr>
            </w:pPr>
            <w:r w:rsidRPr="00194957">
              <w:rPr>
                <w:sz w:val="22"/>
                <w:szCs w:val="22"/>
              </w:rPr>
              <w:t>Decisions analysed</w:t>
            </w:r>
          </w:p>
        </w:tc>
        <w:tc>
          <w:tcPr>
            <w:tcW w:w="2789" w:type="dxa"/>
            <w:tcBorders>
              <w:bottom w:val="single" w:sz="12" w:space="0" w:color="000000"/>
            </w:tcBorders>
            <w:shd w:val="clear" w:color="auto" w:fill="auto"/>
          </w:tcPr>
          <w:p w14:paraId="2D5F43D6" w14:textId="77777777" w:rsidR="00536B99" w:rsidRPr="00194957" w:rsidRDefault="00536B99" w:rsidP="00194957">
            <w:pPr>
              <w:pStyle w:val="TableHead"/>
              <w:spacing w:after="120"/>
              <w:rPr>
                <w:sz w:val="22"/>
                <w:szCs w:val="22"/>
              </w:rPr>
            </w:pPr>
            <w:r w:rsidRPr="00194957">
              <w:rPr>
                <w:sz w:val="22"/>
                <w:szCs w:val="22"/>
              </w:rPr>
              <w:t>Number of decisions</w:t>
            </w:r>
          </w:p>
        </w:tc>
      </w:tr>
      <w:tr w:rsidR="00536B99" w:rsidRPr="002665FF" w14:paraId="3F955698" w14:textId="77777777" w:rsidTr="00657A3B">
        <w:tc>
          <w:tcPr>
            <w:tcW w:w="6237" w:type="dxa"/>
            <w:tcBorders>
              <w:top w:val="single" w:sz="12" w:space="0" w:color="000000"/>
            </w:tcBorders>
            <w:shd w:val="clear" w:color="auto" w:fill="auto"/>
          </w:tcPr>
          <w:p w14:paraId="16EF5BEC" w14:textId="4C8176F2" w:rsidR="002665FF" w:rsidRPr="00194957" w:rsidRDefault="00536B99" w:rsidP="00194957">
            <w:pPr>
              <w:pStyle w:val="TableRowHead"/>
              <w:spacing w:after="120"/>
              <w:rPr>
                <w:rFonts w:ascii="Gill Sans MT" w:hAnsi="Gill Sans MT"/>
                <w:b w:val="0"/>
                <w:sz w:val="22"/>
                <w:szCs w:val="22"/>
              </w:rPr>
            </w:pPr>
            <w:r w:rsidRPr="00194957">
              <w:rPr>
                <w:rFonts w:ascii="Gill Sans MT" w:hAnsi="Gill Sans MT"/>
                <w:b w:val="0"/>
                <w:sz w:val="22"/>
                <w:szCs w:val="22"/>
              </w:rPr>
              <w:t>Decisions where there was a breach of the reasonable accommodation requirement</w:t>
            </w:r>
          </w:p>
        </w:tc>
        <w:tc>
          <w:tcPr>
            <w:tcW w:w="2789" w:type="dxa"/>
            <w:tcBorders>
              <w:top w:val="single" w:sz="12" w:space="0" w:color="000000"/>
            </w:tcBorders>
            <w:shd w:val="clear" w:color="auto" w:fill="auto"/>
          </w:tcPr>
          <w:p w14:paraId="77A63D94" w14:textId="77777777" w:rsidR="00536B99" w:rsidRPr="002665FF" w:rsidRDefault="00536B99" w:rsidP="00194957">
            <w:pPr>
              <w:pStyle w:val="TableCell"/>
              <w:jc w:val="right"/>
            </w:pPr>
            <w:r w:rsidRPr="002665FF">
              <w:t>33</w:t>
            </w:r>
          </w:p>
        </w:tc>
      </w:tr>
      <w:tr w:rsidR="00536B99" w:rsidRPr="002665FF" w14:paraId="5A80F136" w14:textId="77777777" w:rsidTr="00657A3B">
        <w:tc>
          <w:tcPr>
            <w:tcW w:w="6237" w:type="dxa"/>
            <w:shd w:val="clear" w:color="auto" w:fill="auto"/>
          </w:tcPr>
          <w:p w14:paraId="5F27DA8F" w14:textId="07734511" w:rsidR="002665FF" w:rsidRPr="00194957" w:rsidRDefault="00536B99" w:rsidP="00194957">
            <w:pPr>
              <w:pStyle w:val="TableRowHead"/>
              <w:spacing w:after="120"/>
              <w:rPr>
                <w:rFonts w:ascii="Gill Sans MT" w:hAnsi="Gill Sans MT"/>
                <w:b w:val="0"/>
                <w:sz w:val="22"/>
                <w:szCs w:val="22"/>
              </w:rPr>
            </w:pPr>
            <w:r w:rsidRPr="00194957">
              <w:rPr>
                <w:rFonts w:ascii="Gill Sans MT" w:hAnsi="Gill Sans MT"/>
                <w:b w:val="0"/>
                <w:sz w:val="22"/>
                <w:szCs w:val="22"/>
              </w:rPr>
              <w:lastRenderedPageBreak/>
              <w:t>Decisions where there was no breach of the reasonable accommodation requirement</w:t>
            </w:r>
          </w:p>
        </w:tc>
        <w:tc>
          <w:tcPr>
            <w:tcW w:w="2789" w:type="dxa"/>
            <w:shd w:val="clear" w:color="auto" w:fill="auto"/>
          </w:tcPr>
          <w:p w14:paraId="16F89BE2" w14:textId="77777777" w:rsidR="00536B99" w:rsidRPr="002665FF" w:rsidRDefault="00536B99" w:rsidP="00194957">
            <w:pPr>
              <w:pStyle w:val="TableCell"/>
              <w:jc w:val="right"/>
            </w:pPr>
            <w:r w:rsidRPr="002665FF">
              <w:t>49</w:t>
            </w:r>
          </w:p>
        </w:tc>
      </w:tr>
      <w:tr w:rsidR="00536B99" w:rsidRPr="002665FF" w14:paraId="304ECB82" w14:textId="77777777" w:rsidTr="00657A3B">
        <w:tc>
          <w:tcPr>
            <w:tcW w:w="6237" w:type="dxa"/>
            <w:shd w:val="clear" w:color="auto" w:fill="auto"/>
          </w:tcPr>
          <w:p w14:paraId="1FB282BB" w14:textId="086B3388" w:rsidR="002665FF" w:rsidRPr="00194957" w:rsidDel="000B6412" w:rsidRDefault="00536B99" w:rsidP="00194957">
            <w:pPr>
              <w:pStyle w:val="TableRowHead"/>
              <w:spacing w:after="120"/>
              <w:rPr>
                <w:rFonts w:ascii="Gill Sans MT" w:hAnsi="Gill Sans MT"/>
                <w:b w:val="0"/>
                <w:sz w:val="22"/>
                <w:szCs w:val="22"/>
              </w:rPr>
            </w:pPr>
            <w:r w:rsidRPr="00194957">
              <w:rPr>
                <w:rFonts w:ascii="Gill Sans MT" w:hAnsi="Gill Sans MT"/>
                <w:b w:val="0"/>
                <w:sz w:val="22"/>
                <w:szCs w:val="22"/>
              </w:rPr>
              <w:t>Total number of decisions analysed</w:t>
            </w:r>
          </w:p>
        </w:tc>
        <w:tc>
          <w:tcPr>
            <w:tcW w:w="2789" w:type="dxa"/>
            <w:shd w:val="clear" w:color="auto" w:fill="auto"/>
          </w:tcPr>
          <w:p w14:paraId="1E4DF8CE" w14:textId="77777777" w:rsidR="00536B99" w:rsidRPr="002665FF" w:rsidRDefault="00536B99" w:rsidP="00194957">
            <w:pPr>
              <w:pStyle w:val="TableCell"/>
              <w:jc w:val="right"/>
            </w:pPr>
            <w:r w:rsidRPr="002665FF">
              <w:t>82</w:t>
            </w:r>
          </w:p>
        </w:tc>
      </w:tr>
    </w:tbl>
    <w:p w14:paraId="59E1F771" w14:textId="77777777" w:rsidR="00536B99" w:rsidRPr="004841EF" w:rsidRDefault="00536B99" w:rsidP="009707C2">
      <w:pPr>
        <w:pStyle w:val="TableCell"/>
        <w:rPr>
          <w:rFonts w:eastAsia="Calibri"/>
          <w:szCs w:val="26"/>
        </w:rPr>
      </w:pPr>
    </w:p>
    <w:p w14:paraId="056D0F33" w14:textId="14FF0E45" w:rsidR="004B0FAD" w:rsidRPr="004841EF" w:rsidRDefault="004B0FAD" w:rsidP="004B0FAD">
      <w:pPr>
        <w:pStyle w:val="Heading3"/>
      </w:pPr>
      <w:bookmarkStart w:id="225" w:name="_Toc26192114"/>
      <w:r w:rsidRPr="004841EF">
        <w:t>3.2.2. Decisions analysed concerning a current or former employee and a prospective employee</w:t>
      </w:r>
      <w:bookmarkEnd w:id="225"/>
    </w:p>
    <w:p w14:paraId="21683A7A" w14:textId="34A4816F" w:rsidR="00536B99" w:rsidRPr="004841EF" w:rsidRDefault="00536B99" w:rsidP="00536B99">
      <w:pPr>
        <w:rPr>
          <w:rFonts w:cs="Arial Bold"/>
          <w:b/>
          <w:bCs/>
        </w:rPr>
      </w:pPr>
      <w:r w:rsidRPr="004841EF">
        <w:t xml:space="preserve">Overall, the number of decisions concerning </w:t>
      </w:r>
      <w:r w:rsidRPr="004841EF">
        <w:rPr>
          <w:b/>
        </w:rPr>
        <w:t>access to employment</w:t>
      </w:r>
      <w:r w:rsidRPr="004841EF">
        <w:t xml:space="preserve"> on the disability ground was quite low. The vast majority of complaints were brought by current or former employees as op</w:t>
      </w:r>
      <w:r w:rsidR="002F31FA" w:rsidRPr="004841EF">
        <w:t>posed to prospective employees.</w:t>
      </w:r>
      <w:r w:rsidR="00507170" w:rsidRPr="004841EF">
        <w:rPr>
          <w:rStyle w:val="FootnoteReference"/>
          <w:rFonts w:ascii="Gill Sans MT" w:hAnsi="Gill Sans MT"/>
        </w:rPr>
        <w:footnoteReference w:id="73"/>
      </w:r>
    </w:p>
    <w:p w14:paraId="3698289F" w14:textId="50C4E09C" w:rsidR="00536B99" w:rsidRPr="004841EF" w:rsidRDefault="00536B99" w:rsidP="00536B99">
      <w:pPr>
        <w:spacing w:after="200" w:line="276" w:lineRule="auto"/>
        <w:rPr>
          <w:rFonts w:eastAsia="Calibri"/>
          <w:b/>
          <w:sz w:val="24"/>
          <w:szCs w:val="26"/>
        </w:rPr>
      </w:pPr>
      <w:r w:rsidRPr="004841EF">
        <w:rPr>
          <w:rFonts w:eastAsia="Calibri"/>
          <w:b/>
          <w:sz w:val="24"/>
          <w:szCs w:val="26"/>
        </w:rPr>
        <w:t>Table 2: Number of decisions analysed concerning a current</w:t>
      </w:r>
      <w:r w:rsidR="004B0FAD" w:rsidRPr="004841EF">
        <w:rPr>
          <w:rFonts w:eastAsia="Calibri"/>
          <w:b/>
          <w:sz w:val="24"/>
          <w:szCs w:val="26"/>
        </w:rPr>
        <w:t xml:space="preserve"> or former</w:t>
      </w:r>
      <w:r w:rsidRPr="004841EF">
        <w:rPr>
          <w:rFonts w:eastAsia="Calibri"/>
          <w:b/>
          <w:sz w:val="24"/>
          <w:szCs w:val="26"/>
        </w:rPr>
        <w:t xml:space="preserve"> employee and a prospective employee</w:t>
      </w:r>
    </w:p>
    <w:tbl>
      <w:tblPr>
        <w:tblW w:w="902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Caption w:val="Number of decisions analysed concerning a current or former employee and a prospective employee"/>
        <w:tblDescription w:val="Number of decisions analysed concerning a current or former employee and a prospective employee"/>
      </w:tblPr>
      <w:tblGrid>
        <w:gridCol w:w="6506"/>
        <w:gridCol w:w="2520"/>
      </w:tblGrid>
      <w:tr w:rsidR="00536B99" w:rsidRPr="00194957" w14:paraId="3DC9092D" w14:textId="77777777" w:rsidTr="00657A3B">
        <w:trPr>
          <w:tblHeader/>
        </w:trPr>
        <w:tc>
          <w:tcPr>
            <w:tcW w:w="6506" w:type="dxa"/>
            <w:tcBorders>
              <w:bottom w:val="single" w:sz="12" w:space="0" w:color="000000"/>
            </w:tcBorders>
            <w:shd w:val="clear" w:color="auto" w:fill="auto"/>
          </w:tcPr>
          <w:p w14:paraId="065B2E7D" w14:textId="2F8263D2" w:rsidR="002665FF" w:rsidRPr="00194957" w:rsidRDefault="00536B99" w:rsidP="00194957">
            <w:pPr>
              <w:pStyle w:val="TableHead"/>
              <w:spacing w:after="120"/>
              <w:rPr>
                <w:sz w:val="22"/>
                <w:szCs w:val="22"/>
              </w:rPr>
            </w:pPr>
            <w:r w:rsidRPr="00194957">
              <w:rPr>
                <w:sz w:val="22"/>
                <w:szCs w:val="22"/>
              </w:rPr>
              <w:t>Decisions analysed concerning</w:t>
            </w:r>
            <w:r w:rsidR="004B0FAD" w:rsidRPr="00194957">
              <w:rPr>
                <w:sz w:val="22"/>
                <w:szCs w:val="22"/>
              </w:rPr>
              <w:t xml:space="preserve"> a</w:t>
            </w:r>
            <w:r w:rsidRPr="00194957">
              <w:rPr>
                <w:sz w:val="22"/>
                <w:szCs w:val="22"/>
              </w:rPr>
              <w:t xml:space="preserve"> current </w:t>
            </w:r>
            <w:r w:rsidR="004B0FAD" w:rsidRPr="00194957">
              <w:rPr>
                <w:sz w:val="22"/>
                <w:szCs w:val="22"/>
              </w:rPr>
              <w:t>or former employee and prospective employee</w:t>
            </w:r>
          </w:p>
        </w:tc>
        <w:tc>
          <w:tcPr>
            <w:tcW w:w="2520" w:type="dxa"/>
            <w:tcBorders>
              <w:bottom w:val="single" w:sz="12" w:space="0" w:color="000000"/>
            </w:tcBorders>
            <w:shd w:val="clear" w:color="auto" w:fill="auto"/>
          </w:tcPr>
          <w:p w14:paraId="731312E6" w14:textId="77777777" w:rsidR="00536B99" w:rsidRPr="00194957" w:rsidRDefault="00536B99" w:rsidP="00194957">
            <w:pPr>
              <w:pStyle w:val="TableHead"/>
              <w:spacing w:after="120"/>
              <w:jc w:val="right"/>
              <w:rPr>
                <w:sz w:val="22"/>
                <w:szCs w:val="22"/>
              </w:rPr>
            </w:pPr>
            <w:r w:rsidRPr="00194957">
              <w:rPr>
                <w:sz w:val="22"/>
                <w:szCs w:val="22"/>
              </w:rPr>
              <w:t>Number of decisions</w:t>
            </w:r>
          </w:p>
        </w:tc>
      </w:tr>
      <w:tr w:rsidR="00536B99" w:rsidRPr="00194957" w14:paraId="426FAC3F" w14:textId="77777777" w:rsidTr="00657A3B">
        <w:tc>
          <w:tcPr>
            <w:tcW w:w="6506" w:type="dxa"/>
            <w:tcBorders>
              <w:top w:val="single" w:sz="12" w:space="0" w:color="000000"/>
            </w:tcBorders>
            <w:shd w:val="clear" w:color="auto" w:fill="auto"/>
          </w:tcPr>
          <w:p w14:paraId="6471D47E" w14:textId="34F48FA8" w:rsidR="002665FF" w:rsidRPr="00194957" w:rsidRDefault="00536B99" w:rsidP="00194957">
            <w:pPr>
              <w:pStyle w:val="TableRowHead"/>
              <w:spacing w:after="120"/>
              <w:rPr>
                <w:rFonts w:ascii="Gill Sans MT" w:hAnsi="Gill Sans MT"/>
                <w:b w:val="0"/>
                <w:sz w:val="22"/>
                <w:szCs w:val="22"/>
              </w:rPr>
            </w:pPr>
            <w:r w:rsidRPr="00194957">
              <w:rPr>
                <w:rFonts w:ascii="Gill Sans MT" w:hAnsi="Gill Sans MT"/>
                <w:b w:val="0"/>
                <w:sz w:val="22"/>
                <w:szCs w:val="22"/>
              </w:rPr>
              <w:t xml:space="preserve">Decisions concerning a current </w:t>
            </w:r>
            <w:r w:rsidR="004B0FAD" w:rsidRPr="00194957">
              <w:rPr>
                <w:rFonts w:ascii="Gill Sans MT" w:hAnsi="Gill Sans MT"/>
                <w:b w:val="0"/>
                <w:sz w:val="22"/>
                <w:szCs w:val="22"/>
              </w:rPr>
              <w:t xml:space="preserve">or former </w:t>
            </w:r>
            <w:r w:rsidRPr="00194957">
              <w:rPr>
                <w:rFonts w:ascii="Gill Sans MT" w:hAnsi="Gill Sans MT"/>
                <w:b w:val="0"/>
                <w:sz w:val="22"/>
                <w:szCs w:val="22"/>
              </w:rPr>
              <w:t>employee</w:t>
            </w:r>
          </w:p>
        </w:tc>
        <w:tc>
          <w:tcPr>
            <w:tcW w:w="2520" w:type="dxa"/>
            <w:tcBorders>
              <w:top w:val="single" w:sz="12" w:space="0" w:color="000000"/>
            </w:tcBorders>
            <w:shd w:val="clear" w:color="auto" w:fill="auto"/>
          </w:tcPr>
          <w:p w14:paraId="7DF1DB1C" w14:textId="77777777" w:rsidR="00536B99" w:rsidRPr="00194957" w:rsidRDefault="00536B99" w:rsidP="00194957">
            <w:pPr>
              <w:pStyle w:val="TableCell"/>
              <w:spacing w:after="120"/>
              <w:jc w:val="right"/>
              <w:rPr>
                <w:sz w:val="22"/>
                <w:szCs w:val="22"/>
              </w:rPr>
            </w:pPr>
            <w:r w:rsidRPr="00194957">
              <w:rPr>
                <w:sz w:val="22"/>
                <w:szCs w:val="22"/>
              </w:rPr>
              <w:t>74</w:t>
            </w:r>
          </w:p>
        </w:tc>
      </w:tr>
      <w:tr w:rsidR="00536B99" w:rsidRPr="00194957" w14:paraId="1FC51330" w14:textId="77777777" w:rsidTr="00657A3B">
        <w:tc>
          <w:tcPr>
            <w:tcW w:w="6506" w:type="dxa"/>
            <w:shd w:val="clear" w:color="auto" w:fill="auto"/>
          </w:tcPr>
          <w:p w14:paraId="512FB617" w14:textId="54BFFA5D" w:rsidR="002665FF" w:rsidRPr="00194957" w:rsidRDefault="00536B99" w:rsidP="00194957">
            <w:pPr>
              <w:pStyle w:val="TableRowHead"/>
              <w:spacing w:after="120"/>
              <w:rPr>
                <w:rFonts w:ascii="Gill Sans MT" w:hAnsi="Gill Sans MT"/>
                <w:b w:val="0"/>
                <w:sz w:val="22"/>
                <w:szCs w:val="22"/>
              </w:rPr>
            </w:pPr>
            <w:r w:rsidRPr="00194957">
              <w:rPr>
                <w:rFonts w:ascii="Gill Sans MT" w:hAnsi="Gill Sans MT"/>
                <w:b w:val="0"/>
                <w:sz w:val="22"/>
                <w:szCs w:val="22"/>
              </w:rPr>
              <w:t>Decisions concerning a prospective employee</w:t>
            </w:r>
          </w:p>
        </w:tc>
        <w:tc>
          <w:tcPr>
            <w:tcW w:w="2520" w:type="dxa"/>
            <w:shd w:val="clear" w:color="auto" w:fill="auto"/>
          </w:tcPr>
          <w:p w14:paraId="2E697BF4" w14:textId="77777777" w:rsidR="00536B99" w:rsidRPr="00194957" w:rsidRDefault="00536B99" w:rsidP="00194957">
            <w:pPr>
              <w:pStyle w:val="TableCell"/>
              <w:spacing w:after="120"/>
              <w:jc w:val="right"/>
              <w:rPr>
                <w:sz w:val="22"/>
                <w:szCs w:val="22"/>
              </w:rPr>
            </w:pPr>
            <w:r w:rsidRPr="00194957">
              <w:rPr>
                <w:sz w:val="22"/>
                <w:szCs w:val="22"/>
              </w:rPr>
              <w:t>8</w:t>
            </w:r>
          </w:p>
        </w:tc>
      </w:tr>
      <w:tr w:rsidR="00536B99" w:rsidRPr="00194957" w14:paraId="204581F9" w14:textId="77777777" w:rsidTr="00657A3B">
        <w:tc>
          <w:tcPr>
            <w:tcW w:w="6506" w:type="dxa"/>
            <w:shd w:val="clear" w:color="auto" w:fill="auto"/>
          </w:tcPr>
          <w:p w14:paraId="667DE037" w14:textId="44A85B9D" w:rsidR="002665FF" w:rsidRPr="00194957" w:rsidRDefault="00536B99" w:rsidP="00194957">
            <w:pPr>
              <w:pStyle w:val="TableRowHead"/>
              <w:spacing w:after="120"/>
              <w:rPr>
                <w:rFonts w:ascii="Gill Sans MT" w:hAnsi="Gill Sans MT"/>
                <w:b w:val="0"/>
                <w:sz w:val="22"/>
                <w:szCs w:val="22"/>
              </w:rPr>
            </w:pPr>
            <w:r w:rsidRPr="00194957">
              <w:rPr>
                <w:rFonts w:ascii="Gill Sans MT" w:hAnsi="Gill Sans MT"/>
                <w:b w:val="0"/>
                <w:sz w:val="22"/>
                <w:szCs w:val="22"/>
              </w:rPr>
              <w:t>Total number of decisions analysed</w:t>
            </w:r>
          </w:p>
        </w:tc>
        <w:tc>
          <w:tcPr>
            <w:tcW w:w="2520" w:type="dxa"/>
            <w:shd w:val="clear" w:color="auto" w:fill="auto"/>
          </w:tcPr>
          <w:p w14:paraId="060F9EA3" w14:textId="77777777" w:rsidR="00536B99" w:rsidRPr="00194957" w:rsidRDefault="00536B99" w:rsidP="00194957">
            <w:pPr>
              <w:pStyle w:val="TableCell"/>
              <w:spacing w:after="120"/>
              <w:jc w:val="right"/>
              <w:rPr>
                <w:sz w:val="22"/>
                <w:szCs w:val="22"/>
              </w:rPr>
            </w:pPr>
            <w:r w:rsidRPr="00194957">
              <w:rPr>
                <w:sz w:val="22"/>
                <w:szCs w:val="22"/>
              </w:rPr>
              <w:t>82</w:t>
            </w:r>
          </w:p>
        </w:tc>
      </w:tr>
    </w:tbl>
    <w:p w14:paraId="2597EE1F" w14:textId="77777777" w:rsidR="00536B99" w:rsidRPr="004841EF" w:rsidRDefault="00536B99" w:rsidP="00536B99">
      <w:pPr>
        <w:rPr>
          <w:rFonts w:cs="Arial Bold"/>
          <w:b/>
          <w:bCs/>
        </w:rPr>
      </w:pPr>
    </w:p>
    <w:p w14:paraId="2F6020B3" w14:textId="75A8DFAE" w:rsidR="004B0FAD" w:rsidRPr="004841EF" w:rsidRDefault="004B0FAD" w:rsidP="004B0FAD">
      <w:pPr>
        <w:pStyle w:val="Heading3"/>
      </w:pPr>
      <w:bookmarkStart w:id="226" w:name="_Toc26192115"/>
      <w:r w:rsidRPr="004841EF">
        <w:t xml:space="preserve">3.2.3. Decisions analysed concerning a private sector employer, a public sector employer and a community </w:t>
      </w:r>
      <w:r w:rsidR="006C313D" w:rsidRPr="004841EF">
        <w:t>or</w:t>
      </w:r>
      <w:r w:rsidRPr="004841EF">
        <w:t xml:space="preserve"> voluntary sector employer</w:t>
      </w:r>
      <w:bookmarkEnd w:id="226"/>
    </w:p>
    <w:p w14:paraId="17537BF5" w14:textId="6E9C591B" w:rsidR="00536B99" w:rsidRPr="004841EF" w:rsidRDefault="00536B99" w:rsidP="00536B99">
      <w:pPr>
        <w:rPr>
          <w:rFonts w:cs="Arial Bold"/>
          <w:b/>
          <w:bCs/>
        </w:rPr>
      </w:pPr>
      <w:r w:rsidRPr="004841EF">
        <w:t>In the majority of decisions analysed as part of this review, employees took cases against private sector employers.</w:t>
      </w:r>
      <w:r w:rsidR="00415EBC" w:rsidRPr="004841EF">
        <w:t xml:space="preserve"> Cases against public sector bodies represented less than 25% of all </w:t>
      </w:r>
      <w:r w:rsidR="00415EBC" w:rsidRPr="004841EF">
        <w:lastRenderedPageBreak/>
        <w:t>those which were examined.</w:t>
      </w:r>
      <w:r w:rsidRPr="004841EF">
        <w:t xml:space="preserve"> </w:t>
      </w:r>
      <w:r w:rsidR="00976F39" w:rsidRPr="004841EF">
        <w:t xml:space="preserve">Four cases were taken against community and voluntary </w:t>
      </w:r>
      <w:r w:rsidR="00FA048A" w:rsidRPr="004841EF">
        <w:t xml:space="preserve">sector </w:t>
      </w:r>
      <w:r w:rsidR="00976F39" w:rsidRPr="004841EF">
        <w:t xml:space="preserve">employers. In four other cases, the nature of the employment was unclear. </w:t>
      </w:r>
    </w:p>
    <w:p w14:paraId="78C72BC2" w14:textId="0511742A" w:rsidR="00657A3B" w:rsidRPr="004841EF" w:rsidRDefault="00415EBC" w:rsidP="00536B99">
      <w:r w:rsidRPr="004841EF">
        <w:t>In 2012, Bolger, Bruton and Kimber reported that many of the cases taken against employers in this jurisdiction have been against public sector employers.</w:t>
      </w:r>
      <w:r w:rsidRPr="004841EF">
        <w:rPr>
          <w:rStyle w:val="FootnoteReference"/>
          <w:rFonts w:ascii="Gill Sans MT" w:hAnsi="Gill Sans MT"/>
        </w:rPr>
        <w:footnoteReference w:id="74"/>
      </w:r>
      <w:r w:rsidRPr="004841EF">
        <w:t xml:space="preserve"> The </w:t>
      </w:r>
      <w:r w:rsidR="00744A61" w:rsidRPr="004841EF">
        <w:t xml:space="preserve">reason for the </w:t>
      </w:r>
      <w:r w:rsidRPr="004841EF">
        <w:t xml:space="preserve">reduction in cases against public sector employers </w:t>
      </w:r>
      <w:r w:rsidR="009E0BC7" w:rsidRPr="004841EF">
        <w:t xml:space="preserve">since then </w:t>
      </w:r>
      <w:r w:rsidR="00744A61" w:rsidRPr="004841EF">
        <w:t>is unclear, however</w:t>
      </w:r>
      <w:r w:rsidR="00AD03DC" w:rsidRPr="004841EF">
        <w:t>,</w:t>
      </w:r>
      <w:r w:rsidR="00744A61" w:rsidRPr="004841EF">
        <w:t xml:space="preserve"> it </w:t>
      </w:r>
      <w:r w:rsidR="00DE475E" w:rsidRPr="004841EF">
        <w:t>may indicate that</w:t>
      </w:r>
      <w:r w:rsidRPr="004841EF">
        <w:t xml:space="preserve"> improvements have been achieved for those with disabilities seeking access to or currently employed with</w:t>
      </w:r>
      <w:r w:rsidR="00744A61" w:rsidRPr="004841EF">
        <w:t>in</w:t>
      </w:r>
      <w:r w:rsidR="00F8520F" w:rsidRPr="004841EF">
        <w:t xml:space="preserve"> the public service, or that good policies and procedures on reasonable accommodation exist in the public sector.</w:t>
      </w:r>
    </w:p>
    <w:p w14:paraId="09A22882" w14:textId="77777777" w:rsidR="00657A3B" w:rsidRPr="004841EF" w:rsidRDefault="00657A3B">
      <w:pPr>
        <w:spacing w:after="0"/>
      </w:pPr>
      <w:r w:rsidRPr="004841EF">
        <w:br w:type="page"/>
      </w:r>
    </w:p>
    <w:p w14:paraId="0BE6B5CE" w14:textId="559547F8" w:rsidR="00536B99" w:rsidRPr="004841EF" w:rsidRDefault="00536B99" w:rsidP="00536B99">
      <w:pPr>
        <w:spacing w:after="200" w:line="276" w:lineRule="auto"/>
        <w:rPr>
          <w:rFonts w:eastAsia="Calibri"/>
          <w:b/>
          <w:sz w:val="24"/>
          <w:szCs w:val="26"/>
        </w:rPr>
      </w:pPr>
      <w:r w:rsidRPr="004841EF">
        <w:rPr>
          <w:rFonts w:eastAsia="Calibri"/>
          <w:b/>
          <w:sz w:val="24"/>
          <w:szCs w:val="26"/>
        </w:rPr>
        <w:lastRenderedPageBreak/>
        <w:t>Table 3: Number of decisio</w:t>
      </w:r>
      <w:r w:rsidR="0051309A" w:rsidRPr="004841EF">
        <w:rPr>
          <w:rFonts w:eastAsia="Calibri"/>
          <w:b/>
          <w:sz w:val="24"/>
          <w:szCs w:val="26"/>
        </w:rPr>
        <w:t>ns analysed concerni</w:t>
      </w:r>
      <w:r w:rsidR="004B0FAD" w:rsidRPr="004841EF">
        <w:rPr>
          <w:rFonts w:eastAsia="Calibri"/>
          <w:b/>
          <w:sz w:val="24"/>
          <w:szCs w:val="26"/>
        </w:rPr>
        <w:t>ng a private sector employer,</w:t>
      </w:r>
      <w:r w:rsidR="0051309A" w:rsidRPr="004841EF">
        <w:rPr>
          <w:rFonts w:eastAsia="Calibri"/>
          <w:b/>
          <w:sz w:val="24"/>
          <w:szCs w:val="26"/>
        </w:rPr>
        <w:t xml:space="preserve"> a public sector employer</w:t>
      </w:r>
      <w:r w:rsidR="004B0FAD" w:rsidRPr="004841EF">
        <w:rPr>
          <w:rFonts w:eastAsia="Calibri"/>
          <w:b/>
          <w:sz w:val="24"/>
          <w:szCs w:val="26"/>
        </w:rPr>
        <w:t xml:space="preserve"> and a community </w:t>
      </w:r>
      <w:r w:rsidR="002966BB" w:rsidRPr="004841EF">
        <w:rPr>
          <w:rFonts w:eastAsia="Calibri"/>
          <w:b/>
          <w:sz w:val="24"/>
          <w:szCs w:val="26"/>
        </w:rPr>
        <w:t>or</w:t>
      </w:r>
      <w:r w:rsidR="004B0FAD" w:rsidRPr="004841EF">
        <w:rPr>
          <w:rFonts w:eastAsia="Calibri"/>
          <w:b/>
          <w:sz w:val="24"/>
          <w:szCs w:val="26"/>
        </w:rPr>
        <w:t xml:space="preserve"> voluntary sector employer</w:t>
      </w:r>
    </w:p>
    <w:tbl>
      <w:tblPr>
        <w:tblW w:w="902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Caption w:val="Number of decisions analysed concerning a private sector employer, a public sector employer and a community or voluntary sector employer"/>
        <w:tblDescription w:val="Number of decisions analysed concerning a private sector employer, a public sector employer and a community or voluntary sector employer"/>
      </w:tblPr>
      <w:tblGrid>
        <w:gridCol w:w="6364"/>
        <w:gridCol w:w="2662"/>
      </w:tblGrid>
      <w:tr w:rsidR="00536B99" w:rsidRPr="00B34848" w14:paraId="78DAB2EE" w14:textId="77777777" w:rsidTr="00657A3B">
        <w:trPr>
          <w:tblHeader/>
        </w:trPr>
        <w:tc>
          <w:tcPr>
            <w:tcW w:w="6364" w:type="dxa"/>
            <w:tcBorders>
              <w:bottom w:val="single" w:sz="12" w:space="0" w:color="000000"/>
            </w:tcBorders>
            <w:shd w:val="clear" w:color="auto" w:fill="auto"/>
          </w:tcPr>
          <w:p w14:paraId="2CD94AEC" w14:textId="24A7BB9A" w:rsidR="002665FF" w:rsidRPr="00B34848" w:rsidRDefault="00536B99" w:rsidP="00B34848">
            <w:pPr>
              <w:pStyle w:val="TableHead"/>
              <w:spacing w:after="120"/>
              <w:rPr>
                <w:sz w:val="22"/>
                <w:szCs w:val="22"/>
              </w:rPr>
            </w:pPr>
            <w:r w:rsidRPr="00B34848">
              <w:rPr>
                <w:sz w:val="22"/>
                <w:szCs w:val="22"/>
              </w:rPr>
              <w:t>Decisions analysed concerning private sector employer</w:t>
            </w:r>
            <w:r w:rsidR="00B77823" w:rsidRPr="00B34848">
              <w:rPr>
                <w:sz w:val="22"/>
                <w:szCs w:val="22"/>
              </w:rPr>
              <w:t>,</w:t>
            </w:r>
            <w:r w:rsidRPr="00B34848">
              <w:rPr>
                <w:sz w:val="22"/>
                <w:szCs w:val="22"/>
              </w:rPr>
              <w:t xml:space="preserve"> a public sector employer</w:t>
            </w:r>
            <w:r w:rsidR="00B77823" w:rsidRPr="00B34848">
              <w:rPr>
                <w:sz w:val="22"/>
                <w:szCs w:val="22"/>
              </w:rPr>
              <w:t xml:space="preserve"> and a community or voluntary sector employer</w:t>
            </w:r>
          </w:p>
        </w:tc>
        <w:tc>
          <w:tcPr>
            <w:tcW w:w="2662" w:type="dxa"/>
            <w:tcBorders>
              <w:bottom w:val="single" w:sz="12" w:space="0" w:color="000000"/>
            </w:tcBorders>
            <w:shd w:val="clear" w:color="auto" w:fill="auto"/>
          </w:tcPr>
          <w:p w14:paraId="271C0438" w14:textId="77777777" w:rsidR="00536B99" w:rsidRPr="00B34848" w:rsidRDefault="00536B99" w:rsidP="00B34848">
            <w:pPr>
              <w:pStyle w:val="TableHead"/>
              <w:spacing w:after="120"/>
              <w:rPr>
                <w:sz w:val="22"/>
                <w:szCs w:val="22"/>
              </w:rPr>
            </w:pPr>
            <w:r w:rsidRPr="00B34848">
              <w:rPr>
                <w:sz w:val="22"/>
                <w:szCs w:val="22"/>
              </w:rPr>
              <w:t>Number of decisions</w:t>
            </w:r>
          </w:p>
        </w:tc>
      </w:tr>
      <w:tr w:rsidR="00536B99" w:rsidRPr="00B34848" w14:paraId="3F5F909F" w14:textId="77777777" w:rsidTr="00657A3B">
        <w:tc>
          <w:tcPr>
            <w:tcW w:w="6364" w:type="dxa"/>
            <w:tcBorders>
              <w:top w:val="single" w:sz="12" w:space="0" w:color="000000"/>
            </w:tcBorders>
            <w:shd w:val="clear" w:color="auto" w:fill="auto"/>
          </w:tcPr>
          <w:p w14:paraId="790F4573" w14:textId="179F224B" w:rsidR="002665FF" w:rsidRPr="00B34848" w:rsidRDefault="00536B99" w:rsidP="00B34848">
            <w:pPr>
              <w:pStyle w:val="TableRowHead"/>
              <w:spacing w:after="120"/>
              <w:rPr>
                <w:rFonts w:ascii="Gill Sans MT" w:hAnsi="Gill Sans MT"/>
                <w:b w:val="0"/>
                <w:sz w:val="22"/>
                <w:szCs w:val="22"/>
              </w:rPr>
            </w:pPr>
            <w:r w:rsidRPr="00B34848">
              <w:rPr>
                <w:rFonts w:ascii="Gill Sans MT" w:hAnsi="Gill Sans MT"/>
                <w:b w:val="0"/>
                <w:sz w:val="22"/>
                <w:szCs w:val="22"/>
              </w:rPr>
              <w:t>Decisions concerning a private sector employer</w:t>
            </w:r>
          </w:p>
        </w:tc>
        <w:tc>
          <w:tcPr>
            <w:tcW w:w="2662" w:type="dxa"/>
            <w:tcBorders>
              <w:top w:val="single" w:sz="12" w:space="0" w:color="000000"/>
            </w:tcBorders>
            <w:shd w:val="clear" w:color="auto" w:fill="auto"/>
          </w:tcPr>
          <w:p w14:paraId="59E849AE" w14:textId="46419F38" w:rsidR="00536B99" w:rsidRPr="00B34848" w:rsidRDefault="00536B99" w:rsidP="00B34848">
            <w:pPr>
              <w:pStyle w:val="TableCell"/>
              <w:spacing w:after="120"/>
              <w:jc w:val="right"/>
              <w:rPr>
                <w:sz w:val="22"/>
                <w:szCs w:val="22"/>
              </w:rPr>
            </w:pPr>
            <w:r w:rsidRPr="00B34848">
              <w:rPr>
                <w:sz w:val="22"/>
                <w:szCs w:val="22"/>
              </w:rPr>
              <w:t>5</w:t>
            </w:r>
            <w:r w:rsidR="00976F39" w:rsidRPr="00B34848">
              <w:rPr>
                <w:sz w:val="22"/>
                <w:szCs w:val="22"/>
              </w:rPr>
              <w:t>5</w:t>
            </w:r>
          </w:p>
        </w:tc>
      </w:tr>
      <w:tr w:rsidR="00536B99" w:rsidRPr="00B34848" w14:paraId="027B7096" w14:textId="77777777" w:rsidTr="00657A3B">
        <w:tc>
          <w:tcPr>
            <w:tcW w:w="6364" w:type="dxa"/>
            <w:shd w:val="clear" w:color="auto" w:fill="auto"/>
          </w:tcPr>
          <w:p w14:paraId="503BF9A1" w14:textId="0183BB6B" w:rsidR="002665FF" w:rsidRPr="00B34848" w:rsidRDefault="00536B99" w:rsidP="00B34848">
            <w:pPr>
              <w:pStyle w:val="TableRowHead"/>
              <w:spacing w:after="120"/>
              <w:rPr>
                <w:rFonts w:ascii="Gill Sans MT" w:hAnsi="Gill Sans MT"/>
                <w:b w:val="0"/>
                <w:sz w:val="22"/>
                <w:szCs w:val="22"/>
              </w:rPr>
            </w:pPr>
            <w:r w:rsidRPr="00B34848">
              <w:rPr>
                <w:rFonts w:ascii="Gill Sans MT" w:hAnsi="Gill Sans MT"/>
                <w:b w:val="0"/>
                <w:sz w:val="22"/>
                <w:szCs w:val="22"/>
              </w:rPr>
              <w:t>Decisions concerning a public sector employer</w:t>
            </w:r>
          </w:p>
        </w:tc>
        <w:tc>
          <w:tcPr>
            <w:tcW w:w="2662" w:type="dxa"/>
            <w:shd w:val="clear" w:color="auto" w:fill="auto"/>
          </w:tcPr>
          <w:p w14:paraId="27E47579" w14:textId="77777777" w:rsidR="00536B99" w:rsidRPr="00B34848" w:rsidRDefault="00536B99" w:rsidP="00B34848">
            <w:pPr>
              <w:pStyle w:val="TableCell"/>
              <w:spacing w:after="120"/>
              <w:jc w:val="right"/>
              <w:rPr>
                <w:sz w:val="22"/>
                <w:szCs w:val="22"/>
              </w:rPr>
            </w:pPr>
            <w:r w:rsidRPr="00B34848">
              <w:rPr>
                <w:sz w:val="22"/>
                <w:szCs w:val="22"/>
              </w:rPr>
              <w:t>19</w:t>
            </w:r>
          </w:p>
        </w:tc>
      </w:tr>
      <w:tr w:rsidR="00976F39" w:rsidRPr="00B34848" w14:paraId="64E7DEF1" w14:textId="77777777" w:rsidTr="00657A3B">
        <w:tc>
          <w:tcPr>
            <w:tcW w:w="6364" w:type="dxa"/>
            <w:shd w:val="clear" w:color="auto" w:fill="auto"/>
          </w:tcPr>
          <w:p w14:paraId="24822D8F" w14:textId="6F59CF5B" w:rsidR="002665FF" w:rsidRPr="00B34848" w:rsidRDefault="00976F39" w:rsidP="00B34848">
            <w:pPr>
              <w:pStyle w:val="TableRowHead"/>
              <w:spacing w:after="120"/>
              <w:rPr>
                <w:rFonts w:ascii="Gill Sans MT" w:hAnsi="Gill Sans MT"/>
                <w:b w:val="0"/>
                <w:sz w:val="22"/>
                <w:szCs w:val="22"/>
              </w:rPr>
            </w:pPr>
            <w:r w:rsidRPr="00B34848">
              <w:rPr>
                <w:rFonts w:ascii="Gill Sans MT" w:hAnsi="Gill Sans MT"/>
                <w:b w:val="0"/>
                <w:sz w:val="22"/>
                <w:szCs w:val="22"/>
              </w:rPr>
              <w:t>Decisions concerning a community and voluntary sector employer</w:t>
            </w:r>
          </w:p>
        </w:tc>
        <w:tc>
          <w:tcPr>
            <w:tcW w:w="2662" w:type="dxa"/>
            <w:shd w:val="clear" w:color="auto" w:fill="auto"/>
          </w:tcPr>
          <w:p w14:paraId="311A9C38" w14:textId="42380DB2" w:rsidR="00976F39" w:rsidRPr="00B34848" w:rsidRDefault="00976F39" w:rsidP="00B34848">
            <w:pPr>
              <w:pStyle w:val="TableCell"/>
              <w:spacing w:after="120"/>
              <w:jc w:val="right"/>
              <w:rPr>
                <w:sz w:val="22"/>
                <w:szCs w:val="22"/>
              </w:rPr>
            </w:pPr>
            <w:r w:rsidRPr="00B34848">
              <w:rPr>
                <w:sz w:val="22"/>
                <w:szCs w:val="22"/>
              </w:rPr>
              <w:t>4</w:t>
            </w:r>
          </w:p>
        </w:tc>
      </w:tr>
      <w:tr w:rsidR="00536B99" w:rsidRPr="00B34848" w14:paraId="2EA3118A" w14:textId="77777777" w:rsidTr="00657A3B">
        <w:tc>
          <w:tcPr>
            <w:tcW w:w="6364" w:type="dxa"/>
            <w:shd w:val="clear" w:color="auto" w:fill="auto"/>
          </w:tcPr>
          <w:p w14:paraId="549AE4DC" w14:textId="7CB16225" w:rsidR="002665FF" w:rsidRPr="00B34848" w:rsidRDefault="00F8520F" w:rsidP="00B34848">
            <w:pPr>
              <w:pStyle w:val="TableRowHead"/>
              <w:spacing w:after="120"/>
              <w:rPr>
                <w:rFonts w:ascii="Gill Sans MT" w:hAnsi="Gill Sans MT"/>
                <w:b w:val="0"/>
                <w:sz w:val="22"/>
                <w:szCs w:val="22"/>
              </w:rPr>
            </w:pPr>
            <w:r w:rsidRPr="00B34848">
              <w:rPr>
                <w:rFonts w:ascii="Gill Sans MT" w:hAnsi="Gill Sans MT"/>
                <w:b w:val="0"/>
                <w:sz w:val="22"/>
                <w:szCs w:val="22"/>
              </w:rPr>
              <w:t xml:space="preserve">Not </w:t>
            </w:r>
            <w:r w:rsidR="00536B99" w:rsidRPr="00B34848">
              <w:rPr>
                <w:rFonts w:ascii="Gill Sans MT" w:hAnsi="Gill Sans MT"/>
                <w:b w:val="0"/>
                <w:sz w:val="22"/>
                <w:szCs w:val="22"/>
              </w:rPr>
              <w:t>clear</w:t>
            </w:r>
          </w:p>
        </w:tc>
        <w:tc>
          <w:tcPr>
            <w:tcW w:w="2662" w:type="dxa"/>
            <w:shd w:val="clear" w:color="auto" w:fill="auto"/>
          </w:tcPr>
          <w:p w14:paraId="554AB8DE" w14:textId="3105F26B" w:rsidR="00536B99" w:rsidRPr="00B34848" w:rsidRDefault="00976F39" w:rsidP="00B34848">
            <w:pPr>
              <w:pStyle w:val="TableCell"/>
              <w:spacing w:after="120"/>
              <w:jc w:val="right"/>
              <w:rPr>
                <w:sz w:val="22"/>
                <w:szCs w:val="22"/>
              </w:rPr>
            </w:pPr>
            <w:r w:rsidRPr="00B34848">
              <w:rPr>
                <w:sz w:val="22"/>
                <w:szCs w:val="22"/>
              </w:rPr>
              <w:t>4</w:t>
            </w:r>
          </w:p>
        </w:tc>
      </w:tr>
      <w:tr w:rsidR="00536B99" w:rsidRPr="00B34848" w14:paraId="3B91CD3E" w14:textId="77777777" w:rsidTr="00657A3B">
        <w:tc>
          <w:tcPr>
            <w:tcW w:w="6364" w:type="dxa"/>
            <w:shd w:val="clear" w:color="auto" w:fill="auto"/>
          </w:tcPr>
          <w:p w14:paraId="40E49C65" w14:textId="49ADE7A5" w:rsidR="002665FF" w:rsidRPr="00B34848" w:rsidRDefault="00536B99" w:rsidP="00B34848">
            <w:pPr>
              <w:pStyle w:val="TableRowHead"/>
              <w:spacing w:after="120"/>
              <w:rPr>
                <w:rFonts w:ascii="Gill Sans MT" w:hAnsi="Gill Sans MT"/>
                <w:b w:val="0"/>
                <w:sz w:val="22"/>
                <w:szCs w:val="22"/>
              </w:rPr>
            </w:pPr>
            <w:r w:rsidRPr="00B34848">
              <w:rPr>
                <w:rFonts w:ascii="Gill Sans MT" w:hAnsi="Gill Sans MT"/>
                <w:b w:val="0"/>
                <w:sz w:val="22"/>
                <w:szCs w:val="22"/>
              </w:rPr>
              <w:t>Total number of decisions analysed</w:t>
            </w:r>
          </w:p>
        </w:tc>
        <w:tc>
          <w:tcPr>
            <w:tcW w:w="2662" w:type="dxa"/>
            <w:shd w:val="clear" w:color="auto" w:fill="auto"/>
          </w:tcPr>
          <w:p w14:paraId="1D50B08D" w14:textId="77777777" w:rsidR="00536B99" w:rsidRPr="00B34848" w:rsidRDefault="00536B99" w:rsidP="00B34848">
            <w:pPr>
              <w:pStyle w:val="TableCell"/>
              <w:spacing w:after="120"/>
              <w:jc w:val="right"/>
              <w:rPr>
                <w:sz w:val="22"/>
                <w:szCs w:val="22"/>
              </w:rPr>
            </w:pPr>
            <w:r w:rsidRPr="00B34848">
              <w:rPr>
                <w:sz w:val="22"/>
                <w:szCs w:val="22"/>
              </w:rPr>
              <w:t>82</w:t>
            </w:r>
          </w:p>
        </w:tc>
      </w:tr>
    </w:tbl>
    <w:p w14:paraId="629203C6" w14:textId="2F70DF00" w:rsidR="000503FA" w:rsidRPr="004841EF" w:rsidRDefault="000503FA" w:rsidP="000503FA">
      <w:pPr>
        <w:spacing w:after="0"/>
        <w:rPr>
          <w:szCs w:val="26"/>
        </w:rPr>
      </w:pPr>
    </w:p>
    <w:p w14:paraId="691D9284" w14:textId="2E9DC4D3" w:rsidR="004B0FAD" w:rsidRPr="004841EF" w:rsidRDefault="004B0FAD" w:rsidP="004B0FAD">
      <w:pPr>
        <w:pStyle w:val="Heading3"/>
      </w:pPr>
      <w:bookmarkStart w:id="227" w:name="_Toc26192116"/>
      <w:r w:rsidRPr="004841EF">
        <w:t xml:space="preserve">3.2.4. </w:t>
      </w:r>
      <w:r w:rsidR="0045124D" w:rsidRPr="004841EF">
        <w:t>Types of disability</w:t>
      </w:r>
      <w:r w:rsidRPr="004841EF">
        <w:t xml:space="preserve"> cited by employees and prospective employees</w:t>
      </w:r>
      <w:bookmarkEnd w:id="227"/>
    </w:p>
    <w:p w14:paraId="13F9D1E7" w14:textId="0938F50C" w:rsidR="00536B99" w:rsidRPr="004841EF" w:rsidRDefault="00536B99" w:rsidP="00536B99">
      <w:pPr>
        <w:rPr>
          <w:rFonts w:cs="Arial Bold"/>
          <w:b/>
          <w:bCs/>
        </w:rPr>
      </w:pPr>
      <w:r w:rsidRPr="004841EF">
        <w:t xml:space="preserve">The review revealed that cases had been taken against employers for failure to provide reasonable accommodations connected to a wide range of disabilities. The most commonly cited disability in this analysis was back issues. Mental health related issues, in particular depression, anxiety and stress / workplace stress, also featured prominently. Notably, there were no cases involving either </w:t>
      </w:r>
      <w:r w:rsidR="000F7C06" w:rsidRPr="004841EF">
        <w:t xml:space="preserve">persons </w:t>
      </w:r>
      <w:r w:rsidRPr="004841EF">
        <w:t xml:space="preserve">with intellectual disabilities or </w:t>
      </w:r>
      <w:r w:rsidR="000F7C06" w:rsidRPr="004841EF">
        <w:t xml:space="preserve">persons </w:t>
      </w:r>
      <w:r w:rsidRPr="004841EF">
        <w:t>with autism</w:t>
      </w:r>
      <w:r w:rsidR="00E9128F" w:rsidRPr="004841EF">
        <w:t xml:space="preserve"> in </w:t>
      </w:r>
      <w:r w:rsidR="00AD03DC" w:rsidRPr="004841EF">
        <w:t>this</w:t>
      </w:r>
      <w:r w:rsidR="000F7C06" w:rsidRPr="004841EF">
        <w:t xml:space="preserve"> </w:t>
      </w:r>
      <w:r w:rsidR="00E9128F" w:rsidRPr="004841EF">
        <w:t>review</w:t>
      </w:r>
      <w:r w:rsidRPr="004841EF">
        <w:t>.</w:t>
      </w:r>
    </w:p>
    <w:p w14:paraId="1EBCF9C9" w14:textId="410C6D5A" w:rsidR="00C7388B" w:rsidRPr="004841EF" w:rsidRDefault="00536B99" w:rsidP="00536B99">
      <w:pPr>
        <w:rPr>
          <w:b/>
        </w:rPr>
      </w:pPr>
      <w:r w:rsidRPr="004841EF">
        <w:t xml:space="preserve">In some decisions, more than one disability was cited, and each was included in the table below. In a limited number of cases, the nature of the disability was unclear, and </w:t>
      </w:r>
      <w:r w:rsidR="0051309A" w:rsidRPr="004841EF">
        <w:t xml:space="preserve">in </w:t>
      </w:r>
      <w:r w:rsidRPr="004841EF">
        <w:t xml:space="preserve">others, the disability cited was found not to constitute a disability within the meaning of Section 2 of the </w:t>
      </w:r>
      <w:r w:rsidRPr="004841EF">
        <w:rPr>
          <w:b/>
        </w:rPr>
        <w:t>Employment Equality Acts.</w:t>
      </w:r>
    </w:p>
    <w:p w14:paraId="0C2E202B" w14:textId="77777777" w:rsidR="00536B99" w:rsidRPr="004841EF" w:rsidRDefault="00536B99" w:rsidP="00536B99">
      <w:pPr>
        <w:spacing w:after="200" w:line="276" w:lineRule="auto"/>
        <w:rPr>
          <w:rFonts w:eastAsia="Calibri"/>
          <w:b/>
          <w:sz w:val="24"/>
          <w:szCs w:val="26"/>
        </w:rPr>
      </w:pPr>
      <w:r w:rsidRPr="004841EF">
        <w:rPr>
          <w:rFonts w:eastAsia="Calibri"/>
          <w:b/>
          <w:sz w:val="24"/>
          <w:szCs w:val="26"/>
        </w:rPr>
        <w:t>Table 4: Types of disability cited by employees and prospective employees</w:t>
      </w:r>
    </w:p>
    <w:tbl>
      <w:tblPr>
        <w:tblW w:w="902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Caption w:val="Types of disability cited by employees and prospective employees"/>
        <w:tblDescription w:val="Types of disability cited by employees and prospective employees"/>
      </w:tblPr>
      <w:tblGrid>
        <w:gridCol w:w="6081"/>
        <w:gridCol w:w="2945"/>
      </w:tblGrid>
      <w:tr w:rsidR="00536B99" w:rsidRPr="00194957" w14:paraId="2016E687" w14:textId="77777777" w:rsidTr="00657A3B">
        <w:trPr>
          <w:tblHeader/>
        </w:trPr>
        <w:tc>
          <w:tcPr>
            <w:tcW w:w="6081" w:type="dxa"/>
            <w:tcBorders>
              <w:bottom w:val="single" w:sz="12" w:space="0" w:color="000000"/>
            </w:tcBorders>
            <w:shd w:val="clear" w:color="auto" w:fill="auto"/>
          </w:tcPr>
          <w:p w14:paraId="6094D428" w14:textId="77777777" w:rsidR="00536B99" w:rsidRPr="00194957" w:rsidRDefault="00536B99" w:rsidP="00194957">
            <w:pPr>
              <w:pStyle w:val="TableHead"/>
              <w:spacing w:after="120"/>
              <w:rPr>
                <w:sz w:val="22"/>
                <w:szCs w:val="22"/>
              </w:rPr>
            </w:pPr>
            <w:r w:rsidRPr="00194957">
              <w:rPr>
                <w:sz w:val="22"/>
                <w:szCs w:val="22"/>
              </w:rPr>
              <w:t>Types of disability cited by employees and prospective employees</w:t>
            </w:r>
          </w:p>
        </w:tc>
        <w:tc>
          <w:tcPr>
            <w:tcW w:w="2945" w:type="dxa"/>
            <w:tcBorders>
              <w:bottom w:val="single" w:sz="12" w:space="0" w:color="000000"/>
            </w:tcBorders>
            <w:shd w:val="clear" w:color="auto" w:fill="auto"/>
          </w:tcPr>
          <w:p w14:paraId="489BE7C2" w14:textId="77777777" w:rsidR="00536B99" w:rsidRPr="00194957" w:rsidRDefault="00536B99" w:rsidP="00194957">
            <w:pPr>
              <w:pStyle w:val="TableHead"/>
              <w:spacing w:after="120"/>
              <w:rPr>
                <w:sz w:val="22"/>
                <w:szCs w:val="22"/>
              </w:rPr>
            </w:pPr>
            <w:r w:rsidRPr="00194957">
              <w:rPr>
                <w:sz w:val="22"/>
                <w:szCs w:val="22"/>
              </w:rPr>
              <w:t>Number of decisions</w:t>
            </w:r>
          </w:p>
        </w:tc>
      </w:tr>
      <w:tr w:rsidR="00536B99" w:rsidRPr="00194957" w14:paraId="301D5158" w14:textId="77777777" w:rsidTr="00657A3B">
        <w:tc>
          <w:tcPr>
            <w:tcW w:w="6081" w:type="dxa"/>
            <w:tcBorders>
              <w:top w:val="single" w:sz="12" w:space="0" w:color="000000"/>
            </w:tcBorders>
            <w:shd w:val="clear" w:color="auto" w:fill="auto"/>
          </w:tcPr>
          <w:p w14:paraId="299695D9" w14:textId="77777777" w:rsidR="00536B99" w:rsidRPr="00194957" w:rsidRDefault="00536B99" w:rsidP="00194957">
            <w:pPr>
              <w:pStyle w:val="TableRowHead"/>
              <w:spacing w:after="120"/>
              <w:rPr>
                <w:rFonts w:ascii="Gill Sans MT" w:hAnsi="Gill Sans MT"/>
                <w:b w:val="0"/>
                <w:sz w:val="22"/>
                <w:szCs w:val="22"/>
              </w:rPr>
            </w:pPr>
            <w:r w:rsidRPr="00194957">
              <w:rPr>
                <w:rFonts w:ascii="Gill Sans MT" w:hAnsi="Gill Sans MT"/>
                <w:b w:val="0"/>
                <w:sz w:val="22"/>
                <w:szCs w:val="22"/>
              </w:rPr>
              <w:t>Back issues</w:t>
            </w:r>
          </w:p>
        </w:tc>
        <w:tc>
          <w:tcPr>
            <w:tcW w:w="2945" w:type="dxa"/>
            <w:tcBorders>
              <w:top w:val="single" w:sz="12" w:space="0" w:color="000000"/>
            </w:tcBorders>
            <w:shd w:val="clear" w:color="auto" w:fill="auto"/>
          </w:tcPr>
          <w:p w14:paraId="10FF6048" w14:textId="77777777" w:rsidR="00536B99" w:rsidRPr="00194957" w:rsidRDefault="00536B99" w:rsidP="00194957">
            <w:pPr>
              <w:pStyle w:val="TableCell"/>
              <w:spacing w:after="120"/>
              <w:jc w:val="right"/>
              <w:rPr>
                <w:sz w:val="22"/>
                <w:szCs w:val="22"/>
              </w:rPr>
            </w:pPr>
            <w:r w:rsidRPr="00194957">
              <w:rPr>
                <w:sz w:val="22"/>
                <w:szCs w:val="22"/>
              </w:rPr>
              <w:t>14</w:t>
            </w:r>
          </w:p>
        </w:tc>
      </w:tr>
      <w:tr w:rsidR="00536B99" w:rsidRPr="00194957" w14:paraId="5F893E95" w14:textId="77777777" w:rsidTr="00657A3B">
        <w:tc>
          <w:tcPr>
            <w:tcW w:w="6081" w:type="dxa"/>
            <w:shd w:val="clear" w:color="auto" w:fill="auto"/>
          </w:tcPr>
          <w:p w14:paraId="6FC676BB" w14:textId="77777777" w:rsidR="00536B99" w:rsidRPr="00194957" w:rsidRDefault="00536B99" w:rsidP="00194957">
            <w:pPr>
              <w:pStyle w:val="TableRowHead"/>
              <w:spacing w:after="120"/>
              <w:rPr>
                <w:rFonts w:ascii="Gill Sans MT" w:hAnsi="Gill Sans MT"/>
                <w:b w:val="0"/>
                <w:sz w:val="22"/>
                <w:szCs w:val="22"/>
              </w:rPr>
            </w:pPr>
            <w:r w:rsidRPr="00194957">
              <w:rPr>
                <w:rFonts w:ascii="Gill Sans MT" w:hAnsi="Gill Sans MT"/>
                <w:b w:val="0"/>
                <w:sz w:val="22"/>
                <w:szCs w:val="22"/>
              </w:rPr>
              <w:t>Depression</w:t>
            </w:r>
          </w:p>
        </w:tc>
        <w:tc>
          <w:tcPr>
            <w:tcW w:w="2945" w:type="dxa"/>
            <w:shd w:val="clear" w:color="auto" w:fill="auto"/>
          </w:tcPr>
          <w:p w14:paraId="2BC5D500" w14:textId="77777777" w:rsidR="00536B99" w:rsidRPr="00194957" w:rsidRDefault="00536B99" w:rsidP="00194957">
            <w:pPr>
              <w:pStyle w:val="TableCell"/>
              <w:spacing w:after="120"/>
              <w:jc w:val="right"/>
              <w:rPr>
                <w:sz w:val="22"/>
                <w:szCs w:val="22"/>
              </w:rPr>
            </w:pPr>
            <w:r w:rsidRPr="00194957">
              <w:rPr>
                <w:sz w:val="22"/>
                <w:szCs w:val="22"/>
              </w:rPr>
              <w:t>12</w:t>
            </w:r>
          </w:p>
        </w:tc>
      </w:tr>
      <w:tr w:rsidR="00536B99" w:rsidRPr="00194957" w14:paraId="21F003F1" w14:textId="77777777" w:rsidTr="00657A3B">
        <w:tc>
          <w:tcPr>
            <w:tcW w:w="6081" w:type="dxa"/>
            <w:shd w:val="clear" w:color="auto" w:fill="auto"/>
          </w:tcPr>
          <w:p w14:paraId="2F32D550" w14:textId="77777777" w:rsidR="00536B99" w:rsidRPr="00194957" w:rsidRDefault="00536B99" w:rsidP="00194957">
            <w:pPr>
              <w:pStyle w:val="TableRowHead"/>
              <w:spacing w:after="120"/>
              <w:rPr>
                <w:rFonts w:ascii="Gill Sans MT" w:hAnsi="Gill Sans MT"/>
                <w:b w:val="0"/>
                <w:sz w:val="22"/>
                <w:szCs w:val="22"/>
              </w:rPr>
            </w:pPr>
            <w:r w:rsidRPr="00194957">
              <w:rPr>
                <w:rFonts w:ascii="Gill Sans MT" w:hAnsi="Gill Sans MT"/>
                <w:b w:val="0"/>
                <w:sz w:val="22"/>
                <w:szCs w:val="22"/>
              </w:rPr>
              <w:t>Anxiety</w:t>
            </w:r>
          </w:p>
        </w:tc>
        <w:tc>
          <w:tcPr>
            <w:tcW w:w="2945" w:type="dxa"/>
            <w:shd w:val="clear" w:color="auto" w:fill="auto"/>
          </w:tcPr>
          <w:p w14:paraId="4C2E2937" w14:textId="77777777" w:rsidR="00536B99" w:rsidRPr="00194957" w:rsidRDefault="00536B99" w:rsidP="00194957">
            <w:pPr>
              <w:pStyle w:val="TableCell"/>
              <w:spacing w:after="120"/>
              <w:jc w:val="right"/>
              <w:rPr>
                <w:sz w:val="22"/>
                <w:szCs w:val="22"/>
              </w:rPr>
            </w:pPr>
            <w:r w:rsidRPr="00194957">
              <w:rPr>
                <w:sz w:val="22"/>
                <w:szCs w:val="22"/>
              </w:rPr>
              <w:t>8</w:t>
            </w:r>
          </w:p>
        </w:tc>
      </w:tr>
      <w:tr w:rsidR="00536B99" w:rsidRPr="00194957" w14:paraId="6FC8FEF6" w14:textId="77777777" w:rsidTr="00657A3B">
        <w:tc>
          <w:tcPr>
            <w:tcW w:w="6081" w:type="dxa"/>
            <w:shd w:val="clear" w:color="auto" w:fill="auto"/>
          </w:tcPr>
          <w:p w14:paraId="0FD3E9AE" w14:textId="77777777" w:rsidR="00536B99" w:rsidRPr="00194957" w:rsidRDefault="00536B99" w:rsidP="00194957">
            <w:pPr>
              <w:pStyle w:val="TableRowHead"/>
              <w:spacing w:after="120"/>
              <w:rPr>
                <w:rFonts w:ascii="Gill Sans MT" w:hAnsi="Gill Sans MT"/>
                <w:b w:val="0"/>
                <w:sz w:val="22"/>
                <w:szCs w:val="22"/>
              </w:rPr>
            </w:pPr>
            <w:r w:rsidRPr="00194957">
              <w:rPr>
                <w:rFonts w:ascii="Gill Sans MT" w:hAnsi="Gill Sans MT"/>
                <w:b w:val="0"/>
                <w:sz w:val="22"/>
                <w:szCs w:val="22"/>
              </w:rPr>
              <w:t>Stress / Workplace Stress</w:t>
            </w:r>
          </w:p>
        </w:tc>
        <w:tc>
          <w:tcPr>
            <w:tcW w:w="2945" w:type="dxa"/>
            <w:shd w:val="clear" w:color="auto" w:fill="auto"/>
          </w:tcPr>
          <w:p w14:paraId="4FB8635E" w14:textId="77777777" w:rsidR="00536B99" w:rsidRPr="00194957" w:rsidRDefault="00536B99" w:rsidP="00194957">
            <w:pPr>
              <w:pStyle w:val="TableCell"/>
              <w:spacing w:after="120"/>
              <w:jc w:val="right"/>
              <w:rPr>
                <w:sz w:val="22"/>
                <w:szCs w:val="22"/>
              </w:rPr>
            </w:pPr>
            <w:r w:rsidRPr="00194957">
              <w:rPr>
                <w:sz w:val="22"/>
                <w:szCs w:val="22"/>
              </w:rPr>
              <w:t>6</w:t>
            </w:r>
          </w:p>
        </w:tc>
      </w:tr>
      <w:tr w:rsidR="00536B99" w:rsidRPr="00194957" w14:paraId="5780672B" w14:textId="77777777" w:rsidTr="00657A3B">
        <w:tc>
          <w:tcPr>
            <w:tcW w:w="6081" w:type="dxa"/>
            <w:shd w:val="clear" w:color="auto" w:fill="auto"/>
          </w:tcPr>
          <w:p w14:paraId="0CEA2034" w14:textId="77777777" w:rsidR="00536B99" w:rsidRPr="00194957" w:rsidRDefault="00536B99" w:rsidP="00194957">
            <w:pPr>
              <w:pStyle w:val="TableRowHead"/>
              <w:spacing w:after="120"/>
              <w:rPr>
                <w:rFonts w:ascii="Gill Sans MT" w:hAnsi="Gill Sans MT"/>
                <w:b w:val="0"/>
                <w:sz w:val="22"/>
                <w:szCs w:val="22"/>
              </w:rPr>
            </w:pPr>
            <w:r w:rsidRPr="00194957">
              <w:rPr>
                <w:rFonts w:ascii="Gill Sans MT" w:hAnsi="Gill Sans MT"/>
                <w:b w:val="0"/>
                <w:sz w:val="22"/>
                <w:szCs w:val="22"/>
              </w:rPr>
              <w:lastRenderedPageBreak/>
              <w:t>Physical disability (unspecified)</w:t>
            </w:r>
          </w:p>
        </w:tc>
        <w:tc>
          <w:tcPr>
            <w:tcW w:w="2945" w:type="dxa"/>
            <w:shd w:val="clear" w:color="auto" w:fill="auto"/>
          </w:tcPr>
          <w:p w14:paraId="0CE20FAF" w14:textId="77777777" w:rsidR="00536B99" w:rsidRPr="00194957" w:rsidRDefault="00536B99" w:rsidP="00194957">
            <w:pPr>
              <w:pStyle w:val="TableCell"/>
              <w:spacing w:after="120"/>
              <w:jc w:val="right"/>
              <w:rPr>
                <w:sz w:val="22"/>
                <w:szCs w:val="22"/>
              </w:rPr>
            </w:pPr>
            <w:r w:rsidRPr="00194957">
              <w:rPr>
                <w:sz w:val="22"/>
                <w:szCs w:val="22"/>
              </w:rPr>
              <w:t>4</w:t>
            </w:r>
          </w:p>
        </w:tc>
      </w:tr>
      <w:tr w:rsidR="00536B99" w:rsidRPr="00194957" w14:paraId="56C2071E" w14:textId="77777777" w:rsidTr="00657A3B">
        <w:tc>
          <w:tcPr>
            <w:tcW w:w="6081" w:type="dxa"/>
            <w:shd w:val="clear" w:color="auto" w:fill="auto"/>
          </w:tcPr>
          <w:p w14:paraId="7402B81B" w14:textId="77777777" w:rsidR="00536B99" w:rsidRPr="00194957" w:rsidRDefault="00536B99" w:rsidP="00194957">
            <w:pPr>
              <w:pStyle w:val="TableRowHead"/>
              <w:spacing w:after="120"/>
              <w:rPr>
                <w:rFonts w:ascii="Gill Sans MT" w:hAnsi="Gill Sans MT"/>
                <w:b w:val="0"/>
                <w:sz w:val="22"/>
                <w:szCs w:val="22"/>
              </w:rPr>
            </w:pPr>
            <w:r w:rsidRPr="00194957">
              <w:rPr>
                <w:rFonts w:ascii="Gill Sans MT" w:hAnsi="Gill Sans MT"/>
                <w:b w:val="0"/>
                <w:sz w:val="22"/>
                <w:szCs w:val="22"/>
              </w:rPr>
              <w:t>Multiple Sclerosis</w:t>
            </w:r>
          </w:p>
        </w:tc>
        <w:tc>
          <w:tcPr>
            <w:tcW w:w="2945" w:type="dxa"/>
            <w:shd w:val="clear" w:color="auto" w:fill="auto"/>
          </w:tcPr>
          <w:p w14:paraId="275DDBB2" w14:textId="77777777" w:rsidR="00536B99" w:rsidRPr="00194957" w:rsidRDefault="00536B99" w:rsidP="00194957">
            <w:pPr>
              <w:pStyle w:val="TableCell"/>
              <w:spacing w:after="120"/>
              <w:jc w:val="right"/>
              <w:rPr>
                <w:sz w:val="22"/>
                <w:szCs w:val="22"/>
              </w:rPr>
            </w:pPr>
            <w:r w:rsidRPr="00194957">
              <w:rPr>
                <w:sz w:val="22"/>
                <w:szCs w:val="22"/>
              </w:rPr>
              <w:t>4</w:t>
            </w:r>
          </w:p>
        </w:tc>
      </w:tr>
      <w:tr w:rsidR="00536B99" w:rsidRPr="00194957" w14:paraId="74DB4843" w14:textId="77777777" w:rsidTr="00657A3B">
        <w:tc>
          <w:tcPr>
            <w:tcW w:w="6081" w:type="dxa"/>
            <w:shd w:val="clear" w:color="auto" w:fill="auto"/>
          </w:tcPr>
          <w:p w14:paraId="6C97E05D" w14:textId="77777777" w:rsidR="00536B99" w:rsidRPr="00194957" w:rsidRDefault="00536B99" w:rsidP="00194957">
            <w:pPr>
              <w:pStyle w:val="TableRowHead"/>
              <w:spacing w:after="120"/>
              <w:rPr>
                <w:rFonts w:ascii="Gill Sans MT" w:hAnsi="Gill Sans MT"/>
                <w:b w:val="0"/>
                <w:sz w:val="22"/>
                <w:szCs w:val="22"/>
              </w:rPr>
            </w:pPr>
            <w:r w:rsidRPr="00194957">
              <w:rPr>
                <w:rFonts w:ascii="Gill Sans MT" w:hAnsi="Gill Sans MT"/>
                <w:b w:val="0"/>
                <w:sz w:val="22"/>
                <w:szCs w:val="22"/>
              </w:rPr>
              <w:t>Fibromyalgia</w:t>
            </w:r>
          </w:p>
        </w:tc>
        <w:tc>
          <w:tcPr>
            <w:tcW w:w="2945" w:type="dxa"/>
            <w:shd w:val="clear" w:color="auto" w:fill="auto"/>
          </w:tcPr>
          <w:p w14:paraId="19874128" w14:textId="77777777" w:rsidR="00536B99" w:rsidRPr="00194957" w:rsidRDefault="00536B99" w:rsidP="00194957">
            <w:pPr>
              <w:pStyle w:val="TableCell"/>
              <w:spacing w:after="120"/>
              <w:jc w:val="right"/>
              <w:rPr>
                <w:sz w:val="22"/>
                <w:szCs w:val="22"/>
              </w:rPr>
            </w:pPr>
            <w:r w:rsidRPr="00194957">
              <w:rPr>
                <w:sz w:val="22"/>
                <w:szCs w:val="22"/>
              </w:rPr>
              <w:t>3</w:t>
            </w:r>
          </w:p>
        </w:tc>
      </w:tr>
      <w:tr w:rsidR="00536B99" w:rsidRPr="00194957" w14:paraId="02012465" w14:textId="77777777" w:rsidTr="00657A3B">
        <w:tc>
          <w:tcPr>
            <w:tcW w:w="6081" w:type="dxa"/>
            <w:shd w:val="clear" w:color="auto" w:fill="auto"/>
          </w:tcPr>
          <w:p w14:paraId="1B701D0A" w14:textId="77777777" w:rsidR="00536B99" w:rsidRPr="00194957" w:rsidRDefault="00536B99" w:rsidP="00194957">
            <w:pPr>
              <w:pStyle w:val="TableRowHead"/>
              <w:spacing w:after="120"/>
              <w:rPr>
                <w:rFonts w:ascii="Gill Sans MT" w:hAnsi="Gill Sans MT"/>
                <w:b w:val="0"/>
                <w:sz w:val="22"/>
                <w:szCs w:val="22"/>
              </w:rPr>
            </w:pPr>
            <w:r w:rsidRPr="00194957">
              <w:rPr>
                <w:rFonts w:ascii="Gill Sans MT" w:hAnsi="Gill Sans MT"/>
                <w:b w:val="0"/>
                <w:sz w:val="22"/>
                <w:szCs w:val="22"/>
              </w:rPr>
              <w:t>Epilepsy</w:t>
            </w:r>
          </w:p>
        </w:tc>
        <w:tc>
          <w:tcPr>
            <w:tcW w:w="2945" w:type="dxa"/>
            <w:shd w:val="clear" w:color="auto" w:fill="auto"/>
          </w:tcPr>
          <w:p w14:paraId="3716D549" w14:textId="77777777" w:rsidR="00536B99" w:rsidRPr="00194957" w:rsidRDefault="00536B99" w:rsidP="00194957">
            <w:pPr>
              <w:pStyle w:val="TableCell"/>
              <w:spacing w:after="120"/>
              <w:jc w:val="right"/>
              <w:rPr>
                <w:sz w:val="22"/>
                <w:szCs w:val="22"/>
              </w:rPr>
            </w:pPr>
            <w:r w:rsidRPr="00194957">
              <w:rPr>
                <w:sz w:val="22"/>
                <w:szCs w:val="22"/>
              </w:rPr>
              <w:t>3</w:t>
            </w:r>
          </w:p>
        </w:tc>
      </w:tr>
      <w:tr w:rsidR="00536B99" w:rsidRPr="00194957" w14:paraId="242DE88A" w14:textId="77777777" w:rsidTr="00657A3B">
        <w:tc>
          <w:tcPr>
            <w:tcW w:w="6081" w:type="dxa"/>
            <w:shd w:val="clear" w:color="auto" w:fill="auto"/>
          </w:tcPr>
          <w:p w14:paraId="00DDE620" w14:textId="77777777" w:rsidR="00536B99" w:rsidRPr="00194957" w:rsidRDefault="00536B99" w:rsidP="00194957">
            <w:pPr>
              <w:pStyle w:val="TableRowHead"/>
              <w:spacing w:after="120"/>
              <w:rPr>
                <w:rFonts w:ascii="Gill Sans MT" w:hAnsi="Gill Sans MT"/>
                <w:b w:val="0"/>
                <w:sz w:val="22"/>
                <w:szCs w:val="22"/>
              </w:rPr>
            </w:pPr>
            <w:r w:rsidRPr="00194957">
              <w:rPr>
                <w:rFonts w:ascii="Gill Sans MT" w:hAnsi="Gill Sans MT"/>
                <w:b w:val="0"/>
                <w:sz w:val="22"/>
                <w:szCs w:val="22"/>
              </w:rPr>
              <w:t>Cancer</w:t>
            </w:r>
            <w:r w:rsidR="00871D68" w:rsidRPr="00194957">
              <w:rPr>
                <w:rFonts w:ascii="Gill Sans MT" w:hAnsi="Gill Sans MT"/>
                <w:b w:val="0"/>
                <w:sz w:val="22"/>
                <w:szCs w:val="22"/>
              </w:rPr>
              <w:t xml:space="preserve"> (various types)</w:t>
            </w:r>
          </w:p>
        </w:tc>
        <w:tc>
          <w:tcPr>
            <w:tcW w:w="2945" w:type="dxa"/>
            <w:shd w:val="clear" w:color="auto" w:fill="auto"/>
          </w:tcPr>
          <w:p w14:paraId="5BD20C47" w14:textId="77777777" w:rsidR="00536B99" w:rsidRPr="00194957" w:rsidRDefault="00536B99" w:rsidP="00194957">
            <w:pPr>
              <w:pStyle w:val="TableCell"/>
              <w:spacing w:after="120"/>
              <w:jc w:val="right"/>
              <w:rPr>
                <w:sz w:val="22"/>
                <w:szCs w:val="22"/>
              </w:rPr>
            </w:pPr>
            <w:r w:rsidRPr="00194957">
              <w:rPr>
                <w:sz w:val="22"/>
                <w:szCs w:val="22"/>
              </w:rPr>
              <w:t>3</w:t>
            </w:r>
          </w:p>
        </w:tc>
      </w:tr>
      <w:tr w:rsidR="00536B99" w:rsidRPr="00194957" w14:paraId="00FA21FB" w14:textId="77777777" w:rsidTr="00657A3B">
        <w:tc>
          <w:tcPr>
            <w:tcW w:w="6081" w:type="dxa"/>
            <w:shd w:val="clear" w:color="auto" w:fill="auto"/>
          </w:tcPr>
          <w:p w14:paraId="103EBA52" w14:textId="77777777" w:rsidR="00536B99" w:rsidRPr="00194957" w:rsidRDefault="00536B99" w:rsidP="00194957">
            <w:pPr>
              <w:pStyle w:val="TableRowHead"/>
              <w:spacing w:after="120"/>
              <w:rPr>
                <w:rFonts w:ascii="Gill Sans MT" w:hAnsi="Gill Sans MT"/>
                <w:b w:val="0"/>
                <w:sz w:val="22"/>
                <w:szCs w:val="22"/>
              </w:rPr>
            </w:pPr>
            <w:r w:rsidRPr="00194957">
              <w:rPr>
                <w:rFonts w:ascii="Gill Sans MT" w:hAnsi="Gill Sans MT"/>
                <w:b w:val="0"/>
                <w:sz w:val="22"/>
                <w:szCs w:val="22"/>
              </w:rPr>
              <w:t>Deafness / hearing loss / hearing difficulties</w:t>
            </w:r>
          </w:p>
        </w:tc>
        <w:tc>
          <w:tcPr>
            <w:tcW w:w="2945" w:type="dxa"/>
            <w:shd w:val="clear" w:color="auto" w:fill="auto"/>
          </w:tcPr>
          <w:p w14:paraId="517E9A81" w14:textId="77777777" w:rsidR="00536B99" w:rsidRPr="00194957" w:rsidRDefault="00536B99" w:rsidP="00194957">
            <w:pPr>
              <w:pStyle w:val="TableCell"/>
              <w:spacing w:after="120"/>
              <w:jc w:val="right"/>
              <w:rPr>
                <w:sz w:val="22"/>
                <w:szCs w:val="22"/>
              </w:rPr>
            </w:pPr>
            <w:r w:rsidRPr="00194957">
              <w:rPr>
                <w:sz w:val="22"/>
                <w:szCs w:val="22"/>
              </w:rPr>
              <w:t>3</w:t>
            </w:r>
          </w:p>
        </w:tc>
      </w:tr>
      <w:tr w:rsidR="00536B99" w:rsidRPr="00194957" w14:paraId="6109DE10" w14:textId="77777777" w:rsidTr="00657A3B">
        <w:tc>
          <w:tcPr>
            <w:tcW w:w="6081" w:type="dxa"/>
            <w:shd w:val="clear" w:color="auto" w:fill="auto"/>
          </w:tcPr>
          <w:p w14:paraId="16F648DE" w14:textId="77777777" w:rsidR="00536B99" w:rsidRPr="00194957" w:rsidRDefault="00536B99" w:rsidP="00194957">
            <w:pPr>
              <w:pStyle w:val="TableRowHead"/>
              <w:spacing w:after="120"/>
              <w:rPr>
                <w:rFonts w:ascii="Gill Sans MT" w:hAnsi="Gill Sans MT"/>
                <w:b w:val="0"/>
                <w:sz w:val="22"/>
                <w:szCs w:val="22"/>
              </w:rPr>
            </w:pPr>
            <w:r w:rsidRPr="00194957">
              <w:rPr>
                <w:rFonts w:ascii="Gill Sans MT" w:hAnsi="Gill Sans MT"/>
                <w:b w:val="0"/>
                <w:sz w:val="22"/>
                <w:szCs w:val="22"/>
              </w:rPr>
              <w:t>Unclear</w:t>
            </w:r>
          </w:p>
        </w:tc>
        <w:tc>
          <w:tcPr>
            <w:tcW w:w="2945" w:type="dxa"/>
            <w:shd w:val="clear" w:color="auto" w:fill="auto"/>
          </w:tcPr>
          <w:p w14:paraId="01562659" w14:textId="77777777" w:rsidR="00536B99" w:rsidRPr="00194957" w:rsidRDefault="00536B99" w:rsidP="00194957">
            <w:pPr>
              <w:pStyle w:val="TableCell"/>
              <w:spacing w:after="120"/>
              <w:jc w:val="right"/>
              <w:rPr>
                <w:sz w:val="22"/>
                <w:szCs w:val="22"/>
              </w:rPr>
            </w:pPr>
            <w:r w:rsidRPr="00194957">
              <w:rPr>
                <w:sz w:val="22"/>
                <w:szCs w:val="22"/>
              </w:rPr>
              <w:t>2</w:t>
            </w:r>
          </w:p>
        </w:tc>
      </w:tr>
      <w:tr w:rsidR="00536B99" w:rsidRPr="00194957" w14:paraId="54B28FB9" w14:textId="77777777" w:rsidTr="00657A3B">
        <w:tc>
          <w:tcPr>
            <w:tcW w:w="6081" w:type="dxa"/>
            <w:shd w:val="clear" w:color="auto" w:fill="auto"/>
          </w:tcPr>
          <w:p w14:paraId="5298F713" w14:textId="77777777" w:rsidR="00536B99" w:rsidRPr="00194957" w:rsidRDefault="00536B99" w:rsidP="00194957">
            <w:pPr>
              <w:pStyle w:val="TableRowHead"/>
              <w:spacing w:after="120"/>
              <w:rPr>
                <w:rFonts w:ascii="Gill Sans MT" w:hAnsi="Gill Sans MT"/>
                <w:b w:val="0"/>
                <w:sz w:val="22"/>
                <w:szCs w:val="22"/>
              </w:rPr>
            </w:pPr>
            <w:r w:rsidRPr="00194957">
              <w:rPr>
                <w:rFonts w:ascii="Gill Sans MT" w:hAnsi="Gill Sans MT"/>
                <w:b w:val="0"/>
                <w:sz w:val="22"/>
                <w:szCs w:val="22"/>
              </w:rPr>
              <w:t>Adult Attention Deficit Disorder</w:t>
            </w:r>
          </w:p>
        </w:tc>
        <w:tc>
          <w:tcPr>
            <w:tcW w:w="2945" w:type="dxa"/>
            <w:shd w:val="clear" w:color="auto" w:fill="auto"/>
          </w:tcPr>
          <w:p w14:paraId="514B66C6" w14:textId="77777777" w:rsidR="00536B99" w:rsidRPr="00194957" w:rsidRDefault="00536B99" w:rsidP="00194957">
            <w:pPr>
              <w:pStyle w:val="TableCell"/>
              <w:spacing w:after="120"/>
              <w:jc w:val="right"/>
              <w:rPr>
                <w:sz w:val="22"/>
                <w:szCs w:val="22"/>
              </w:rPr>
            </w:pPr>
            <w:r w:rsidRPr="00194957">
              <w:rPr>
                <w:sz w:val="22"/>
                <w:szCs w:val="22"/>
              </w:rPr>
              <w:t>2</w:t>
            </w:r>
          </w:p>
        </w:tc>
      </w:tr>
      <w:tr w:rsidR="00536B99" w:rsidRPr="00194957" w14:paraId="56621B7F" w14:textId="77777777" w:rsidTr="00657A3B">
        <w:tc>
          <w:tcPr>
            <w:tcW w:w="6081" w:type="dxa"/>
            <w:shd w:val="clear" w:color="auto" w:fill="auto"/>
          </w:tcPr>
          <w:p w14:paraId="61408538" w14:textId="77777777" w:rsidR="00536B99" w:rsidRPr="00194957" w:rsidRDefault="00536B99" w:rsidP="00194957">
            <w:pPr>
              <w:pStyle w:val="TableRowHead"/>
              <w:spacing w:after="120"/>
              <w:rPr>
                <w:rFonts w:ascii="Gill Sans MT" w:hAnsi="Gill Sans MT"/>
                <w:b w:val="0"/>
                <w:sz w:val="22"/>
                <w:szCs w:val="22"/>
              </w:rPr>
            </w:pPr>
            <w:r w:rsidRPr="00194957">
              <w:rPr>
                <w:rFonts w:ascii="Gill Sans MT" w:hAnsi="Gill Sans MT"/>
                <w:b w:val="0"/>
                <w:sz w:val="22"/>
                <w:szCs w:val="22"/>
              </w:rPr>
              <w:t>Panic attacks</w:t>
            </w:r>
          </w:p>
        </w:tc>
        <w:tc>
          <w:tcPr>
            <w:tcW w:w="2945" w:type="dxa"/>
            <w:shd w:val="clear" w:color="auto" w:fill="auto"/>
          </w:tcPr>
          <w:p w14:paraId="0343AD75" w14:textId="77777777" w:rsidR="00536B99" w:rsidRPr="00194957" w:rsidRDefault="00536B99" w:rsidP="00194957">
            <w:pPr>
              <w:pStyle w:val="TableCell"/>
              <w:spacing w:after="120"/>
              <w:jc w:val="right"/>
              <w:rPr>
                <w:sz w:val="22"/>
                <w:szCs w:val="22"/>
              </w:rPr>
            </w:pPr>
            <w:r w:rsidRPr="00194957">
              <w:rPr>
                <w:sz w:val="22"/>
                <w:szCs w:val="22"/>
              </w:rPr>
              <w:t>2</w:t>
            </w:r>
          </w:p>
        </w:tc>
      </w:tr>
      <w:tr w:rsidR="00536B99" w:rsidRPr="00194957" w14:paraId="57BE7670" w14:textId="77777777" w:rsidTr="00657A3B">
        <w:tc>
          <w:tcPr>
            <w:tcW w:w="6081" w:type="dxa"/>
            <w:shd w:val="clear" w:color="auto" w:fill="auto"/>
          </w:tcPr>
          <w:p w14:paraId="0CC5C79C" w14:textId="77777777" w:rsidR="00536B99" w:rsidRPr="00194957" w:rsidRDefault="00536B99" w:rsidP="00194957">
            <w:pPr>
              <w:pStyle w:val="TableRowHead"/>
              <w:spacing w:after="120"/>
              <w:rPr>
                <w:rFonts w:ascii="Gill Sans MT" w:hAnsi="Gill Sans MT"/>
                <w:b w:val="0"/>
                <w:sz w:val="22"/>
                <w:szCs w:val="22"/>
              </w:rPr>
            </w:pPr>
            <w:r w:rsidRPr="00194957">
              <w:rPr>
                <w:rFonts w:ascii="Gill Sans MT" w:hAnsi="Gill Sans MT"/>
                <w:b w:val="0"/>
                <w:sz w:val="22"/>
                <w:szCs w:val="22"/>
              </w:rPr>
              <w:t>Agoraphobia</w:t>
            </w:r>
          </w:p>
        </w:tc>
        <w:tc>
          <w:tcPr>
            <w:tcW w:w="2945" w:type="dxa"/>
            <w:shd w:val="clear" w:color="auto" w:fill="auto"/>
          </w:tcPr>
          <w:p w14:paraId="1A876871" w14:textId="77777777" w:rsidR="00536B99" w:rsidRPr="00194957" w:rsidRDefault="00536B99" w:rsidP="00194957">
            <w:pPr>
              <w:pStyle w:val="TableCell"/>
              <w:spacing w:after="120"/>
              <w:jc w:val="right"/>
              <w:rPr>
                <w:sz w:val="22"/>
                <w:szCs w:val="22"/>
              </w:rPr>
            </w:pPr>
            <w:r w:rsidRPr="00194957">
              <w:rPr>
                <w:sz w:val="22"/>
                <w:szCs w:val="22"/>
              </w:rPr>
              <w:t>2</w:t>
            </w:r>
          </w:p>
        </w:tc>
      </w:tr>
      <w:tr w:rsidR="00536B99" w:rsidRPr="00194957" w14:paraId="7DC99879" w14:textId="77777777" w:rsidTr="00657A3B">
        <w:tc>
          <w:tcPr>
            <w:tcW w:w="6081" w:type="dxa"/>
            <w:shd w:val="clear" w:color="auto" w:fill="auto"/>
          </w:tcPr>
          <w:p w14:paraId="40D29A27" w14:textId="77777777" w:rsidR="00536B99" w:rsidRPr="00194957" w:rsidRDefault="00536B99" w:rsidP="00194957">
            <w:pPr>
              <w:pStyle w:val="TableRowHead"/>
              <w:spacing w:after="120"/>
              <w:rPr>
                <w:rFonts w:ascii="Gill Sans MT" w:hAnsi="Gill Sans MT"/>
                <w:b w:val="0"/>
                <w:sz w:val="22"/>
                <w:szCs w:val="22"/>
              </w:rPr>
            </w:pPr>
            <w:r w:rsidRPr="00194957">
              <w:rPr>
                <w:rFonts w:ascii="Gill Sans MT" w:hAnsi="Gill Sans MT"/>
                <w:b w:val="0"/>
                <w:sz w:val="22"/>
                <w:szCs w:val="22"/>
              </w:rPr>
              <w:t>Shoulder injury</w:t>
            </w:r>
          </w:p>
        </w:tc>
        <w:tc>
          <w:tcPr>
            <w:tcW w:w="2945" w:type="dxa"/>
            <w:shd w:val="clear" w:color="auto" w:fill="auto"/>
          </w:tcPr>
          <w:p w14:paraId="6A70A07C" w14:textId="77777777" w:rsidR="00536B99" w:rsidRPr="00194957" w:rsidRDefault="00536B99" w:rsidP="00194957">
            <w:pPr>
              <w:pStyle w:val="TableCell"/>
              <w:spacing w:after="120"/>
              <w:jc w:val="right"/>
              <w:rPr>
                <w:sz w:val="22"/>
                <w:szCs w:val="22"/>
              </w:rPr>
            </w:pPr>
            <w:r w:rsidRPr="00194957">
              <w:rPr>
                <w:sz w:val="22"/>
                <w:szCs w:val="22"/>
              </w:rPr>
              <w:t>2</w:t>
            </w:r>
          </w:p>
        </w:tc>
      </w:tr>
      <w:tr w:rsidR="00536B99" w:rsidRPr="00194957" w14:paraId="520537BA" w14:textId="77777777" w:rsidTr="00657A3B">
        <w:tc>
          <w:tcPr>
            <w:tcW w:w="6081" w:type="dxa"/>
            <w:shd w:val="clear" w:color="auto" w:fill="auto"/>
          </w:tcPr>
          <w:p w14:paraId="39EB5B95" w14:textId="77777777" w:rsidR="00536B99" w:rsidRPr="00194957" w:rsidRDefault="00536B99" w:rsidP="00194957">
            <w:pPr>
              <w:pStyle w:val="TableRowHead"/>
              <w:spacing w:after="120"/>
              <w:rPr>
                <w:rFonts w:ascii="Gill Sans MT" w:hAnsi="Gill Sans MT"/>
                <w:b w:val="0"/>
                <w:sz w:val="22"/>
                <w:szCs w:val="22"/>
              </w:rPr>
            </w:pPr>
            <w:r w:rsidRPr="00194957">
              <w:rPr>
                <w:rFonts w:ascii="Gill Sans MT" w:hAnsi="Gill Sans MT"/>
                <w:b w:val="0"/>
                <w:sz w:val="22"/>
                <w:szCs w:val="22"/>
              </w:rPr>
              <w:t>Crohn’s Disease</w:t>
            </w:r>
          </w:p>
        </w:tc>
        <w:tc>
          <w:tcPr>
            <w:tcW w:w="2945" w:type="dxa"/>
            <w:shd w:val="clear" w:color="auto" w:fill="auto"/>
          </w:tcPr>
          <w:p w14:paraId="15254643" w14:textId="77777777" w:rsidR="00536B99" w:rsidRPr="00194957" w:rsidRDefault="00536B99" w:rsidP="00194957">
            <w:pPr>
              <w:pStyle w:val="TableCell"/>
              <w:spacing w:after="120"/>
              <w:jc w:val="right"/>
              <w:rPr>
                <w:sz w:val="22"/>
                <w:szCs w:val="22"/>
              </w:rPr>
            </w:pPr>
            <w:r w:rsidRPr="00194957">
              <w:rPr>
                <w:sz w:val="22"/>
                <w:szCs w:val="22"/>
              </w:rPr>
              <w:t>2</w:t>
            </w:r>
          </w:p>
        </w:tc>
      </w:tr>
      <w:tr w:rsidR="00536B99" w:rsidRPr="00194957" w14:paraId="702B2EEB" w14:textId="77777777" w:rsidTr="00657A3B">
        <w:tc>
          <w:tcPr>
            <w:tcW w:w="6081" w:type="dxa"/>
            <w:shd w:val="clear" w:color="auto" w:fill="auto"/>
          </w:tcPr>
          <w:p w14:paraId="2D37CE09" w14:textId="77777777" w:rsidR="00536B99" w:rsidRPr="00194957" w:rsidRDefault="00536B99" w:rsidP="00194957">
            <w:pPr>
              <w:pStyle w:val="TableRowHead"/>
              <w:spacing w:after="120"/>
              <w:rPr>
                <w:rFonts w:ascii="Gill Sans MT" w:hAnsi="Gill Sans MT"/>
                <w:b w:val="0"/>
                <w:sz w:val="22"/>
                <w:szCs w:val="22"/>
              </w:rPr>
            </w:pPr>
            <w:r w:rsidRPr="00194957">
              <w:rPr>
                <w:rFonts w:ascii="Gill Sans MT" w:hAnsi="Gill Sans MT"/>
                <w:b w:val="0"/>
                <w:sz w:val="22"/>
                <w:szCs w:val="22"/>
              </w:rPr>
              <w:t>Eye condition</w:t>
            </w:r>
          </w:p>
        </w:tc>
        <w:tc>
          <w:tcPr>
            <w:tcW w:w="2945" w:type="dxa"/>
            <w:shd w:val="clear" w:color="auto" w:fill="auto"/>
          </w:tcPr>
          <w:p w14:paraId="50E80596" w14:textId="77777777" w:rsidR="00536B99" w:rsidRPr="00194957" w:rsidRDefault="00536B99" w:rsidP="00194957">
            <w:pPr>
              <w:pStyle w:val="TableCell"/>
              <w:spacing w:after="120"/>
              <w:jc w:val="right"/>
              <w:rPr>
                <w:sz w:val="22"/>
                <w:szCs w:val="22"/>
              </w:rPr>
            </w:pPr>
            <w:r w:rsidRPr="00194957">
              <w:rPr>
                <w:sz w:val="22"/>
                <w:szCs w:val="22"/>
              </w:rPr>
              <w:t>2</w:t>
            </w:r>
          </w:p>
        </w:tc>
      </w:tr>
      <w:tr w:rsidR="00536B99" w:rsidRPr="00194957" w14:paraId="236C37F5" w14:textId="77777777" w:rsidTr="00657A3B">
        <w:tc>
          <w:tcPr>
            <w:tcW w:w="6081" w:type="dxa"/>
            <w:shd w:val="clear" w:color="auto" w:fill="auto"/>
          </w:tcPr>
          <w:p w14:paraId="43B3EEFF" w14:textId="77777777" w:rsidR="00536B99" w:rsidRPr="00194957" w:rsidRDefault="00536B99" w:rsidP="00194957">
            <w:pPr>
              <w:pStyle w:val="TableRowHead"/>
              <w:spacing w:after="120"/>
              <w:rPr>
                <w:rFonts w:ascii="Gill Sans MT" w:hAnsi="Gill Sans MT"/>
                <w:b w:val="0"/>
                <w:sz w:val="22"/>
                <w:szCs w:val="22"/>
              </w:rPr>
            </w:pPr>
            <w:r w:rsidRPr="00194957">
              <w:rPr>
                <w:rFonts w:ascii="Gill Sans MT" w:hAnsi="Gill Sans MT"/>
                <w:b w:val="0"/>
                <w:sz w:val="22"/>
                <w:szCs w:val="22"/>
              </w:rPr>
              <w:t>Schizophrenia</w:t>
            </w:r>
          </w:p>
        </w:tc>
        <w:tc>
          <w:tcPr>
            <w:tcW w:w="2945" w:type="dxa"/>
            <w:shd w:val="clear" w:color="auto" w:fill="auto"/>
          </w:tcPr>
          <w:p w14:paraId="68E48FC4" w14:textId="77777777" w:rsidR="00536B99" w:rsidRPr="00194957" w:rsidRDefault="00536B99" w:rsidP="00194957">
            <w:pPr>
              <w:pStyle w:val="TableCell"/>
              <w:spacing w:after="120"/>
              <w:jc w:val="right"/>
              <w:rPr>
                <w:sz w:val="22"/>
                <w:szCs w:val="22"/>
              </w:rPr>
            </w:pPr>
            <w:r w:rsidRPr="00194957">
              <w:rPr>
                <w:sz w:val="22"/>
                <w:szCs w:val="22"/>
              </w:rPr>
              <w:t>1</w:t>
            </w:r>
          </w:p>
        </w:tc>
      </w:tr>
      <w:tr w:rsidR="00536B99" w:rsidRPr="00194957" w14:paraId="6729800E" w14:textId="77777777" w:rsidTr="00657A3B">
        <w:tc>
          <w:tcPr>
            <w:tcW w:w="6081" w:type="dxa"/>
            <w:shd w:val="clear" w:color="auto" w:fill="auto"/>
          </w:tcPr>
          <w:p w14:paraId="09AB7F1C" w14:textId="77777777" w:rsidR="00536B99" w:rsidRPr="00194957" w:rsidRDefault="00536B99" w:rsidP="00194957">
            <w:pPr>
              <w:pStyle w:val="TableRowHead"/>
              <w:spacing w:after="120"/>
              <w:rPr>
                <w:rFonts w:ascii="Gill Sans MT" w:hAnsi="Gill Sans MT"/>
                <w:b w:val="0"/>
                <w:sz w:val="22"/>
                <w:szCs w:val="22"/>
              </w:rPr>
            </w:pPr>
            <w:r w:rsidRPr="00194957">
              <w:rPr>
                <w:rFonts w:ascii="Gill Sans MT" w:hAnsi="Gill Sans MT"/>
                <w:b w:val="0"/>
                <w:sz w:val="22"/>
                <w:szCs w:val="22"/>
              </w:rPr>
              <w:t>Mental health issues (unspecified)</w:t>
            </w:r>
          </w:p>
        </w:tc>
        <w:tc>
          <w:tcPr>
            <w:tcW w:w="2945" w:type="dxa"/>
            <w:shd w:val="clear" w:color="auto" w:fill="auto"/>
          </w:tcPr>
          <w:p w14:paraId="13380521" w14:textId="77777777" w:rsidR="00536B99" w:rsidRPr="00194957" w:rsidRDefault="00536B99" w:rsidP="00194957">
            <w:pPr>
              <w:pStyle w:val="TableCell"/>
              <w:spacing w:after="120"/>
              <w:jc w:val="right"/>
              <w:rPr>
                <w:sz w:val="22"/>
                <w:szCs w:val="22"/>
              </w:rPr>
            </w:pPr>
            <w:r w:rsidRPr="00194957">
              <w:rPr>
                <w:sz w:val="22"/>
                <w:szCs w:val="22"/>
              </w:rPr>
              <w:t>1</w:t>
            </w:r>
          </w:p>
        </w:tc>
      </w:tr>
      <w:tr w:rsidR="00536B99" w:rsidRPr="00194957" w14:paraId="1CC69DE2" w14:textId="77777777" w:rsidTr="00657A3B">
        <w:tc>
          <w:tcPr>
            <w:tcW w:w="6081" w:type="dxa"/>
            <w:shd w:val="clear" w:color="auto" w:fill="auto"/>
          </w:tcPr>
          <w:p w14:paraId="3E227459" w14:textId="77777777" w:rsidR="00536B99" w:rsidRPr="00194957" w:rsidRDefault="00536B99" w:rsidP="00194957">
            <w:pPr>
              <w:pStyle w:val="TableRowHead"/>
              <w:spacing w:after="120"/>
              <w:rPr>
                <w:rFonts w:ascii="Gill Sans MT" w:hAnsi="Gill Sans MT"/>
                <w:b w:val="0"/>
                <w:sz w:val="22"/>
                <w:szCs w:val="22"/>
              </w:rPr>
            </w:pPr>
            <w:r w:rsidRPr="00194957">
              <w:rPr>
                <w:rFonts w:ascii="Gill Sans MT" w:hAnsi="Gill Sans MT"/>
                <w:b w:val="0"/>
                <w:sz w:val="22"/>
                <w:szCs w:val="22"/>
              </w:rPr>
              <w:t>Hypertension</w:t>
            </w:r>
          </w:p>
        </w:tc>
        <w:tc>
          <w:tcPr>
            <w:tcW w:w="2945" w:type="dxa"/>
            <w:shd w:val="clear" w:color="auto" w:fill="auto"/>
          </w:tcPr>
          <w:p w14:paraId="4AD65D50" w14:textId="77777777" w:rsidR="00536B99" w:rsidRPr="00194957" w:rsidRDefault="00536B99" w:rsidP="00194957">
            <w:pPr>
              <w:pStyle w:val="TableCell"/>
              <w:spacing w:after="120"/>
              <w:jc w:val="right"/>
              <w:rPr>
                <w:sz w:val="22"/>
                <w:szCs w:val="22"/>
              </w:rPr>
            </w:pPr>
            <w:r w:rsidRPr="00194957">
              <w:rPr>
                <w:sz w:val="22"/>
                <w:szCs w:val="22"/>
              </w:rPr>
              <w:t>1</w:t>
            </w:r>
          </w:p>
        </w:tc>
      </w:tr>
      <w:tr w:rsidR="00536B99" w:rsidRPr="00194957" w14:paraId="59535DA3" w14:textId="77777777" w:rsidTr="00657A3B">
        <w:tc>
          <w:tcPr>
            <w:tcW w:w="6081" w:type="dxa"/>
            <w:shd w:val="clear" w:color="auto" w:fill="auto"/>
          </w:tcPr>
          <w:p w14:paraId="0AA39616" w14:textId="77777777" w:rsidR="00536B99" w:rsidRPr="00194957" w:rsidRDefault="00536B99" w:rsidP="00194957">
            <w:pPr>
              <w:pStyle w:val="TableRowHead"/>
              <w:spacing w:after="120"/>
              <w:rPr>
                <w:rFonts w:ascii="Gill Sans MT" w:hAnsi="Gill Sans MT"/>
                <w:b w:val="0"/>
                <w:sz w:val="22"/>
                <w:szCs w:val="22"/>
              </w:rPr>
            </w:pPr>
            <w:r w:rsidRPr="00194957">
              <w:rPr>
                <w:rFonts w:ascii="Gill Sans MT" w:hAnsi="Gill Sans MT"/>
                <w:b w:val="0"/>
                <w:sz w:val="22"/>
                <w:szCs w:val="22"/>
              </w:rPr>
              <w:t>Chronic pain syndrome</w:t>
            </w:r>
          </w:p>
        </w:tc>
        <w:tc>
          <w:tcPr>
            <w:tcW w:w="2945" w:type="dxa"/>
            <w:shd w:val="clear" w:color="auto" w:fill="auto"/>
          </w:tcPr>
          <w:p w14:paraId="40C17933" w14:textId="77777777" w:rsidR="00536B99" w:rsidRPr="00194957" w:rsidRDefault="00536B99" w:rsidP="00194957">
            <w:pPr>
              <w:pStyle w:val="TableCell"/>
              <w:spacing w:after="120"/>
              <w:jc w:val="right"/>
              <w:rPr>
                <w:sz w:val="22"/>
                <w:szCs w:val="22"/>
              </w:rPr>
            </w:pPr>
            <w:r w:rsidRPr="00194957">
              <w:rPr>
                <w:sz w:val="22"/>
                <w:szCs w:val="22"/>
              </w:rPr>
              <w:t>1</w:t>
            </w:r>
          </w:p>
        </w:tc>
      </w:tr>
      <w:tr w:rsidR="00536B99" w:rsidRPr="00194957" w14:paraId="08F711B6" w14:textId="77777777" w:rsidTr="00657A3B">
        <w:tc>
          <w:tcPr>
            <w:tcW w:w="6081" w:type="dxa"/>
            <w:shd w:val="clear" w:color="auto" w:fill="auto"/>
          </w:tcPr>
          <w:p w14:paraId="6E3C1453" w14:textId="77777777" w:rsidR="00536B99" w:rsidRPr="00194957" w:rsidRDefault="00536B99" w:rsidP="00194957">
            <w:pPr>
              <w:pStyle w:val="TableRowHead"/>
              <w:spacing w:after="120"/>
              <w:rPr>
                <w:rFonts w:ascii="Gill Sans MT" w:hAnsi="Gill Sans MT"/>
                <w:b w:val="0"/>
                <w:sz w:val="22"/>
                <w:szCs w:val="22"/>
              </w:rPr>
            </w:pPr>
            <w:r w:rsidRPr="00194957">
              <w:rPr>
                <w:rFonts w:ascii="Gill Sans MT" w:hAnsi="Gill Sans MT"/>
                <w:b w:val="0"/>
                <w:sz w:val="22"/>
                <w:szCs w:val="22"/>
              </w:rPr>
              <w:t>Delusional Disorder</w:t>
            </w:r>
          </w:p>
        </w:tc>
        <w:tc>
          <w:tcPr>
            <w:tcW w:w="2945" w:type="dxa"/>
            <w:shd w:val="clear" w:color="auto" w:fill="auto"/>
          </w:tcPr>
          <w:p w14:paraId="11E49364" w14:textId="77777777" w:rsidR="00536B99" w:rsidRPr="00194957" w:rsidRDefault="00536B99" w:rsidP="00194957">
            <w:pPr>
              <w:pStyle w:val="TableCell"/>
              <w:spacing w:after="120"/>
              <w:jc w:val="right"/>
              <w:rPr>
                <w:sz w:val="22"/>
                <w:szCs w:val="22"/>
              </w:rPr>
            </w:pPr>
            <w:r w:rsidRPr="00194957">
              <w:rPr>
                <w:sz w:val="22"/>
                <w:szCs w:val="22"/>
              </w:rPr>
              <w:t>1</w:t>
            </w:r>
          </w:p>
        </w:tc>
      </w:tr>
      <w:tr w:rsidR="00536B99" w:rsidRPr="00194957" w14:paraId="20564FD6" w14:textId="77777777" w:rsidTr="00657A3B">
        <w:tc>
          <w:tcPr>
            <w:tcW w:w="6081" w:type="dxa"/>
            <w:shd w:val="clear" w:color="auto" w:fill="auto"/>
          </w:tcPr>
          <w:p w14:paraId="096F374E" w14:textId="77777777" w:rsidR="00536B99" w:rsidRPr="00194957" w:rsidRDefault="00536B99" w:rsidP="00194957">
            <w:pPr>
              <w:pStyle w:val="TableRowHead"/>
              <w:spacing w:after="120"/>
              <w:rPr>
                <w:rFonts w:ascii="Gill Sans MT" w:hAnsi="Gill Sans MT"/>
                <w:b w:val="0"/>
                <w:sz w:val="22"/>
                <w:szCs w:val="22"/>
              </w:rPr>
            </w:pPr>
            <w:r w:rsidRPr="00194957">
              <w:rPr>
                <w:rFonts w:ascii="Gill Sans MT" w:hAnsi="Gill Sans MT"/>
                <w:b w:val="0"/>
                <w:sz w:val="22"/>
                <w:szCs w:val="22"/>
              </w:rPr>
              <w:t>Rheumatoid arthritis</w:t>
            </w:r>
          </w:p>
        </w:tc>
        <w:tc>
          <w:tcPr>
            <w:tcW w:w="2945" w:type="dxa"/>
            <w:shd w:val="clear" w:color="auto" w:fill="auto"/>
          </w:tcPr>
          <w:p w14:paraId="0AA96A0E" w14:textId="77777777" w:rsidR="00536B99" w:rsidRPr="00194957" w:rsidRDefault="00536B99" w:rsidP="00194957">
            <w:pPr>
              <w:pStyle w:val="TableCell"/>
              <w:spacing w:after="120"/>
              <w:jc w:val="right"/>
              <w:rPr>
                <w:sz w:val="22"/>
                <w:szCs w:val="22"/>
              </w:rPr>
            </w:pPr>
            <w:r w:rsidRPr="00194957">
              <w:rPr>
                <w:sz w:val="22"/>
                <w:szCs w:val="22"/>
              </w:rPr>
              <w:t>1</w:t>
            </w:r>
          </w:p>
        </w:tc>
      </w:tr>
      <w:tr w:rsidR="00536B99" w:rsidRPr="00194957" w14:paraId="1DFE97DD" w14:textId="77777777" w:rsidTr="00657A3B">
        <w:tc>
          <w:tcPr>
            <w:tcW w:w="6081" w:type="dxa"/>
            <w:shd w:val="clear" w:color="auto" w:fill="auto"/>
          </w:tcPr>
          <w:p w14:paraId="2A4199CA" w14:textId="77777777" w:rsidR="00536B99" w:rsidRPr="00194957" w:rsidRDefault="00536B99" w:rsidP="00194957">
            <w:pPr>
              <w:pStyle w:val="TableRowHead"/>
              <w:spacing w:after="120"/>
              <w:rPr>
                <w:rFonts w:ascii="Gill Sans MT" w:hAnsi="Gill Sans MT"/>
                <w:b w:val="0"/>
                <w:sz w:val="22"/>
                <w:szCs w:val="22"/>
              </w:rPr>
            </w:pPr>
            <w:r w:rsidRPr="00194957">
              <w:rPr>
                <w:rFonts w:ascii="Gill Sans MT" w:hAnsi="Gill Sans MT"/>
                <w:b w:val="0"/>
                <w:sz w:val="22"/>
                <w:szCs w:val="22"/>
              </w:rPr>
              <w:t>Fatigue</w:t>
            </w:r>
          </w:p>
        </w:tc>
        <w:tc>
          <w:tcPr>
            <w:tcW w:w="2945" w:type="dxa"/>
            <w:shd w:val="clear" w:color="auto" w:fill="auto"/>
          </w:tcPr>
          <w:p w14:paraId="31B59414" w14:textId="77777777" w:rsidR="00536B99" w:rsidRPr="00194957" w:rsidRDefault="00536B99" w:rsidP="00194957">
            <w:pPr>
              <w:pStyle w:val="TableCell"/>
              <w:spacing w:after="120"/>
              <w:jc w:val="right"/>
              <w:rPr>
                <w:sz w:val="22"/>
                <w:szCs w:val="22"/>
              </w:rPr>
            </w:pPr>
            <w:r w:rsidRPr="00194957">
              <w:rPr>
                <w:sz w:val="22"/>
                <w:szCs w:val="22"/>
              </w:rPr>
              <w:t>1</w:t>
            </w:r>
          </w:p>
        </w:tc>
      </w:tr>
      <w:tr w:rsidR="00536B99" w:rsidRPr="00194957" w14:paraId="314676EF" w14:textId="77777777" w:rsidTr="00657A3B">
        <w:tc>
          <w:tcPr>
            <w:tcW w:w="6081" w:type="dxa"/>
            <w:shd w:val="clear" w:color="auto" w:fill="auto"/>
          </w:tcPr>
          <w:p w14:paraId="4B14AF88" w14:textId="77777777" w:rsidR="00536B99" w:rsidRPr="00194957" w:rsidRDefault="00536B99" w:rsidP="00194957">
            <w:pPr>
              <w:pStyle w:val="TableRowHead"/>
              <w:spacing w:after="120"/>
              <w:rPr>
                <w:rFonts w:ascii="Gill Sans MT" w:hAnsi="Gill Sans MT"/>
                <w:b w:val="0"/>
                <w:sz w:val="22"/>
                <w:szCs w:val="22"/>
              </w:rPr>
            </w:pPr>
            <w:r w:rsidRPr="00194957">
              <w:rPr>
                <w:rFonts w:ascii="Gill Sans MT" w:hAnsi="Gill Sans MT"/>
                <w:b w:val="0"/>
                <w:sz w:val="22"/>
                <w:szCs w:val="22"/>
              </w:rPr>
              <w:t>Acquired brain injury</w:t>
            </w:r>
          </w:p>
        </w:tc>
        <w:tc>
          <w:tcPr>
            <w:tcW w:w="2945" w:type="dxa"/>
            <w:shd w:val="clear" w:color="auto" w:fill="auto"/>
          </w:tcPr>
          <w:p w14:paraId="739EE1B9" w14:textId="77777777" w:rsidR="00536B99" w:rsidRPr="00194957" w:rsidRDefault="00536B99" w:rsidP="00194957">
            <w:pPr>
              <w:pStyle w:val="TableCell"/>
              <w:spacing w:after="120"/>
              <w:jc w:val="right"/>
              <w:rPr>
                <w:sz w:val="22"/>
                <w:szCs w:val="22"/>
              </w:rPr>
            </w:pPr>
            <w:r w:rsidRPr="00194957">
              <w:rPr>
                <w:sz w:val="22"/>
                <w:szCs w:val="22"/>
              </w:rPr>
              <w:t>1</w:t>
            </w:r>
          </w:p>
        </w:tc>
      </w:tr>
      <w:tr w:rsidR="00536B99" w:rsidRPr="00194957" w14:paraId="513D9900" w14:textId="77777777" w:rsidTr="00657A3B">
        <w:tc>
          <w:tcPr>
            <w:tcW w:w="6081" w:type="dxa"/>
            <w:shd w:val="clear" w:color="auto" w:fill="auto"/>
          </w:tcPr>
          <w:p w14:paraId="774D8B0F" w14:textId="77777777" w:rsidR="00536B99" w:rsidRPr="00194957" w:rsidRDefault="00536B99" w:rsidP="00194957">
            <w:pPr>
              <w:pStyle w:val="TableRowHead"/>
              <w:spacing w:after="120"/>
              <w:rPr>
                <w:rFonts w:ascii="Gill Sans MT" w:hAnsi="Gill Sans MT"/>
                <w:b w:val="0"/>
                <w:sz w:val="22"/>
                <w:szCs w:val="22"/>
              </w:rPr>
            </w:pPr>
            <w:r w:rsidRPr="00194957">
              <w:rPr>
                <w:rFonts w:ascii="Gill Sans MT" w:hAnsi="Gill Sans MT"/>
                <w:b w:val="0"/>
                <w:sz w:val="22"/>
                <w:szCs w:val="22"/>
              </w:rPr>
              <w:t>Visual impairment</w:t>
            </w:r>
          </w:p>
        </w:tc>
        <w:tc>
          <w:tcPr>
            <w:tcW w:w="2945" w:type="dxa"/>
            <w:shd w:val="clear" w:color="auto" w:fill="auto"/>
          </w:tcPr>
          <w:p w14:paraId="74DCAF4A" w14:textId="77777777" w:rsidR="00536B99" w:rsidRPr="00194957" w:rsidRDefault="00536B99" w:rsidP="00194957">
            <w:pPr>
              <w:pStyle w:val="TableCell"/>
              <w:spacing w:after="120"/>
              <w:jc w:val="right"/>
              <w:rPr>
                <w:sz w:val="22"/>
                <w:szCs w:val="22"/>
              </w:rPr>
            </w:pPr>
            <w:r w:rsidRPr="00194957">
              <w:rPr>
                <w:sz w:val="22"/>
                <w:szCs w:val="22"/>
              </w:rPr>
              <w:t>1</w:t>
            </w:r>
          </w:p>
        </w:tc>
      </w:tr>
      <w:tr w:rsidR="00536B99" w:rsidRPr="00194957" w14:paraId="4FB3B9B0" w14:textId="77777777" w:rsidTr="00657A3B">
        <w:tc>
          <w:tcPr>
            <w:tcW w:w="6081" w:type="dxa"/>
            <w:shd w:val="clear" w:color="auto" w:fill="auto"/>
          </w:tcPr>
          <w:p w14:paraId="43237D3A" w14:textId="153C3DC6" w:rsidR="00536B99" w:rsidRPr="00194957" w:rsidRDefault="00F8520F" w:rsidP="00194957">
            <w:pPr>
              <w:pStyle w:val="TableRowHead"/>
              <w:spacing w:after="120"/>
              <w:rPr>
                <w:rFonts w:ascii="Gill Sans MT" w:hAnsi="Gill Sans MT"/>
                <w:b w:val="0"/>
                <w:sz w:val="22"/>
                <w:szCs w:val="22"/>
              </w:rPr>
            </w:pPr>
            <w:r w:rsidRPr="00194957">
              <w:rPr>
                <w:rFonts w:ascii="Gill Sans MT" w:hAnsi="Gill Sans MT"/>
                <w:b w:val="0"/>
                <w:sz w:val="22"/>
                <w:szCs w:val="22"/>
              </w:rPr>
              <w:t>Stammer</w:t>
            </w:r>
          </w:p>
        </w:tc>
        <w:tc>
          <w:tcPr>
            <w:tcW w:w="2945" w:type="dxa"/>
            <w:shd w:val="clear" w:color="auto" w:fill="auto"/>
          </w:tcPr>
          <w:p w14:paraId="4387E6F2" w14:textId="77777777" w:rsidR="00536B99" w:rsidRPr="00194957" w:rsidRDefault="00536B99" w:rsidP="00194957">
            <w:pPr>
              <w:pStyle w:val="TableCell"/>
              <w:spacing w:after="120"/>
              <w:jc w:val="right"/>
              <w:rPr>
                <w:sz w:val="22"/>
                <w:szCs w:val="22"/>
              </w:rPr>
            </w:pPr>
            <w:r w:rsidRPr="00194957">
              <w:rPr>
                <w:sz w:val="22"/>
                <w:szCs w:val="22"/>
              </w:rPr>
              <w:t>1</w:t>
            </w:r>
          </w:p>
        </w:tc>
      </w:tr>
      <w:tr w:rsidR="00536B99" w:rsidRPr="00194957" w14:paraId="4463A416" w14:textId="77777777" w:rsidTr="00657A3B">
        <w:tc>
          <w:tcPr>
            <w:tcW w:w="6081" w:type="dxa"/>
            <w:shd w:val="clear" w:color="auto" w:fill="auto"/>
          </w:tcPr>
          <w:p w14:paraId="3CE784BB" w14:textId="77777777" w:rsidR="00536B99" w:rsidRPr="00194957" w:rsidRDefault="00536B99" w:rsidP="00194957">
            <w:pPr>
              <w:pStyle w:val="TableRowHead"/>
              <w:spacing w:after="120"/>
              <w:rPr>
                <w:rFonts w:ascii="Gill Sans MT" w:hAnsi="Gill Sans MT"/>
                <w:b w:val="0"/>
                <w:sz w:val="22"/>
                <w:szCs w:val="22"/>
              </w:rPr>
            </w:pPr>
            <w:r w:rsidRPr="00194957">
              <w:rPr>
                <w:rFonts w:ascii="Gill Sans MT" w:hAnsi="Gill Sans MT"/>
                <w:b w:val="0"/>
                <w:sz w:val="22"/>
                <w:szCs w:val="22"/>
              </w:rPr>
              <w:t>Musculoskeletal condition</w:t>
            </w:r>
          </w:p>
        </w:tc>
        <w:tc>
          <w:tcPr>
            <w:tcW w:w="2945" w:type="dxa"/>
            <w:shd w:val="clear" w:color="auto" w:fill="auto"/>
          </w:tcPr>
          <w:p w14:paraId="18DBD413" w14:textId="77777777" w:rsidR="00536B99" w:rsidRPr="00194957" w:rsidRDefault="00536B99" w:rsidP="00194957">
            <w:pPr>
              <w:pStyle w:val="TableCell"/>
              <w:spacing w:after="120"/>
              <w:jc w:val="right"/>
              <w:rPr>
                <w:sz w:val="22"/>
                <w:szCs w:val="22"/>
              </w:rPr>
            </w:pPr>
            <w:r w:rsidRPr="00194957">
              <w:rPr>
                <w:sz w:val="22"/>
                <w:szCs w:val="22"/>
              </w:rPr>
              <w:t>1</w:t>
            </w:r>
          </w:p>
        </w:tc>
      </w:tr>
      <w:tr w:rsidR="00536B99" w:rsidRPr="00194957" w14:paraId="64443AD2" w14:textId="77777777" w:rsidTr="00657A3B">
        <w:tc>
          <w:tcPr>
            <w:tcW w:w="6081" w:type="dxa"/>
            <w:shd w:val="clear" w:color="auto" w:fill="auto"/>
          </w:tcPr>
          <w:p w14:paraId="3D9AA8E6" w14:textId="77777777" w:rsidR="00536B99" w:rsidRPr="00194957" w:rsidRDefault="00536B99" w:rsidP="00194957">
            <w:pPr>
              <w:pStyle w:val="TableRowHead"/>
              <w:spacing w:after="120"/>
              <w:rPr>
                <w:rFonts w:ascii="Gill Sans MT" w:hAnsi="Gill Sans MT"/>
                <w:b w:val="0"/>
                <w:sz w:val="22"/>
                <w:szCs w:val="22"/>
              </w:rPr>
            </w:pPr>
            <w:r w:rsidRPr="00194957">
              <w:rPr>
                <w:rFonts w:ascii="Gill Sans MT" w:hAnsi="Gill Sans MT"/>
                <w:b w:val="0"/>
                <w:sz w:val="22"/>
                <w:szCs w:val="22"/>
              </w:rPr>
              <w:t>Lupus</w:t>
            </w:r>
          </w:p>
        </w:tc>
        <w:tc>
          <w:tcPr>
            <w:tcW w:w="2945" w:type="dxa"/>
            <w:shd w:val="clear" w:color="auto" w:fill="auto"/>
          </w:tcPr>
          <w:p w14:paraId="714E4F47" w14:textId="77777777" w:rsidR="00536B99" w:rsidRPr="00194957" w:rsidRDefault="00536B99" w:rsidP="00194957">
            <w:pPr>
              <w:pStyle w:val="TableCell"/>
              <w:spacing w:after="120"/>
              <w:jc w:val="right"/>
              <w:rPr>
                <w:sz w:val="22"/>
                <w:szCs w:val="22"/>
              </w:rPr>
            </w:pPr>
            <w:r w:rsidRPr="00194957">
              <w:rPr>
                <w:sz w:val="22"/>
                <w:szCs w:val="22"/>
              </w:rPr>
              <w:t>1</w:t>
            </w:r>
          </w:p>
        </w:tc>
      </w:tr>
      <w:tr w:rsidR="00536B99" w:rsidRPr="00194957" w14:paraId="6DD7C43B" w14:textId="77777777" w:rsidTr="00657A3B">
        <w:tc>
          <w:tcPr>
            <w:tcW w:w="6081" w:type="dxa"/>
            <w:shd w:val="clear" w:color="auto" w:fill="auto"/>
          </w:tcPr>
          <w:p w14:paraId="28917703" w14:textId="77777777" w:rsidR="00536B99" w:rsidRPr="00194957" w:rsidRDefault="00536B99" w:rsidP="00194957">
            <w:pPr>
              <w:pStyle w:val="TableRowHead"/>
              <w:spacing w:after="120"/>
              <w:rPr>
                <w:rFonts w:ascii="Gill Sans MT" w:hAnsi="Gill Sans MT"/>
                <w:b w:val="0"/>
                <w:sz w:val="22"/>
                <w:szCs w:val="22"/>
              </w:rPr>
            </w:pPr>
            <w:r w:rsidRPr="00194957">
              <w:rPr>
                <w:rFonts w:ascii="Gill Sans MT" w:hAnsi="Gill Sans MT"/>
                <w:b w:val="0"/>
                <w:sz w:val="22"/>
                <w:szCs w:val="22"/>
              </w:rPr>
              <w:t>Ankylosing spondylitis</w:t>
            </w:r>
          </w:p>
        </w:tc>
        <w:tc>
          <w:tcPr>
            <w:tcW w:w="2945" w:type="dxa"/>
            <w:shd w:val="clear" w:color="auto" w:fill="auto"/>
          </w:tcPr>
          <w:p w14:paraId="6F8F7711" w14:textId="77777777" w:rsidR="00536B99" w:rsidRPr="00194957" w:rsidRDefault="00536B99" w:rsidP="00194957">
            <w:pPr>
              <w:pStyle w:val="TableCell"/>
              <w:spacing w:after="120"/>
              <w:jc w:val="right"/>
              <w:rPr>
                <w:sz w:val="22"/>
                <w:szCs w:val="22"/>
              </w:rPr>
            </w:pPr>
            <w:r w:rsidRPr="00194957">
              <w:rPr>
                <w:sz w:val="22"/>
                <w:szCs w:val="22"/>
              </w:rPr>
              <w:t>1</w:t>
            </w:r>
          </w:p>
        </w:tc>
      </w:tr>
      <w:tr w:rsidR="00536B99" w:rsidRPr="00194957" w14:paraId="53DF09BD" w14:textId="77777777" w:rsidTr="00657A3B">
        <w:tc>
          <w:tcPr>
            <w:tcW w:w="6081" w:type="dxa"/>
            <w:shd w:val="clear" w:color="auto" w:fill="auto"/>
          </w:tcPr>
          <w:p w14:paraId="098FEB6C" w14:textId="77777777" w:rsidR="00536B99" w:rsidRPr="00194957" w:rsidRDefault="00536B99" w:rsidP="00194957">
            <w:pPr>
              <w:pStyle w:val="TableRowHead"/>
              <w:spacing w:after="120"/>
              <w:rPr>
                <w:rFonts w:ascii="Gill Sans MT" w:hAnsi="Gill Sans MT"/>
                <w:b w:val="0"/>
                <w:sz w:val="22"/>
                <w:szCs w:val="22"/>
              </w:rPr>
            </w:pPr>
            <w:r w:rsidRPr="00194957">
              <w:rPr>
                <w:rFonts w:ascii="Gill Sans MT" w:hAnsi="Gill Sans MT"/>
                <w:b w:val="0"/>
                <w:sz w:val="22"/>
                <w:szCs w:val="22"/>
              </w:rPr>
              <w:t>Hip injury</w:t>
            </w:r>
          </w:p>
        </w:tc>
        <w:tc>
          <w:tcPr>
            <w:tcW w:w="2945" w:type="dxa"/>
            <w:shd w:val="clear" w:color="auto" w:fill="auto"/>
          </w:tcPr>
          <w:p w14:paraId="71473592" w14:textId="77777777" w:rsidR="00536B99" w:rsidRPr="00194957" w:rsidRDefault="00536B99" w:rsidP="00194957">
            <w:pPr>
              <w:pStyle w:val="TableCell"/>
              <w:spacing w:after="120"/>
              <w:jc w:val="right"/>
              <w:rPr>
                <w:sz w:val="22"/>
                <w:szCs w:val="22"/>
              </w:rPr>
            </w:pPr>
            <w:r w:rsidRPr="00194957">
              <w:rPr>
                <w:sz w:val="22"/>
                <w:szCs w:val="22"/>
              </w:rPr>
              <w:t>1</w:t>
            </w:r>
          </w:p>
        </w:tc>
      </w:tr>
      <w:tr w:rsidR="00536B99" w:rsidRPr="00194957" w14:paraId="36E8E482" w14:textId="77777777" w:rsidTr="00657A3B">
        <w:tc>
          <w:tcPr>
            <w:tcW w:w="6081" w:type="dxa"/>
            <w:shd w:val="clear" w:color="auto" w:fill="auto"/>
          </w:tcPr>
          <w:p w14:paraId="2E85807C" w14:textId="77777777" w:rsidR="00536B99" w:rsidRPr="00194957" w:rsidRDefault="00536B99" w:rsidP="00194957">
            <w:pPr>
              <w:pStyle w:val="TableRowHead"/>
              <w:spacing w:after="120"/>
              <w:rPr>
                <w:rFonts w:ascii="Gill Sans MT" w:hAnsi="Gill Sans MT"/>
                <w:b w:val="0"/>
                <w:sz w:val="22"/>
                <w:szCs w:val="22"/>
              </w:rPr>
            </w:pPr>
            <w:r w:rsidRPr="00194957">
              <w:rPr>
                <w:rFonts w:ascii="Gill Sans MT" w:hAnsi="Gill Sans MT"/>
                <w:b w:val="0"/>
                <w:sz w:val="22"/>
                <w:szCs w:val="22"/>
              </w:rPr>
              <w:lastRenderedPageBreak/>
              <w:t>Neck injury</w:t>
            </w:r>
          </w:p>
        </w:tc>
        <w:tc>
          <w:tcPr>
            <w:tcW w:w="2945" w:type="dxa"/>
            <w:shd w:val="clear" w:color="auto" w:fill="auto"/>
          </w:tcPr>
          <w:p w14:paraId="529EF34E" w14:textId="77777777" w:rsidR="00536B99" w:rsidRPr="00194957" w:rsidRDefault="00536B99" w:rsidP="00194957">
            <w:pPr>
              <w:pStyle w:val="TableCell"/>
              <w:spacing w:after="120"/>
              <w:jc w:val="right"/>
              <w:rPr>
                <w:sz w:val="22"/>
                <w:szCs w:val="22"/>
              </w:rPr>
            </w:pPr>
            <w:r w:rsidRPr="00194957">
              <w:rPr>
                <w:sz w:val="22"/>
                <w:szCs w:val="22"/>
              </w:rPr>
              <w:t>1</w:t>
            </w:r>
          </w:p>
        </w:tc>
      </w:tr>
      <w:tr w:rsidR="00536B99" w:rsidRPr="00194957" w14:paraId="23244DCB" w14:textId="77777777" w:rsidTr="00657A3B">
        <w:tc>
          <w:tcPr>
            <w:tcW w:w="6081" w:type="dxa"/>
            <w:shd w:val="clear" w:color="auto" w:fill="auto"/>
          </w:tcPr>
          <w:p w14:paraId="1F931BA8" w14:textId="77777777" w:rsidR="00536B99" w:rsidRPr="00194957" w:rsidRDefault="00536B99" w:rsidP="00194957">
            <w:pPr>
              <w:pStyle w:val="TableRowHead"/>
              <w:spacing w:after="120"/>
              <w:rPr>
                <w:rFonts w:ascii="Gill Sans MT" w:hAnsi="Gill Sans MT"/>
                <w:b w:val="0"/>
                <w:sz w:val="22"/>
                <w:szCs w:val="22"/>
              </w:rPr>
            </w:pPr>
            <w:r w:rsidRPr="00194957">
              <w:rPr>
                <w:rFonts w:ascii="Gill Sans MT" w:hAnsi="Gill Sans MT"/>
                <w:b w:val="0"/>
                <w:sz w:val="22"/>
                <w:szCs w:val="22"/>
              </w:rPr>
              <w:t>Ulcerative Colitis</w:t>
            </w:r>
          </w:p>
        </w:tc>
        <w:tc>
          <w:tcPr>
            <w:tcW w:w="2945" w:type="dxa"/>
            <w:shd w:val="clear" w:color="auto" w:fill="auto"/>
          </w:tcPr>
          <w:p w14:paraId="6998B9FF" w14:textId="77777777" w:rsidR="00536B99" w:rsidRPr="00194957" w:rsidRDefault="00536B99" w:rsidP="00194957">
            <w:pPr>
              <w:pStyle w:val="TableCell"/>
              <w:spacing w:after="120"/>
              <w:jc w:val="right"/>
              <w:rPr>
                <w:sz w:val="22"/>
                <w:szCs w:val="22"/>
              </w:rPr>
            </w:pPr>
            <w:r w:rsidRPr="00194957">
              <w:rPr>
                <w:sz w:val="22"/>
                <w:szCs w:val="22"/>
              </w:rPr>
              <w:t>1</w:t>
            </w:r>
          </w:p>
        </w:tc>
      </w:tr>
      <w:tr w:rsidR="00536B99" w:rsidRPr="00194957" w14:paraId="45CEAD7D" w14:textId="77777777" w:rsidTr="00657A3B">
        <w:tc>
          <w:tcPr>
            <w:tcW w:w="6081" w:type="dxa"/>
            <w:shd w:val="clear" w:color="auto" w:fill="auto"/>
          </w:tcPr>
          <w:p w14:paraId="42C93CA3" w14:textId="77777777" w:rsidR="00536B99" w:rsidRPr="00194957" w:rsidRDefault="00536B99" w:rsidP="00194957">
            <w:pPr>
              <w:pStyle w:val="TableRowHead"/>
              <w:spacing w:after="120"/>
              <w:rPr>
                <w:rFonts w:ascii="Gill Sans MT" w:hAnsi="Gill Sans MT"/>
                <w:b w:val="0"/>
                <w:sz w:val="22"/>
                <w:szCs w:val="22"/>
              </w:rPr>
            </w:pPr>
            <w:r w:rsidRPr="00194957">
              <w:rPr>
                <w:rFonts w:ascii="Gill Sans MT" w:hAnsi="Gill Sans MT"/>
                <w:b w:val="0"/>
                <w:sz w:val="22"/>
                <w:szCs w:val="22"/>
              </w:rPr>
              <w:t>Prolapsed bladder</w:t>
            </w:r>
          </w:p>
        </w:tc>
        <w:tc>
          <w:tcPr>
            <w:tcW w:w="2945" w:type="dxa"/>
            <w:shd w:val="clear" w:color="auto" w:fill="auto"/>
          </w:tcPr>
          <w:p w14:paraId="3D281587" w14:textId="77777777" w:rsidR="00536B99" w:rsidRPr="00194957" w:rsidRDefault="00536B99" w:rsidP="00194957">
            <w:pPr>
              <w:pStyle w:val="TableCell"/>
              <w:spacing w:after="120"/>
              <w:jc w:val="right"/>
              <w:rPr>
                <w:sz w:val="22"/>
                <w:szCs w:val="22"/>
              </w:rPr>
            </w:pPr>
            <w:r w:rsidRPr="00194957">
              <w:rPr>
                <w:sz w:val="22"/>
                <w:szCs w:val="22"/>
              </w:rPr>
              <w:t>1</w:t>
            </w:r>
          </w:p>
        </w:tc>
      </w:tr>
      <w:tr w:rsidR="00536B99" w:rsidRPr="00194957" w14:paraId="4132424E" w14:textId="77777777" w:rsidTr="00657A3B">
        <w:tc>
          <w:tcPr>
            <w:tcW w:w="6081" w:type="dxa"/>
            <w:shd w:val="clear" w:color="auto" w:fill="auto"/>
          </w:tcPr>
          <w:p w14:paraId="24E27F43" w14:textId="77777777" w:rsidR="00536B99" w:rsidRPr="00194957" w:rsidRDefault="00536B99" w:rsidP="00194957">
            <w:pPr>
              <w:pStyle w:val="TableRowHead"/>
              <w:spacing w:after="120"/>
              <w:rPr>
                <w:rFonts w:ascii="Gill Sans MT" w:hAnsi="Gill Sans MT"/>
                <w:b w:val="0"/>
                <w:sz w:val="22"/>
                <w:szCs w:val="22"/>
              </w:rPr>
            </w:pPr>
            <w:r w:rsidRPr="00194957">
              <w:rPr>
                <w:rFonts w:ascii="Gill Sans MT" w:hAnsi="Gill Sans MT"/>
                <w:b w:val="0"/>
                <w:sz w:val="22"/>
                <w:szCs w:val="22"/>
              </w:rPr>
              <w:t>Carpal Tunnel Syndrome</w:t>
            </w:r>
          </w:p>
        </w:tc>
        <w:tc>
          <w:tcPr>
            <w:tcW w:w="2945" w:type="dxa"/>
            <w:shd w:val="clear" w:color="auto" w:fill="auto"/>
          </w:tcPr>
          <w:p w14:paraId="2038E191" w14:textId="77777777" w:rsidR="00536B99" w:rsidRPr="00194957" w:rsidRDefault="00536B99" w:rsidP="00194957">
            <w:pPr>
              <w:pStyle w:val="TableCell"/>
              <w:spacing w:after="120"/>
              <w:jc w:val="right"/>
              <w:rPr>
                <w:sz w:val="22"/>
                <w:szCs w:val="22"/>
              </w:rPr>
            </w:pPr>
            <w:r w:rsidRPr="00194957">
              <w:rPr>
                <w:sz w:val="22"/>
                <w:szCs w:val="22"/>
              </w:rPr>
              <w:t>1</w:t>
            </w:r>
          </w:p>
        </w:tc>
      </w:tr>
      <w:tr w:rsidR="00536B99" w:rsidRPr="00194957" w14:paraId="2E205A05" w14:textId="77777777" w:rsidTr="00657A3B">
        <w:tc>
          <w:tcPr>
            <w:tcW w:w="6081" w:type="dxa"/>
            <w:shd w:val="clear" w:color="auto" w:fill="auto"/>
          </w:tcPr>
          <w:p w14:paraId="402680E1" w14:textId="77777777" w:rsidR="00536B99" w:rsidRPr="00194957" w:rsidRDefault="00536B99" w:rsidP="00194957">
            <w:pPr>
              <w:pStyle w:val="TableRowHead"/>
              <w:spacing w:after="120"/>
              <w:rPr>
                <w:rFonts w:ascii="Gill Sans MT" w:hAnsi="Gill Sans MT"/>
                <w:b w:val="0"/>
                <w:sz w:val="22"/>
                <w:szCs w:val="22"/>
              </w:rPr>
            </w:pPr>
            <w:r w:rsidRPr="00194957">
              <w:rPr>
                <w:rFonts w:ascii="Gill Sans MT" w:hAnsi="Gill Sans MT"/>
                <w:b w:val="0"/>
                <w:sz w:val="22"/>
                <w:szCs w:val="22"/>
              </w:rPr>
              <w:t>Dyslexia</w:t>
            </w:r>
          </w:p>
        </w:tc>
        <w:tc>
          <w:tcPr>
            <w:tcW w:w="2945" w:type="dxa"/>
            <w:shd w:val="clear" w:color="auto" w:fill="auto"/>
          </w:tcPr>
          <w:p w14:paraId="202B09B6" w14:textId="77777777" w:rsidR="00536B99" w:rsidRPr="00194957" w:rsidRDefault="00536B99" w:rsidP="00194957">
            <w:pPr>
              <w:pStyle w:val="TableCell"/>
              <w:spacing w:after="120"/>
              <w:jc w:val="right"/>
              <w:rPr>
                <w:sz w:val="22"/>
                <w:szCs w:val="22"/>
              </w:rPr>
            </w:pPr>
            <w:r w:rsidRPr="00194957">
              <w:rPr>
                <w:sz w:val="22"/>
                <w:szCs w:val="22"/>
              </w:rPr>
              <w:t>1</w:t>
            </w:r>
          </w:p>
        </w:tc>
      </w:tr>
      <w:tr w:rsidR="00536B99" w:rsidRPr="00194957" w14:paraId="5C17DEC8" w14:textId="77777777" w:rsidTr="00657A3B">
        <w:tc>
          <w:tcPr>
            <w:tcW w:w="6081" w:type="dxa"/>
            <w:shd w:val="clear" w:color="auto" w:fill="auto"/>
          </w:tcPr>
          <w:p w14:paraId="2A2A2F8F" w14:textId="77777777" w:rsidR="00536B99" w:rsidRPr="00194957" w:rsidRDefault="00536B99" w:rsidP="00194957">
            <w:pPr>
              <w:pStyle w:val="TableRowHead"/>
              <w:spacing w:after="120"/>
              <w:rPr>
                <w:rFonts w:ascii="Gill Sans MT" w:hAnsi="Gill Sans MT"/>
                <w:b w:val="0"/>
                <w:sz w:val="22"/>
                <w:szCs w:val="22"/>
              </w:rPr>
            </w:pPr>
            <w:r w:rsidRPr="00194957">
              <w:rPr>
                <w:rFonts w:ascii="Gill Sans MT" w:hAnsi="Gill Sans MT"/>
                <w:b w:val="0"/>
                <w:sz w:val="22"/>
                <w:szCs w:val="22"/>
              </w:rPr>
              <w:t>Mixed Connective Tissue Disease</w:t>
            </w:r>
          </w:p>
        </w:tc>
        <w:tc>
          <w:tcPr>
            <w:tcW w:w="2945" w:type="dxa"/>
            <w:shd w:val="clear" w:color="auto" w:fill="auto"/>
          </w:tcPr>
          <w:p w14:paraId="2F6F4E34" w14:textId="77777777" w:rsidR="00536B99" w:rsidRPr="00194957" w:rsidRDefault="00536B99" w:rsidP="00194957">
            <w:pPr>
              <w:pStyle w:val="TableCell"/>
              <w:spacing w:after="120"/>
              <w:jc w:val="right"/>
              <w:rPr>
                <w:sz w:val="22"/>
                <w:szCs w:val="22"/>
              </w:rPr>
            </w:pPr>
            <w:r w:rsidRPr="00194957">
              <w:rPr>
                <w:sz w:val="22"/>
                <w:szCs w:val="22"/>
              </w:rPr>
              <w:t>1</w:t>
            </w:r>
          </w:p>
        </w:tc>
      </w:tr>
      <w:tr w:rsidR="00536B99" w:rsidRPr="00194957" w14:paraId="7C775D9E" w14:textId="77777777" w:rsidTr="00657A3B">
        <w:tc>
          <w:tcPr>
            <w:tcW w:w="6081" w:type="dxa"/>
            <w:shd w:val="clear" w:color="auto" w:fill="auto"/>
          </w:tcPr>
          <w:p w14:paraId="1ACA79D9" w14:textId="77777777" w:rsidR="00536B99" w:rsidRPr="00194957" w:rsidRDefault="00536B99" w:rsidP="00194957">
            <w:pPr>
              <w:pStyle w:val="TableRowHead"/>
              <w:spacing w:after="120"/>
              <w:rPr>
                <w:rFonts w:ascii="Gill Sans MT" w:hAnsi="Gill Sans MT"/>
                <w:b w:val="0"/>
                <w:sz w:val="22"/>
                <w:szCs w:val="22"/>
              </w:rPr>
            </w:pPr>
            <w:r w:rsidRPr="00194957">
              <w:rPr>
                <w:rFonts w:ascii="Gill Sans MT" w:hAnsi="Gill Sans MT"/>
                <w:b w:val="0"/>
                <w:sz w:val="22"/>
                <w:szCs w:val="22"/>
              </w:rPr>
              <w:t>Spondylosis</w:t>
            </w:r>
          </w:p>
        </w:tc>
        <w:tc>
          <w:tcPr>
            <w:tcW w:w="2945" w:type="dxa"/>
            <w:shd w:val="clear" w:color="auto" w:fill="auto"/>
          </w:tcPr>
          <w:p w14:paraId="64B12F7B" w14:textId="77777777" w:rsidR="00536B99" w:rsidRPr="00194957" w:rsidRDefault="00536B99" w:rsidP="00194957">
            <w:pPr>
              <w:pStyle w:val="TableCell"/>
              <w:spacing w:after="120"/>
              <w:jc w:val="right"/>
              <w:rPr>
                <w:sz w:val="22"/>
                <w:szCs w:val="22"/>
              </w:rPr>
            </w:pPr>
            <w:r w:rsidRPr="00194957">
              <w:rPr>
                <w:sz w:val="22"/>
                <w:szCs w:val="22"/>
              </w:rPr>
              <w:t>1</w:t>
            </w:r>
          </w:p>
        </w:tc>
      </w:tr>
      <w:tr w:rsidR="00536B99" w:rsidRPr="00194957" w14:paraId="17D33AA4" w14:textId="77777777" w:rsidTr="00657A3B">
        <w:tc>
          <w:tcPr>
            <w:tcW w:w="6081" w:type="dxa"/>
            <w:shd w:val="clear" w:color="auto" w:fill="auto"/>
          </w:tcPr>
          <w:p w14:paraId="0A4F71BC" w14:textId="77777777" w:rsidR="00536B99" w:rsidRPr="00194957" w:rsidRDefault="00536B99" w:rsidP="00194957">
            <w:pPr>
              <w:pStyle w:val="TableRowHead"/>
              <w:spacing w:after="120"/>
              <w:rPr>
                <w:rFonts w:ascii="Gill Sans MT" w:hAnsi="Gill Sans MT"/>
                <w:b w:val="0"/>
                <w:sz w:val="22"/>
                <w:szCs w:val="22"/>
              </w:rPr>
            </w:pPr>
            <w:r w:rsidRPr="00194957">
              <w:rPr>
                <w:rFonts w:ascii="Gill Sans MT" w:hAnsi="Gill Sans MT"/>
                <w:b w:val="0"/>
                <w:sz w:val="22"/>
                <w:szCs w:val="22"/>
              </w:rPr>
              <w:t>Tourette’s Syndrome</w:t>
            </w:r>
          </w:p>
        </w:tc>
        <w:tc>
          <w:tcPr>
            <w:tcW w:w="2945" w:type="dxa"/>
            <w:shd w:val="clear" w:color="auto" w:fill="auto"/>
          </w:tcPr>
          <w:p w14:paraId="24CAEC2D" w14:textId="77777777" w:rsidR="00536B99" w:rsidRPr="00194957" w:rsidRDefault="00536B99" w:rsidP="00194957">
            <w:pPr>
              <w:pStyle w:val="TableCell"/>
              <w:spacing w:after="120"/>
              <w:jc w:val="right"/>
              <w:rPr>
                <w:sz w:val="22"/>
                <w:szCs w:val="22"/>
              </w:rPr>
            </w:pPr>
            <w:r w:rsidRPr="00194957">
              <w:rPr>
                <w:sz w:val="22"/>
                <w:szCs w:val="22"/>
              </w:rPr>
              <w:t>1</w:t>
            </w:r>
          </w:p>
        </w:tc>
      </w:tr>
      <w:tr w:rsidR="00536B99" w:rsidRPr="00194957" w14:paraId="25FC8B65" w14:textId="77777777" w:rsidTr="00657A3B">
        <w:tc>
          <w:tcPr>
            <w:tcW w:w="6081" w:type="dxa"/>
            <w:shd w:val="clear" w:color="auto" w:fill="auto"/>
          </w:tcPr>
          <w:p w14:paraId="1D7D5336" w14:textId="77777777" w:rsidR="00536B99" w:rsidRPr="00194957" w:rsidRDefault="00536B99" w:rsidP="00194957">
            <w:pPr>
              <w:pStyle w:val="TableRowHead"/>
              <w:spacing w:after="120"/>
              <w:rPr>
                <w:rFonts w:ascii="Gill Sans MT" w:hAnsi="Gill Sans MT"/>
                <w:b w:val="0"/>
                <w:sz w:val="22"/>
                <w:szCs w:val="22"/>
              </w:rPr>
            </w:pPr>
            <w:r w:rsidRPr="00194957">
              <w:rPr>
                <w:rFonts w:ascii="Gill Sans MT" w:hAnsi="Gill Sans MT"/>
                <w:b w:val="0"/>
                <w:sz w:val="22"/>
                <w:szCs w:val="22"/>
              </w:rPr>
              <w:t>Post cancer/post chemotherapy fatigue</w:t>
            </w:r>
          </w:p>
        </w:tc>
        <w:tc>
          <w:tcPr>
            <w:tcW w:w="2945" w:type="dxa"/>
            <w:shd w:val="clear" w:color="auto" w:fill="auto"/>
          </w:tcPr>
          <w:p w14:paraId="6BEE09D8" w14:textId="77777777" w:rsidR="00536B99" w:rsidRPr="00194957" w:rsidRDefault="00536B99" w:rsidP="00194957">
            <w:pPr>
              <w:pStyle w:val="TableCell"/>
              <w:spacing w:after="120"/>
              <w:jc w:val="right"/>
              <w:rPr>
                <w:sz w:val="22"/>
                <w:szCs w:val="22"/>
              </w:rPr>
            </w:pPr>
            <w:r w:rsidRPr="00194957">
              <w:rPr>
                <w:sz w:val="22"/>
                <w:szCs w:val="22"/>
              </w:rPr>
              <w:t>1</w:t>
            </w:r>
          </w:p>
        </w:tc>
      </w:tr>
      <w:tr w:rsidR="00536B99" w:rsidRPr="00194957" w14:paraId="2C6FB628" w14:textId="77777777" w:rsidTr="00657A3B">
        <w:tc>
          <w:tcPr>
            <w:tcW w:w="6081" w:type="dxa"/>
            <w:shd w:val="clear" w:color="auto" w:fill="auto"/>
          </w:tcPr>
          <w:p w14:paraId="647C7921" w14:textId="77777777" w:rsidR="00536B99" w:rsidRPr="00194957" w:rsidRDefault="00536B99" w:rsidP="00194957">
            <w:pPr>
              <w:pStyle w:val="TableRowHead"/>
              <w:spacing w:after="120"/>
              <w:rPr>
                <w:rFonts w:ascii="Gill Sans MT" w:hAnsi="Gill Sans MT"/>
                <w:b w:val="0"/>
                <w:sz w:val="22"/>
                <w:szCs w:val="22"/>
              </w:rPr>
            </w:pPr>
            <w:r w:rsidRPr="00194957">
              <w:rPr>
                <w:rFonts w:ascii="Gill Sans MT" w:hAnsi="Gill Sans MT"/>
                <w:b w:val="0"/>
                <w:sz w:val="22"/>
                <w:szCs w:val="22"/>
              </w:rPr>
              <w:t>Osteoarthritis</w:t>
            </w:r>
          </w:p>
        </w:tc>
        <w:tc>
          <w:tcPr>
            <w:tcW w:w="2945" w:type="dxa"/>
            <w:shd w:val="clear" w:color="auto" w:fill="auto"/>
          </w:tcPr>
          <w:p w14:paraId="163FE638" w14:textId="77777777" w:rsidR="00536B99" w:rsidRPr="00194957" w:rsidRDefault="00536B99" w:rsidP="00194957">
            <w:pPr>
              <w:pStyle w:val="TableCell"/>
              <w:spacing w:after="120"/>
              <w:jc w:val="right"/>
              <w:rPr>
                <w:sz w:val="22"/>
                <w:szCs w:val="22"/>
              </w:rPr>
            </w:pPr>
            <w:r w:rsidRPr="00194957">
              <w:rPr>
                <w:sz w:val="22"/>
                <w:szCs w:val="22"/>
              </w:rPr>
              <w:t>1</w:t>
            </w:r>
          </w:p>
        </w:tc>
      </w:tr>
      <w:tr w:rsidR="00536B99" w:rsidRPr="00194957" w14:paraId="40F9D4E8" w14:textId="77777777" w:rsidTr="00657A3B">
        <w:tc>
          <w:tcPr>
            <w:tcW w:w="6081" w:type="dxa"/>
            <w:shd w:val="clear" w:color="auto" w:fill="auto"/>
          </w:tcPr>
          <w:p w14:paraId="54ABDEC4" w14:textId="58B0A193" w:rsidR="00536B99" w:rsidRPr="00194957" w:rsidRDefault="00F8520F" w:rsidP="00194957">
            <w:pPr>
              <w:pStyle w:val="TableRowHead"/>
              <w:spacing w:after="120"/>
              <w:rPr>
                <w:rFonts w:ascii="Gill Sans MT" w:hAnsi="Gill Sans MT"/>
                <w:b w:val="0"/>
                <w:sz w:val="22"/>
                <w:szCs w:val="22"/>
              </w:rPr>
            </w:pPr>
            <w:r w:rsidRPr="00194957">
              <w:rPr>
                <w:rFonts w:ascii="Gill Sans MT" w:hAnsi="Gill Sans MT"/>
                <w:b w:val="0"/>
                <w:sz w:val="22"/>
                <w:szCs w:val="22"/>
              </w:rPr>
              <w:t>Chest pains</w:t>
            </w:r>
          </w:p>
        </w:tc>
        <w:tc>
          <w:tcPr>
            <w:tcW w:w="2945" w:type="dxa"/>
            <w:shd w:val="clear" w:color="auto" w:fill="auto"/>
          </w:tcPr>
          <w:p w14:paraId="608DF4EB" w14:textId="77777777" w:rsidR="00536B99" w:rsidRPr="00194957" w:rsidRDefault="00536B99" w:rsidP="00194957">
            <w:pPr>
              <w:pStyle w:val="TableCell"/>
              <w:spacing w:after="120"/>
              <w:jc w:val="right"/>
              <w:rPr>
                <w:sz w:val="22"/>
                <w:szCs w:val="22"/>
              </w:rPr>
            </w:pPr>
            <w:r w:rsidRPr="00194957">
              <w:rPr>
                <w:sz w:val="22"/>
                <w:szCs w:val="22"/>
              </w:rPr>
              <w:t>1</w:t>
            </w:r>
          </w:p>
        </w:tc>
      </w:tr>
      <w:tr w:rsidR="00536B99" w:rsidRPr="00194957" w14:paraId="073A7B6E" w14:textId="77777777" w:rsidTr="00657A3B">
        <w:tc>
          <w:tcPr>
            <w:tcW w:w="6081" w:type="dxa"/>
            <w:shd w:val="clear" w:color="auto" w:fill="auto"/>
          </w:tcPr>
          <w:p w14:paraId="4B699395" w14:textId="39280CB1" w:rsidR="00536B99" w:rsidRPr="00194957" w:rsidRDefault="00F8520F" w:rsidP="00194957">
            <w:pPr>
              <w:pStyle w:val="TableRowHead"/>
              <w:spacing w:after="120"/>
              <w:rPr>
                <w:rFonts w:ascii="Gill Sans MT" w:hAnsi="Gill Sans MT"/>
                <w:b w:val="0"/>
                <w:sz w:val="22"/>
                <w:szCs w:val="22"/>
              </w:rPr>
            </w:pPr>
            <w:r w:rsidRPr="00194957">
              <w:rPr>
                <w:rFonts w:ascii="Gill Sans MT" w:hAnsi="Gill Sans MT"/>
                <w:b w:val="0"/>
                <w:sz w:val="22"/>
                <w:szCs w:val="22"/>
              </w:rPr>
              <w:t>No disability</w:t>
            </w:r>
          </w:p>
        </w:tc>
        <w:tc>
          <w:tcPr>
            <w:tcW w:w="2945" w:type="dxa"/>
            <w:shd w:val="clear" w:color="auto" w:fill="auto"/>
          </w:tcPr>
          <w:p w14:paraId="2C4FAA06" w14:textId="77777777" w:rsidR="00536B99" w:rsidRPr="00194957" w:rsidRDefault="00536B99" w:rsidP="00194957">
            <w:pPr>
              <w:pStyle w:val="TableCell"/>
              <w:spacing w:after="120"/>
              <w:jc w:val="right"/>
              <w:rPr>
                <w:sz w:val="22"/>
                <w:szCs w:val="22"/>
              </w:rPr>
            </w:pPr>
            <w:r w:rsidRPr="00194957">
              <w:rPr>
                <w:sz w:val="22"/>
                <w:szCs w:val="22"/>
              </w:rPr>
              <w:t>1</w:t>
            </w:r>
          </w:p>
        </w:tc>
      </w:tr>
    </w:tbl>
    <w:p w14:paraId="4985F40A" w14:textId="77777777" w:rsidR="008700EA" w:rsidRPr="004841EF" w:rsidRDefault="008700EA" w:rsidP="00FD6FB5">
      <w:pPr>
        <w:pStyle w:val="Heading3"/>
      </w:pPr>
    </w:p>
    <w:p w14:paraId="71BFCE77" w14:textId="14CDECEE" w:rsidR="00FD6FB5" w:rsidRPr="004841EF" w:rsidRDefault="00FD6FB5" w:rsidP="00FD6FB5">
      <w:pPr>
        <w:pStyle w:val="Heading3"/>
      </w:pPr>
      <w:bookmarkStart w:id="228" w:name="_Toc26192117"/>
      <w:r w:rsidRPr="004841EF">
        <w:t>3.2.5</w:t>
      </w:r>
      <w:r w:rsidR="004B0FAD" w:rsidRPr="004841EF">
        <w:t xml:space="preserve">. </w:t>
      </w:r>
      <w:r w:rsidRPr="004841EF">
        <w:t>Decisions where a</w:t>
      </w:r>
      <w:r w:rsidRPr="004841EF">
        <w:rPr>
          <w:rFonts w:eastAsia="Calibri"/>
          <w:sz w:val="24"/>
          <w:szCs w:val="26"/>
        </w:rPr>
        <w:t xml:space="preserve"> </w:t>
      </w:r>
      <w:r w:rsidRPr="004841EF">
        <w:t>breach of the reasonable accommodation requirement was found</w:t>
      </w:r>
      <w:bookmarkEnd w:id="228"/>
    </w:p>
    <w:p w14:paraId="053E6F50" w14:textId="6FECFD56" w:rsidR="00536B99" w:rsidRPr="004841EF" w:rsidRDefault="00536B99" w:rsidP="00536B99">
      <w:pPr>
        <w:rPr>
          <w:rFonts w:cs="Arial Bold"/>
          <w:b/>
          <w:bCs/>
        </w:rPr>
      </w:pPr>
      <w:r w:rsidRPr="004841EF">
        <w:t>Of the 33 cases where a breach of the reasonable accommodation requirement was found to have occurred, 27 of these related to instances where the employer failed to comply with procedural aspects of the duty to reasonably accommodate. These included employers failing to undertake sufficient enquiries to determine the extent of the employee’s disability</w:t>
      </w:r>
      <w:r w:rsidR="00AD03DC" w:rsidRPr="004841EF">
        <w:t>;</w:t>
      </w:r>
      <w:r w:rsidRPr="004841EF">
        <w:t xml:space="preserve"> to consider whether special treatment and facilities could be provided</w:t>
      </w:r>
      <w:r w:rsidR="00AD03DC" w:rsidRPr="004841EF">
        <w:t>;</w:t>
      </w:r>
      <w:r w:rsidRPr="004841EF">
        <w:t xml:space="preserve"> and to consult with the employee at all stages of the process.</w:t>
      </w:r>
    </w:p>
    <w:p w14:paraId="4740FFF1" w14:textId="3AD724DF" w:rsidR="00536B99" w:rsidRPr="004841EF" w:rsidRDefault="00536B99" w:rsidP="00536B99">
      <w:r w:rsidRPr="004841EF">
        <w:t xml:space="preserve">In a very small number of cases, the employer was found to have breached the substantive component of the </w:t>
      </w:r>
      <w:r w:rsidR="0016628A" w:rsidRPr="004841EF">
        <w:t xml:space="preserve">reasonable accommodation </w:t>
      </w:r>
      <w:r w:rsidRPr="004841EF">
        <w:t>duty. Other breaches arose because the employer delayed excessively in providing reasonable accommodations.</w:t>
      </w:r>
    </w:p>
    <w:p w14:paraId="23A79D04" w14:textId="77777777" w:rsidR="00536B99" w:rsidRPr="004841EF" w:rsidRDefault="00536B99" w:rsidP="00536B99">
      <w:pPr>
        <w:spacing w:after="200" w:line="276" w:lineRule="auto"/>
        <w:rPr>
          <w:rFonts w:eastAsia="Calibri"/>
          <w:b/>
          <w:sz w:val="24"/>
          <w:szCs w:val="26"/>
        </w:rPr>
      </w:pPr>
      <w:r w:rsidRPr="004841EF">
        <w:rPr>
          <w:rFonts w:eastAsia="Calibri"/>
          <w:b/>
          <w:sz w:val="24"/>
          <w:szCs w:val="26"/>
        </w:rPr>
        <w:t>Table 5: Decisions where a breach of the reasonable accommodation requirement was found</w:t>
      </w:r>
    </w:p>
    <w:tbl>
      <w:tblPr>
        <w:tblW w:w="902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Caption w:val="Decisions where a breach of the reasonable accommodation requirement was found"/>
        <w:tblDescription w:val="Decisions where a breach of the reasonable accommodation requirement was found"/>
      </w:tblPr>
      <w:tblGrid>
        <w:gridCol w:w="6237"/>
        <w:gridCol w:w="2789"/>
      </w:tblGrid>
      <w:tr w:rsidR="00536B99" w:rsidRPr="00194957" w14:paraId="5CEC56A6" w14:textId="77777777" w:rsidTr="00657A3B">
        <w:trPr>
          <w:tblHeader/>
        </w:trPr>
        <w:tc>
          <w:tcPr>
            <w:tcW w:w="6237" w:type="dxa"/>
            <w:tcBorders>
              <w:bottom w:val="single" w:sz="12" w:space="0" w:color="000000"/>
            </w:tcBorders>
            <w:shd w:val="clear" w:color="auto" w:fill="auto"/>
          </w:tcPr>
          <w:p w14:paraId="703F5B79" w14:textId="77777777" w:rsidR="00536B99" w:rsidRPr="00194957" w:rsidRDefault="00536B99" w:rsidP="00194957">
            <w:pPr>
              <w:pStyle w:val="TableHead"/>
              <w:spacing w:after="120"/>
              <w:rPr>
                <w:sz w:val="22"/>
                <w:szCs w:val="22"/>
              </w:rPr>
            </w:pPr>
            <w:r w:rsidRPr="00194957">
              <w:rPr>
                <w:sz w:val="22"/>
                <w:szCs w:val="22"/>
              </w:rPr>
              <w:lastRenderedPageBreak/>
              <w:t>Reason for decisions where there was a breach of the reasonable accommodation requirement</w:t>
            </w:r>
          </w:p>
        </w:tc>
        <w:tc>
          <w:tcPr>
            <w:tcW w:w="2789" w:type="dxa"/>
            <w:tcBorders>
              <w:bottom w:val="single" w:sz="12" w:space="0" w:color="000000"/>
            </w:tcBorders>
            <w:shd w:val="clear" w:color="auto" w:fill="auto"/>
          </w:tcPr>
          <w:p w14:paraId="49A51390" w14:textId="77777777" w:rsidR="00536B99" w:rsidRPr="00194957" w:rsidRDefault="00536B99" w:rsidP="00194957">
            <w:pPr>
              <w:pStyle w:val="TableHead"/>
              <w:spacing w:after="120"/>
              <w:rPr>
                <w:sz w:val="22"/>
                <w:szCs w:val="22"/>
              </w:rPr>
            </w:pPr>
            <w:r w:rsidRPr="00194957">
              <w:rPr>
                <w:sz w:val="22"/>
                <w:szCs w:val="22"/>
              </w:rPr>
              <w:t>Number of decisions</w:t>
            </w:r>
          </w:p>
        </w:tc>
      </w:tr>
      <w:tr w:rsidR="00536B99" w:rsidRPr="00194957" w14:paraId="0E6CA17F" w14:textId="77777777" w:rsidTr="00657A3B">
        <w:tc>
          <w:tcPr>
            <w:tcW w:w="6237" w:type="dxa"/>
            <w:shd w:val="clear" w:color="auto" w:fill="auto"/>
          </w:tcPr>
          <w:p w14:paraId="71C50840" w14:textId="77777777" w:rsidR="00536B99" w:rsidRPr="00194957" w:rsidRDefault="00536B99" w:rsidP="00194957">
            <w:pPr>
              <w:pStyle w:val="TableRowHead"/>
              <w:spacing w:after="120"/>
              <w:rPr>
                <w:rFonts w:ascii="Gill Sans MT" w:hAnsi="Gill Sans MT"/>
                <w:b w:val="0"/>
                <w:sz w:val="22"/>
                <w:szCs w:val="22"/>
              </w:rPr>
            </w:pPr>
            <w:r w:rsidRPr="00194957">
              <w:rPr>
                <w:rFonts w:ascii="Gill Sans MT" w:hAnsi="Gill Sans MT"/>
                <w:b w:val="0"/>
                <w:sz w:val="22"/>
                <w:szCs w:val="22"/>
              </w:rPr>
              <w:t>The employer failed in their procedural obligations to undertake sufficient enquiries to determine the extent of the employee’s disability and/or to consider whether special treatment and facilities could be provided and/or to consult with the employee at all stages of the process</w:t>
            </w:r>
          </w:p>
        </w:tc>
        <w:tc>
          <w:tcPr>
            <w:tcW w:w="2789" w:type="dxa"/>
            <w:shd w:val="clear" w:color="auto" w:fill="auto"/>
          </w:tcPr>
          <w:p w14:paraId="2EDA794F" w14:textId="77777777" w:rsidR="00536B99" w:rsidRPr="00194957" w:rsidRDefault="00536B99" w:rsidP="00194957">
            <w:pPr>
              <w:pStyle w:val="TableCell"/>
              <w:spacing w:after="120"/>
              <w:jc w:val="right"/>
              <w:rPr>
                <w:sz w:val="22"/>
                <w:szCs w:val="22"/>
              </w:rPr>
            </w:pPr>
            <w:r w:rsidRPr="00194957">
              <w:rPr>
                <w:sz w:val="22"/>
                <w:szCs w:val="22"/>
              </w:rPr>
              <w:t>27</w:t>
            </w:r>
          </w:p>
        </w:tc>
      </w:tr>
      <w:tr w:rsidR="00536B99" w:rsidRPr="00194957" w14:paraId="36455C6C" w14:textId="77777777" w:rsidTr="00657A3B">
        <w:tc>
          <w:tcPr>
            <w:tcW w:w="6237" w:type="dxa"/>
            <w:shd w:val="clear" w:color="auto" w:fill="auto"/>
          </w:tcPr>
          <w:p w14:paraId="787C37C9" w14:textId="77777777" w:rsidR="00536B99" w:rsidRPr="00194957" w:rsidRDefault="00536B99" w:rsidP="00194957">
            <w:pPr>
              <w:pStyle w:val="TableRowHead"/>
              <w:spacing w:after="120"/>
              <w:rPr>
                <w:rFonts w:ascii="Gill Sans MT" w:hAnsi="Gill Sans MT"/>
                <w:b w:val="0"/>
                <w:sz w:val="22"/>
                <w:szCs w:val="22"/>
              </w:rPr>
            </w:pPr>
            <w:r w:rsidRPr="00194957">
              <w:rPr>
                <w:rFonts w:ascii="Gill Sans MT" w:hAnsi="Gill Sans MT"/>
                <w:b w:val="0"/>
                <w:sz w:val="22"/>
                <w:szCs w:val="22"/>
              </w:rPr>
              <w:t>The employer failed to make accommodations which were reasonable (substantive component)</w:t>
            </w:r>
          </w:p>
        </w:tc>
        <w:tc>
          <w:tcPr>
            <w:tcW w:w="2789" w:type="dxa"/>
            <w:shd w:val="clear" w:color="auto" w:fill="auto"/>
          </w:tcPr>
          <w:p w14:paraId="50751221" w14:textId="77777777" w:rsidR="00536B99" w:rsidRPr="00194957" w:rsidRDefault="00536B99" w:rsidP="00194957">
            <w:pPr>
              <w:pStyle w:val="TableCell"/>
              <w:spacing w:after="120"/>
              <w:jc w:val="right"/>
              <w:rPr>
                <w:sz w:val="22"/>
                <w:szCs w:val="22"/>
              </w:rPr>
            </w:pPr>
            <w:r w:rsidRPr="00194957">
              <w:rPr>
                <w:sz w:val="22"/>
                <w:szCs w:val="22"/>
              </w:rPr>
              <w:t>4</w:t>
            </w:r>
          </w:p>
        </w:tc>
      </w:tr>
      <w:tr w:rsidR="00536B99" w:rsidRPr="00194957" w14:paraId="608D1A95" w14:textId="77777777" w:rsidTr="00657A3B">
        <w:tc>
          <w:tcPr>
            <w:tcW w:w="6237" w:type="dxa"/>
            <w:shd w:val="clear" w:color="auto" w:fill="auto"/>
          </w:tcPr>
          <w:p w14:paraId="1DF76C4F" w14:textId="77777777" w:rsidR="00536B99" w:rsidRPr="00194957" w:rsidRDefault="00536B99" w:rsidP="00194957">
            <w:pPr>
              <w:pStyle w:val="TableRowHead"/>
              <w:spacing w:after="120"/>
              <w:rPr>
                <w:rFonts w:ascii="Gill Sans MT" w:hAnsi="Gill Sans MT"/>
                <w:b w:val="0"/>
                <w:sz w:val="22"/>
                <w:szCs w:val="22"/>
              </w:rPr>
            </w:pPr>
            <w:r w:rsidRPr="00194957">
              <w:rPr>
                <w:rFonts w:ascii="Gill Sans MT" w:hAnsi="Gill Sans MT"/>
                <w:b w:val="0"/>
                <w:sz w:val="22"/>
                <w:szCs w:val="22"/>
              </w:rPr>
              <w:t>The employer delayed excessively in providing reasonable accommodations</w:t>
            </w:r>
          </w:p>
        </w:tc>
        <w:tc>
          <w:tcPr>
            <w:tcW w:w="2789" w:type="dxa"/>
            <w:shd w:val="clear" w:color="auto" w:fill="auto"/>
          </w:tcPr>
          <w:p w14:paraId="3802DAB5" w14:textId="77777777" w:rsidR="00536B99" w:rsidRPr="00194957" w:rsidRDefault="00536B99" w:rsidP="00194957">
            <w:pPr>
              <w:pStyle w:val="TableCell"/>
              <w:spacing w:after="120"/>
              <w:jc w:val="right"/>
              <w:rPr>
                <w:sz w:val="22"/>
                <w:szCs w:val="22"/>
              </w:rPr>
            </w:pPr>
            <w:r w:rsidRPr="00194957">
              <w:rPr>
                <w:sz w:val="22"/>
                <w:szCs w:val="22"/>
              </w:rPr>
              <w:t>2</w:t>
            </w:r>
          </w:p>
        </w:tc>
      </w:tr>
      <w:tr w:rsidR="00536B99" w:rsidRPr="00194957" w14:paraId="249AB78B" w14:textId="77777777" w:rsidTr="00657A3B">
        <w:tc>
          <w:tcPr>
            <w:tcW w:w="6237" w:type="dxa"/>
            <w:shd w:val="clear" w:color="auto" w:fill="auto"/>
          </w:tcPr>
          <w:p w14:paraId="2041B540" w14:textId="77777777" w:rsidR="00536B99" w:rsidRPr="00194957" w:rsidRDefault="00536B99" w:rsidP="00194957">
            <w:pPr>
              <w:pStyle w:val="TableRowHead"/>
              <w:spacing w:after="120"/>
              <w:rPr>
                <w:rFonts w:ascii="Gill Sans MT" w:hAnsi="Gill Sans MT"/>
                <w:b w:val="0"/>
                <w:sz w:val="22"/>
                <w:szCs w:val="22"/>
              </w:rPr>
            </w:pPr>
            <w:r w:rsidRPr="00194957">
              <w:rPr>
                <w:rFonts w:ascii="Gill Sans MT" w:hAnsi="Gill Sans MT"/>
                <w:b w:val="0"/>
                <w:sz w:val="22"/>
                <w:szCs w:val="22"/>
              </w:rPr>
              <w:t>Total number of decisions where there was a breach of the reasonable accommodation requirement</w:t>
            </w:r>
          </w:p>
        </w:tc>
        <w:tc>
          <w:tcPr>
            <w:tcW w:w="2789" w:type="dxa"/>
            <w:shd w:val="clear" w:color="auto" w:fill="auto"/>
          </w:tcPr>
          <w:p w14:paraId="13D31A0A" w14:textId="77777777" w:rsidR="00536B99" w:rsidRPr="00194957" w:rsidRDefault="00536B99" w:rsidP="00194957">
            <w:pPr>
              <w:pStyle w:val="TableCell"/>
              <w:spacing w:after="120"/>
              <w:jc w:val="right"/>
              <w:rPr>
                <w:sz w:val="22"/>
                <w:szCs w:val="22"/>
              </w:rPr>
            </w:pPr>
            <w:r w:rsidRPr="00194957">
              <w:rPr>
                <w:sz w:val="22"/>
                <w:szCs w:val="22"/>
              </w:rPr>
              <w:t>33</w:t>
            </w:r>
          </w:p>
        </w:tc>
      </w:tr>
    </w:tbl>
    <w:p w14:paraId="5E801507" w14:textId="62174EEB" w:rsidR="00657A3B" w:rsidRPr="004841EF" w:rsidRDefault="00657A3B" w:rsidP="00536B99"/>
    <w:p w14:paraId="72B39CF5" w14:textId="019349B8" w:rsidR="00536B99" w:rsidRPr="00447491" w:rsidRDefault="00536B99" w:rsidP="00536B99">
      <w:pPr>
        <w:keepNext/>
        <w:spacing w:after="0"/>
        <w:outlineLvl w:val="3"/>
        <w:rPr>
          <w:rFonts w:eastAsia="Calibri"/>
          <w:b/>
        </w:rPr>
      </w:pPr>
      <w:r w:rsidRPr="00447491">
        <w:rPr>
          <w:rFonts w:eastAsia="Calibri"/>
          <w:b/>
        </w:rPr>
        <w:t>Reason 1: The employer failed in their procedural obligations to undertake sufficient enquiries to determine the extent of the employee’s disability and/or to consider whether special treatment and facilities could be provided and/or to consult with the employee at all stages of the process</w:t>
      </w:r>
    </w:p>
    <w:p w14:paraId="6F996706" w14:textId="056E1ACD" w:rsidR="00536B99" w:rsidRPr="004841EF" w:rsidRDefault="00536B99" w:rsidP="00536B99">
      <w:pPr>
        <w:rPr>
          <w:rFonts w:eastAsia="Calibri"/>
          <w:bCs/>
        </w:rPr>
      </w:pPr>
      <w:r w:rsidRPr="004841EF">
        <w:rPr>
          <w:rFonts w:eastAsia="Calibri"/>
          <w:bCs/>
        </w:rPr>
        <w:t>The review revealed that the most common reason for a breach of the obligation to provide reasonable accommodation was the failure of the employer to comply with procedural aspects of the duty. Case law illustrates that the reasonable accommodation process must meet certain minimum procedural requirements to comply with employment equality legislation.</w:t>
      </w:r>
      <w:r w:rsidR="00DA7103" w:rsidRPr="004841EF">
        <w:rPr>
          <w:rStyle w:val="FootnoteReference"/>
          <w:rFonts w:ascii="Gill Sans MT" w:eastAsia="Calibri" w:hAnsi="Gill Sans MT"/>
          <w:bCs/>
        </w:rPr>
        <w:footnoteReference w:id="75"/>
      </w:r>
    </w:p>
    <w:p w14:paraId="158A1A21" w14:textId="221AA7C2" w:rsidR="00AD03DC" w:rsidRPr="004841EF" w:rsidRDefault="00536B99" w:rsidP="00536B99">
      <w:pPr>
        <w:rPr>
          <w:rFonts w:eastAsia="Calibri"/>
        </w:rPr>
      </w:pPr>
      <w:r w:rsidRPr="004841EF">
        <w:rPr>
          <w:rFonts w:eastAsia="Calibri"/>
        </w:rPr>
        <w:t xml:space="preserve">This failure to comply with the procedural requirements of the duty manifested in </w:t>
      </w:r>
      <w:r w:rsidR="00657A3B" w:rsidRPr="004841EF">
        <w:rPr>
          <w:rFonts w:eastAsia="Calibri"/>
        </w:rPr>
        <w:t>the review in a number of ways.</w:t>
      </w:r>
    </w:p>
    <w:p w14:paraId="6B12537A" w14:textId="3AD33995" w:rsidR="00536B99" w:rsidRPr="004841EF" w:rsidRDefault="00AE3C49" w:rsidP="00536B99">
      <w:pPr>
        <w:rPr>
          <w:rFonts w:eastAsia="Calibri"/>
        </w:rPr>
      </w:pPr>
      <w:r w:rsidRPr="004841EF">
        <w:rPr>
          <w:rFonts w:eastAsia="Calibri"/>
        </w:rPr>
        <w:t>1.</w:t>
      </w:r>
      <w:r w:rsidR="00536B99" w:rsidRPr="004841EF">
        <w:rPr>
          <w:rFonts w:eastAsia="Calibri"/>
        </w:rPr>
        <w:t xml:space="preserve"> </w:t>
      </w:r>
      <w:r w:rsidR="00AD03DC" w:rsidRPr="004841EF">
        <w:rPr>
          <w:rFonts w:eastAsia="Calibri"/>
        </w:rPr>
        <w:t>I</w:t>
      </w:r>
      <w:r w:rsidR="00536B99" w:rsidRPr="004841EF">
        <w:rPr>
          <w:rFonts w:eastAsia="Calibri"/>
        </w:rPr>
        <w:t xml:space="preserve">n a number of cases, the employer failed to make adequate enquiries or was not in full possession of the material facts regarding the employee’s disability before making a decision on a requested accommodation. For example, in some of the cases, the employer failed to take proactive steps to source relevant information from the employee, particularly medical </w:t>
      </w:r>
      <w:r w:rsidR="00536B99" w:rsidRPr="004841EF">
        <w:rPr>
          <w:rFonts w:eastAsia="Calibri"/>
        </w:rPr>
        <w:lastRenderedPageBreak/>
        <w:t xml:space="preserve">information, regarding the nature or extent of their disability. In others, the employer failed to refer the employee to an occupational health practitioner for an independent medical assessment. By failing to obtain relevant information concerning an employee’s disability, the employer is deemed not to be in a position to objectively evaluate the degree to which appropriate </w:t>
      </w:r>
      <w:r w:rsidR="00DE475E" w:rsidRPr="004841EF">
        <w:rPr>
          <w:rFonts w:eastAsia="Calibri"/>
        </w:rPr>
        <w:t>reasonable accommodation</w:t>
      </w:r>
      <w:r w:rsidR="00536B99" w:rsidRPr="004841EF">
        <w:rPr>
          <w:rFonts w:eastAsia="Calibri"/>
        </w:rPr>
        <w:t xml:space="preserve"> can be made so as to render the employee capable of accessing or continuing in employment.</w:t>
      </w:r>
    </w:p>
    <w:p w14:paraId="39196ABA" w14:textId="77777777" w:rsidR="00536B99" w:rsidRPr="004841EF" w:rsidRDefault="00536B99" w:rsidP="00536B99">
      <w:pPr>
        <w:rPr>
          <w:rFonts w:eastAsia="Calibri"/>
        </w:rPr>
      </w:pPr>
      <w:r w:rsidRPr="004841EF">
        <w:rPr>
          <w:rFonts w:eastAsia="Calibri"/>
        </w:rPr>
        <w:t xml:space="preserve">In one of the cases examined as part of the review, </w:t>
      </w:r>
      <w:r w:rsidRPr="004841EF">
        <w:rPr>
          <w:rFonts w:eastAsia="Calibri"/>
          <w:b/>
        </w:rPr>
        <w:t>An Operator Technician v A Contractor ADJ-00000628</w:t>
      </w:r>
      <w:r w:rsidRPr="004841EF">
        <w:rPr>
          <w:rFonts w:eastAsia="Calibri"/>
        </w:rPr>
        <w:t>, the employee was a rail technician and had a stammer. He was dismissed from his position due to health and safety concerns. The Adjudication Officer determined that</w:t>
      </w:r>
      <w:r w:rsidR="00E9128F" w:rsidRPr="004841EF">
        <w:rPr>
          <w:rFonts w:eastAsia="Calibri"/>
        </w:rPr>
        <w:t>, prior to the dismissal,</w:t>
      </w:r>
      <w:r w:rsidRPr="004841EF">
        <w:rPr>
          <w:rFonts w:eastAsia="Calibri"/>
        </w:rPr>
        <w:t xml:space="preserve"> the employer did not make adequate enquiries regarding the impact of the employee’s stammer on his ability to do the job and had not adequately consulted with the employee regarding the imp</w:t>
      </w:r>
      <w:r w:rsidR="00E9128F" w:rsidRPr="004841EF">
        <w:rPr>
          <w:rFonts w:eastAsia="Calibri"/>
        </w:rPr>
        <w:t>act of the stammer on his role.</w:t>
      </w:r>
      <w:r w:rsidRPr="004841EF">
        <w:rPr>
          <w:rFonts w:eastAsia="Calibri"/>
        </w:rPr>
        <w:t xml:space="preserve"> In particular, no written report was provided from a Speech and Language Therapist until after the employee had lodged an equality complaint and such report was only supplied to the employee some months after his dismissal. Accordingly, the employer had failed to provide reasonable accommodation.</w:t>
      </w:r>
    </w:p>
    <w:p w14:paraId="1F2041B5" w14:textId="7CB3ABC5" w:rsidR="00536B99" w:rsidRPr="004841EF" w:rsidRDefault="00AE3C49" w:rsidP="00536B99">
      <w:pPr>
        <w:rPr>
          <w:rFonts w:eastAsia="Calibri"/>
        </w:rPr>
      </w:pPr>
      <w:r w:rsidRPr="004841EF">
        <w:rPr>
          <w:rFonts w:eastAsia="Calibri"/>
        </w:rPr>
        <w:t>2.</w:t>
      </w:r>
      <w:r w:rsidR="00536B99" w:rsidRPr="004841EF">
        <w:rPr>
          <w:rFonts w:eastAsia="Calibri"/>
        </w:rPr>
        <w:t xml:space="preserve"> </w:t>
      </w:r>
      <w:r w:rsidR="00AD03DC" w:rsidRPr="004841EF">
        <w:rPr>
          <w:rFonts w:eastAsia="Calibri"/>
        </w:rPr>
        <w:t>E</w:t>
      </w:r>
      <w:r w:rsidR="00536B99" w:rsidRPr="004841EF">
        <w:rPr>
          <w:rFonts w:eastAsia="Calibri"/>
        </w:rPr>
        <w:t>mployers failed to give adequate consideration as to whether any special treatment or facilities could be afforded to the employee which would render them fully capable of the role. In a number of such cases, employers were found to have “closed [their] mind” to considering what, if any, adjustments could be made in respect to the employee’s work requirements.</w:t>
      </w:r>
      <w:r w:rsidR="00536B99" w:rsidRPr="004841EF">
        <w:rPr>
          <w:rFonts w:eastAsia="Calibri"/>
          <w:sz w:val="22"/>
          <w:szCs w:val="22"/>
          <w:vertAlign w:val="superscript"/>
        </w:rPr>
        <w:footnoteReference w:id="76"/>
      </w:r>
      <w:r w:rsidR="00536B99" w:rsidRPr="004841EF">
        <w:rPr>
          <w:rFonts w:eastAsia="Calibri"/>
        </w:rPr>
        <w:t xml:space="preserve"> In these particular situations, the breach arose not because the employer failed to provide special facilities or treatment, but because the employer did not consider whether they could have been provided</w:t>
      </w:r>
      <w:r w:rsidR="00AD03DC" w:rsidRPr="004841EF">
        <w:rPr>
          <w:rFonts w:eastAsia="Calibri"/>
        </w:rPr>
        <w:t>.</w:t>
      </w:r>
      <w:r w:rsidR="00536B99" w:rsidRPr="004841EF">
        <w:rPr>
          <w:rFonts w:eastAsia="Calibri"/>
        </w:rPr>
        <w:t xml:space="preserve"> </w:t>
      </w:r>
      <w:r w:rsidR="00AD03DC" w:rsidRPr="004841EF">
        <w:rPr>
          <w:rFonts w:eastAsia="Calibri"/>
        </w:rPr>
        <w:t>I</w:t>
      </w:r>
      <w:r w:rsidR="00536B99" w:rsidRPr="004841EF">
        <w:rPr>
          <w:rFonts w:eastAsia="Calibri"/>
        </w:rPr>
        <w:t>t is possible that the provision of such special facilities or treatment would not have been feasible.</w:t>
      </w:r>
    </w:p>
    <w:p w14:paraId="338571F4" w14:textId="77777777" w:rsidR="00536B99" w:rsidRPr="004841EF" w:rsidRDefault="00536B99" w:rsidP="00536B99">
      <w:pPr>
        <w:rPr>
          <w:rFonts w:eastAsia="Calibri"/>
        </w:rPr>
      </w:pPr>
      <w:r w:rsidRPr="004841EF">
        <w:rPr>
          <w:rFonts w:eastAsia="Calibri"/>
        </w:rPr>
        <w:lastRenderedPageBreak/>
        <w:t xml:space="preserve">In </w:t>
      </w:r>
      <w:r w:rsidRPr="004841EF">
        <w:rPr>
          <w:rFonts w:eastAsia="Calibri"/>
          <w:b/>
        </w:rPr>
        <w:t>Desmond v Thomas Clarke &amp; Co DEC-E2010-130,</w:t>
      </w:r>
      <w:r w:rsidRPr="004841EF">
        <w:rPr>
          <w:rFonts w:eastAsia="Calibri"/>
        </w:rPr>
        <w:t xml:space="preserve"> a prospective employee - who was deaf - applied for the position of book-keeper. An interview was arranged and the prospective employee's friend subsequently contacted the prospective employer to request the assistance of a sign language interpreter for the interview. During this conversation, the prospective employer made comments which were premised on the fact that the prospective employee was deaf and in his opinion, his disability would present him with considerable difficulty performing the tasks associated with the post. The Adjudication Officer found that the prospective employer gave no consideration at all as to what accommodation he might afford the prospective employee to enable him undertake the tasks involved with the post. Therefore, the employer had breached the reasonable accommodation requirement.</w:t>
      </w:r>
    </w:p>
    <w:p w14:paraId="21717622" w14:textId="2A76414F" w:rsidR="00536B99" w:rsidRPr="004841EF" w:rsidRDefault="00AE3C49" w:rsidP="00536B99">
      <w:pPr>
        <w:rPr>
          <w:rFonts w:eastAsia="Calibri"/>
        </w:rPr>
      </w:pPr>
      <w:r w:rsidRPr="004841EF">
        <w:rPr>
          <w:rFonts w:eastAsia="Calibri"/>
        </w:rPr>
        <w:t>3.</w:t>
      </w:r>
      <w:r w:rsidR="00536B99" w:rsidRPr="004841EF">
        <w:rPr>
          <w:rFonts w:eastAsia="Calibri"/>
        </w:rPr>
        <w:t xml:space="preserve"> </w:t>
      </w:r>
      <w:r w:rsidR="00AD03DC" w:rsidRPr="004841EF">
        <w:rPr>
          <w:rFonts w:eastAsia="Calibri"/>
        </w:rPr>
        <w:t>A</w:t>
      </w:r>
      <w:r w:rsidR="00536B99" w:rsidRPr="004841EF">
        <w:rPr>
          <w:rFonts w:eastAsia="Calibri"/>
        </w:rPr>
        <w:t xml:space="preserve"> number of employers failed to discharge the onus on them to engage and consult with the employee regarding their disability when determining whether or not reasonable acc</w:t>
      </w:r>
      <w:r w:rsidR="00174172" w:rsidRPr="004841EF">
        <w:rPr>
          <w:rFonts w:eastAsia="Calibri"/>
        </w:rPr>
        <w:t xml:space="preserve">ommodation should be provided. Although not mandatory in each and every case, </w:t>
      </w:r>
      <w:r w:rsidR="00976F39" w:rsidRPr="004841EF">
        <w:rPr>
          <w:rFonts w:eastAsia="Calibri"/>
          <w:iCs/>
        </w:rPr>
        <w:t>a wise employer will provide meaningful participation to</w:t>
      </w:r>
      <w:r w:rsidR="00976F39" w:rsidRPr="004841EF">
        <w:rPr>
          <w:rFonts w:eastAsia="Calibri"/>
        </w:rPr>
        <w:t xml:space="preserve"> </w:t>
      </w:r>
      <w:r w:rsidR="00174172" w:rsidRPr="004841EF">
        <w:rPr>
          <w:rFonts w:eastAsia="Calibri"/>
        </w:rPr>
        <w:t>e</w:t>
      </w:r>
      <w:r w:rsidR="00536B99" w:rsidRPr="004841EF">
        <w:rPr>
          <w:rFonts w:eastAsia="Calibri"/>
        </w:rPr>
        <w:t>mployees and prospective employees in the process for evaluating requests for reasonable accommodation at all levels.</w:t>
      </w:r>
      <w:r w:rsidR="00DA7103" w:rsidRPr="004841EF">
        <w:rPr>
          <w:rStyle w:val="FootnoteReference"/>
          <w:rFonts w:ascii="Gill Sans MT" w:eastAsia="Calibri" w:hAnsi="Gill Sans MT"/>
        </w:rPr>
        <w:footnoteReference w:id="77"/>
      </w:r>
      <w:r w:rsidR="00536B99" w:rsidRPr="004841EF">
        <w:rPr>
          <w:rFonts w:eastAsia="Calibri"/>
        </w:rPr>
        <w:t xml:space="preserve"> </w:t>
      </w:r>
    </w:p>
    <w:p w14:paraId="18CDBDB0" w14:textId="049227E1" w:rsidR="00536B99" w:rsidRPr="004841EF" w:rsidRDefault="00536B99" w:rsidP="00536B99">
      <w:pPr>
        <w:rPr>
          <w:rFonts w:eastAsia="Calibri"/>
        </w:rPr>
      </w:pPr>
      <w:r w:rsidRPr="004841EF">
        <w:rPr>
          <w:rFonts w:eastAsia="Calibri"/>
        </w:rPr>
        <w:t xml:space="preserve">In </w:t>
      </w:r>
      <w:r w:rsidRPr="004841EF">
        <w:rPr>
          <w:rFonts w:eastAsia="Calibri"/>
          <w:b/>
        </w:rPr>
        <w:t>A Production Operator v A Manufacturing Company ADJ-00010072</w:t>
      </w:r>
      <w:r w:rsidRPr="004841EF">
        <w:rPr>
          <w:rFonts w:eastAsia="Calibri"/>
        </w:rPr>
        <w:t xml:space="preserve">, the employee had anxiety and </w:t>
      </w:r>
      <w:r w:rsidR="00174172" w:rsidRPr="004841EF">
        <w:rPr>
          <w:rFonts w:eastAsia="Calibri"/>
        </w:rPr>
        <w:t>experienced</w:t>
      </w:r>
      <w:r w:rsidRPr="004841EF">
        <w:rPr>
          <w:rFonts w:eastAsia="Calibri"/>
        </w:rPr>
        <w:t xml:space="preserve"> panic attacks. She claimed that she was assigned to an area in her employer’s factory which exacerbated and triggered her symptoms and she sought to move to a different role. The Adjudication Officer determined that the employer failed to comply</w:t>
      </w:r>
      <w:r w:rsidR="0051309A" w:rsidRPr="004841EF">
        <w:rPr>
          <w:rFonts w:eastAsia="Calibri"/>
        </w:rPr>
        <w:t xml:space="preserve"> with their</w:t>
      </w:r>
      <w:r w:rsidRPr="004841EF">
        <w:rPr>
          <w:rFonts w:eastAsia="Calibri"/>
        </w:rPr>
        <w:t xml:space="preserve"> obligation to adopt a process-orientated approach and to fully engage and consult with the employee regarding her request for reasonable accommodation</w:t>
      </w:r>
      <w:r w:rsidR="00EF5E88" w:rsidRPr="004841EF">
        <w:rPr>
          <w:rFonts w:eastAsia="Calibri"/>
        </w:rPr>
        <w:t>, in particular the reasons why she found it difficult to work in the relevant area</w:t>
      </w:r>
      <w:r w:rsidRPr="004841EF">
        <w:rPr>
          <w:rFonts w:eastAsia="Calibri"/>
        </w:rPr>
        <w:t xml:space="preserve">. The Adjudication Officer </w:t>
      </w:r>
      <w:r w:rsidR="00E9128F" w:rsidRPr="004841EF">
        <w:rPr>
          <w:rFonts w:eastAsia="Calibri"/>
        </w:rPr>
        <w:t xml:space="preserve">also </w:t>
      </w:r>
      <w:r w:rsidRPr="004841EF">
        <w:rPr>
          <w:rFonts w:eastAsia="Calibri"/>
        </w:rPr>
        <w:t>held that the employer, while on notice of the employee’s disability, did not have adequate knowledge as to how to deal with the situation which was unfolding and failed to discharge their duty to provide reasonable accommodation.</w:t>
      </w:r>
    </w:p>
    <w:p w14:paraId="27F2B96B" w14:textId="5B456EA4" w:rsidR="00536B99" w:rsidRPr="004841EF" w:rsidRDefault="00713129" w:rsidP="00536B99">
      <w:pPr>
        <w:rPr>
          <w:rFonts w:eastAsia="Calibri"/>
        </w:rPr>
      </w:pPr>
      <w:r w:rsidRPr="004841EF">
        <w:rPr>
          <w:rFonts w:eastAsia="Calibri"/>
        </w:rPr>
        <w:t>4.</w:t>
      </w:r>
      <w:r w:rsidR="00AE3C49" w:rsidRPr="004841EF">
        <w:rPr>
          <w:rFonts w:eastAsia="Calibri"/>
        </w:rPr>
        <w:t xml:space="preserve"> </w:t>
      </w:r>
      <w:r w:rsidR="00536B99" w:rsidRPr="004841EF">
        <w:rPr>
          <w:rFonts w:eastAsia="Calibri"/>
        </w:rPr>
        <w:t>In a smaller number of decisions, the Adjudication Officer noted that the employer did not possess a working knowledge of reasonable accommodation as defined in Irish legislation and did not have a policy dedicated to reasonable accommodation.</w:t>
      </w:r>
    </w:p>
    <w:p w14:paraId="25C0055B" w14:textId="77777777" w:rsidR="00536B99" w:rsidRPr="004841EF" w:rsidRDefault="00536B99" w:rsidP="00536B99">
      <w:pPr>
        <w:rPr>
          <w:rFonts w:eastAsia="Calibri"/>
        </w:rPr>
      </w:pPr>
      <w:r w:rsidRPr="004841EF">
        <w:rPr>
          <w:rFonts w:eastAsia="Calibri"/>
        </w:rPr>
        <w:t xml:space="preserve">In </w:t>
      </w:r>
      <w:r w:rsidRPr="004841EF">
        <w:rPr>
          <w:rFonts w:eastAsia="Calibri"/>
          <w:b/>
        </w:rPr>
        <w:t>Complainant v Respondent ADJ-00009293</w:t>
      </w:r>
      <w:r w:rsidRPr="004841EF">
        <w:rPr>
          <w:rFonts w:eastAsia="Calibri"/>
        </w:rPr>
        <w:t xml:space="preserve">, the employee, who had depression, sought to change his shift schedule, from evening work to day work. The employer refused to accommodate this request. The Adjudication Officer found that the employer, while on clear notice of the employee’s disability, did not possess a working knowledge of reasonable accommodation as defined in Irish legislation. Additionally, the employer neither had a policy dedicated to reasonable accommodation, nor was there a visible precedent mentioned at the company. In finding a breach of the reasonable accommodation requirement, the Adjudication Officer </w:t>
      </w:r>
      <w:r w:rsidR="00E9128F" w:rsidRPr="004841EF">
        <w:rPr>
          <w:rFonts w:eastAsia="Calibri"/>
        </w:rPr>
        <w:t xml:space="preserve">further </w:t>
      </w:r>
      <w:r w:rsidRPr="004841EF">
        <w:rPr>
          <w:rFonts w:eastAsia="Calibri"/>
        </w:rPr>
        <w:t>stated that she was struck by the lack of consideration given to the employee’s request for reasonable accommodation.</w:t>
      </w:r>
    </w:p>
    <w:p w14:paraId="529A3279" w14:textId="712B2A5F" w:rsidR="00536B99" w:rsidRPr="009B0E4D" w:rsidRDefault="00536B99" w:rsidP="00536B99">
      <w:pPr>
        <w:keepNext/>
        <w:spacing w:after="0"/>
        <w:outlineLvl w:val="3"/>
        <w:rPr>
          <w:rFonts w:eastAsia="Calibri"/>
          <w:b/>
        </w:rPr>
      </w:pPr>
      <w:r w:rsidRPr="009B0E4D">
        <w:rPr>
          <w:rFonts w:eastAsia="Calibri"/>
          <w:b/>
        </w:rPr>
        <w:t>Reason</w:t>
      </w:r>
      <w:r w:rsidR="00A94A40" w:rsidRPr="009B0E4D">
        <w:rPr>
          <w:rFonts w:eastAsia="Calibri"/>
          <w:b/>
        </w:rPr>
        <w:t xml:space="preserve"> 2: The employer failed to provide a reasonable accommodation</w:t>
      </w:r>
      <w:r w:rsidRPr="009B0E4D">
        <w:rPr>
          <w:rFonts w:eastAsia="Calibri"/>
          <w:b/>
        </w:rPr>
        <w:t xml:space="preserve"> (substantive component)</w:t>
      </w:r>
    </w:p>
    <w:p w14:paraId="008F3190" w14:textId="19AE488B" w:rsidR="00536B99" w:rsidRPr="004841EF" w:rsidRDefault="00536B99" w:rsidP="00536B99">
      <w:pPr>
        <w:rPr>
          <w:rFonts w:eastAsia="Calibri"/>
        </w:rPr>
      </w:pPr>
      <w:r w:rsidRPr="004841EF">
        <w:rPr>
          <w:rFonts w:eastAsia="Calibri"/>
        </w:rPr>
        <w:t xml:space="preserve">In 4 out of the 33 cases, the employer </w:t>
      </w:r>
      <w:r w:rsidRPr="004841EF">
        <w:rPr>
          <w:rFonts w:eastAsia="Calibri"/>
          <w:bCs/>
        </w:rPr>
        <w:t>breached</w:t>
      </w:r>
      <w:r w:rsidRPr="004841EF">
        <w:rPr>
          <w:rFonts w:eastAsia="Calibri"/>
        </w:rPr>
        <w:t> the </w:t>
      </w:r>
      <w:r w:rsidRPr="004841EF">
        <w:rPr>
          <w:rFonts w:eastAsia="Calibri"/>
          <w:bCs/>
        </w:rPr>
        <w:t>substantive</w:t>
      </w:r>
      <w:r w:rsidRPr="004841EF">
        <w:rPr>
          <w:rFonts w:eastAsia="Calibri"/>
        </w:rPr>
        <w:t> component of the </w:t>
      </w:r>
      <w:r w:rsidR="00423869" w:rsidRPr="004841EF">
        <w:rPr>
          <w:rFonts w:eastAsia="Calibri"/>
        </w:rPr>
        <w:t xml:space="preserve">reasonable accommodation </w:t>
      </w:r>
      <w:r w:rsidRPr="004841EF">
        <w:rPr>
          <w:rFonts w:eastAsia="Calibri"/>
          <w:bCs/>
        </w:rPr>
        <w:t>duty</w:t>
      </w:r>
      <w:r w:rsidRPr="004841EF">
        <w:rPr>
          <w:rFonts w:eastAsia="Calibri"/>
        </w:rPr>
        <w:t xml:space="preserve">. A reasonable accommodation is always an individually tailored solution and is based on an individual analysis of the </w:t>
      </w:r>
      <w:r w:rsidR="00DB1218" w:rsidRPr="004841EF">
        <w:rPr>
          <w:rFonts w:eastAsia="Calibri"/>
        </w:rPr>
        <w:t>needs of the person,</w:t>
      </w:r>
      <w:r w:rsidRPr="004841EF">
        <w:rPr>
          <w:rFonts w:eastAsia="Calibri"/>
        </w:rPr>
        <w:t xml:space="preserve"> the specific working conditions</w:t>
      </w:r>
      <w:r w:rsidR="00DB1218" w:rsidRPr="004841EF">
        <w:rPr>
          <w:rFonts w:eastAsia="Calibri"/>
        </w:rPr>
        <w:t xml:space="preserve"> and the employer’s resources</w:t>
      </w:r>
      <w:r w:rsidRPr="004841EF">
        <w:rPr>
          <w:rFonts w:eastAsia="Calibri"/>
        </w:rPr>
        <w:t>.</w:t>
      </w:r>
    </w:p>
    <w:p w14:paraId="106D207B" w14:textId="7671546B" w:rsidR="00536B99" w:rsidRPr="004841EF" w:rsidRDefault="00536B99" w:rsidP="00536B99">
      <w:pPr>
        <w:rPr>
          <w:rFonts w:eastAsia="Calibri"/>
        </w:rPr>
      </w:pPr>
      <w:r w:rsidRPr="004841EF">
        <w:rPr>
          <w:rFonts w:eastAsia="Calibri"/>
        </w:rPr>
        <w:t>In one case analysed as part of the study,</w:t>
      </w:r>
      <w:r w:rsidRPr="004841EF">
        <w:rPr>
          <w:rFonts w:eastAsia="Calibri"/>
          <w:sz w:val="22"/>
          <w:szCs w:val="22"/>
          <w:vertAlign w:val="superscript"/>
        </w:rPr>
        <w:footnoteReference w:id="78"/>
      </w:r>
      <w:r w:rsidRPr="004841EF">
        <w:rPr>
          <w:rFonts w:eastAsia="Calibri"/>
        </w:rPr>
        <w:t xml:space="preserve"> the prospective employee had notified her prospective employer that she was a wheelchair user. She was assured that the building and the interview room would be accessible to her. However, when the prospective employee arrived for the interview, she found that </w:t>
      </w:r>
      <w:r w:rsidR="00E071B2" w:rsidRPr="004841EF">
        <w:rPr>
          <w:rFonts w:eastAsia="Calibri"/>
        </w:rPr>
        <w:t xml:space="preserve">her access to the building was restricted as the wheelchair ramp was blocked and the </w:t>
      </w:r>
      <w:r w:rsidR="00DF3A69" w:rsidRPr="004841EF">
        <w:rPr>
          <w:rFonts w:eastAsia="Calibri"/>
        </w:rPr>
        <w:t>elevator</w:t>
      </w:r>
      <w:r w:rsidR="00E071B2" w:rsidRPr="004841EF">
        <w:rPr>
          <w:rFonts w:eastAsia="Calibri"/>
        </w:rPr>
        <w:t xml:space="preserve"> was broken. The prosp</w:t>
      </w:r>
      <w:r w:rsidR="00E9128F" w:rsidRPr="004841EF">
        <w:rPr>
          <w:rFonts w:eastAsia="Calibri"/>
        </w:rPr>
        <w:t>ective employee alleged that the</w:t>
      </w:r>
      <w:r w:rsidR="00E071B2" w:rsidRPr="004841EF">
        <w:rPr>
          <w:rFonts w:eastAsia="Calibri"/>
        </w:rPr>
        <w:t>s</w:t>
      </w:r>
      <w:r w:rsidR="00E9128F" w:rsidRPr="004841EF">
        <w:rPr>
          <w:rFonts w:eastAsia="Calibri"/>
        </w:rPr>
        <w:t>e access difficulties</w:t>
      </w:r>
      <w:r w:rsidR="00E071B2" w:rsidRPr="004841EF">
        <w:rPr>
          <w:rFonts w:eastAsia="Calibri"/>
        </w:rPr>
        <w:t xml:space="preserve"> affected her performance at the interview and constituted a failure to provide reasonable accommodation. </w:t>
      </w:r>
      <w:r w:rsidRPr="004841EF">
        <w:rPr>
          <w:rFonts w:eastAsia="Calibri"/>
        </w:rPr>
        <w:t>The Equality Officer in the former Equality Tribunal found that the prospective employer had discriminated against the prospective employee on the disability ground by failing to provide special facilities at the interview stage.</w:t>
      </w:r>
    </w:p>
    <w:p w14:paraId="4583C6E2" w14:textId="716696CE" w:rsidR="00536B99" w:rsidRPr="004841EF" w:rsidRDefault="00536B99" w:rsidP="00536B99">
      <w:pPr>
        <w:rPr>
          <w:rFonts w:eastAsia="Calibri"/>
        </w:rPr>
      </w:pPr>
      <w:r w:rsidRPr="004841EF">
        <w:rPr>
          <w:rFonts w:eastAsia="Calibri"/>
        </w:rPr>
        <w:t xml:space="preserve">In </w:t>
      </w:r>
      <w:r w:rsidRPr="004841EF">
        <w:rPr>
          <w:rFonts w:eastAsia="Calibri"/>
          <w:b/>
        </w:rPr>
        <w:t>A Claimant v An Employer ADJ-00008968</w:t>
      </w:r>
      <w:r w:rsidRPr="004841EF">
        <w:rPr>
          <w:rFonts w:eastAsia="Calibri"/>
        </w:rPr>
        <w:t>, the employee, who was a researcher, was diagnosed with breast cancer in late 2013. She</w:t>
      </w:r>
      <w:r w:rsidR="00DA7103" w:rsidRPr="004841EF">
        <w:rPr>
          <w:rFonts w:eastAsia="Calibri"/>
        </w:rPr>
        <w:t xml:space="preserve"> subsequently</w:t>
      </w:r>
      <w:r w:rsidRPr="004841EF">
        <w:rPr>
          <w:rFonts w:eastAsia="Calibri"/>
        </w:rPr>
        <w:t xml:space="preserve"> stopped working to undergo chemotherapy and returned to work in 2016. On her return, the employee exp</w:t>
      </w:r>
      <w:r w:rsidR="00E9128F" w:rsidRPr="004841EF">
        <w:rPr>
          <w:rFonts w:eastAsia="Calibri"/>
        </w:rPr>
        <w:t>erienced difficulties with post-cancer/post-</w:t>
      </w:r>
      <w:r w:rsidRPr="004841EF">
        <w:rPr>
          <w:rFonts w:eastAsia="Calibri"/>
        </w:rPr>
        <w:t xml:space="preserve">chemotherapy fatigue, which was exacerbated by her daily commute from Blessington to Dublin City Centre. She sought and was denied a home working arrangement, where she </w:t>
      </w:r>
      <w:r w:rsidR="00E9128F" w:rsidRPr="004841EF">
        <w:rPr>
          <w:rFonts w:eastAsia="Calibri"/>
        </w:rPr>
        <w:t>would work</w:t>
      </w:r>
      <w:r w:rsidRPr="004841EF">
        <w:rPr>
          <w:rFonts w:eastAsia="Calibri"/>
        </w:rPr>
        <w:t xml:space="preserve"> in the o</w:t>
      </w:r>
      <w:r w:rsidR="00E9128F" w:rsidRPr="004841EF">
        <w:rPr>
          <w:rFonts w:eastAsia="Calibri"/>
        </w:rPr>
        <w:t>ffice two days a week and work</w:t>
      </w:r>
      <w:r w:rsidRPr="004841EF">
        <w:rPr>
          <w:rFonts w:eastAsia="Calibri"/>
        </w:rPr>
        <w:t xml:space="preserve"> from home the other three days. The employer outlined a number of alternative options to the employee, including work-sharing, special leave without pay, a shorter working year or</w:t>
      </w:r>
      <w:r w:rsidR="00E9128F" w:rsidRPr="004841EF">
        <w:rPr>
          <w:rFonts w:eastAsia="Calibri"/>
        </w:rPr>
        <w:t xml:space="preserve"> a</w:t>
      </w:r>
      <w:r w:rsidRPr="004841EF">
        <w:rPr>
          <w:rFonts w:eastAsia="Calibri"/>
        </w:rPr>
        <w:t xml:space="preserve"> career break. The employee noted that all of these options involved reduced hours and reduced pay.</w:t>
      </w:r>
    </w:p>
    <w:p w14:paraId="6B7193EB" w14:textId="6586B45A" w:rsidR="00536B99" w:rsidRPr="004841EF" w:rsidRDefault="00536B99" w:rsidP="00536B99">
      <w:pPr>
        <w:rPr>
          <w:rFonts w:eastAsia="Calibri"/>
        </w:rPr>
      </w:pPr>
      <w:r w:rsidRPr="004841EF">
        <w:rPr>
          <w:rFonts w:eastAsia="Calibri"/>
        </w:rPr>
        <w:t xml:space="preserve">The Adjudication Officer </w:t>
      </w:r>
      <w:r w:rsidR="00E9128F" w:rsidRPr="004841EF">
        <w:rPr>
          <w:rFonts w:eastAsia="Calibri"/>
        </w:rPr>
        <w:t>found</w:t>
      </w:r>
      <w:r w:rsidRPr="004841EF">
        <w:rPr>
          <w:rFonts w:eastAsia="Calibri"/>
        </w:rPr>
        <w:t xml:space="preserve"> that while the employer was in possession of all the medical facts pertaining to the employee’s</w:t>
      </w:r>
      <w:r w:rsidR="00DA7103" w:rsidRPr="004841EF">
        <w:rPr>
          <w:rFonts w:eastAsia="Calibri"/>
        </w:rPr>
        <w:t xml:space="preserve"> post-cancer/post-chemotherapy fatigue</w:t>
      </w:r>
      <w:r w:rsidRPr="004841EF">
        <w:rPr>
          <w:rFonts w:eastAsia="Calibri"/>
        </w:rPr>
        <w:t>, the medical advice</w:t>
      </w:r>
      <w:r w:rsidR="00DA7103" w:rsidRPr="004841EF">
        <w:rPr>
          <w:rFonts w:eastAsia="Calibri"/>
        </w:rPr>
        <w:t xml:space="preserve"> provided</w:t>
      </w:r>
      <w:r w:rsidRPr="004841EF">
        <w:rPr>
          <w:rFonts w:eastAsia="Calibri"/>
        </w:rPr>
        <w:t xml:space="preserve"> seemed to have been ignored. The Adjudication Officer underlined that there is a duty on employers to redistribute work or remove barriers that presented as an obstacle in the way of an employee’s ability to carry out their functions, and had failed to do so in this particular instance. Accordingly, the employer could not objectively justify its refusal to reasonably accommodate the employee with a home working arrangement.</w:t>
      </w:r>
    </w:p>
    <w:p w14:paraId="7F448F5C" w14:textId="77777777" w:rsidR="00536B99" w:rsidRPr="004841EF" w:rsidRDefault="00536B99" w:rsidP="00536B99">
      <w:pPr>
        <w:rPr>
          <w:rFonts w:eastAsia="Calibri"/>
        </w:rPr>
      </w:pPr>
      <w:r w:rsidRPr="004841EF">
        <w:rPr>
          <w:rFonts w:eastAsia="Calibri"/>
        </w:rPr>
        <w:t xml:space="preserve">In </w:t>
      </w:r>
      <w:r w:rsidRPr="004841EF">
        <w:rPr>
          <w:rFonts w:eastAsia="Calibri"/>
          <w:b/>
        </w:rPr>
        <w:t>A Worker v A Manufacturing Company ADJ-00000557</w:t>
      </w:r>
      <w:r w:rsidRPr="004841EF">
        <w:rPr>
          <w:rFonts w:eastAsia="Calibri"/>
        </w:rPr>
        <w:t xml:space="preserve">, the employee had depression and was absent from work for about 10 months between 2014 and 2015. Her evidence was that her shift pattern, which included day and night shifts, caused her significant sleep deprivation and exacerbated her depression. She asked for an accommodation in the form of day shift work, as recommended by her doctor. The company’s occupational health physician </w:t>
      </w:r>
      <w:r w:rsidR="00E9128F" w:rsidRPr="004841EF">
        <w:rPr>
          <w:rFonts w:eastAsia="Calibri"/>
        </w:rPr>
        <w:t>examined</w:t>
      </w:r>
      <w:r w:rsidRPr="004841EF">
        <w:rPr>
          <w:rFonts w:eastAsia="Calibri"/>
        </w:rPr>
        <w:t xml:space="preserve"> the employee in early 2015 and found while she was not fit to work for 12 months, she could then return to day shift work, if she could be accommodated.</w:t>
      </w:r>
    </w:p>
    <w:p w14:paraId="043CB955" w14:textId="00F2AD25" w:rsidR="00536B99" w:rsidRPr="004841EF" w:rsidRDefault="00536B99" w:rsidP="00536B99">
      <w:pPr>
        <w:rPr>
          <w:rFonts w:eastAsia="Calibri"/>
        </w:rPr>
      </w:pPr>
      <w:r w:rsidRPr="004841EF">
        <w:rPr>
          <w:rFonts w:eastAsia="Calibri"/>
        </w:rPr>
        <w:t>The employer advised the employee that there were no day shift vacancies available. In particular, the employer stated that there was considerable competition for day shift places and referred to a long-standing collective agreement with a trade union t</w:t>
      </w:r>
      <w:r w:rsidR="00657A3B" w:rsidRPr="004841EF">
        <w:rPr>
          <w:rFonts w:eastAsia="Calibri"/>
        </w:rPr>
        <w:t>hat controlled shift transfers.</w:t>
      </w:r>
    </w:p>
    <w:p w14:paraId="289E9D90" w14:textId="5EA2912B" w:rsidR="00536B99" w:rsidRPr="004841EF" w:rsidRDefault="00536B99" w:rsidP="00536B99">
      <w:pPr>
        <w:rPr>
          <w:rFonts w:eastAsia="Calibri"/>
        </w:rPr>
      </w:pPr>
      <w:r w:rsidRPr="004841EF">
        <w:rPr>
          <w:rFonts w:eastAsia="Calibri"/>
        </w:rPr>
        <w:t xml:space="preserve">The Adjudication Officer noted that the statutory right of an employee with a disability to reasonable accommodation was </w:t>
      </w:r>
      <w:r w:rsidR="009E0BC7" w:rsidRPr="004841EF">
        <w:rPr>
          <w:rFonts w:eastAsia="Calibri"/>
        </w:rPr>
        <w:t>not intended to be</w:t>
      </w:r>
      <w:r w:rsidRPr="004841EF">
        <w:rPr>
          <w:rFonts w:eastAsia="Calibri"/>
        </w:rPr>
        <w:t xml:space="preserve"> a grace-and-favour affair </w:t>
      </w:r>
      <w:r w:rsidR="009E0BC7" w:rsidRPr="004841EF">
        <w:rPr>
          <w:rFonts w:eastAsia="Calibri"/>
        </w:rPr>
        <w:t>dependent</w:t>
      </w:r>
      <w:r w:rsidRPr="004841EF">
        <w:rPr>
          <w:rFonts w:eastAsia="Calibri"/>
        </w:rPr>
        <w:t xml:space="preserve"> on whether a suitable alternative position happens to come up just at the right moment when it was needed, and for which the employee must compete with others. The Adjudication Officer stated that the right to reasonable accommodation was not dependent on any such operational contingencies, but was limited only by the financial resources of an employer and whether the measures identified as necessary placed a disproportionate financial burden on </w:t>
      </w:r>
      <w:r w:rsidR="00BF20FF" w:rsidRPr="004841EF">
        <w:rPr>
          <w:rFonts w:eastAsia="Calibri"/>
        </w:rPr>
        <w:t>an</w:t>
      </w:r>
      <w:r w:rsidR="00657A3B" w:rsidRPr="004841EF">
        <w:rPr>
          <w:rFonts w:eastAsia="Calibri"/>
        </w:rPr>
        <w:t xml:space="preserve"> employer.</w:t>
      </w:r>
    </w:p>
    <w:p w14:paraId="680F732E" w14:textId="77777777" w:rsidR="00536B99" w:rsidRPr="004841EF" w:rsidRDefault="00536B99" w:rsidP="00536B99">
      <w:pPr>
        <w:rPr>
          <w:rFonts w:eastAsia="Calibri"/>
        </w:rPr>
      </w:pPr>
      <w:r w:rsidRPr="004841EF">
        <w:rPr>
          <w:rFonts w:eastAsia="Calibri"/>
        </w:rPr>
        <w:t>The Adjudication Officer found that that the employer treated the matter of the employee’s disability as a normal transfer request in line with its union agreement rather than as a statutory obligation</w:t>
      </w:r>
      <w:r w:rsidR="00BF20FF" w:rsidRPr="004841EF">
        <w:rPr>
          <w:rFonts w:eastAsia="Calibri"/>
        </w:rPr>
        <w:t xml:space="preserve"> to provide reasonable accommodation</w:t>
      </w:r>
      <w:r w:rsidRPr="004841EF">
        <w:rPr>
          <w:rFonts w:eastAsia="Calibri"/>
        </w:rPr>
        <w:t xml:space="preserve">. Considering the likely costs involved in replacing the employee on the </w:t>
      </w:r>
      <w:r w:rsidR="00BF20FF" w:rsidRPr="004841EF">
        <w:rPr>
          <w:rFonts w:eastAsia="Calibri"/>
        </w:rPr>
        <w:t>day</w:t>
      </w:r>
      <w:r w:rsidRPr="004841EF">
        <w:rPr>
          <w:rFonts w:eastAsia="Calibri"/>
        </w:rPr>
        <w:t xml:space="preserve"> shift, he did not accept that the burden on the employer would have been disproportionate. Based on the foregoing, the Adjudication Officer determined that the employer’s refusal to allow the employee to work day shifts amounted to a breach of the reasonable obligation requirement.</w:t>
      </w:r>
    </w:p>
    <w:p w14:paraId="33C28BB2" w14:textId="2BF1D834" w:rsidR="00536B99" w:rsidRPr="004841EF" w:rsidRDefault="00536B99" w:rsidP="00A51B68">
      <w:pPr>
        <w:rPr>
          <w:rFonts w:eastAsia="Calibri"/>
        </w:rPr>
      </w:pPr>
      <w:r w:rsidRPr="004841EF">
        <w:rPr>
          <w:rFonts w:eastAsia="Calibri"/>
        </w:rPr>
        <w:t>In another decision which formed part of the review, the employer sought – unsuccessfully – to argue that the proposed reasonable accommodation would impose a disproportionate burden on them.</w:t>
      </w:r>
    </w:p>
    <w:p w14:paraId="4975F94A" w14:textId="55A4C046" w:rsidR="00536B99" w:rsidRPr="004841EF" w:rsidRDefault="00536B99" w:rsidP="00A51B68">
      <w:pPr>
        <w:rPr>
          <w:rFonts w:eastAsia="Calibri"/>
        </w:rPr>
      </w:pPr>
      <w:r w:rsidRPr="004841EF">
        <w:rPr>
          <w:rFonts w:eastAsia="Calibri"/>
        </w:rPr>
        <w:t>In this decision,</w:t>
      </w:r>
      <w:r w:rsidRPr="004841EF">
        <w:rPr>
          <w:rFonts w:eastAsia="Calibri"/>
          <w:sz w:val="22"/>
          <w:szCs w:val="22"/>
          <w:vertAlign w:val="superscript"/>
        </w:rPr>
        <w:footnoteReference w:id="79"/>
      </w:r>
      <w:r w:rsidRPr="004841EF">
        <w:rPr>
          <w:rFonts w:eastAsia="Calibri"/>
        </w:rPr>
        <w:t xml:space="preserve"> the employee, who was a business manager in a car motor dealership, had lupus and was out of work. She advised her employer of her inability to return to work in a full-time position and requested part-time hours. This request was rejected by the employer on account of the associated financial costs, including the cost of hiring another part-tim</w:t>
      </w:r>
      <w:r w:rsidR="00657A3B" w:rsidRPr="004841EF">
        <w:rPr>
          <w:rFonts w:eastAsia="Calibri"/>
        </w:rPr>
        <w:t>e staff member.</w:t>
      </w:r>
    </w:p>
    <w:p w14:paraId="4DE96C9D" w14:textId="77777777" w:rsidR="00536B99" w:rsidRPr="004841EF" w:rsidRDefault="00536B99" w:rsidP="00536B99">
      <w:pPr>
        <w:rPr>
          <w:rFonts w:eastAsia="Calibri"/>
        </w:rPr>
      </w:pPr>
      <w:r w:rsidRPr="004841EF">
        <w:rPr>
          <w:rFonts w:eastAsia="Calibri"/>
        </w:rPr>
        <w:t>The Adjudication Officer held that while it might be a logistical challenge for the employer to accommodate the needs of the employee with part time hours, it would not be unreasonable. The Adjudication Officer formed the view that the relevant company was not a small one and that a reorganisation to facilitate the employee was not insurmountable. Accordingly, the employee's requ</w:t>
      </w:r>
      <w:r w:rsidR="00E9128F" w:rsidRPr="004841EF">
        <w:rPr>
          <w:rFonts w:eastAsia="Calibri"/>
        </w:rPr>
        <w:t xml:space="preserve">est for part-time hours was </w:t>
      </w:r>
      <w:r w:rsidRPr="004841EF">
        <w:rPr>
          <w:rFonts w:eastAsia="Calibri"/>
        </w:rPr>
        <w:t xml:space="preserve">deemed </w:t>
      </w:r>
      <w:r w:rsidR="00E9128F" w:rsidRPr="004841EF">
        <w:rPr>
          <w:rFonts w:eastAsia="Calibri"/>
        </w:rPr>
        <w:t xml:space="preserve">not </w:t>
      </w:r>
      <w:r w:rsidRPr="004841EF">
        <w:rPr>
          <w:rFonts w:eastAsia="Calibri"/>
        </w:rPr>
        <w:t>to impose a disproportionate burden on the employer and the failure to provide part-time hours to the employee amounted to a breach of the reasonable accommodation requirement.</w:t>
      </w:r>
    </w:p>
    <w:p w14:paraId="0EF8AFFC" w14:textId="77777777" w:rsidR="00536B99" w:rsidRPr="009B0E4D" w:rsidRDefault="00536B99" w:rsidP="00536B99">
      <w:pPr>
        <w:keepNext/>
        <w:spacing w:after="0"/>
        <w:outlineLvl w:val="3"/>
        <w:rPr>
          <w:rFonts w:eastAsia="Calibri"/>
          <w:b/>
        </w:rPr>
      </w:pPr>
      <w:r w:rsidRPr="009B0E4D">
        <w:rPr>
          <w:rFonts w:eastAsia="Calibri"/>
          <w:b/>
        </w:rPr>
        <w:t>Reason 3: The employer delayed excessively in providing reasonable accommodations</w:t>
      </w:r>
    </w:p>
    <w:p w14:paraId="75840E11" w14:textId="77777777" w:rsidR="00536B99" w:rsidRPr="004841EF" w:rsidRDefault="00536B99" w:rsidP="00536B99">
      <w:pPr>
        <w:rPr>
          <w:rFonts w:eastAsia="Calibri"/>
        </w:rPr>
      </w:pPr>
      <w:r w:rsidRPr="004841EF">
        <w:rPr>
          <w:rFonts w:eastAsia="Calibri"/>
        </w:rPr>
        <w:t>In a very small proportion of cases, 2 out of a total of 33, a breach of the employer’s obligation arose from delay in the provision of reasonable accommodation. In particular, the Adjudication Officer found that the proactivity required of employers to respond to and implement requests for reasonable accommodation was lacking; the employer took an unreasonable length of time to accommodate the employee's disability and the employee suffered as a consequence.</w:t>
      </w:r>
    </w:p>
    <w:p w14:paraId="661C92DE" w14:textId="77777777" w:rsidR="00536B99" w:rsidRPr="004841EF" w:rsidRDefault="00536B99" w:rsidP="00536B99">
      <w:pPr>
        <w:rPr>
          <w:rFonts w:eastAsia="Calibri"/>
        </w:rPr>
      </w:pPr>
      <w:r w:rsidRPr="004841EF">
        <w:rPr>
          <w:rFonts w:eastAsia="Calibri"/>
        </w:rPr>
        <w:t xml:space="preserve">In </w:t>
      </w:r>
      <w:r w:rsidRPr="004841EF">
        <w:rPr>
          <w:rFonts w:eastAsia="Calibri"/>
          <w:b/>
        </w:rPr>
        <w:t>A Nurse v A Hospital ADJ-00000278</w:t>
      </w:r>
      <w:r w:rsidRPr="004841EF">
        <w:rPr>
          <w:rFonts w:eastAsia="Calibri"/>
        </w:rPr>
        <w:t>, the employee had back pain and requested that she be moved from the ward she was working in, where heavy manual work was required. She made her initial request in April, was put on leave in June and returned to work in November. The Adjudication Officer held that an employer must act without delay when it has been brought to its attention that reasonable accommodation is required for an employee with a disability to carry out their work. In this case, the Adjudication Officer found that the required proactivity was missing; the employer delayed excessively in accommodating the employee's disability. In the opinion of the Adjudication Officer, the employer failed in their duty to reasonably accommodate as there were too many delays along the way and the employee suffered as a consequence.</w:t>
      </w:r>
    </w:p>
    <w:p w14:paraId="5F4CEB00" w14:textId="1EFB9118" w:rsidR="00FD6FB5" w:rsidRPr="004841EF" w:rsidRDefault="00FD6FB5" w:rsidP="00FD6FB5">
      <w:pPr>
        <w:pStyle w:val="Heading3"/>
        <w:rPr>
          <w:rFonts w:eastAsia="Calibri"/>
        </w:rPr>
      </w:pPr>
      <w:bookmarkStart w:id="229" w:name="_Toc26192118"/>
      <w:r w:rsidRPr="004841EF">
        <w:rPr>
          <w:rFonts w:eastAsia="Calibri"/>
        </w:rPr>
        <w:t>3.2.6</w:t>
      </w:r>
      <w:r w:rsidR="004B0FAD" w:rsidRPr="004841EF">
        <w:rPr>
          <w:rFonts w:eastAsia="Calibri"/>
        </w:rPr>
        <w:t xml:space="preserve">. </w:t>
      </w:r>
      <w:r w:rsidRPr="004841EF">
        <w:rPr>
          <w:rFonts w:eastAsia="Calibri"/>
        </w:rPr>
        <w:t>Decisions where a breach of the reasonable accommodation requirement was not found</w:t>
      </w:r>
      <w:bookmarkEnd w:id="229"/>
    </w:p>
    <w:p w14:paraId="6AD655AB" w14:textId="12C2C1A9" w:rsidR="00536B99" w:rsidRPr="004841EF" w:rsidRDefault="00536B99" w:rsidP="00536B99">
      <w:pPr>
        <w:spacing w:after="0"/>
        <w:rPr>
          <w:szCs w:val="26"/>
        </w:rPr>
      </w:pPr>
      <w:r w:rsidRPr="004841EF">
        <w:rPr>
          <w:szCs w:val="26"/>
        </w:rPr>
        <w:t>In 19 out of 49 cases, the Workplace Relations Commission</w:t>
      </w:r>
      <w:r w:rsidR="003F664A" w:rsidRPr="004841EF">
        <w:rPr>
          <w:szCs w:val="26"/>
        </w:rPr>
        <w:t xml:space="preserve"> / Labour Court</w:t>
      </w:r>
      <w:r w:rsidRPr="004841EF">
        <w:rPr>
          <w:szCs w:val="26"/>
        </w:rPr>
        <w:t xml:space="preserve"> deemed that the employer had taken sufficient measures to fully comply with the </w:t>
      </w:r>
      <w:r w:rsidR="00DA7103" w:rsidRPr="004841EF">
        <w:rPr>
          <w:szCs w:val="26"/>
        </w:rPr>
        <w:t>substantive and/or procedural duties</w:t>
      </w:r>
      <w:r w:rsidRPr="004841EF">
        <w:rPr>
          <w:szCs w:val="26"/>
        </w:rPr>
        <w:t xml:space="preserve"> placed on them by equality legislation in the provision of reasonable accommodation</w:t>
      </w:r>
      <w:r w:rsidR="00BF20FF" w:rsidRPr="004841EF">
        <w:rPr>
          <w:szCs w:val="26"/>
        </w:rPr>
        <w:t>s</w:t>
      </w:r>
      <w:r w:rsidRPr="004841EF">
        <w:rPr>
          <w:szCs w:val="26"/>
        </w:rPr>
        <w:t xml:space="preserve">. In a further 11 cases, the Workplace Relations Commission </w:t>
      </w:r>
      <w:r w:rsidR="003F664A" w:rsidRPr="004841EF">
        <w:rPr>
          <w:szCs w:val="26"/>
        </w:rPr>
        <w:t xml:space="preserve">/ Labour Court </w:t>
      </w:r>
      <w:r w:rsidRPr="004841EF">
        <w:rPr>
          <w:szCs w:val="26"/>
        </w:rPr>
        <w:t xml:space="preserve">determined that there was no breach of the reasonable accommodation requirement because the employee would not have been fully competent to undertake the role </w:t>
      </w:r>
      <w:r w:rsidR="00F209AB" w:rsidRPr="004841EF">
        <w:rPr>
          <w:szCs w:val="26"/>
        </w:rPr>
        <w:t xml:space="preserve">even </w:t>
      </w:r>
      <w:r w:rsidR="00657A3B" w:rsidRPr="004841EF">
        <w:rPr>
          <w:szCs w:val="26"/>
        </w:rPr>
        <w:t>with an accommodation.</w:t>
      </w:r>
    </w:p>
    <w:p w14:paraId="3BA18140" w14:textId="77777777" w:rsidR="00536B99" w:rsidRPr="004841EF" w:rsidRDefault="00536B99" w:rsidP="00536B99">
      <w:pPr>
        <w:spacing w:after="0"/>
        <w:rPr>
          <w:szCs w:val="26"/>
        </w:rPr>
      </w:pPr>
    </w:p>
    <w:p w14:paraId="61074E41" w14:textId="6C4DF94B" w:rsidR="0045124D" w:rsidRPr="004841EF" w:rsidRDefault="00536B99" w:rsidP="00536B99">
      <w:pPr>
        <w:spacing w:after="0"/>
        <w:rPr>
          <w:szCs w:val="26"/>
        </w:rPr>
      </w:pPr>
      <w:r w:rsidRPr="004841EF">
        <w:rPr>
          <w:szCs w:val="26"/>
        </w:rPr>
        <w:t>Other common reasons why complaints were dismissed included that the employee did not inform the employer of their disability, the employee failed to request a reasonable accommodation or the employee did not have a disability within the meaning of employment equality legislation. In three cases, the Workplace Relations Commission</w:t>
      </w:r>
      <w:r w:rsidR="003F664A" w:rsidRPr="004841EF">
        <w:rPr>
          <w:szCs w:val="26"/>
        </w:rPr>
        <w:t xml:space="preserve"> / Labour Court</w:t>
      </w:r>
      <w:r w:rsidRPr="004841EF">
        <w:rPr>
          <w:szCs w:val="26"/>
        </w:rPr>
        <w:t xml:space="preserve"> found that the reasonable accommodation sought would impose a disproportionate burden on the employer, and in a further three decisions, the employee failed to establish a prima facie case that their employer had failed to provide reasonable accommodations. In one of the cases, the claim was dismissed as the complainant was not considered an employee.</w:t>
      </w:r>
    </w:p>
    <w:p w14:paraId="11C9B3E5" w14:textId="2302CC55" w:rsidR="00536B99" w:rsidRPr="004841EF" w:rsidRDefault="00536B99" w:rsidP="00536B99">
      <w:pPr>
        <w:spacing w:after="0"/>
      </w:pPr>
    </w:p>
    <w:p w14:paraId="02071DCE" w14:textId="77777777" w:rsidR="00536B99" w:rsidRPr="004841EF" w:rsidRDefault="00536B99" w:rsidP="00536B99">
      <w:pPr>
        <w:spacing w:after="200" w:line="276" w:lineRule="auto"/>
        <w:rPr>
          <w:rFonts w:eastAsia="Calibri"/>
          <w:b/>
          <w:sz w:val="24"/>
          <w:szCs w:val="26"/>
        </w:rPr>
      </w:pPr>
      <w:r w:rsidRPr="004841EF">
        <w:rPr>
          <w:rFonts w:eastAsia="Calibri"/>
          <w:b/>
          <w:sz w:val="24"/>
          <w:szCs w:val="26"/>
        </w:rPr>
        <w:t>Table 6: Decisions where a breach of the reasonable accommodation requirement was not found</w:t>
      </w:r>
    </w:p>
    <w:tbl>
      <w:tblPr>
        <w:tblW w:w="902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Caption w:val="Decisions where a breach of the reasonable accommodation requirement was not found"/>
        <w:tblDescription w:val="Decisions where a breach of the reasonable accommodation requirement was not found"/>
      </w:tblPr>
      <w:tblGrid>
        <w:gridCol w:w="6521"/>
        <w:gridCol w:w="2505"/>
      </w:tblGrid>
      <w:tr w:rsidR="00536B99" w:rsidRPr="00B34848" w14:paraId="2182F604" w14:textId="77777777" w:rsidTr="006B0DCD">
        <w:trPr>
          <w:tblHeader/>
        </w:trPr>
        <w:tc>
          <w:tcPr>
            <w:tcW w:w="6521" w:type="dxa"/>
            <w:tcBorders>
              <w:bottom w:val="single" w:sz="12" w:space="0" w:color="000000"/>
            </w:tcBorders>
            <w:shd w:val="clear" w:color="auto" w:fill="auto"/>
          </w:tcPr>
          <w:p w14:paraId="660F117E" w14:textId="1B0C6F36" w:rsidR="009707C2" w:rsidRPr="00B34848" w:rsidRDefault="00536B99" w:rsidP="00B34848">
            <w:pPr>
              <w:pStyle w:val="TableHead"/>
              <w:spacing w:after="120"/>
              <w:rPr>
                <w:rFonts w:cstheme="majorHAnsi"/>
                <w:sz w:val="22"/>
                <w:szCs w:val="22"/>
              </w:rPr>
            </w:pPr>
            <w:r w:rsidRPr="00B34848">
              <w:rPr>
                <w:rFonts w:cstheme="majorHAnsi"/>
                <w:sz w:val="22"/>
                <w:szCs w:val="22"/>
              </w:rPr>
              <w:t>Reason for decisions where there was no breach of the reasonable accommodation requirement</w:t>
            </w:r>
          </w:p>
        </w:tc>
        <w:tc>
          <w:tcPr>
            <w:tcW w:w="2505" w:type="dxa"/>
            <w:tcBorders>
              <w:bottom w:val="single" w:sz="12" w:space="0" w:color="000000"/>
            </w:tcBorders>
            <w:shd w:val="clear" w:color="auto" w:fill="auto"/>
          </w:tcPr>
          <w:p w14:paraId="6B1F0EAD" w14:textId="77777777" w:rsidR="00536B99" w:rsidRPr="00B34848" w:rsidRDefault="00536B99" w:rsidP="00B34848">
            <w:pPr>
              <w:pStyle w:val="TableHead"/>
              <w:spacing w:after="120"/>
              <w:rPr>
                <w:rFonts w:cstheme="majorHAnsi"/>
                <w:sz w:val="22"/>
                <w:szCs w:val="22"/>
              </w:rPr>
            </w:pPr>
            <w:r w:rsidRPr="00B34848">
              <w:rPr>
                <w:rFonts w:cstheme="majorHAnsi"/>
                <w:sz w:val="22"/>
                <w:szCs w:val="22"/>
              </w:rPr>
              <w:t>Number of decisions</w:t>
            </w:r>
          </w:p>
        </w:tc>
      </w:tr>
      <w:tr w:rsidR="00536B99" w:rsidRPr="00B34848" w14:paraId="283D5977" w14:textId="77777777" w:rsidTr="006B0DCD">
        <w:tc>
          <w:tcPr>
            <w:tcW w:w="6521" w:type="dxa"/>
            <w:shd w:val="clear" w:color="auto" w:fill="auto"/>
          </w:tcPr>
          <w:p w14:paraId="3824B1F9" w14:textId="753150A3" w:rsidR="009707C2" w:rsidRPr="00B34848" w:rsidRDefault="00536B99" w:rsidP="00B34848">
            <w:pPr>
              <w:pStyle w:val="TableRowHead"/>
              <w:spacing w:after="120"/>
              <w:rPr>
                <w:rFonts w:ascii="Gill Sans MT" w:hAnsi="Gill Sans MT" w:cstheme="majorHAnsi"/>
                <w:b w:val="0"/>
                <w:sz w:val="22"/>
                <w:szCs w:val="22"/>
              </w:rPr>
            </w:pPr>
            <w:r w:rsidRPr="00B34848">
              <w:rPr>
                <w:rFonts w:ascii="Gill Sans MT" w:hAnsi="Gill Sans MT" w:cstheme="majorHAnsi"/>
                <w:b w:val="0"/>
                <w:sz w:val="22"/>
                <w:szCs w:val="22"/>
              </w:rPr>
              <w:t>Reasonable accommodation was provided to the employee</w:t>
            </w:r>
            <w:r w:rsidR="00F92A46" w:rsidRPr="00B34848">
              <w:rPr>
                <w:rFonts w:ascii="Gill Sans MT" w:hAnsi="Gill Sans MT" w:cstheme="majorHAnsi"/>
                <w:b w:val="0"/>
                <w:sz w:val="22"/>
                <w:szCs w:val="22"/>
              </w:rPr>
              <w:t xml:space="preserve"> or prospective employee</w:t>
            </w:r>
            <w:r w:rsidRPr="00B34848">
              <w:rPr>
                <w:rFonts w:ascii="Gill Sans MT" w:hAnsi="Gill Sans MT" w:cstheme="majorHAnsi"/>
                <w:b w:val="0"/>
                <w:sz w:val="22"/>
                <w:szCs w:val="22"/>
              </w:rPr>
              <w:t xml:space="preserve"> / The employer made sufficient enquiries to evaluate a request for reasonable accommodations</w:t>
            </w:r>
          </w:p>
        </w:tc>
        <w:tc>
          <w:tcPr>
            <w:tcW w:w="2505" w:type="dxa"/>
            <w:shd w:val="clear" w:color="auto" w:fill="auto"/>
          </w:tcPr>
          <w:p w14:paraId="72CC71F9" w14:textId="77777777" w:rsidR="00536B99" w:rsidRPr="00B34848" w:rsidRDefault="00536B99" w:rsidP="00B34848">
            <w:pPr>
              <w:pStyle w:val="TableCell"/>
              <w:spacing w:after="120"/>
              <w:jc w:val="right"/>
              <w:rPr>
                <w:rFonts w:cstheme="majorHAnsi"/>
                <w:sz w:val="22"/>
                <w:szCs w:val="22"/>
              </w:rPr>
            </w:pPr>
            <w:r w:rsidRPr="00B34848">
              <w:rPr>
                <w:rFonts w:cstheme="majorHAnsi"/>
                <w:sz w:val="22"/>
                <w:szCs w:val="22"/>
              </w:rPr>
              <w:t>19</w:t>
            </w:r>
          </w:p>
        </w:tc>
      </w:tr>
      <w:tr w:rsidR="00536B99" w:rsidRPr="00B34848" w14:paraId="646BF66F" w14:textId="77777777" w:rsidTr="006B0DCD">
        <w:tc>
          <w:tcPr>
            <w:tcW w:w="6521" w:type="dxa"/>
            <w:shd w:val="clear" w:color="auto" w:fill="auto"/>
          </w:tcPr>
          <w:p w14:paraId="549DF562" w14:textId="670638B5" w:rsidR="009707C2" w:rsidRPr="00B34848" w:rsidRDefault="00536B99" w:rsidP="00B34848">
            <w:pPr>
              <w:pStyle w:val="TableRowHead"/>
              <w:spacing w:after="120"/>
              <w:rPr>
                <w:rFonts w:ascii="Gill Sans MT" w:hAnsi="Gill Sans MT" w:cstheme="majorHAnsi"/>
                <w:b w:val="0"/>
                <w:sz w:val="22"/>
                <w:szCs w:val="22"/>
              </w:rPr>
            </w:pPr>
            <w:r w:rsidRPr="00B34848">
              <w:rPr>
                <w:rFonts w:ascii="Gill Sans MT" w:hAnsi="Gill Sans MT" w:cstheme="majorHAnsi"/>
                <w:b w:val="0"/>
                <w:sz w:val="22"/>
                <w:szCs w:val="22"/>
              </w:rPr>
              <w:t>The employee was not considered fully competent to undertake, and fully capable of undertaking, the role</w:t>
            </w:r>
            <w:r w:rsidR="00F92A46" w:rsidRPr="00B34848">
              <w:rPr>
                <w:rFonts w:ascii="Gill Sans MT" w:hAnsi="Gill Sans MT" w:cstheme="majorHAnsi"/>
                <w:b w:val="0"/>
                <w:sz w:val="22"/>
                <w:szCs w:val="22"/>
              </w:rPr>
              <w:t xml:space="preserve"> even</w:t>
            </w:r>
            <w:r w:rsidRPr="00B34848">
              <w:rPr>
                <w:rFonts w:ascii="Gill Sans MT" w:hAnsi="Gill Sans MT" w:cstheme="majorHAnsi"/>
                <w:b w:val="0"/>
                <w:sz w:val="22"/>
                <w:szCs w:val="22"/>
              </w:rPr>
              <w:t xml:space="preserve"> with an accommodation</w:t>
            </w:r>
          </w:p>
        </w:tc>
        <w:tc>
          <w:tcPr>
            <w:tcW w:w="2505" w:type="dxa"/>
            <w:shd w:val="clear" w:color="auto" w:fill="auto"/>
          </w:tcPr>
          <w:p w14:paraId="4ADB918F" w14:textId="77777777" w:rsidR="00536B99" w:rsidRPr="00B34848" w:rsidRDefault="00536B99" w:rsidP="00B34848">
            <w:pPr>
              <w:pStyle w:val="TableCell"/>
              <w:spacing w:after="120"/>
              <w:jc w:val="right"/>
              <w:rPr>
                <w:rFonts w:cstheme="majorHAnsi"/>
                <w:sz w:val="22"/>
                <w:szCs w:val="22"/>
              </w:rPr>
            </w:pPr>
            <w:r w:rsidRPr="00B34848">
              <w:rPr>
                <w:rFonts w:cstheme="majorHAnsi"/>
                <w:sz w:val="22"/>
                <w:szCs w:val="22"/>
              </w:rPr>
              <w:t>11</w:t>
            </w:r>
          </w:p>
        </w:tc>
      </w:tr>
      <w:tr w:rsidR="00536B99" w:rsidRPr="00B34848" w14:paraId="2693B802" w14:textId="77777777" w:rsidTr="006B0DCD">
        <w:tc>
          <w:tcPr>
            <w:tcW w:w="6521" w:type="dxa"/>
            <w:shd w:val="clear" w:color="auto" w:fill="auto"/>
          </w:tcPr>
          <w:p w14:paraId="1CD9F836" w14:textId="5273B6C3" w:rsidR="009707C2" w:rsidRPr="00B34848" w:rsidRDefault="00536B99" w:rsidP="00B34848">
            <w:pPr>
              <w:pStyle w:val="TableRowHead"/>
              <w:spacing w:after="120"/>
              <w:rPr>
                <w:rFonts w:ascii="Gill Sans MT" w:hAnsi="Gill Sans MT" w:cstheme="majorHAnsi"/>
                <w:b w:val="0"/>
                <w:sz w:val="22"/>
                <w:szCs w:val="22"/>
              </w:rPr>
            </w:pPr>
            <w:r w:rsidRPr="00B34848">
              <w:rPr>
                <w:rFonts w:ascii="Gill Sans MT" w:hAnsi="Gill Sans MT" w:cstheme="majorHAnsi"/>
                <w:b w:val="0"/>
                <w:sz w:val="22"/>
                <w:szCs w:val="22"/>
              </w:rPr>
              <w:t>The employee did not inform the employer of their disability / The employee failed to request a reasonable accommodation</w:t>
            </w:r>
          </w:p>
        </w:tc>
        <w:tc>
          <w:tcPr>
            <w:tcW w:w="2505" w:type="dxa"/>
            <w:shd w:val="clear" w:color="auto" w:fill="auto"/>
          </w:tcPr>
          <w:p w14:paraId="7113FB11" w14:textId="77777777" w:rsidR="00536B99" w:rsidRPr="00B34848" w:rsidRDefault="00536B99" w:rsidP="00B34848">
            <w:pPr>
              <w:pStyle w:val="TableCell"/>
              <w:spacing w:after="120"/>
              <w:jc w:val="right"/>
              <w:rPr>
                <w:rFonts w:cstheme="majorHAnsi"/>
                <w:sz w:val="22"/>
                <w:szCs w:val="22"/>
              </w:rPr>
            </w:pPr>
            <w:r w:rsidRPr="00B34848">
              <w:rPr>
                <w:rFonts w:cstheme="majorHAnsi"/>
                <w:sz w:val="22"/>
                <w:szCs w:val="22"/>
              </w:rPr>
              <w:t>7</w:t>
            </w:r>
          </w:p>
        </w:tc>
      </w:tr>
      <w:tr w:rsidR="00536B99" w:rsidRPr="00B34848" w14:paraId="46896727" w14:textId="77777777" w:rsidTr="006B0DCD">
        <w:tc>
          <w:tcPr>
            <w:tcW w:w="6521" w:type="dxa"/>
            <w:shd w:val="clear" w:color="auto" w:fill="auto"/>
          </w:tcPr>
          <w:p w14:paraId="0C06EFE2" w14:textId="2501E499" w:rsidR="009707C2" w:rsidRPr="00B34848" w:rsidRDefault="00536B99" w:rsidP="00B34848">
            <w:pPr>
              <w:pStyle w:val="TableRowHead"/>
              <w:spacing w:after="120"/>
              <w:rPr>
                <w:rFonts w:ascii="Gill Sans MT" w:hAnsi="Gill Sans MT" w:cstheme="majorHAnsi"/>
                <w:b w:val="0"/>
                <w:sz w:val="22"/>
                <w:szCs w:val="22"/>
              </w:rPr>
            </w:pPr>
            <w:r w:rsidRPr="00B34848">
              <w:rPr>
                <w:rFonts w:ascii="Gill Sans MT" w:hAnsi="Gill Sans MT" w:cstheme="majorHAnsi"/>
                <w:b w:val="0"/>
                <w:sz w:val="22"/>
                <w:szCs w:val="22"/>
              </w:rPr>
              <w:t>The employee did not have a disability</w:t>
            </w:r>
          </w:p>
        </w:tc>
        <w:tc>
          <w:tcPr>
            <w:tcW w:w="2505" w:type="dxa"/>
            <w:shd w:val="clear" w:color="auto" w:fill="auto"/>
          </w:tcPr>
          <w:p w14:paraId="012D6BB3" w14:textId="77777777" w:rsidR="00536B99" w:rsidRPr="00B34848" w:rsidRDefault="00536B99" w:rsidP="00B34848">
            <w:pPr>
              <w:pStyle w:val="TableCell"/>
              <w:spacing w:after="120"/>
              <w:jc w:val="right"/>
              <w:rPr>
                <w:rFonts w:cstheme="majorHAnsi"/>
                <w:sz w:val="22"/>
                <w:szCs w:val="22"/>
              </w:rPr>
            </w:pPr>
            <w:r w:rsidRPr="00B34848">
              <w:rPr>
                <w:rFonts w:cstheme="majorHAnsi"/>
                <w:sz w:val="22"/>
                <w:szCs w:val="22"/>
              </w:rPr>
              <w:t>5</w:t>
            </w:r>
          </w:p>
        </w:tc>
      </w:tr>
      <w:tr w:rsidR="00536B99" w:rsidRPr="00B34848" w14:paraId="0DC2AFCC" w14:textId="77777777" w:rsidTr="006B0DCD">
        <w:tc>
          <w:tcPr>
            <w:tcW w:w="6521" w:type="dxa"/>
            <w:shd w:val="clear" w:color="auto" w:fill="auto"/>
          </w:tcPr>
          <w:p w14:paraId="204714B2" w14:textId="60325705" w:rsidR="009707C2" w:rsidRPr="00B34848" w:rsidRDefault="00536B99" w:rsidP="00B34848">
            <w:pPr>
              <w:pStyle w:val="TableRowHead"/>
              <w:spacing w:after="120"/>
              <w:rPr>
                <w:rFonts w:ascii="Gill Sans MT" w:hAnsi="Gill Sans MT" w:cstheme="majorHAnsi"/>
                <w:b w:val="0"/>
                <w:sz w:val="22"/>
                <w:szCs w:val="22"/>
              </w:rPr>
            </w:pPr>
            <w:r w:rsidRPr="00B34848">
              <w:rPr>
                <w:rFonts w:ascii="Gill Sans MT" w:hAnsi="Gill Sans MT" w:cstheme="majorHAnsi"/>
                <w:b w:val="0"/>
                <w:sz w:val="22"/>
                <w:szCs w:val="22"/>
              </w:rPr>
              <w:t>The reasonable accommodation sought would impose a disproportionate burden on the employer</w:t>
            </w:r>
          </w:p>
        </w:tc>
        <w:tc>
          <w:tcPr>
            <w:tcW w:w="2505" w:type="dxa"/>
            <w:shd w:val="clear" w:color="auto" w:fill="auto"/>
          </w:tcPr>
          <w:p w14:paraId="61F1A137" w14:textId="77777777" w:rsidR="00536B99" w:rsidRPr="00B34848" w:rsidRDefault="00536B99" w:rsidP="00B34848">
            <w:pPr>
              <w:pStyle w:val="TableCell"/>
              <w:spacing w:after="120"/>
              <w:jc w:val="right"/>
              <w:rPr>
                <w:rFonts w:cstheme="majorHAnsi"/>
                <w:sz w:val="22"/>
                <w:szCs w:val="22"/>
              </w:rPr>
            </w:pPr>
            <w:r w:rsidRPr="00B34848">
              <w:rPr>
                <w:rFonts w:cstheme="majorHAnsi"/>
                <w:sz w:val="22"/>
                <w:szCs w:val="22"/>
              </w:rPr>
              <w:t>3</w:t>
            </w:r>
          </w:p>
        </w:tc>
      </w:tr>
      <w:tr w:rsidR="00536B99" w:rsidRPr="00B34848" w14:paraId="43A4FCB3" w14:textId="77777777" w:rsidTr="006B0DCD">
        <w:tc>
          <w:tcPr>
            <w:tcW w:w="6521" w:type="dxa"/>
            <w:shd w:val="clear" w:color="auto" w:fill="auto"/>
          </w:tcPr>
          <w:p w14:paraId="00DEDF68" w14:textId="34D628CC" w:rsidR="009707C2" w:rsidRPr="00B34848" w:rsidRDefault="00536B99" w:rsidP="00B34848">
            <w:pPr>
              <w:pStyle w:val="TableRowHead"/>
              <w:spacing w:after="120"/>
              <w:rPr>
                <w:rFonts w:ascii="Gill Sans MT" w:hAnsi="Gill Sans MT" w:cstheme="majorHAnsi"/>
                <w:b w:val="0"/>
                <w:sz w:val="22"/>
                <w:szCs w:val="22"/>
              </w:rPr>
            </w:pPr>
            <w:r w:rsidRPr="00B34848">
              <w:rPr>
                <w:rFonts w:ascii="Gill Sans MT" w:hAnsi="Gill Sans MT" w:cstheme="majorHAnsi"/>
                <w:b w:val="0"/>
                <w:sz w:val="22"/>
                <w:szCs w:val="22"/>
              </w:rPr>
              <w:t>The employee failed to establish a prima facie case that their employer had failed to provide reasonable accommodations</w:t>
            </w:r>
          </w:p>
        </w:tc>
        <w:tc>
          <w:tcPr>
            <w:tcW w:w="2505" w:type="dxa"/>
            <w:shd w:val="clear" w:color="auto" w:fill="auto"/>
          </w:tcPr>
          <w:p w14:paraId="012D5866" w14:textId="77777777" w:rsidR="00536B99" w:rsidRPr="00B34848" w:rsidRDefault="00536B99" w:rsidP="00B34848">
            <w:pPr>
              <w:pStyle w:val="TableCell"/>
              <w:spacing w:after="120"/>
              <w:jc w:val="right"/>
              <w:rPr>
                <w:rFonts w:cstheme="majorHAnsi"/>
                <w:sz w:val="22"/>
                <w:szCs w:val="22"/>
              </w:rPr>
            </w:pPr>
            <w:r w:rsidRPr="00B34848">
              <w:rPr>
                <w:rFonts w:cstheme="majorHAnsi"/>
                <w:sz w:val="22"/>
                <w:szCs w:val="22"/>
              </w:rPr>
              <w:t>3</w:t>
            </w:r>
          </w:p>
        </w:tc>
      </w:tr>
      <w:tr w:rsidR="00536B99" w:rsidRPr="00B34848" w14:paraId="76CDDE36" w14:textId="77777777" w:rsidTr="006B0DCD">
        <w:tc>
          <w:tcPr>
            <w:tcW w:w="6521" w:type="dxa"/>
            <w:shd w:val="clear" w:color="auto" w:fill="auto"/>
          </w:tcPr>
          <w:p w14:paraId="2B7F347B" w14:textId="1BB48E4B" w:rsidR="009707C2" w:rsidRPr="00B34848" w:rsidRDefault="00536B99" w:rsidP="00B34848">
            <w:pPr>
              <w:pStyle w:val="TableRowHead"/>
              <w:spacing w:after="120"/>
              <w:rPr>
                <w:rFonts w:ascii="Gill Sans MT" w:hAnsi="Gill Sans MT" w:cstheme="majorHAnsi"/>
                <w:b w:val="0"/>
                <w:sz w:val="22"/>
                <w:szCs w:val="22"/>
              </w:rPr>
            </w:pPr>
            <w:r w:rsidRPr="00B34848">
              <w:rPr>
                <w:rFonts w:ascii="Gill Sans MT" w:hAnsi="Gill Sans MT" w:cstheme="majorHAnsi"/>
                <w:b w:val="0"/>
                <w:sz w:val="22"/>
                <w:szCs w:val="22"/>
              </w:rPr>
              <w:t>The complainant was not considered an employee</w:t>
            </w:r>
          </w:p>
        </w:tc>
        <w:tc>
          <w:tcPr>
            <w:tcW w:w="2505" w:type="dxa"/>
            <w:shd w:val="clear" w:color="auto" w:fill="auto"/>
          </w:tcPr>
          <w:p w14:paraId="4A0D2EEC" w14:textId="77777777" w:rsidR="00536B99" w:rsidRPr="00B34848" w:rsidRDefault="00536B99" w:rsidP="00B34848">
            <w:pPr>
              <w:pStyle w:val="TableCell"/>
              <w:spacing w:after="120"/>
              <w:jc w:val="right"/>
              <w:rPr>
                <w:rFonts w:cstheme="majorHAnsi"/>
                <w:sz w:val="22"/>
                <w:szCs w:val="22"/>
              </w:rPr>
            </w:pPr>
            <w:r w:rsidRPr="00B34848">
              <w:rPr>
                <w:rFonts w:cstheme="majorHAnsi"/>
                <w:sz w:val="22"/>
                <w:szCs w:val="22"/>
              </w:rPr>
              <w:t>1</w:t>
            </w:r>
          </w:p>
        </w:tc>
      </w:tr>
      <w:tr w:rsidR="00536B99" w:rsidRPr="00B34848" w14:paraId="19DD5DC7" w14:textId="77777777" w:rsidTr="006B0DCD">
        <w:tc>
          <w:tcPr>
            <w:tcW w:w="6521" w:type="dxa"/>
            <w:shd w:val="clear" w:color="auto" w:fill="auto"/>
          </w:tcPr>
          <w:p w14:paraId="52D2AC96" w14:textId="18DBE23C" w:rsidR="009707C2" w:rsidRPr="00B34848" w:rsidRDefault="00536B99" w:rsidP="00B34848">
            <w:pPr>
              <w:pStyle w:val="TableRowHead"/>
              <w:spacing w:after="120"/>
              <w:rPr>
                <w:rFonts w:ascii="Gill Sans MT" w:hAnsi="Gill Sans MT" w:cstheme="majorHAnsi"/>
                <w:b w:val="0"/>
                <w:sz w:val="22"/>
                <w:szCs w:val="22"/>
              </w:rPr>
            </w:pPr>
            <w:r w:rsidRPr="00B34848">
              <w:rPr>
                <w:rFonts w:ascii="Gill Sans MT" w:hAnsi="Gill Sans MT" w:cstheme="majorHAnsi"/>
                <w:b w:val="0"/>
                <w:sz w:val="22"/>
                <w:szCs w:val="22"/>
              </w:rPr>
              <w:t>Total number of decisions where there was no breach of the reasonable accommodation requirement</w:t>
            </w:r>
          </w:p>
        </w:tc>
        <w:tc>
          <w:tcPr>
            <w:tcW w:w="2505" w:type="dxa"/>
            <w:shd w:val="clear" w:color="auto" w:fill="auto"/>
          </w:tcPr>
          <w:p w14:paraId="7733D0C7" w14:textId="77777777" w:rsidR="00536B99" w:rsidRPr="00B34848" w:rsidRDefault="00536B99" w:rsidP="00B34848">
            <w:pPr>
              <w:pStyle w:val="TableCell"/>
              <w:spacing w:after="120"/>
              <w:jc w:val="right"/>
              <w:rPr>
                <w:rFonts w:cstheme="majorHAnsi"/>
                <w:sz w:val="22"/>
                <w:szCs w:val="22"/>
              </w:rPr>
            </w:pPr>
            <w:r w:rsidRPr="00B34848">
              <w:rPr>
                <w:rFonts w:cstheme="majorHAnsi"/>
                <w:sz w:val="22"/>
                <w:szCs w:val="22"/>
              </w:rPr>
              <w:t>49</w:t>
            </w:r>
          </w:p>
        </w:tc>
      </w:tr>
    </w:tbl>
    <w:p w14:paraId="6ACB9679" w14:textId="3F1FEB46" w:rsidR="00536B99" w:rsidRPr="009B0E4D" w:rsidRDefault="00536B99" w:rsidP="00DB5E63">
      <w:pPr>
        <w:keepNext/>
        <w:spacing w:before="120" w:after="0"/>
        <w:outlineLvl w:val="3"/>
        <w:rPr>
          <w:b/>
        </w:rPr>
      </w:pPr>
      <w:r w:rsidRPr="009B0E4D">
        <w:rPr>
          <w:b/>
        </w:rPr>
        <w:t>Reason 1: Reasonable accommodation was provided to the employee and/or the employer made sufficient enquiries to evaluate a request for reasonable accommodations</w:t>
      </w:r>
    </w:p>
    <w:p w14:paraId="1F58A34F" w14:textId="4C8C7846" w:rsidR="00536B99" w:rsidRPr="004841EF" w:rsidRDefault="00536B99" w:rsidP="00536B99">
      <w:r w:rsidRPr="004841EF">
        <w:t xml:space="preserve">In a significant number of cases, the Workplace Relations Commission </w:t>
      </w:r>
      <w:r w:rsidR="003F664A" w:rsidRPr="004841EF">
        <w:t xml:space="preserve">/ Labour Court </w:t>
      </w:r>
      <w:r w:rsidRPr="004841EF">
        <w:t>deemed that the employer had taken sufficient measures to fully comply with the responsibilities placed on them by equality legislation in relation to prov</w:t>
      </w:r>
      <w:r w:rsidR="006B0DCD" w:rsidRPr="004841EF">
        <w:t xml:space="preserve">iding reasonable accommodation. </w:t>
      </w:r>
      <w:r w:rsidRPr="004841EF">
        <w:t>Specifically, the complaints were rejected on the basis that the employer</w:t>
      </w:r>
      <w:r w:rsidR="00C13094" w:rsidRPr="004841EF">
        <w:t xml:space="preserve"> had</w:t>
      </w:r>
      <w:r w:rsidRPr="004841EF">
        <w:t xml:space="preserve"> either complied with the process-orientated approach to reasonably accommodate required under case law and/or</w:t>
      </w:r>
      <w:r w:rsidR="00746D47" w:rsidRPr="004841EF">
        <w:t xml:space="preserve"> </w:t>
      </w:r>
      <w:r w:rsidR="008B4C94" w:rsidRPr="004841EF">
        <w:t>provided</w:t>
      </w:r>
      <w:r w:rsidR="00746D47" w:rsidRPr="004841EF">
        <w:t xml:space="preserve"> an appropriate reasonable accommodation</w:t>
      </w:r>
      <w:r w:rsidRPr="004841EF">
        <w:t xml:space="preserve">. </w:t>
      </w:r>
    </w:p>
    <w:p w14:paraId="267DD136" w14:textId="77777777" w:rsidR="00536B99" w:rsidRPr="004841EF" w:rsidRDefault="00536B99" w:rsidP="00536B99">
      <w:r w:rsidRPr="004841EF">
        <w:t xml:space="preserve">In </w:t>
      </w:r>
      <w:r w:rsidRPr="004841EF">
        <w:rPr>
          <w:b/>
        </w:rPr>
        <w:t>Allen Hogan v Vistamed DEC-E2018-022</w:t>
      </w:r>
      <w:r w:rsidRPr="004841EF">
        <w:t xml:space="preserve">, the employee </w:t>
      </w:r>
      <w:r w:rsidR="00BF20FF" w:rsidRPr="004841EF">
        <w:t>experienced</w:t>
      </w:r>
      <w:r w:rsidRPr="004841EF">
        <w:t xml:space="preserve"> </w:t>
      </w:r>
      <w:r w:rsidR="00BF20FF" w:rsidRPr="004841EF">
        <w:t xml:space="preserve">a </w:t>
      </w:r>
      <w:r w:rsidRPr="004841EF">
        <w:t>lower back injury and was temporarily out of work. He argued that his employer failed to provide him with reasonable accommodation. This contention was rejected by the Adjudication Officer who determined that reasonable accommodation had been afforded to the employee. In particular, it was noted that the employee had been facilitated with a phased return to work and had two helpers to assist him with challenging physical tasks as needed. Given that his back problems kept flaring up, the employee was subsequently facilitated with an alternative role, which he could carry out sitting down and which did not involve any strenuous physical labour. His wages were "red-circled" and the employer invested in a so-called “vacuum lifter”, which obviated the employee's need to lift heavy products. The Adjudication Officer described the conduct of the employer in this case as "exemplary" and dismissed the employee’s complaint.</w:t>
      </w:r>
    </w:p>
    <w:p w14:paraId="43CFD158" w14:textId="77777777" w:rsidR="00536B99" w:rsidRPr="004841EF" w:rsidRDefault="00536B99" w:rsidP="00536B99">
      <w:r w:rsidRPr="004841EF">
        <w:t xml:space="preserve">In </w:t>
      </w:r>
      <w:r w:rsidRPr="004841EF">
        <w:rPr>
          <w:b/>
        </w:rPr>
        <w:t>An Employee v An Post DEC-E2018-005</w:t>
      </w:r>
      <w:r w:rsidRPr="004841EF">
        <w:t xml:space="preserve">, the employee had anxiety and had been </w:t>
      </w:r>
      <w:r w:rsidR="0092531B" w:rsidRPr="004841EF">
        <w:t>suspended from work following a workplace</w:t>
      </w:r>
      <w:r w:rsidRPr="004841EF">
        <w:t xml:space="preserve"> inciden</w:t>
      </w:r>
      <w:r w:rsidR="0092531B" w:rsidRPr="004841EF">
        <w:t>t</w:t>
      </w:r>
      <w:r w:rsidRPr="004841EF">
        <w:t xml:space="preserve">. The employer subsequently arranged a disciplinary hearing at its regional office in Galway. The employee stated that because of her particular anxiety, agoraphobia, the meeting should be held at her place of work, not at the regional office. The employer informed </w:t>
      </w:r>
      <w:r w:rsidR="0051309A" w:rsidRPr="004841EF">
        <w:t xml:space="preserve">her </w:t>
      </w:r>
      <w:r w:rsidRPr="004841EF">
        <w:t>that disciplinary hearings are not held in operational units and further advised that an accommodation had already been made for the employee as such meetings are usually held in Dublin. The employee argue</w:t>
      </w:r>
      <w:r w:rsidR="0092531B" w:rsidRPr="004841EF">
        <w:t>d that the employer breached their</w:t>
      </w:r>
      <w:r w:rsidRPr="004841EF">
        <w:t xml:space="preserve"> obligation to provide reasonable accommodation by refusing to hold the meeting at her place of work.</w:t>
      </w:r>
    </w:p>
    <w:p w14:paraId="169EF6D0" w14:textId="77777777" w:rsidR="00536B99" w:rsidRPr="004841EF" w:rsidRDefault="00536B99" w:rsidP="00536B99">
      <w:pPr>
        <w:rPr>
          <w:bCs/>
        </w:rPr>
      </w:pPr>
      <w:r w:rsidRPr="004841EF">
        <w:t>The employer sought medical opinion and direction with regard to the requirement for such an accommodation.</w:t>
      </w:r>
      <w:r w:rsidRPr="004841EF">
        <w:rPr>
          <w:b/>
          <w:bCs/>
        </w:rPr>
        <w:t xml:space="preserve"> </w:t>
      </w:r>
      <w:r w:rsidRPr="004841EF">
        <w:rPr>
          <w:bCs/>
        </w:rPr>
        <w:t>The Chief Medical Officer was of the view that the employee was fit to engage with management at the scheduled meeting in the regional office. Nevertheless, as an exceptional measure, the employer agreed to hold the meeting at the employee’s place of work. The Adjudication Officer found tha</w:t>
      </w:r>
      <w:r w:rsidR="0092531B" w:rsidRPr="004841EF">
        <w:rPr>
          <w:bCs/>
        </w:rPr>
        <w:t>t the employer had satisfied their</w:t>
      </w:r>
      <w:r w:rsidRPr="004841EF">
        <w:rPr>
          <w:bCs/>
        </w:rPr>
        <w:t xml:space="preserve"> obligation to provide reasonable accommodation by moving the</w:t>
      </w:r>
      <w:r w:rsidR="0092531B" w:rsidRPr="004841EF">
        <w:rPr>
          <w:bCs/>
        </w:rPr>
        <w:t xml:space="preserve"> meeting to the</w:t>
      </w:r>
      <w:r w:rsidRPr="004841EF">
        <w:rPr>
          <w:bCs/>
        </w:rPr>
        <w:t xml:space="preserve"> regional office in Galway. In conducting the hearing at the employee’s place of work, the employer had provided an “additional accommodation”.</w:t>
      </w:r>
    </w:p>
    <w:p w14:paraId="6B6F34DE" w14:textId="77777777" w:rsidR="00536B99" w:rsidRPr="004841EF" w:rsidRDefault="00536B99" w:rsidP="00536B99">
      <w:r w:rsidRPr="004841EF">
        <w:t xml:space="preserve">In another case, the Adjudication Officer found that the employer had acted reasonably in refusing to provide a reasonable accommodation until the employee had provided medical evidence substantiating her request. </w:t>
      </w:r>
    </w:p>
    <w:p w14:paraId="244C2867" w14:textId="77777777" w:rsidR="00536B99" w:rsidRPr="004841EF" w:rsidRDefault="00536B99" w:rsidP="00536B99">
      <w:r w:rsidRPr="004841EF">
        <w:t xml:space="preserve">In </w:t>
      </w:r>
      <w:r w:rsidRPr="004841EF">
        <w:rPr>
          <w:b/>
        </w:rPr>
        <w:t xml:space="preserve">A Production Operator v A Manufacturer of Automotive Cameras DEC-E2017-004, </w:t>
      </w:r>
      <w:r w:rsidRPr="004841EF">
        <w:t>the employee returned to work after having been successfully treated for cancer. She was allocated a standing role and requested a seat. The employer did not provide the accommodation until the employee provided medical evidence of the requirement for a seated position. While noting that there was a delay of a few months in providing the requested accommodation, the Adjudication Officer found that this was a reasonable timeframe given the employee’s delay in submitting the medical report and the nature of the employer's production processes. Accordingly, there was no breach of the reasonable accommodation requirement.</w:t>
      </w:r>
    </w:p>
    <w:p w14:paraId="18B6C5B9" w14:textId="77777777" w:rsidR="00536B99" w:rsidRPr="0027491F" w:rsidRDefault="00536B99" w:rsidP="00536B99">
      <w:pPr>
        <w:keepNext/>
        <w:spacing w:after="0"/>
        <w:outlineLvl w:val="3"/>
        <w:rPr>
          <w:b/>
        </w:rPr>
      </w:pPr>
      <w:r w:rsidRPr="0027491F">
        <w:rPr>
          <w:b/>
        </w:rPr>
        <w:t>Reason 2: The employee was not considered fully competent to undertake, and fully capable of undertaking, the role with an accommodation</w:t>
      </w:r>
    </w:p>
    <w:p w14:paraId="36CBF691" w14:textId="77777777" w:rsidR="00536B99" w:rsidRPr="004841EF" w:rsidRDefault="00536B99" w:rsidP="00536B99">
      <w:r w:rsidRPr="004841EF">
        <w:t>In just under a quarter of all cases where no breach of the reasonable accommodation requirement was found, the Adjudication Officer was satisfied that it was not possible for the employer to put any special measures or facilities in place which would have rendered the employer capable of performing their duties or a modified variation thereof.</w:t>
      </w:r>
    </w:p>
    <w:p w14:paraId="49BEE088" w14:textId="77777777" w:rsidR="00536B99" w:rsidRPr="004841EF" w:rsidRDefault="00536B99" w:rsidP="00536B99">
      <w:r w:rsidRPr="004841EF">
        <w:t xml:space="preserve">Under the </w:t>
      </w:r>
      <w:r w:rsidRPr="004841EF">
        <w:rPr>
          <w:b/>
        </w:rPr>
        <w:t>Employment Equality Acts</w:t>
      </w:r>
      <w:r w:rsidRPr="004841EF">
        <w:t>, an employer is not required to employ, retain or promote someone who will not undertake the duties or is not fully competent or capable of doing the essential duties of the job. However, in law, a person with a disability is considered fully competent and capable of undertaking any duties, if the person would be fully competent and capable when reasonably accommodated by the employer. As a result, employers are not obliged to recruit or retain someone who could not undertake the duties of the job if so accommodated.</w:t>
      </w:r>
    </w:p>
    <w:p w14:paraId="3AB8A2AA" w14:textId="77777777" w:rsidR="00536B99" w:rsidRPr="004841EF" w:rsidRDefault="00536B99" w:rsidP="00536B99">
      <w:r w:rsidRPr="004841EF">
        <w:t>In one case examined as part of the review,</w:t>
      </w:r>
      <w:r w:rsidRPr="004841EF">
        <w:rPr>
          <w:sz w:val="22"/>
          <w:szCs w:val="22"/>
          <w:vertAlign w:val="superscript"/>
        </w:rPr>
        <w:footnoteReference w:id="80"/>
      </w:r>
      <w:r w:rsidRPr="004841EF">
        <w:t xml:space="preserve"> the relevant employee commenced employment as a railway-crossing keeper in 2004. The employee had epilepsy, though he had not disclosed this to his employer. In 2015, the employee fell ill and was unable to att</w:t>
      </w:r>
      <w:r w:rsidR="00470F15" w:rsidRPr="004841EF">
        <w:t>end work for a period of time. Before returning to work, h</w:t>
      </w:r>
      <w:r w:rsidRPr="004841EF">
        <w:t xml:space="preserve">e was referred for a medical assessment, where he disclosed that he had epilepsy. The Labour Court found that the employee withheld information from his employer regarding his disability in his original application form in 2004 and again in 2009. The Labour Court accepted medical evidence from the employer that the employee’s disability rendered him unemployable in a safety critical role and that he would not have been employed into such a role had he declared his disability in 2004. </w:t>
      </w:r>
    </w:p>
    <w:p w14:paraId="584524C1" w14:textId="77095275" w:rsidR="00536B99" w:rsidRPr="004841EF" w:rsidRDefault="00536B99" w:rsidP="00536B99">
      <w:pPr>
        <w:rPr>
          <w:bCs/>
        </w:rPr>
      </w:pPr>
      <w:r w:rsidRPr="004841EF">
        <w:t xml:space="preserve">The Labour Court further accepted medical evidence from the employer that no accommodation for the employee’s disability would render him capable of undertaking the work for which he was employed or any other safety critical role in the company. The employer </w:t>
      </w:r>
      <w:r w:rsidR="00470F15" w:rsidRPr="004841EF">
        <w:t xml:space="preserve">in this case </w:t>
      </w:r>
      <w:r w:rsidRPr="004841EF">
        <w:t>also sought to identify a suitable non-safety critical role for the employee but was not successful. Consequently, the Adjudication Officer determined that the decision to place the employee</w:t>
      </w:r>
      <w:r w:rsidRPr="004841EF">
        <w:rPr>
          <w:bCs/>
        </w:rPr>
        <w:t xml:space="preserve"> on ill health retirement</w:t>
      </w:r>
      <w:r w:rsidR="006B0DCD" w:rsidRPr="004841EF">
        <w:rPr>
          <w:b/>
          <w:bCs/>
        </w:rPr>
        <w:t xml:space="preserve"> </w:t>
      </w:r>
      <w:r w:rsidRPr="004841EF">
        <w:rPr>
          <w:bCs/>
        </w:rPr>
        <w:t>under the terms of the employer’s superannuation scheme was justified in the circumstances.</w:t>
      </w:r>
    </w:p>
    <w:p w14:paraId="6F9FE783" w14:textId="77777777" w:rsidR="00536B99" w:rsidRPr="0027491F" w:rsidRDefault="00536B99" w:rsidP="00536B99">
      <w:pPr>
        <w:keepNext/>
        <w:spacing w:after="0"/>
        <w:outlineLvl w:val="3"/>
        <w:rPr>
          <w:b/>
        </w:rPr>
      </w:pPr>
      <w:r w:rsidRPr="0027491F">
        <w:rPr>
          <w:b/>
        </w:rPr>
        <w:t>Reason 3: The employee either failed to inform their employer of their disability and/or failed to request reasonable accommodations</w:t>
      </w:r>
    </w:p>
    <w:p w14:paraId="64817FE7" w14:textId="2828840F" w:rsidR="00536B99" w:rsidRPr="004841EF" w:rsidRDefault="00536B99" w:rsidP="00536B99">
      <w:r w:rsidRPr="004841EF">
        <w:t xml:space="preserve">In seven of the cases analysed as part of this review, the employee either failed to inform their employer of their disability or failed to request reasonable accommodations. As a result, the Workplace Relations Commission </w:t>
      </w:r>
      <w:r w:rsidR="003F664A" w:rsidRPr="004841EF">
        <w:t xml:space="preserve">/ Labour Court </w:t>
      </w:r>
      <w:r w:rsidRPr="004841EF">
        <w:t>determined that the employers did not have any actual or constructive knowledge of special arrangements required to be</w:t>
      </w:r>
      <w:r w:rsidR="006B0DCD" w:rsidRPr="004841EF">
        <w:t xml:space="preserve"> put in place for the employee.</w:t>
      </w:r>
    </w:p>
    <w:p w14:paraId="5714AFBC" w14:textId="77777777" w:rsidR="00536B99" w:rsidRPr="004841EF" w:rsidRDefault="00536B99" w:rsidP="00536B99">
      <w:r w:rsidRPr="004841EF">
        <w:t xml:space="preserve">In </w:t>
      </w:r>
      <w:r w:rsidRPr="004841EF">
        <w:rPr>
          <w:b/>
        </w:rPr>
        <w:t xml:space="preserve">A Customer Sales Agent v A Department Store </w:t>
      </w:r>
      <w:r w:rsidRPr="004841EF">
        <w:rPr>
          <w:b/>
          <w:bCs/>
        </w:rPr>
        <w:t>ADJ-00008698</w:t>
      </w:r>
      <w:r w:rsidRPr="004841EF">
        <w:rPr>
          <w:bCs/>
        </w:rPr>
        <w:t xml:space="preserve">, the </w:t>
      </w:r>
      <w:r w:rsidRPr="004841EF">
        <w:t>employee, who worked as a customer sales agent and had mental health issues and Tourette syndrome, sought a transfer to another store. This request was refused on account of the employee’s poor punctuality and absence record. The employee argued that this refusal amounted to a breach of his employer’s obligation to reasonably accommodate employees with a disability. The Adjudication Officer found that the employee neither informed his employer of his disability nor requested reasonable accommodations for any such disability. Accordingly, there was no breach of the employer’s obligation to provide reasonable accommodation.</w:t>
      </w:r>
    </w:p>
    <w:p w14:paraId="4FA6B1F0" w14:textId="77777777" w:rsidR="00536B99" w:rsidRPr="0027491F" w:rsidRDefault="00536B99" w:rsidP="00536B99">
      <w:pPr>
        <w:keepNext/>
        <w:spacing w:after="0"/>
        <w:outlineLvl w:val="3"/>
        <w:rPr>
          <w:b/>
        </w:rPr>
      </w:pPr>
      <w:r w:rsidRPr="0027491F">
        <w:rPr>
          <w:b/>
        </w:rPr>
        <w:t>Reason 4: The employee did not have a disability within the statutory meaning</w:t>
      </w:r>
    </w:p>
    <w:p w14:paraId="49051A94" w14:textId="0D4448B9" w:rsidR="00536B99" w:rsidRPr="004841EF" w:rsidRDefault="00536B99" w:rsidP="00536B99">
      <w:r w:rsidRPr="004841EF">
        <w:t xml:space="preserve">In five of the cases considered, the Adjudication Officer determined that the employee did not have a disability within the statutory meaning. Employers are only required to provide reasonable accommodation where the prospective or current employee has a disability within the meaning of the legislation. Disability has a broad definition under the </w:t>
      </w:r>
      <w:r w:rsidRPr="004841EF">
        <w:rPr>
          <w:b/>
        </w:rPr>
        <w:t>Employment Equality Acts</w:t>
      </w:r>
      <w:r w:rsidRPr="004841EF">
        <w:t xml:space="preserve"> and</w:t>
      </w:r>
      <w:r w:rsidR="0079504E" w:rsidRPr="004841EF">
        <w:t xml:space="preserve"> it</w:t>
      </w:r>
      <w:r w:rsidRPr="004841EF">
        <w:t xml:space="preserve"> also covers particular medical conditions, which are potentially chronic, long-term, debilitating or that get progressively worse over time.</w:t>
      </w:r>
      <w:r w:rsidR="00121108" w:rsidRPr="004841EF">
        <w:rPr>
          <w:rStyle w:val="FootnoteReference"/>
          <w:rFonts w:ascii="Gill Sans MT" w:hAnsi="Gill Sans MT"/>
        </w:rPr>
        <w:footnoteReference w:id="81"/>
      </w:r>
    </w:p>
    <w:p w14:paraId="63D98A29" w14:textId="7AC2F44B" w:rsidR="00536B99" w:rsidRPr="004841EF" w:rsidRDefault="00536B99" w:rsidP="00536B99">
      <w:pPr>
        <w:rPr>
          <w:bCs/>
        </w:rPr>
      </w:pPr>
      <w:r w:rsidRPr="004841EF">
        <w:t xml:space="preserve">In </w:t>
      </w:r>
      <w:r w:rsidRPr="004841EF">
        <w:rPr>
          <w:b/>
        </w:rPr>
        <w:t xml:space="preserve">An Employee v A Cleaning Company </w:t>
      </w:r>
      <w:r w:rsidRPr="004841EF">
        <w:rPr>
          <w:b/>
          <w:bCs/>
        </w:rPr>
        <w:t>DEC-E2017-065,</w:t>
      </w:r>
      <w:r w:rsidRPr="004841EF">
        <w:rPr>
          <w:bCs/>
        </w:rPr>
        <w:t xml:space="preserve"> the employee, who was a cleaner at Dun Laoghaire Harbour Terminal, had been on sick leave</w:t>
      </w:r>
      <w:r w:rsidR="0079504E" w:rsidRPr="004841EF">
        <w:rPr>
          <w:bCs/>
        </w:rPr>
        <w:t>,</w:t>
      </w:r>
      <w:r w:rsidRPr="004841EF">
        <w:rPr>
          <w:bCs/>
        </w:rPr>
        <w:t xml:space="preserve"> as a result of chest pains</w:t>
      </w:r>
      <w:r w:rsidR="0079504E" w:rsidRPr="004841EF">
        <w:rPr>
          <w:bCs/>
        </w:rPr>
        <w:t>,</w:t>
      </w:r>
      <w:r w:rsidRPr="004841EF">
        <w:rPr>
          <w:bCs/>
        </w:rPr>
        <w:t xml:space="preserve"> for an extended period. When she sought to return to work, the employee was informed that her cleaning position was no longer available</w:t>
      </w:r>
      <w:r w:rsidR="0079504E" w:rsidRPr="004841EF">
        <w:rPr>
          <w:bCs/>
        </w:rPr>
        <w:t>,</w:t>
      </w:r>
      <w:r w:rsidRPr="004841EF">
        <w:rPr>
          <w:bCs/>
        </w:rPr>
        <w:t xml:space="preserve"> as Stena Line had not renewed their contract with Dun Laoghaire Harbour. The employer offered the employee a number of other temporary positions, but these were refused for reasons such as their location, the hours in</w:t>
      </w:r>
      <w:r w:rsidR="0092531B" w:rsidRPr="004841EF">
        <w:rPr>
          <w:bCs/>
        </w:rPr>
        <w:t>volved and the lack of permanency</w:t>
      </w:r>
      <w:r w:rsidRPr="004841EF">
        <w:rPr>
          <w:bCs/>
        </w:rPr>
        <w:t xml:space="preserve">. The Adjudication Officer distinguished between a </w:t>
      </w:r>
      <w:r w:rsidRPr="004841EF">
        <w:t>person being on sick leave from work due to illness and a person who has a disability and concluded that the employee in this particular case was not a person with a disability within the meaning of employment equality legislation.</w:t>
      </w:r>
      <w:r w:rsidRPr="004841EF">
        <w:rPr>
          <w:bCs/>
        </w:rPr>
        <w:t xml:space="preserve"> Accordingly, the issue of reasonable accommodation was deemed not to arise.</w:t>
      </w:r>
    </w:p>
    <w:p w14:paraId="2B964467" w14:textId="77777777" w:rsidR="00536B99" w:rsidRPr="0027491F" w:rsidRDefault="00536B99" w:rsidP="00536B99">
      <w:pPr>
        <w:keepNext/>
        <w:spacing w:after="0"/>
        <w:outlineLvl w:val="3"/>
        <w:rPr>
          <w:b/>
        </w:rPr>
      </w:pPr>
      <w:r w:rsidRPr="0027491F">
        <w:rPr>
          <w:b/>
        </w:rPr>
        <w:t>Reason 5: The reasonable accommodation sought would impose a disproportionate burden on the employer</w:t>
      </w:r>
    </w:p>
    <w:p w14:paraId="3ECAE069" w14:textId="77777777" w:rsidR="00536B99" w:rsidRPr="004841EF" w:rsidRDefault="00536B99" w:rsidP="00536B99">
      <w:r w:rsidRPr="004841EF">
        <w:t xml:space="preserve">Three complaints of an alleged failure to provide reasonable accommodation were dismissed on the basis that the requested adjustments would impose a disproportionate burden on the employer. </w:t>
      </w:r>
    </w:p>
    <w:p w14:paraId="080FF071" w14:textId="77777777" w:rsidR="00536B99" w:rsidRPr="004841EF" w:rsidRDefault="00536B99" w:rsidP="00536B99">
      <w:r w:rsidRPr="004841EF">
        <w:t xml:space="preserve">In the case of </w:t>
      </w:r>
      <w:r w:rsidRPr="004841EF">
        <w:rPr>
          <w:b/>
        </w:rPr>
        <w:t>A Community Facilitator v A Community based Disability Support service DEC-E2017-082,</w:t>
      </w:r>
      <w:r w:rsidRPr="004841EF">
        <w:t xml:space="preserve"> the employee, who had Adult Attention Deficit Disorder, was dismissed by his employer. His role involved providing support for adults in respite services who had learning difficulties and mental health issues. The Adjudication Officer held that, prior to the dismissal, the employer had made extensive inquiries into the extent of the employee's disability and consulted with him before coming to the conclusion that the accommodations recommended by the occupational health physician were too burdensome. The occupational health physician had recommended that the employer hire another individual to supervise the employee during sleepover shifts and closely supervise and mentor the employee during retraining. The Adjudication Officer accepted the employer’s argument that the proposed accommodations would place a disproportionate financial burden on them and therefore, there was no breach of the obligation to reasonably accommodate.</w:t>
      </w:r>
    </w:p>
    <w:p w14:paraId="6687DFC9" w14:textId="77777777" w:rsidR="00536B99" w:rsidRPr="0027491F" w:rsidRDefault="00536B99" w:rsidP="00536B99">
      <w:pPr>
        <w:keepNext/>
        <w:spacing w:after="0"/>
        <w:outlineLvl w:val="3"/>
        <w:rPr>
          <w:b/>
        </w:rPr>
      </w:pPr>
      <w:r w:rsidRPr="0027491F">
        <w:rPr>
          <w:b/>
        </w:rPr>
        <w:t>Reason 6: The employee failed to establish a prima facie case that their employer had failed to provide reasonable accommodations</w:t>
      </w:r>
    </w:p>
    <w:p w14:paraId="05A11FD4" w14:textId="46003B62" w:rsidR="00536B99" w:rsidRPr="004841EF" w:rsidRDefault="00536B99" w:rsidP="00536B99">
      <w:r w:rsidRPr="004841EF">
        <w:t>In three different cases, the employee failed to establish a prima facie case that their employer had failed to provide reasonable accommodation. Under employment equality legislation, an employee must, in the first instance, establish facts from which a failure to provide reasonable accommodation may be inferred (known as a prima facie case).</w:t>
      </w:r>
      <w:r w:rsidR="00192243" w:rsidRPr="004841EF">
        <w:rPr>
          <w:rStyle w:val="FootnoteReference"/>
          <w:rFonts w:ascii="Gill Sans MT" w:hAnsi="Gill Sans MT"/>
        </w:rPr>
        <w:footnoteReference w:id="82"/>
      </w:r>
      <w:r w:rsidRPr="004841EF">
        <w:t xml:space="preserve"> If such facts are established, the onus shifts to the employer to prove that they did provide reasonable accommodation, or if they did not, that it was justified.</w:t>
      </w:r>
      <w:r w:rsidR="008B0401" w:rsidRPr="004841EF">
        <w:rPr>
          <w:rStyle w:val="FootnoteReference"/>
          <w:rFonts w:ascii="Gill Sans MT" w:hAnsi="Gill Sans MT"/>
        </w:rPr>
        <w:footnoteReference w:id="83"/>
      </w:r>
    </w:p>
    <w:p w14:paraId="114EBA85" w14:textId="77777777" w:rsidR="00536B99" w:rsidRPr="004841EF" w:rsidRDefault="00536B99" w:rsidP="00536B99">
      <w:pPr>
        <w:rPr>
          <w:bCs/>
        </w:rPr>
      </w:pPr>
      <w:r w:rsidRPr="004841EF">
        <w:t xml:space="preserve">In </w:t>
      </w:r>
      <w:r w:rsidRPr="004841EF">
        <w:rPr>
          <w:b/>
        </w:rPr>
        <w:t>G4S Cash Solutions Ireland v Darius Mucha EDA1845,</w:t>
      </w:r>
      <w:r w:rsidRPr="004841EF">
        <w:t xml:space="preserve"> the employee failed to establish a prima facie case of discrimination. The employee was a cash operative and had b</w:t>
      </w:r>
      <w:r w:rsidRPr="004841EF">
        <w:rPr>
          <w:bCs/>
        </w:rPr>
        <w:t>een on long-term certified sick leave, due to depression. The employee argued that he had been forced to resign due to the failure of his employer to make reasonable accommodation for his disability.</w:t>
      </w:r>
      <w:r w:rsidRPr="004841EF">
        <w:t xml:space="preserve"> The Labour Court determined that the employee’s decision to resign was based not on the employer’s failure to make reasonable accommodations, but on the employee's own perception that his disability made him an unsuitable candidate for the job in question. As a result, the </w:t>
      </w:r>
      <w:r w:rsidRPr="004841EF">
        <w:rPr>
          <w:bCs/>
        </w:rPr>
        <w:t xml:space="preserve">Labour Court took the view that the </w:t>
      </w:r>
      <w:r w:rsidR="00470F15" w:rsidRPr="004841EF">
        <w:rPr>
          <w:bCs/>
        </w:rPr>
        <w:t>employee</w:t>
      </w:r>
      <w:r w:rsidRPr="004841EF">
        <w:rPr>
          <w:bCs/>
        </w:rPr>
        <w:t xml:space="preserve"> had failed to establish a prima facie case such as to shift the burden of proof to the employer.</w:t>
      </w:r>
    </w:p>
    <w:p w14:paraId="14564421" w14:textId="77777777" w:rsidR="00536B99" w:rsidRPr="004841EF" w:rsidRDefault="00536B99" w:rsidP="00536B99">
      <w:pPr>
        <w:rPr>
          <w:bCs/>
        </w:rPr>
      </w:pPr>
      <w:r w:rsidRPr="004841EF">
        <w:rPr>
          <w:bCs/>
        </w:rPr>
        <w:t xml:space="preserve">In </w:t>
      </w:r>
      <w:r w:rsidRPr="004841EF">
        <w:rPr>
          <w:b/>
          <w:bCs/>
        </w:rPr>
        <w:t>Hatem Mohamed v Accenture Ireland Limited ADJ-00014519</w:t>
      </w:r>
      <w:r w:rsidRPr="004841EF">
        <w:rPr>
          <w:bCs/>
        </w:rPr>
        <w:t>, the employee, who had depression, worked from Sunday to Thursday. The employer requested that the employee change his work schedule and wo</w:t>
      </w:r>
      <w:r w:rsidR="0051309A" w:rsidRPr="004841EF">
        <w:rPr>
          <w:bCs/>
        </w:rPr>
        <w:t>rk Fridays instead of Sundays. Th</w:t>
      </w:r>
      <w:r w:rsidRPr="004841EF">
        <w:rPr>
          <w:bCs/>
        </w:rPr>
        <w:t>e</w:t>
      </w:r>
      <w:r w:rsidR="0051309A" w:rsidRPr="004841EF">
        <w:rPr>
          <w:bCs/>
        </w:rPr>
        <w:t xml:space="preserve"> employee</w:t>
      </w:r>
      <w:r w:rsidRPr="004841EF">
        <w:rPr>
          <w:bCs/>
        </w:rPr>
        <w:t xml:space="preserve"> objected to this because of family commitments and a potential reduction in pay. The employer subsequently agreed that the employee could continue with his Sunday – Thursday work schedule. Thereafter, the employee sought shorter working hours to ensure that he was home by 5pm each day to care for his child. While the employee’s manager agreed to allow the employee work a shorter working day, he was informed that he would have to make up one hour at month-ends, but not on Sunday, when there wasn’t enough work to do. The employee said that this arrangement didn’t suit him.</w:t>
      </w:r>
    </w:p>
    <w:p w14:paraId="4C806839" w14:textId="77777777" w:rsidR="00536B99" w:rsidRPr="004841EF" w:rsidRDefault="00536B99" w:rsidP="00536B99">
      <w:pPr>
        <w:rPr>
          <w:bCs/>
        </w:rPr>
      </w:pPr>
      <w:r w:rsidRPr="004841EF">
        <w:rPr>
          <w:bCs/>
        </w:rPr>
        <w:t xml:space="preserve">Following a number of weeks during which the employee did not carry out his job to the standard expected of his managers, he was put on a performance improvement plan. The employee rejected this plan out of hand and saw it as an example of his managers’ efforts to punish him for his tenacity in getting a working time schedule suitable to his needs. The Adjudication Officer found that the employee had failed to discharge the burden of proof required to demonstrate that the employer had failed to provide him with reasonable accommodation for his depression. He concluded that the employee was under pressure on a daily basis to ensure that he could be home for 5pm </w:t>
      </w:r>
      <w:r w:rsidR="0092531B" w:rsidRPr="004841EF">
        <w:rPr>
          <w:bCs/>
        </w:rPr>
        <w:t xml:space="preserve">due to family commitments </w:t>
      </w:r>
      <w:r w:rsidRPr="004841EF">
        <w:rPr>
          <w:bCs/>
        </w:rPr>
        <w:t>and this was the root of many of his workplace problems.</w:t>
      </w:r>
    </w:p>
    <w:p w14:paraId="74F2561F" w14:textId="76D8A72F" w:rsidR="006E18CB" w:rsidRPr="0027491F" w:rsidRDefault="00536B99" w:rsidP="006E18CB">
      <w:pPr>
        <w:keepNext/>
        <w:spacing w:after="0"/>
        <w:outlineLvl w:val="3"/>
        <w:rPr>
          <w:b/>
        </w:rPr>
      </w:pPr>
      <w:r w:rsidRPr="0027491F">
        <w:rPr>
          <w:b/>
        </w:rPr>
        <w:t>Reason 7: The complainant was not considered an employee</w:t>
      </w:r>
    </w:p>
    <w:p w14:paraId="17A022C5" w14:textId="6D8D2DAF" w:rsidR="00536B99" w:rsidRPr="004841EF" w:rsidRDefault="00C84FE8" w:rsidP="006B0DCD">
      <w:pPr>
        <w:spacing w:after="120"/>
      </w:pPr>
      <w:r>
        <w:t>The</w:t>
      </w:r>
      <w:r w:rsidR="00536B99" w:rsidRPr="004841EF">
        <w:t xml:space="preserve"> </w:t>
      </w:r>
      <w:r w:rsidR="00536B99" w:rsidRPr="004841EF">
        <w:rPr>
          <w:b/>
        </w:rPr>
        <w:t>Employment Equality Acts</w:t>
      </w:r>
      <w:r>
        <w:rPr>
          <w:b/>
        </w:rPr>
        <w:t xml:space="preserve"> </w:t>
      </w:r>
      <w:r>
        <w:t>provide certain protections to prospective, current and former employees</w:t>
      </w:r>
      <w:r w:rsidR="00536B99" w:rsidRPr="004841EF">
        <w:rPr>
          <w:b/>
        </w:rPr>
        <w:t>.</w:t>
      </w:r>
      <w:r w:rsidR="00536B99" w:rsidRPr="004841EF">
        <w:t xml:space="preserve"> The following types of employees are covered by </w:t>
      </w:r>
      <w:r w:rsidR="0079504E" w:rsidRPr="004841EF">
        <w:t xml:space="preserve">the </w:t>
      </w:r>
      <w:r w:rsidR="00536B99" w:rsidRPr="004841EF">
        <w:t>e</w:t>
      </w:r>
      <w:r w:rsidR="006B0DCD" w:rsidRPr="004841EF">
        <w:t>mployment equality legislation:</w:t>
      </w:r>
    </w:p>
    <w:p w14:paraId="7562AB04" w14:textId="77777777" w:rsidR="0051309A" w:rsidRPr="004841EF" w:rsidRDefault="00536B99" w:rsidP="0051309A">
      <w:pPr>
        <w:pStyle w:val="ListBullet"/>
      </w:pPr>
      <w:r w:rsidRPr="004841EF">
        <w:t xml:space="preserve">Public and private sector employees </w:t>
      </w:r>
    </w:p>
    <w:p w14:paraId="6547B548" w14:textId="77777777" w:rsidR="0051309A" w:rsidRPr="004841EF" w:rsidRDefault="00536B99" w:rsidP="0051309A">
      <w:pPr>
        <w:pStyle w:val="ListBullet"/>
      </w:pPr>
      <w:r w:rsidRPr="004841EF">
        <w:t xml:space="preserve">Full-time employees </w:t>
      </w:r>
    </w:p>
    <w:p w14:paraId="0B027CAD" w14:textId="77777777" w:rsidR="0051309A" w:rsidRPr="004841EF" w:rsidRDefault="00536B99" w:rsidP="0051309A">
      <w:pPr>
        <w:pStyle w:val="ListBullet"/>
      </w:pPr>
      <w:r w:rsidRPr="004841EF">
        <w:t xml:space="preserve">Part-time employees </w:t>
      </w:r>
    </w:p>
    <w:p w14:paraId="7975B370" w14:textId="77777777" w:rsidR="0051309A" w:rsidRPr="004841EF" w:rsidRDefault="00536B99" w:rsidP="0051309A">
      <w:pPr>
        <w:pStyle w:val="ListBullet"/>
      </w:pPr>
      <w:r w:rsidRPr="004841EF">
        <w:t xml:space="preserve">Agency workers (in certain circumstances) </w:t>
      </w:r>
    </w:p>
    <w:p w14:paraId="3371D18A" w14:textId="77777777" w:rsidR="0051309A" w:rsidRPr="004841EF" w:rsidRDefault="00536B99" w:rsidP="0051309A">
      <w:pPr>
        <w:pStyle w:val="ListBullet"/>
      </w:pPr>
      <w:r w:rsidRPr="004841EF">
        <w:t xml:space="preserve">Self-employed contractors </w:t>
      </w:r>
    </w:p>
    <w:p w14:paraId="30806CBB" w14:textId="775F392A" w:rsidR="00536B99" w:rsidRPr="004841EF" w:rsidRDefault="00536B99" w:rsidP="006B0DCD">
      <w:pPr>
        <w:pStyle w:val="ListBullet"/>
        <w:spacing w:after="240"/>
        <w:ind w:left="357" w:hanging="357"/>
      </w:pPr>
      <w:r w:rsidRPr="004841EF">
        <w:t>Apprentices</w:t>
      </w:r>
      <w:r w:rsidR="002C75E6" w:rsidRPr="004841EF">
        <w:rPr>
          <w:rStyle w:val="FootnoteReference"/>
          <w:rFonts w:ascii="Gill Sans MT" w:hAnsi="Gill Sans MT"/>
        </w:rPr>
        <w:footnoteReference w:id="84"/>
      </w:r>
    </w:p>
    <w:p w14:paraId="3BC56180" w14:textId="3A1A5DD7" w:rsidR="006E18CB" w:rsidRPr="004841EF" w:rsidRDefault="00C84FE8" w:rsidP="006B0DCD">
      <w:pPr>
        <w:pStyle w:val="ListBullet"/>
        <w:numPr>
          <w:ilvl w:val="0"/>
          <w:numId w:val="0"/>
        </w:numPr>
      </w:pPr>
      <w:r w:rsidRPr="00C84FE8">
        <w:t xml:space="preserve">The </w:t>
      </w:r>
      <w:r w:rsidRPr="00C84FE8">
        <w:rPr>
          <w:b/>
        </w:rPr>
        <w:t>Employment Equality Acts</w:t>
      </w:r>
      <w:r w:rsidRPr="00C84FE8">
        <w:t xml:space="preserve"> not only apply to employers</w:t>
      </w:r>
      <w:r>
        <w:t>,</w:t>
      </w:r>
      <w:r w:rsidRPr="00C84FE8">
        <w:t xml:space="preserve"> but also</w:t>
      </w:r>
      <w:r>
        <w:t xml:space="preserve"> to b</w:t>
      </w:r>
      <w:r w:rsidR="006E18CB" w:rsidRPr="004841EF">
        <w:t xml:space="preserve">odies offering vocational training and certain other </w:t>
      </w:r>
      <w:r>
        <w:t>organisations</w:t>
      </w:r>
      <w:r w:rsidR="006B0DCD" w:rsidRPr="004841EF">
        <w:t>, for example:</w:t>
      </w:r>
    </w:p>
    <w:p w14:paraId="02553E7B" w14:textId="77777777" w:rsidR="006E18CB" w:rsidRPr="004841EF" w:rsidRDefault="006E18CB" w:rsidP="006E18CB">
      <w:pPr>
        <w:pStyle w:val="ListBullet"/>
      </w:pPr>
      <w:r w:rsidRPr="004841EF">
        <w:t>an organisation of workers or of employers</w:t>
      </w:r>
    </w:p>
    <w:p w14:paraId="7799D537" w14:textId="77777777" w:rsidR="006E18CB" w:rsidRPr="004841EF" w:rsidRDefault="006E18CB" w:rsidP="006E18CB">
      <w:pPr>
        <w:pStyle w:val="ListBullet"/>
      </w:pPr>
      <w:r w:rsidRPr="004841EF">
        <w:t>a professional or trade organisation</w:t>
      </w:r>
    </w:p>
    <w:p w14:paraId="30AF181C" w14:textId="77777777" w:rsidR="006E18CB" w:rsidRPr="004841EF" w:rsidRDefault="006E18CB" w:rsidP="006E18CB">
      <w:pPr>
        <w:pStyle w:val="ListBullet"/>
      </w:pPr>
      <w:r w:rsidRPr="004841EF">
        <w:t xml:space="preserve">a body which controls entry to, or the carrying on of, a profession, vocation or occupation </w:t>
      </w:r>
    </w:p>
    <w:p w14:paraId="5D0B58E8" w14:textId="5F344D0A" w:rsidR="00B4738F" w:rsidRPr="004841EF" w:rsidRDefault="006E18CB" w:rsidP="009014F5">
      <w:pPr>
        <w:pStyle w:val="ListBullet"/>
      </w:pPr>
      <w:r w:rsidRPr="004841EF">
        <w:t>partnerships</w:t>
      </w:r>
      <w:r w:rsidRPr="004841EF">
        <w:rPr>
          <w:rStyle w:val="FootnoteReference"/>
          <w:rFonts w:ascii="Gill Sans MT" w:hAnsi="Gill Sans MT"/>
        </w:rPr>
        <w:footnoteReference w:id="85"/>
      </w:r>
      <w:r w:rsidR="00B4738F" w:rsidRPr="004841EF">
        <w:br w:type="page"/>
      </w:r>
    </w:p>
    <w:p w14:paraId="03D85461" w14:textId="3AD1FE2F" w:rsidR="00536B99" w:rsidRPr="004841EF" w:rsidRDefault="0045472D" w:rsidP="00440AB1">
      <w:pPr>
        <w:pStyle w:val="Heading1"/>
      </w:pPr>
      <w:bookmarkStart w:id="230" w:name="_Toc26192119"/>
      <w:bookmarkStart w:id="231" w:name="_Toc42172544"/>
      <w:r w:rsidRPr="004841EF">
        <w:t xml:space="preserve">Chapter 4 </w:t>
      </w:r>
      <w:r w:rsidR="00D07345" w:rsidRPr="004841EF">
        <w:t>–</w:t>
      </w:r>
      <w:r w:rsidR="00CC7BE3" w:rsidRPr="004841EF">
        <w:t xml:space="preserve"> </w:t>
      </w:r>
      <w:r w:rsidR="008E3D30" w:rsidRPr="004841EF">
        <w:t>Obstacles</w:t>
      </w:r>
      <w:r w:rsidR="00C2448E" w:rsidRPr="004841EF">
        <w:t xml:space="preserve"> to Attaining and Providing Reasonable Accommodations</w:t>
      </w:r>
      <w:bookmarkEnd w:id="230"/>
      <w:bookmarkEnd w:id="231"/>
    </w:p>
    <w:p w14:paraId="1D29CCC8" w14:textId="42832563" w:rsidR="00037C18" w:rsidRPr="004841EF" w:rsidRDefault="00037C18" w:rsidP="00037C18">
      <w:pPr>
        <w:pStyle w:val="Heading2"/>
      </w:pPr>
      <w:bookmarkStart w:id="232" w:name="_Toc26192120"/>
      <w:bookmarkStart w:id="233" w:name="_Toc42172545"/>
      <w:r w:rsidRPr="004841EF">
        <w:t>4.1</w:t>
      </w:r>
      <w:r w:rsidR="00DB568C" w:rsidRPr="004841EF">
        <w:t>.</w:t>
      </w:r>
      <w:r w:rsidRPr="004841EF">
        <w:t xml:space="preserve"> </w:t>
      </w:r>
      <w:r w:rsidR="0013421A" w:rsidRPr="004841EF">
        <w:t>Reasonable accommodation process</w:t>
      </w:r>
      <w:bookmarkEnd w:id="232"/>
      <w:bookmarkEnd w:id="233"/>
    </w:p>
    <w:p w14:paraId="38927624" w14:textId="18A60E11" w:rsidR="00765C58" w:rsidRPr="004841EF" w:rsidRDefault="00765C58" w:rsidP="00765C58">
      <w:r w:rsidRPr="004841EF">
        <w:t>This chapter explores common obstacles which can impede a seamless reasonable accommodation process. In a seamless process, employees and employment candidates are comfortable disclosing their disability and requesting reasonable accommodations; and employers follow correct procedures, provide any reasonable accommodation measures required under employment equality legislation and monitor implemented reasonable accommodations.</w:t>
      </w:r>
    </w:p>
    <w:p w14:paraId="44B58FF4" w14:textId="7DB44BD6" w:rsidR="0013421A" w:rsidRPr="004841EF" w:rsidRDefault="0013421A" w:rsidP="0013421A">
      <w:pPr>
        <w:pStyle w:val="Heading2"/>
      </w:pPr>
      <w:bookmarkStart w:id="234" w:name="_Toc26192121"/>
      <w:bookmarkStart w:id="235" w:name="_Toc42172546"/>
      <w:r w:rsidRPr="004841EF">
        <w:t>4.2</w:t>
      </w:r>
      <w:r w:rsidR="00DB568C" w:rsidRPr="004841EF">
        <w:t>.</w:t>
      </w:r>
      <w:r w:rsidRPr="004841EF">
        <w:t xml:space="preserve"> Obstacles impeding a seamless reasonable accommodation process</w:t>
      </w:r>
      <w:bookmarkEnd w:id="234"/>
      <w:bookmarkEnd w:id="235"/>
    </w:p>
    <w:p w14:paraId="06C0AEBA" w14:textId="79E1BFB9" w:rsidR="00765C58" w:rsidRPr="004841EF" w:rsidRDefault="00765C58" w:rsidP="006B0DCD">
      <w:pPr>
        <w:spacing w:after="120"/>
      </w:pPr>
      <w:r w:rsidRPr="004841EF">
        <w:t xml:space="preserve">The reasonable accommodation process is a multifaceted one. The process </w:t>
      </w:r>
      <w:r w:rsidR="006262DC" w:rsidRPr="004841EF">
        <w:t xml:space="preserve">typically </w:t>
      </w:r>
      <w:r w:rsidRPr="004841EF">
        <w:t xml:space="preserve">comprises a </w:t>
      </w:r>
      <w:r w:rsidR="006B0DCD" w:rsidRPr="004841EF">
        <w:t>number of stages including the:</w:t>
      </w:r>
    </w:p>
    <w:p w14:paraId="28FBD663" w14:textId="77777777" w:rsidR="00765C58" w:rsidRPr="004841EF" w:rsidRDefault="00765C58" w:rsidP="00A51B68">
      <w:pPr>
        <w:pStyle w:val="ListNumber"/>
        <w:numPr>
          <w:ilvl w:val="0"/>
          <w:numId w:val="25"/>
        </w:numPr>
      </w:pPr>
      <w:r w:rsidRPr="004841EF">
        <w:t>Making of a request for reasonable accommodations by a person with a disability</w:t>
      </w:r>
    </w:p>
    <w:p w14:paraId="605C4C02" w14:textId="1F6E6834" w:rsidR="00765C58" w:rsidRPr="004841EF" w:rsidRDefault="00765C58" w:rsidP="00A51B68">
      <w:pPr>
        <w:pStyle w:val="ListNumber"/>
        <w:numPr>
          <w:ilvl w:val="0"/>
          <w:numId w:val="25"/>
        </w:numPr>
      </w:pPr>
      <w:r w:rsidRPr="004841EF">
        <w:t xml:space="preserve">Evaluation of such a request by an employer and the process followed in reviewing such a request </w:t>
      </w:r>
    </w:p>
    <w:p w14:paraId="4FDCE3D5" w14:textId="77777777" w:rsidR="00765C58" w:rsidRPr="004841EF" w:rsidRDefault="00765C58" w:rsidP="00A51B68">
      <w:pPr>
        <w:pStyle w:val="ListNumber"/>
        <w:numPr>
          <w:ilvl w:val="0"/>
          <w:numId w:val="25"/>
        </w:numPr>
      </w:pPr>
      <w:r w:rsidRPr="004841EF">
        <w:t>Implementation of any approved reasonable accommodation measure</w:t>
      </w:r>
    </w:p>
    <w:p w14:paraId="681D4CED" w14:textId="67BD50D4" w:rsidR="00765C58" w:rsidRPr="004841EF" w:rsidRDefault="00765C58" w:rsidP="00A51B68">
      <w:pPr>
        <w:pStyle w:val="ListNumber"/>
        <w:numPr>
          <w:ilvl w:val="0"/>
          <w:numId w:val="25"/>
        </w:numPr>
        <w:spacing w:after="240"/>
      </w:pPr>
      <w:r w:rsidRPr="004841EF">
        <w:t>Monitoring of implemented re</w:t>
      </w:r>
      <w:r w:rsidR="006B0DCD" w:rsidRPr="004841EF">
        <w:t>asonable accommodation measures</w:t>
      </w:r>
    </w:p>
    <w:p w14:paraId="013571AE" w14:textId="29863E8C" w:rsidR="00765C58" w:rsidRPr="004841EF" w:rsidRDefault="000F7C06" w:rsidP="00765C58">
      <w:pPr>
        <w:pStyle w:val="ListNumber"/>
      </w:pPr>
      <w:r w:rsidRPr="004841EF">
        <w:t xml:space="preserve">Persons </w:t>
      </w:r>
      <w:r w:rsidR="00765C58" w:rsidRPr="004841EF">
        <w:t>with a disability and employers make decisions about requesting or providing reasonable accommodations based on mu</w:t>
      </w:r>
      <w:r w:rsidR="00A51B68">
        <w:t>ltiple factors in this process.</w:t>
      </w:r>
    </w:p>
    <w:p w14:paraId="66089B6A" w14:textId="5090DF08" w:rsidR="003E430A" w:rsidRPr="004841EF" w:rsidRDefault="00765C58" w:rsidP="00765C58">
      <w:pPr>
        <w:pStyle w:val="ListNumber"/>
      </w:pPr>
      <w:r w:rsidRPr="004841EF">
        <w:t>Various factors may impede a seamless reasonable accommodation process, such as, lack of human resources capacity; the affordability of obtaining medical or psychological reports etc. However, a number of key obstacles featured regularly in the literature review; the review of Workplace Relations Commission and Labour Court decisions relating to reasonable accommodation; and consultations with stakeholders.</w:t>
      </w:r>
    </w:p>
    <w:p w14:paraId="24025D76" w14:textId="5F3A6028" w:rsidR="00765C58" w:rsidRPr="004841EF" w:rsidRDefault="00765C58" w:rsidP="006B0DCD">
      <w:pPr>
        <w:spacing w:after="120"/>
      </w:pPr>
      <w:r w:rsidRPr="004841EF">
        <w:t>While not an exhaustive list</w:t>
      </w:r>
      <w:r w:rsidR="00C21258" w:rsidRPr="004841EF">
        <w:t>,</w:t>
      </w:r>
      <w:r w:rsidRPr="004841EF">
        <w:t xml:space="preserve"> the eight obstacles </w:t>
      </w:r>
      <w:r w:rsidR="00227943" w:rsidRPr="004841EF">
        <w:t>considered</w:t>
      </w:r>
      <w:r w:rsidRPr="004841EF">
        <w:t xml:space="preserve"> are:</w:t>
      </w:r>
    </w:p>
    <w:p w14:paraId="4C9B62FC" w14:textId="52FB47D4" w:rsidR="00536B99" w:rsidRPr="004841EF" w:rsidRDefault="00536B99" w:rsidP="006272C6">
      <w:pPr>
        <w:numPr>
          <w:ilvl w:val="0"/>
          <w:numId w:val="12"/>
        </w:numPr>
      </w:pPr>
      <w:r w:rsidRPr="004841EF">
        <w:t xml:space="preserve">The reluctance of </w:t>
      </w:r>
      <w:r w:rsidR="0081689A" w:rsidRPr="004841EF">
        <w:t xml:space="preserve">some </w:t>
      </w:r>
      <w:r w:rsidRPr="004841EF">
        <w:t xml:space="preserve">employees and prospective employees to </w:t>
      </w:r>
      <w:r w:rsidR="0020365A" w:rsidRPr="004841EF">
        <w:t>disclose their disability</w:t>
      </w:r>
      <w:r w:rsidR="00DF28BE" w:rsidRPr="004841EF">
        <w:t xml:space="preserve"> to an employer</w:t>
      </w:r>
      <w:r w:rsidR="0020365A" w:rsidRPr="004841EF">
        <w:t xml:space="preserve"> and to </w:t>
      </w:r>
      <w:r w:rsidRPr="004841EF">
        <w:t>re</w:t>
      </w:r>
      <w:r w:rsidR="006616D8" w:rsidRPr="004841EF">
        <w:t>quest reasonable accommodations</w:t>
      </w:r>
    </w:p>
    <w:p w14:paraId="0031418A" w14:textId="4C89A9B2" w:rsidR="00536B99" w:rsidRPr="004841EF" w:rsidRDefault="00536B99" w:rsidP="006272C6">
      <w:pPr>
        <w:numPr>
          <w:ilvl w:val="0"/>
          <w:numId w:val="12"/>
        </w:numPr>
      </w:pPr>
      <w:r w:rsidRPr="004841EF">
        <w:t xml:space="preserve">The failure of </w:t>
      </w:r>
      <w:r w:rsidR="0081689A" w:rsidRPr="004841EF">
        <w:t xml:space="preserve">some </w:t>
      </w:r>
      <w:r w:rsidRPr="004841EF">
        <w:t xml:space="preserve">employers to </w:t>
      </w:r>
      <w:r w:rsidR="001A6043" w:rsidRPr="004841EF">
        <w:t xml:space="preserve">have policies and procedures in place regarding reasonable accommodations and to </w:t>
      </w:r>
      <w:r w:rsidRPr="004841EF">
        <w:t xml:space="preserve">follow </w:t>
      </w:r>
      <w:r w:rsidR="001A6043" w:rsidRPr="004841EF">
        <w:t xml:space="preserve">the </w:t>
      </w:r>
      <w:r w:rsidR="006616D8" w:rsidRPr="004841EF">
        <w:t>procedures required by law</w:t>
      </w:r>
    </w:p>
    <w:p w14:paraId="7CAC0A25" w14:textId="13790C05" w:rsidR="00536B99" w:rsidRPr="004841EF" w:rsidRDefault="00536B99" w:rsidP="006272C6">
      <w:pPr>
        <w:numPr>
          <w:ilvl w:val="0"/>
          <w:numId w:val="12"/>
        </w:numPr>
      </w:pPr>
      <w:r w:rsidRPr="004841EF">
        <w:t>The failure to provide reasonable a</w:t>
      </w:r>
      <w:r w:rsidR="006616D8" w:rsidRPr="004841EF">
        <w:t>ccommodation in a timely manner</w:t>
      </w:r>
    </w:p>
    <w:p w14:paraId="6F0E246D" w14:textId="6470CB1E" w:rsidR="00536B99" w:rsidRPr="004841EF" w:rsidRDefault="00536B99" w:rsidP="006272C6">
      <w:pPr>
        <w:numPr>
          <w:ilvl w:val="0"/>
          <w:numId w:val="12"/>
        </w:numPr>
      </w:pPr>
      <w:r w:rsidRPr="004841EF">
        <w:t xml:space="preserve">The </w:t>
      </w:r>
      <w:r w:rsidR="00CB71C6" w:rsidRPr="004841EF">
        <w:t>low awareness of</w:t>
      </w:r>
      <w:r w:rsidRPr="004841EF">
        <w:t xml:space="preserve"> the</w:t>
      </w:r>
      <w:r w:rsidR="0081689A" w:rsidRPr="004841EF">
        <w:t xml:space="preserve"> legal</w:t>
      </w:r>
      <w:r w:rsidRPr="004841EF">
        <w:t xml:space="preserve"> obligations on employers to provide reasonable accommodation and </w:t>
      </w:r>
      <w:r w:rsidR="0081689A" w:rsidRPr="004841EF">
        <w:t>the types of reasonable accommodations available</w:t>
      </w:r>
    </w:p>
    <w:p w14:paraId="0C9862E9" w14:textId="7B206E57" w:rsidR="00153A2A" w:rsidRPr="004841EF" w:rsidRDefault="00153A2A" w:rsidP="006272C6">
      <w:pPr>
        <w:pStyle w:val="ListParagraph"/>
        <w:numPr>
          <w:ilvl w:val="0"/>
          <w:numId w:val="12"/>
        </w:numPr>
      </w:pPr>
      <w:r w:rsidRPr="004841EF">
        <w:t xml:space="preserve">The failure to provide reasonable accommodations arising from </w:t>
      </w:r>
      <w:r w:rsidR="00095242" w:rsidRPr="004841EF">
        <w:t xml:space="preserve">low levels of understanding and awareness of </w:t>
      </w:r>
      <w:r w:rsidRPr="004841EF">
        <w:t>disabilities a</w:t>
      </w:r>
      <w:r w:rsidR="0081689A" w:rsidRPr="004841EF">
        <w:t>s well as</w:t>
      </w:r>
      <w:r w:rsidRPr="004841EF">
        <w:t xml:space="preserve"> </w:t>
      </w:r>
      <w:r w:rsidR="00095242" w:rsidRPr="004841EF">
        <w:t xml:space="preserve">negative attitudes towards </w:t>
      </w:r>
      <w:r w:rsidRPr="004841EF">
        <w:t>reaso</w:t>
      </w:r>
      <w:r w:rsidR="006616D8" w:rsidRPr="004841EF">
        <w:t xml:space="preserve">nable accommodations </w:t>
      </w:r>
    </w:p>
    <w:p w14:paraId="4D173B1E" w14:textId="6EB65C47" w:rsidR="00536B99" w:rsidRPr="004841EF" w:rsidRDefault="00536B99" w:rsidP="006272C6">
      <w:pPr>
        <w:numPr>
          <w:ilvl w:val="0"/>
          <w:numId w:val="12"/>
        </w:numPr>
      </w:pPr>
      <w:r w:rsidRPr="004841EF">
        <w:t xml:space="preserve">The </w:t>
      </w:r>
      <w:r w:rsidR="00772760" w:rsidRPr="004841EF">
        <w:t>low</w:t>
      </w:r>
      <w:r w:rsidRPr="004841EF">
        <w:t xml:space="preserve"> awareness of financial supports available to employers in the provisi</w:t>
      </w:r>
      <w:r w:rsidR="006616D8" w:rsidRPr="004841EF">
        <w:t>on of reasonable accommodations</w:t>
      </w:r>
    </w:p>
    <w:p w14:paraId="0F43C9C4" w14:textId="2698D740" w:rsidR="00536B99" w:rsidRPr="004841EF" w:rsidRDefault="00536B99" w:rsidP="006272C6">
      <w:pPr>
        <w:numPr>
          <w:ilvl w:val="0"/>
          <w:numId w:val="12"/>
        </w:numPr>
      </w:pPr>
      <w:r w:rsidRPr="004841EF">
        <w:t xml:space="preserve">The </w:t>
      </w:r>
      <w:r w:rsidR="00470F15" w:rsidRPr="004841EF">
        <w:t>limitations</w:t>
      </w:r>
      <w:r w:rsidRPr="004841EF">
        <w:t xml:space="preserve"> of existing financial supports available to employers to provide rea</w:t>
      </w:r>
      <w:r w:rsidR="006616D8" w:rsidRPr="004841EF">
        <w:t>sonable accommodations</w:t>
      </w:r>
    </w:p>
    <w:p w14:paraId="36A00BD7" w14:textId="2669A7F6" w:rsidR="00536B99" w:rsidRPr="004841EF" w:rsidRDefault="00536B99" w:rsidP="006272C6">
      <w:pPr>
        <w:numPr>
          <w:ilvl w:val="0"/>
          <w:numId w:val="12"/>
        </w:numPr>
        <w:ind w:left="714" w:hanging="357"/>
      </w:pPr>
      <w:r w:rsidRPr="004841EF">
        <w:t>The lack of provision for monitoring and revi</w:t>
      </w:r>
      <w:r w:rsidR="006616D8" w:rsidRPr="004841EF">
        <w:t>ewing reasonable accommodations</w:t>
      </w:r>
    </w:p>
    <w:p w14:paraId="34F31451" w14:textId="7E401955" w:rsidR="00536B99" w:rsidRPr="004841EF" w:rsidRDefault="0013421A" w:rsidP="00037C18">
      <w:pPr>
        <w:pStyle w:val="Heading3"/>
      </w:pPr>
      <w:bookmarkStart w:id="236" w:name="_Toc26192122"/>
      <w:r w:rsidRPr="004841EF">
        <w:t>4.2</w:t>
      </w:r>
      <w:r w:rsidR="00037C18" w:rsidRPr="004841EF">
        <w:t xml:space="preserve">.1. </w:t>
      </w:r>
      <w:r w:rsidR="00536B99" w:rsidRPr="004841EF">
        <w:t xml:space="preserve">The reluctance of </w:t>
      </w:r>
      <w:r w:rsidR="0081689A" w:rsidRPr="004841EF">
        <w:t xml:space="preserve">some </w:t>
      </w:r>
      <w:r w:rsidR="00536B99" w:rsidRPr="004841EF">
        <w:t xml:space="preserve">employees and prospective employees to </w:t>
      </w:r>
      <w:r w:rsidR="0020365A" w:rsidRPr="004841EF">
        <w:t xml:space="preserve">disclose their disability </w:t>
      </w:r>
      <w:r w:rsidR="00DF28BE" w:rsidRPr="004841EF">
        <w:t xml:space="preserve">to an employer </w:t>
      </w:r>
      <w:r w:rsidR="0020365A" w:rsidRPr="004841EF">
        <w:t xml:space="preserve">and to </w:t>
      </w:r>
      <w:r w:rsidR="00536B99" w:rsidRPr="004841EF">
        <w:t>request reasonable accommodations</w:t>
      </w:r>
      <w:bookmarkEnd w:id="236"/>
    </w:p>
    <w:p w14:paraId="6C5F3FC4" w14:textId="233631FB" w:rsidR="00F85D4C" w:rsidRPr="004841EF" w:rsidRDefault="00B02593" w:rsidP="00F85D4C">
      <w:r w:rsidRPr="004841EF">
        <w:t xml:space="preserve">Disclosure is a complex issue faced by </w:t>
      </w:r>
      <w:r w:rsidR="000F7C06" w:rsidRPr="004841EF">
        <w:t xml:space="preserve">persons </w:t>
      </w:r>
      <w:r w:rsidRPr="004841EF">
        <w:t>with</w:t>
      </w:r>
      <w:r w:rsidR="000F7C06" w:rsidRPr="004841EF">
        <w:t xml:space="preserve"> a</w:t>
      </w:r>
      <w:r w:rsidRPr="004841EF">
        <w:t xml:space="preserve"> disability during recruitment and when in employment.</w:t>
      </w:r>
      <w:r w:rsidR="00483DAF" w:rsidRPr="004841EF">
        <w:rPr>
          <w:rStyle w:val="FootnoteReference"/>
          <w:rFonts w:ascii="Gill Sans MT" w:hAnsi="Gill Sans MT"/>
        </w:rPr>
        <w:footnoteReference w:id="86"/>
      </w:r>
      <w:r w:rsidRPr="004841EF">
        <w:t xml:space="preserve"> </w:t>
      </w:r>
      <w:r w:rsidR="00AA042D" w:rsidRPr="004841EF">
        <w:t xml:space="preserve">The </w:t>
      </w:r>
      <w:r w:rsidR="00AA042D" w:rsidRPr="004841EF">
        <w:rPr>
          <w:b/>
        </w:rPr>
        <w:t>Employment Equality Acts</w:t>
      </w:r>
      <w:r w:rsidR="00AA042D" w:rsidRPr="004841EF">
        <w:t xml:space="preserve"> do not impose a legal obligation on a person with a disability to make such a disclosure either when seeking employment or while in employment.</w:t>
      </w:r>
      <w:r w:rsidR="00AA042D" w:rsidRPr="004841EF">
        <w:rPr>
          <w:sz w:val="22"/>
          <w:szCs w:val="22"/>
          <w:vertAlign w:val="superscript"/>
        </w:rPr>
        <w:footnoteReference w:id="87"/>
      </w:r>
      <w:r w:rsidR="00AA042D" w:rsidRPr="004841EF">
        <w:t xml:space="preserve"> </w:t>
      </w:r>
      <w:r w:rsidRPr="004841EF">
        <w:t>The</w:t>
      </w:r>
      <w:r w:rsidR="00AA042D" w:rsidRPr="004841EF">
        <w:t>refore, the</w:t>
      </w:r>
      <w:r w:rsidRPr="004841EF">
        <w:t xml:space="preserve"> decision to disclose a disability</w:t>
      </w:r>
      <w:r w:rsidR="00483DAF" w:rsidRPr="004841EF">
        <w:t xml:space="preserve"> –</w:t>
      </w:r>
      <w:r w:rsidR="00AA042D" w:rsidRPr="004841EF">
        <w:t xml:space="preserve"> </w:t>
      </w:r>
      <w:r w:rsidRPr="004841EF">
        <w:t>includi</w:t>
      </w:r>
      <w:r w:rsidR="00483DAF" w:rsidRPr="004841EF">
        <w:t>ng when to disclose and to whom –</w:t>
      </w:r>
      <w:r w:rsidRPr="004841EF">
        <w:t xml:space="preserve"> is a deeply personal </w:t>
      </w:r>
      <w:r w:rsidR="00DF3A69" w:rsidRPr="004841EF">
        <w:t>one</w:t>
      </w:r>
      <w:r w:rsidRPr="004841EF">
        <w:t>.</w:t>
      </w:r>
    </w:p>
    <w:p w14:paraId="1D1E21F7" w14:textId="29A49910" w:rsidR="00110594" w:rsidRPr="004841EF" w:rsidRDefault="00B77DD5" w:rsidP="00536B99">
      <w:r w:rsidRPr="004841EF">
        <w:t>One</w:t>
      </w:r>
      <w:r w:rsidR="00536B99" w:rsidRPr="004841EF">
        <w:t xml:space="preserve"> of the primary obstacles to a seamless reasonable accommodation process is the reluctance of employees and prospective employees to</w:t>
      </w:r>
      <w:r w:rsidR="0020365A" w:rsidRPr="004841EF">
        <w:t xml:space="preserve"> disclose their disability and to</w:t>
      </w:r>
      <w:r w:rsidR="00536B99" w:rsidRPr="004841EF">
        <w:t xml:space="preserve"> request reasonable acc</w:t>
      </w:r>
      <w:r w:rsidR="000F6785" w:rsidRPr="004841EF">
        <w:t xml:space="preserve">ommodations. </w:t>
      </w:r>
      <w:r w:rsidR="00110594" w:rsidRPr="004841EF">
        <w:t>The “process” cannot be initiated</w:t>
      </w:r>
      <w:r w:rsidR="00C86CB6" w:rsidRPr="004841EF">
        <w:t>,</w:t>
      </w:r>
      <w:r w:rsidR="00110594" w:rsidRPr="004841EF">
        <w:t xml:space="preserve"> unless the employee discloses their disability to an employer, except where an employer ought reasonably to have been aware that the employer had such a disability.</w:t>
      </w:r>
      <w:r w:rsidR="006616D8" w:rsidRPr="004841EF">
        <w:rPr>
          <w:rStyle w:val="FootnoteReference"/>
          <w:rFonts w:ascii="Gill Sans MT" w:hAnsi="Gill Sans MT"/>
        </w:rPr>
        <w:footnoteReference w:id="88"/>
      </w:r>
    </w:p>
    <w:p w14:paraId="2EA37FAF" w14:textId="05027190" w:rsidR="00C86CB6" w:rsidRPr="004841EF" w:rsidRDefault="00CB5FFB" w:rsidP="006B0DCD">
      <w:pPr>
        <w:spacing w:after="120"/>
      </w:pPr>
      <w:r w:rsidRPr="004841EF">
        <w:t xml:space="preserve">Research </w:t>
      </w:r>
      <w:r w:rsidR="00536B99" w:rsidRPr="004841EF">
        <w:t>conducted by the NDA found that there is a general sense of fear about disclosing a disability in the workplace</w:t>
      </w:r>
      <w:r w:rsidR="00483DAF" w:rsidRPr="004841EF">
        <w:t xml:space="preserve"> and</w:t>
      </w:r>
      <w:r w:rsidR="006B0DCD" w:rsidRPr="004841EF">
        <w:t xml:space="preserve"> is primarily threefold:</w:t>
      </w:r>
    </w:p>
    <w:p w14:paraId="68805C2A" w14:textId="77777777" w:rsidR="00C86CB6" w:rsidRPr="004841EF" w:rsidRDefault="00483DAF" w:rsidP="00A51B68">
      <w:pPr>
        <w:pStyle w:val="ListNumber"/>
        <w:numPr>
          <w:ilvl w:val="0"/>
          <w:numId w:val="26"/>
        </w:numPr>
      </w:pPr>
      <w:r w:rsidRPr="004841EF">
        <w:t>fear of being treated differently after disclosure</w:t>
      </w:r>
    </w:p>
    <w:p w14:paraId="2E3002AE" w14:textId="03A7EE2E" w:rsidR="00C86CB6" w:rsidRPr="004841EF" w:rsidRDefault="00483DAF" w:rsidP="00A51B68">
      <w:pPr>
        <w:pStyle w:val="ListNumber"/>
        <w:numPr>
          <w:ilvl w:val="0"/>
          <w:numId w:val="26"/>
        </w:numPr>
      </w:pPr>
      <w:r w:rsidRPr="004841EF">
        <w:t>fear of disclosure affecting promotional opportunities</w:t>
      </w:r>
    </w:p>
    <w:p w14:paraId="46068BE7" w14:textId="1A4F01B7" w:rsidR="00C86CB6" w:rsidRPr="004841EF" w:rsidRDefault="00483DAF" w:rsidP="00A51B68">
      <w:pPr>
        <w:pStyle w:val="ListNumber"/>
        <w:numPr>
          <w:ilvl w:val="0"/>
          <w:numId w:val="26"/>
        </w:numPr>
        <w:spacing w:after="240"/>
      </w:pPr>
      <w:r w:rsidRPr="004841EF">
        <w:t>fear of being labelled</w:t>
      </w:r>
      <w:r w:rsidR="00536B99" w:rsidRPr="004841EF">
        <w:rPr>
          <w:sz w:val="22"/>
          <w:szCs w:val="22"/>
          <w:vertAlign w:val="superscript"/>
        </w:rPr>
        <w:footnoteReference w:id="89"/>
      </w:r>
    </w:p>
    <w:p w14:paraId="2809B99A" w14:textId="2B5B0A8D" w:rsidR="00110594" w:rsidRPr="004841EF" w:rsidRDefault="00C216B6" w:rsidP="00AE3C49">
      <w:pPr>
        <w:pStyle w:val="NormalAfterList"/>
      </w:pPr>
      <w:r w:rsidRPr="004841EF">
        <w:t>Past negative experiences with requesting accommodations and the perception that employers lack a genuine desire to provide accommodations are other significant barriers to disclosure and requesting accommodations.</w:t>
      </w:r>
      <w:r w:rsidRPr="004841EF">
        <w:rPr>
          <w:rStyle w:val="FootnoteReference"/>
          <w:rFonts w:ascii="Gill Sans MT" w:hAnsi="Gill Sans MT"/>
        </w:rPr>
        <w:footnoteReference w:id="90"/>
      </w:r>
    </w:p>
    <w:p w14:paraId="18221D9E" w14:textId="69EC8957" w:rsidR="00B77DD5" w:rsidRPr="004841EF" w:rsidRDefault="00483DAF" w:rsidP="00536B99">
      <w:r w:rsidRPr="004841EF">
        <w:t xml:space="preserve">NDA </w:t>
      </w:r>
      <w:r w:rsidR="00906949" w:rsidRPr="004841EF">
        <w:t>research indicates</w:t>
      </w:r>
      <w:r w:rsidR="00536B99" w:rsidRPr="004841EF">
        <w:t xml:space="preserve"> that disclosure can be </w:t>
      </w:r>
      <w:r w:rsidR="00110594" w:rsidRPr="004841EF">
        <w:t xml:space="preserve">viewed as </w:t>
      </w:r>
      <w:r w:rsidR="00536B99" w:rsidRPr="004841EF">
        <w:t xml:space="preserve">somewhat of a ‘catch-22’ for </w:t>
      </w:r>
      <w:r w:rsidR="000F7C06" w:rsidRPr="004841EF">
        <w:t xml:space="preserve">persons </w:t>
      </w:r>
      <w:r w:rsidR="00536B99" w:rsidRPr="004841EF">
        <w:t>with disabilities.</w:t>
      </w:r>
      <w:r w:rsidR="00906949" w:rsidRPr="004841EF">
        <w:rPr>
          <w:rStyle w:val="FootnoteReference"/>
          <w:rFonts w:ascii="Gill Sans MT" w:hAnsi="Gill Sans MT"/>
        </w:rPr>
        <w:footnoteReference w:id="91"/>
      </w:r>
      <w:r w:rsidR="00536B99" w:rsidRPr="004841EF">
        <w:t xml:space="preserve"> While disclosure should lead to better working conditions, </w:t>
      </w:r>
      <w:r w:rsidR="00CB5FFB" w:rsidRPr="004841EF">
        <w:t xml:space="preserve">including the provision of reasonable accommodations, </w:t>
      </w:r>
      <w:r w:rsidR="00536B99" w:rsidRPr="004841EF">
        <w:t>some people will not disclose their disability due to the perceived negative consequences of doing so</w:t>
      </w:r>
      <w:r w:rsidR="00462A03" w:rsidRPr="004841EF">
        <w:t>, including the fear that the employer will focus on their disability rather than their ability.</w:t>
      </w:r>
      <w:r w:rsidR="00462A03" w:rsidRPr="004841EF">
        <w:rPr>
          <w:sz w:val="22"/>
          <w:szCs w:val="22"/>
          <w:vertAlign w:val="superscript"/>
        </w:rPr>
        <w:footnoteReference w:id="92"/>
      </w:r>
    </w:p>
    <w:p w14:paraId="6FD6F39D" w14:textId="313DF249" w:rsidR="00483DAF" w:rsidRPr="004841EF" w:rsidRDefault="00483DAF" w:rsidP="00536B99">
      <w:r w:rsidRPr="004841EF">
        <w:t>NDA r</w:t>
      </w:r>
      <w:r w:rsidR="00536B99" w:rsidRPr="004841EF">
        <w:t xml:space="preserve">esearch </w:t>
      </w:r>
      <w:r w:rsidR="00EC1793" w:rsidRPr="004841EF">
        <w:t>also</w:t>
      </w:r>
      <w:r w:rsidR="00536B99" w:rsidRPr="004841EF">
        <w:t xml:space="preserve"> indicates that </w:t>
      </w:r>
      <w:r w:rsidR="00AA042D" w:rsidRPr="004841EF">
        <w:t>concerns regarding disclosure</w:t>
      </w:r>
      <w:r w:rsidR="00536B99" w:rsidRPr="004841EF">
        <w:t xml:space="preserve"> are more pertinent for those with hidden disabilities such as mental health issues.</w:t>
      </w:r>
      <w:r w:rsidR="0028444A" w:rsidRPr="004841EF">
        <w:rPr>
          <w:rStyle w:val="FootnoteReference"/>
          <w:rFonts w:ascii="Gill Sans MT" w:hAnsi="Gill Sans MT"/>
        </w:rPr>
        <w:footnoteReference w:id="93"/>
      </w:r>
      <w:r w:rsidR="0028444A" w:rsidRPr="004841EF">
        <w:t xml:space="preserve"> </w:t>
      </w:r>
      <w:r w:rsidR="00B77DD5" w:rsidRPr="004841EF">
        <w:t>The type of disability an employee experienced had a significant influence on disclosure. In terms of visible versus invisible disabilities, there was a general perception among employees that invisible disabilities</w:t>
      </w:r>
      <w:r w:rsidRPr="004841EF">
        <w:t>,</w:t>
      </w:r>
      <w:r w:rsidR="00B77DD5" w:rsidRPr="004841EF">
        <w:t xml:space="preserve"> such as</w:t>
      </w:r>
      <w:r w:rsidR="00C86CB6" w:rsidRPr="004841EF">
        <w:t>,</w:t>
      </w:r>
      <w:r w:rsidR="00B77DD5" w:rsidRPr="004841EF">
        <w:t xml:space="preserve"> mental health </w:t>
      </w:r>
      <w:r w:rsidR="00462A03" w:rsidRPr="004841EF">
        <w:t>issue</w:t>
      </w:r>
      <w:r w:rsidR="00B77DD5" w:rsidRPr="004841EF">
        <w:t>s</w:t>
      </w:r>
      <w:r w:rsidRPr="004841EF">
        <w:t>,</w:t>
      </w:r>
      <w:r w:rsidR="00B77DD5" w:rsidRPr="004841EF">
        <w:t xml:space="preserve"> were viewed more negatively or even stigmatised.</w:t>
      </w:r>
      <w:r w:rsidR="00B77DD5" w:rsidRPr="004841EF">
        <w:rPr>
          <w:sz w:val="22"/>
          <w:szCs w:val="22"/>
          <w:vertAlign w:val="superscript"/>
        </w:rPr>
        <w:footnoteReference w:id="94"/>
      </w:r>
    </w:p>
    <w:p w14:paraId="244CB73D" w14:textId="77777777" w:rsidR="00462A03" w:rsidRPr="004841EF" w:rsidRDefault="00C138E7" w:rsidP="00536B99">
      <w:r w:rsidRPr="004841EF">
        <w:t xml:space="preserve">The </w:t>
      </w:r>
      <w:r w:rsidR="00483DAF" w:rsidRPr="004841EF">
        <w:t xml:space="preserve">reluctance of employees with </w:t>
      </w:r>
      <w:r w:rsidRPr="004841EF">
        <w:t xml:space="preserve">hidden or invisible disabilities </w:t>
      </w:r>
      <w:r w:rsidR="00483DAF" w:rsidRPr="004841EF">
        <w:t xml:space="preserve">to disclose </w:t>
      </w:r>
      <w:r w:rsidRPr="004841EF">
        <w:t>requires employers to consider ways in which they might educate and communicate with managers and employees</w:t>
      </w:r>
      <w:r w:rsidR="00483DAF" w:rsidRPr="004841EF">
        <w:t xml:space="preserve"> about disabilities</w:t>
      </w:r>
      <w:r w:rsidRPr="004841EF">
        <w:t xml:space="preserve">, </w:t>
      </w:r>
      <w:r w:rsidR="002D654A" w:rsidRPr="004841EF">
        <w:t>promote efforts to</w:t>
      </w:r>
      <w:r w:rsidRPr="004841EF">
        <w:t xml:space="preserve"> de-</w:t>
      </w:r>
      <w:r w:rsidR="002D654A" w:rsidRPr="004841EF">
        <w:t xml:space="preserve">stigmatise </w:t>
      </w:r>
      <w:r w:rsidRPr="004841EF">
        <w:t xml:space="preserve">such disabilities </w:t>
      </w:r>
      <w:r w:rsidR="002D654A" w:rsidRPr="004841EF">
        <w:t>and encourage disclosure and requests for reasonable accommodations from those with hidden disabilities.</w:t>
      </w:r>
      <w:r w:rsidR="002D654A" w:rsidRPr="004841EF">
        <w:rPr>
          <w:rStyle w:val="FootnoteReference"/>
          <w:rFonts w:ascii="Gill Sans MT" w:hAnsi="Gill Sans MT"/>
        </w:rPr>
        <w:footnoteReference w:id="95"/>
      </w:r>
    </w:p>
    <w:p w14:paraId="2E1E5389" w14:textId="11486335" w:rsidR="005C2FB0" w:rsidRPr="004841EF" w:rsidRDefault="00B77DD5" w:rsidP="00536B99">
      <w:r w:rsidRPr="004841EF">
        <w:t>For those with a non-visible disability</w:t>
      </w:r>
      <w:r w:rsidR="00DF3A69" w:rsidRPr="004841EF">
        <w:t>,</w:t>
      </w:r>
      <w:r w:rsidRPr="004841EF">
        <w:t xml:space="preserve"> the timing of disclosure was an added consideration.</w:t>
      </w:r>
      <w:r w:rsidRPr="004841EF">
        <w:rPr>
          <w:rStyle w:val="FootnoteReference"/>
          <w:rFonts w:ascii="Gill Sans MT" w:hAnsi="Gill Sans MT"/>
        </w:rPr>
        <w:footnoteReference w:id="96"/>
      </w:r>
      <w:r w:rsidRPr="004841EF">
        <w:t xml:space="preserve"> </w:t>
      </w:r>
      <w:r w:rsidR="005C2FB0" w:rsidRPr="004841EF">
        <w:t>Participants in one focus group agreed that employees, in particular those with mental health related issue</w:t>
      </w:r>
      <w:r w:rsidR="00782BAA" w:rsidRPr="004841EF">
        <w:t>s</w:t>
      </w:r>
      <w:r w:rsidR="005C2FB0" w:rsidRPr="004841EF">
        <w:t xml:space="preserve">, oftentimes face difficulties deciding when </w:t>
      </w:r>
      <w:r w:rsidR="009E0BC7" w:rsidRPr="004841EF">
        <w:t xml:space="preserve">is </w:t>
      </w:r>
      <w:r w:rsidR="005C2FB0" w:rsidRPr="004841EF">
        <w:t>the most</w:t>
      </w:r>
      <w:r w:rsidR="009E0BC7" w:rsidRPr="004841EF">
        <w:t xml:space="preserve"> appropriate time to disclose</w:t>
      </w:r>
      <w:r w:rsidR="006B0DCD" w:rsidRPr="004841EF">
        <w:t>.</w:t>
      </w:r>
    </w:p>
    <w:p w14:paraId="5C778755" w14:textId="1A3E056D" w:rsidR="00B77DD5" w:rsidRPr="004841EF" w:rsidRDefault="00B77DD5" w:rsidP="00536B99">
      <w:r w:rsidRPr="004841EF">
        <w:t xml:space="preserve">Disclosure may happen at the application stage, at the interview stage, or after a job has been secured. Additionally, a person may choose to work with an employer for a particular timeframe and disclose their disability when they feel more comfortable in their workplace. Participants in one focus group noted instances where </w:t>
      </w:r>
      <w:r w:rsidR="000F7C06" w:rsidRPr="004841EF">
        <w:t xml:space="preserve">persons </w:t>
      </w:r>
      <w:r w:rsidRPr="004841EF">
        <w:t>with disabilities disclosed</w:t>
      </w:r>
      <w:r w:rsidR="00462A03" w:rsidRPr="004841EF">
        <w:t xml:space="preserve"> only</w:t>
      </w:r>
      <w:r w:rsidRPr="004841EF">
        <w:t xml:space="preserve"> after completion of their probationary period.</w:t>
      </w:r>
    </w:p>
    <w:p w14:paraId="708FBC8A" w14:textId="77777777" w:rsidR="005025E7" w:rsidRPr="004841EF" w:rsidRDefault="00536B99" w:rsidP="00536B99">
      <w:r w:rsidRPr="004841EF">
        <w:t xml:space="preserve">For those with a disability in a recruitment process, fears regarding the potential negative consequences, discrimination or stigma related to disclosure of a disability can be compounded further. </w:t>
      </w:r>
      <w:r w:rsidR="005025E7" w:rsidRPr="004841EF">
        <w:t>Pressures of the recruitment and selection setting may deter many individuals from bringing their disability or need for a reasonable accommodation to the employer’s attention.</w:t>
      </w:r>
      <w:r w:rsidR="005025E7" w:rsidRPr="004841EF">
        <w:rPr>
          <w:rStyle w:val="FootnoteReference"/>
          <w:rFonts w:ascii="Gill Sans MT" w:hAnsi="Gill Sans MT"/>
        </w:rPr>
        <w:footnoteReference w:id="97"/>
      </w:r>
      <w:r w:rsidR="00FD7423" w:rsidRPr="004841EF">
        <w:t xml:space="preserve"> Individuals can be unsure whether disclosing their disability in their application would put them at risk of being denied an opportunity to progress through the recruitment process.</w:t>
      </w:r>
      <w:r w:rsidR="00FD7423" w:rsidRPr="004841EF">
        <w:rPr>
          <w:rStyle w:val="FootnoteReference"/>
          <w:rFonts w:ascii="Gill Sans MT" w:hAnsi="Gill Sans MT"/>
        </w:rPr>
        <w:footnoteReference w:id="98"/>
      </w:r>
    </w:p>
    <w:p w14:paraId="5540F337" w14:textId="79F27CF0" w:rsidR="00536B99" w:rsidRPr="004841EF" w:rsidRDefault="00897DD4" w:rsidP="00536B99">
      <w:r w:rsidRPr="004841EF">
        <w:t xml:space="preserve">Some organisations have expressed public concern about possible discrimination against persons with a disability in accessing employment. </w:t>
      </w:r>
      <w:r w:rsidR="007E2962" w:rsidRPr="004841EF">
        <w:t xml:space="preserve">For </w:t>
      </w:r>
      <w:r w:rsidR="00CB5FFB" w:rsidRPr="004841EF">
        <w:t>example, Dyslexia Ireland noted that the biggest fear that job applicants with dyslexia have is that if they declare their dyslexia they may never get to the interview stage, never mind getting a job offer.</w:t>
      </w:r>
      <w:r w:rsidR="00CB5FFB" w:rsidRPr="004841EF">
        <w:rPr>
          <w:rStyle w:val="FootnoteReference"/>
          <w:rFonts w:ascii="Gill Sans MT" w:hAnsi="Gill Sans MT"/>
        </w:rPr>
        <w:footnoteReference w:id="99"/>
      </w:r>
      <w:r w:rsidR="00FB652F" w:rsidRPr="004841EF">
        <w:t xml:space="preserve"> MS Ireland also stated that one of the main reasons </w:t>
      </w:r>
      <w:r w:rsidR="000F7C06" w:rsidRPr="004841EF">
        <w:t xml:space="preserve">persons </w:t>
      </w:r>
      <w:r w:rsidR="00FB652F" w:rsidRPr="004841EF">
        <w:t xml:space="preserve">with Multiple Sclerosis did not disclose their disability to </w:t>
      </w:r>
      <w:r w:rsidR="0026586A" w:rsidRPr="004841EF">
        <w:t>an</w:t>
      </w:r>
      <w:r w:rsidR="00FB652F" w:rsidRPr="004841EF">
        <w:t xml:space="preserve"> employer was the “worry of discrimination”.</w:t>
      </w:r>
      <w:r w:rsidR="00FB652F" w:rsidRPr="004841EF">
        <w:rPr>
          <w:rStyle w:val="FootnoteReference"/>
          <w:rFonts w:ascii="Gill Sans MT" w:hAnsi="Gill Sans MT"/>
        </w:rPr>
        <w:footnoteReference w:id="100"/>
      </w:r>
      <w:r w:rsidR="00690A54" w:rsidRPr="004841EF">
        <w:t xml:space="preserve"> Epilepsy Ireland further note that </w:t>
      </w:r>
      <w:r w:rsidR="000F7C06" w:rsidRPr="004841EF">
        <w:t>persons</w:t>
      </w:r>
      <w:r w:rsidR="00690A54" w:rsidRPr="004841EF">
        <w:t xml:space="preserve"> with epilepsy are reluctant to disclose their disability out of fear of how a future employer might react.</w:t>
      </w:r>
      <w:r w:rsidR="00690A54" w:rsidRPr="004841EF">
        <w:rPr>
          <w:rStyle w:val="FootnoteReference"/>
          <w:rFonts w:ascii="Gill Sans MT" w:hAnsi="Gill Sans MT"/>
        </w:rPr>
        <w:footnoteReference w:id="101"/>
      </w:r>
    </w:p>
    <w:p w14:paraId="37BF7333" w14:textId="00BAB024" w:rsidR="007E2962" w:rsidRPr="004841EF" w:rsidRDefault="00E262AD" w:rsidP="00536B99">
      <w:r w:rsidRPr="004841EF">
        <w:t>The d</w:t>
      </w:r>
      <w:r w:rsidR="007E2962" w:rsidRPr="004841EF">
        <w:t>isclosure of a disability at the access to employment stage can depend on both the degree to which the organisation is perceived as being proactive and supportive of disability inclusion, as well as</w:t>
      </w:r>
      <w:r w:rsidRPr="004841EF">
        <w:t>,</w:t>
      </w:r>
      <w:r w:rsidR="007E2962" w:rsidRPr="004841EF">
        <w:t xml:space="preserve"> the mind</w:t>
      </w:r>
      <w:r w:rsidRPr="004841EF">
        <w:t>-</w:t>
      </w:r>
      <w:r w:rsidR="007E2962" w:rsidRPr="004841EF">
        <w:t>set of the employment candidate.</w:t>
      </w:r>
      <w:r w:rsidR="007E2962" w:rsidRPr="004841EF">
        <w:rPr>
          <w:rStyle w:val="FootnoteReference"/>
          <w:rFonts w:ascii="Gill Sans MT" w:hAnsi="Gill Sans MT"/>
        </w:rPr>
        <w:footnoteReference w:id="102"/>
      </w:r>
      <w:r w:rsidR="007E2962" w:rsidRPr="004841EF">
        <w:t xml:space="preserve"> As employment candidates may not feel comfortable disclosing their disability, employers need to be proactive and take the initiative in asking applicants whether they need a reasonable </w:t>
      </w:r>
      <w:r w:rsidR="006B0DCD" w:rsidRPr="004841EF">
        <w:t>accommodation for a disability.</w:t>
      </w:r>
    </w:p>
    <w:p w14:paraId="46B34CC9" w14:textId="24C94D99" w:rsidR="00823C13" w:rsidRPr="004841EF" w:rsidRDefault="00AA042D" w:rsidP="00536B99">
      <w:r w:rsidRPr="004841EF">
        <w:t xml:space="preserve">However, this proactivity is not always present. </w:t>
      </w:r>
      <w:r w:rsidR="00823C13" w:rsidRPr="004841EF">
        <w:t xml:space="preserve">In a </w:t>
      </w:r>
      <w:r w:rsidR="000C295E" w:rsidRPr="004841EF">
        <w:t xml:space="preserve">limited </w:t>
      </w:r>
      <w:r w:rsidR="00823C13" w:rsidRPr="004841EF">
        <w:t>survey carried out</w:t>
      </w:r>
      <w:r w:rsidR="000C295E" w:rsidRPr="004841EF">
        <w:t xml:space="preserve"> </w:t>
      </w:r>
      <w:r w:rsidR="00823C13" w:rsidRPr="004841EF">
        <w:t>by the Employer Disability Information</w:t>
      </w:r>
      <w:r w:rsidR="00823C13" w:rsidRPr="004841EF">
        <w:rPr>
          <w:bCs/>
        </w:rPr>
        <w:t xml:space="preserve"> service</w:t>
      </w:r>
      <w:r w:rsidR="00823C13" w:rsidRPr="004841EF">
        <w:rPr>
          <w:rStyle w:val="FootnoteReference"/>
          <w:rFonts w:ascii="Gill Sans MT" w:hAnsi="Gill Sans MT"/>
          <w:bCs/>
        </w:rPr>
        <w:footnoteReference w:id="103"/>
      </w:r>
      <w:r w:rsidR="00823C13" w:rsidRPr="004841EF">
        <w:t xml:space="preserve">, </w:t>
      </w:r>
      <w:r w:rsidR="000C295E" w:rsidRPr="004841EF">
        <w:t xml:space="preserve">which had 250 respondents, </w:t>
      </w:r>
      <w:r w:rsidR="00823C13" w:rsidRPr="004841EF">
        <w:t>many employer</w:t>
      </w:r>
      <w:r w:rsidRPr="004841EF">
        <w:t>s</w:t>
      </w:r>
      <w:r w:rsidR="00823C13" w:rsidRPr="004841EF">
        <w:t xml:space="preserve"> stated that they do not ask applicants whether they have any special requirements or reasonable accommodation needs at interview or application stage.</w:t>
      </w:r>
      <w:r w:rsidR="00823C13" w:rsidRPr="004841EF">
        <w:rPr>
          <w:sz w:val="22"/>
          <w:szCs w:val="22"/>
          <w:vertAlign w:val="superscript"/>
        </w:rPr>
        <w:footnoteReference w:id="104"/>
      </w:r>
    </w:p>
    <w:p w14:paraId="67958C04" w14:textId="3F05FE6B" w:rsidR="005E18C7" w:rsidRPr="004841EF" w:rsidRDefault="005E18C7" w:rsidP="00536B99">
      <w:pPr>
        <w:rPr>
          <w:bCs/>
        </w:rPr>
      </w:pPr>
      <w:r w:rsidRPr="004841EF">
        <w:rPr>
          <w:bCs/>
        </w:rPr>
        <w:t>Employment candidates with disabilities can also find it difficult to make accommodation requests due to online automated recruitment processes and lack of ‘human contact’ until well into the selection process.</w:t>
      </w:r>
      <w:r w:rsidRPr="004841EF">
        <w:rPr>
          <w:bCs/>
          <w:sz w:val="22"/>
          <w:szCs w:val="22"/>
          <w:vertAlign w:val="superscript"/>
        </w:rPr>
        <w:footnoteReference w:id="105"/>
      </w:r>
      <w:r w:rsidRPr="004841EF">
        <w:rPr>
          <w:bCs/>
        </w:rPr>
        <w:t xml:space="preserve"> Difficulties dealing directly with employers and in-house recruiters regarding requests for reasonable accommodation were also identified as issues in one of the focus groups.</w:t>
      </w:r>
    </w:p>
    <w:p w14:paraId="6F295CDA" w14:textId="7BA0DC27" w:rsidR="00536B99" w:rsidRPr="004841EF" w:rsidRDefault="0013421A" w:rsidP="00037C18">
      <w:pPr>
        <w:pStyle w:val="Heading3"/>
      </w:pPr>
      <w:bookmarkStart w:id="237" w:name="_Toc26192123"/>
      <w:r w:rsidRPr="004841EF">
        <w:t>4.2</w:t>
      </w:r>
      <w:r w:rsidR="00037C18" w:rsidRPr="004841EF">
        <w:t xml:space="preserve">.2. </w:t>
      </w:r>
      <w:r w:rsidR="00536B99" w:rsidRPr="004841EF">
        <w:t xml:space="preserve">The </w:t>
      </w:r>
      <w:r w:rsidR="001A6043" w:rsidRPr="004841EF">
        <w:t xml:space="preserve">failure of </w:t>
      </w:r>
      <w:r w:rsidR="0081689A" w:rsidRPr="004841EF">
        <w:t xml:space="preserve">some </w:t>
      </w:r>
      <w:r w:rsidR="001A6043" w:rsidRPr="004841EF">
        <w:t>employers to have policies and procedures in place regarding reasonable accommodations and to follow the procedures required by law</w:t>
      </w:r>
      <w:bookmarkEnd w:id="237"/>
    </w:p>
    <w:p w14:paraId="20DC0A83" w14:textId="092A9C9A" w:rsidR="00536B99" w:rsidRPr="004841EF" w:rsidRDefault="00536B99" w:rsidP="00536B99">
      <w:r w:rsidRPr="004841EF">
        <w:t>P</w:t>
      </w:r>
      <w:r w:rsidR="00946230" w:rsidRPr="004841EF">
        <w:t>olicies and p</w:t>
      </w:r>
      <w:r w:rsidRPr="004841EF">
        <w:t>rocedures are critically important in the context of</w:t>
      </w:r>
      <w:r w:rsidR="00946230" w:rsidRPr="004841EF">
        <w:t xml:space="preserve"> the</w:t>
      </w:r>
      <w:r w:rsidRPr="004841EF">
        <w:t xml:space="preserve"> reasonable accommodation</w:t>
      </w:r>
      <w:r w:rsidR="00946230" w:rsidRPr="004841EF">
        <w:t xml:space="preserve"> proces</w:t>
      </w:r>
      <w:r w:rsidRPr="004841EF">
        <w:t xml:space="preserve">s. The review of </w:t>
      </w:r>
      <w:r w:rsidR="00E262AD" w:rsidRPr="004841EF">
        <w:t xml:space="preserve">the </w:t>
      </w:r>
      <w:r w:rsidRPr="004841EF">
        <w:t xml:space="preserve">Workplace Relations Commission </w:t>
      </w:r>
      <w:r w:rsidR="003F664A" w:rsidRPr="004841EF">
        <w:t xml:space="preserve">and </w:t>
      </w:r>
      <w:r w:rsidR="00E262AD" w:rsidRPr="004841EF">
        <w:t xml:space="preserve">the </w:t>
      </w:r>
      <w:r w:rsidR="003F664A" w:rsidRPr="004841EF">
        <w:t xml:space="preserve">Labour Court </w:t>
      </w:r>
      <w:r w:rsidRPr="004841EF">
        <w:t>decisions illustrated that there are varying levels of compliance amongst employers with the procedures required by law when dealing with requests for reasonable accommodation.</w:t>
      </w:r>
    </w:p>
    <w:p w14:paraId="348C0C0C" w14:textId="47410C71" w:rsidR="00536B99" w:rsidRPr="004841EF" w:rsidRDefault="0026586A" w:rsidP="00536B99">
      <w:r w:rsidRPr="004841EF">
        <w:t>Whilst not explicit in legislation, jurisprudence</w:t>
      </w:r>
      <w:r w:rsidR="00536B99" w:rsidRPr="004841EF">
        <w:t xml:space="preserve"> </w:t>
      </w:r>
      <w:r w:rsidR="00C35E92" w:rsidRPr="004841EF">
        <w:t xml:space="preserve">as developed by the </w:t>
      </w:r>
      <w:r w:rsidR="00E262AD" w:rsidRPr="004841EF">
        <w:t>Workplace Relations Commission</w:t>
      </w:r>
      <w:r w:rsidR="00C35E92" w:rsidRPr="004841EF">
        <w:t xml:space="preserve"> and the courts </w:t>
      </w:r>
      <w:r w:rsidR="00536B99" w:rsidRPr="004841EF">
        <w:t xml:space="preserve">places a number of </w:t>
      </w:r>
      <w:r w:rsidRPr="004841EF">
        <w:t xml:space="preserve">procedural </w:t>
      </w:r>
      <w:r w:rsidR="00536B99" w:rsidRPr="004841EF">
        <w:t>demands on employers in the context</w:t>
      </w:r>
      <w:r w:rsidR="00C35E92" w:rsidRPr="004841EF">
        <w:t xml:space="preserve"> of reasonable accommodations. T</w:t>
      </w:r>
      <w:r w:rsidR="00536B99" w:rsidRPr="004841EF">
        <w:t>he employer must be proactive and make themselves aware of the extent of the employee’s disability</w:t>
      </w:r>
      <w:r w:rsidR="00311222" w:rsidRPr="004841EF">
        <w:t xml:space="preserve"> once disclosed</w:t>
      </w:r>
      <w:r w:rsidR="00536B99" w:rsidRPr="004841EF">
        <w:t>. Employers are also required to take into account the employee’s disability, including any medical evidence that the employee may proffer, when taking a decision on a requested accommodation and consider whether appropriate measures, special treatment or facilities would enable the employee to be capable of performing the tasks of the position. To be in full possession of the facts, some form of assessment, be it medical, occupational or ergonomic, will generally be required.</w:t>
      </w:r>
      <w:r w:rsidR="00536B99" w:rsidRPr="004841EF">
        <w:rPr>
          <w:sz w:val="22"/>
          <w:szCs w:val="22"/>
          <w:vertAlign w:val="superscript"/>
        </w:rPr>
        <w:footnoteReference w:id="106"/>
      </w:r>
    </w:p>
    <w:p w14:paraId="7BB6F4A2" w14:textId="7716F492" w:rsidR="00536B99" w:rsidRPr="004841EF" w:rsidRDefault="00946230" w:rsidP="00536B99">
      <w:r w:rsidRPr="004841EF">
        <w:t xml:space="preserve">The </w:t>
      </w:r>
      <w:r w:rsidR="00E262AD" w:rsidRPr="004841EF">
        <w:t>Workplace Relations Commission</w:t>
      </w:r>
      <w:r w:rsidR="006170EE" w:rsidRPr="004841EF">
        <w:t xml:space="preserve"> and </w:t>
      </w:r>
      <w:r w:rsidR="003F664A" w:rsidRPr="004841EF">
        <w:t>Labour Court</w:t>
      </w:r>
      <w:r w:rsidRPr="004841EF">
        <w:t xml:space="preserve"> review also highlights the importance of consulting with employees regarding their accommodation request; a point which is also emphasised in r</w:t>
      </w:r>
      <w:r w:rsidR="00536B99" w:rsidRPr="004841EF">
        <w:t>esearch commissioned by the NDA</w:t>
      </w:r>
      <w:r w:rsidR="00536B99" w:rsidRPr="004841EF">
        <w:rPr>
          <w:sz w:val="22"/>
          <w:szCs w:val="22"/>
          <w:vertAlign w:val="superscript"/>
        </w:rPr>
        <w:footnoteReference w:id="107"/>
      </w:r>
      <w:r w:rsidR="00C35E92" w:rsidRPr="004841EF">
        <w:t xml:space="preserve"> and most recently, in the Supreme Court decision in </w:t>
      </w:r>
      <w:r w:rsidR="00C35E92" w:rsidRPr="004841EF">
        <w:rPr>
          <w:b/>
        </w:rPr>
        <w:t>Nano Nagle</w:t>
      </w:r>
      <w:r w:rsidR="006170EE" w:rsidRPr="004841EF">
        <w:rPr>
          <w:b/>
        </w:rPr>
        <w:t xml:space="preserve"> v Marie Daly </w:t>
      </w:r>
      <w:r w:rsidR="006170EE" w:rsidRPr="004841EF">
        <w:t>case</w:t>
      </w:r>
      <w:r w:rsidR="00C35E92" w:rsidRPr="004841EF">
        <w:t>.</w:t>
      </w:r>
      <w:r w:rsidR="00536B99" w:rsidRPr="004841EF">
        <w:t xml:space="preserve"> </w:t>
      </w:r>
      <w:r w:rsidR="003E1D4A" w:rsidRPr="004841EF">
        <w:t>As experts in their own disability, the employee or employment candidate may have practical and effective solutions to removing the barriers they face.</w:t>
      </w:r>
      <w:r w:rsidR="003E1D4A" w:rsidRPr="004841EF">
        <w:rPr>
          <w:rStyle w:val="FootnoteReference"/>
          <w:rFonts w:ascii="Gill Sans MT" w:hAnsi="Gill Sans MT"/>
        </w:rPr>
        <w:footnoteReference w:id="108"/>
      </w:r>
      <w:r w:rsidR="003E1D4A" w:rsidRPr="004841EF">
        <w:t xml:space="preserve"> </w:t>
      </w:r>
      <w:r w:rsidR="00536B99" w:rsidRPr="004841EF">
        <w:t>Seeking to understand how the person with a disability views their own disability, and thus the accommodations they may require, is critical.</w:t>
      </w:r>
      <w:r w:rsidR="00857E8C" w:rsidRPr="004841EF">
        <w:t xml:space="preserve"> Dialogue between the employee and the employer on the </w:t>
      </w:r>
      <w:r w:rsidR="00370D21" w:rsidRPr="004841EF">
        <w:t>nature</w:t>
      </w:r>
      <w:r w:rsidR="00857E8C" w:rsidRPr="004841EF">
        <w:t xml:space="preserve"> of the disability, the </w:t>
      </w:r>
      <w:r w:rsidR="00370D21" w:rsidRPr="004841EF">
        <w:t>types of</w:t>
      </w:r>
      <w:r w:rsidR="00857E8C" w:rsidRPr="004841EF">
        <w:t xml:space="preserve"> barriers</w:t>
      </w:r>
      <w:r w:rsidR="00370D21" w:rsidRPr="004841EF">
        <w:t xml:space="preserve"> experienced</w:t>
      </w:r>
      <w:r w:rsidR="00857E8C" w:rsidRPr="004841EF">
        <w:t xml:space="preserve"> and the possible avenues through which they can be removed or mitigated is therefore essential.</w:t>
      </w:r>
      <w:r w:rsidR="00857E8C" w:rsidRPr="004841EF">
        <w:rPr>
          <w:rStyle w:val="FootnoteReference"/>
          <w:rFonts w:ascii="Gill Sans MT" w:hAnsi="Gill Sans MT"/>
        </w:rPr>
        <w:footnoteReference w:id="109"/>
      </w:r>
    </w:p>
    <w:p w14:paraId="34D3E79C" w14:textId="2EC58026" w:rsidR="00536B99" w:rsidRPr="004841EF" w:rsidRDefault="00536B99" w:rsidP="00536B99">
      <w:pPr>
        <w:rPr>
          <w:bCs/>
        </w:rPr>
      </w:pPr>
      <w:r w:rsidRPr="004841EF">
        <w:rPr>
          <w:bCs/>
        </w:rPr>
        <w:t xml:space="preserve">The failure of employers to comply with the procedural requirements of the duty suggests a </w:t>
      </w:r>
      <w:r w:rsidR="00B024B0" w:rsidRPr="004841EF">
        <w:rPr>
          <w:bCs/>
        </w:rPr>
        <w:t xml:space="preserve">low level </w:t>
      </w:r>
      <w:r w:rsidRPr="004841EF">
        <w:rPr>
          <w:bCs/>
        </w:rPr>
        <w:t xml:space="preserve">of understanding </w:t>
      </w:r>
      <w:r w:rsidR="00227943" w:rsidRPr="004841EF">
        <w:rPr>
          <w:bCs/>
        </w:rPr>
        <w:t xml:space="preserve">amongst some of them </w:t>
      </w:r>
      <w:r w:rsidRPr="004841EF">
        <w:rPr>
          <w:bCs/>
        </w:rPr>
        <w:t>regarding the appropriate law and procedures and the extent of their obligations under e</w:t>
      </w:r>
      <w:r w:rsidR="006B0DCD" w:rsidRPr="004841EF">
        <w:rPr>
          <w:bCs/>
        </w:rPr>
        <w:t>mployment equality legislation.</w:t>
      </w:r>
    </w:p>
    <w:p w14:paraId="40690FC8" w14:textId="5D46DC0C" w:rsidR="0017571D" w:rsidRPr="004841EF" w:rsidRDefault="00195776" w:rsidP="00536B99">
      <w:r w:rsidRPr="004841EF">
        <w:rPr>
          <w:bCs/>
        </w:rPr>
        <w:t>Additionally</w:t>
      </w:r>
      <w:r w:rsidR="0017571D" w:rsidRPr="004841EF">
        <w:rPr>
          <w:bCs/>
        </w:rPr>
        <w:t>, t</w:t>
      </w:r>
      <w:r w:rsidR="00536B99" w:rsidRPr="004841EF">
        <w:rPr>
          <w:bCs/>
        </w:rPr>
        <w:t>he failure of employers to adhere to correct proc</w:t>
      </w:r>
      <w:r w:rsidRPr="004841EF">
        <w:rPr>
          <w:bCs/>
        </w:rPr>
        <w:t>edures is</w:t>
      </w:r>
      <w:r w:rsidR="00536B99" w:rsidRPr="004841EF">
        <w:rPr>
          <w:bCs/>
        </w:rPr>
        <w:t xml:space="preserve"> emblematic of the fact that employers do not always have </w:t>
      </w:r>
      <w:r w:rsidR="00C35E92" w:rsidRPr="004841EF">
        <w:rPr>
          <w:bCs/>
        </w:rPr>
        <w:t xml:space="preserve">formal, written </w:t>
      </w:r>
      <w:r w:rsidR="00536B99" w:rsidRPr="004841EF">
        <w:rPr>
          <w:bCs/>
        </w:rPr>
        <w:t>policies and procedures in place regarding the provision of reasonable accommo</w:t>
      </w:r>
      <w:r w:rsidR="00C35E92" w:rsidRPr="004841EF">
        <w:rPr>
          <w:bCs/>
        </w:rPr>
        <w:t>dation. Policies and procedures</w:t>
      </w:r>
      <w:r w:rsidR="00536B99" w:rsidRPr="004841EF">
        <w:rPr>
          <w:bCs/>
        </w:rPr>
        <w:t xml:space="preserve"> provide employers with a structure </w:t>
      </w:r>
      <w:r w:rsidR="0026586A" w:rsidRPr="004841EF">
        <w:rPr>
          <w:bCs/>
        </w:rPr>
        <w:t xml:space="preserve">or framework </w:t>
      </w:r>
      <w:r w:rsidR="00536B99" w:rsidRPr="004841EF">
        <w:rPr>
          <w:bCs/>
        </w:rPr>
        <w:t xml:space="preserve">for dealing with requests for reasonable accommodation and offer guidance </w:t>
      </w:r>
      <w:r w:rsidR="00C35E92" w:rsidRPr="004841EF">
        <w:rPr>
          <w:bCs/>
        </w:rPr>
        <w:t>for decision-making. They</w:t>
      </w:r>
      <w:r w:rsidR="00536B99" w:rsidRPr="004841EF">
        <w:rPr>
          <w:bCs/>
        </w:rPr>
        <w:t xml:space="preserve"> also </w:t>
      </w:r>
      <w:r w:rsidR="00C35E92" w:rsidRPr="004841EF">
        <w:rPr>
          <w:bCs/>
        </w:rPr>
        <w:t>assist</w:t>
      </w:r>
      <w:r w:rsidR="00536B99" w:rsidRPr="004841EF">
        <w:rPr>
          <w:bCs/>
        </w:rPr>
        <w:t xml:space="preserve"> employers </w:t>
      </w:r>
      <w:r w:rsidR="00C35E92" w:rsidRPr="004841EF">
        <w:rPr>
          <w:bCs/>
        </w:rPr>
        <w:t xml:space="preserve">to </w:t>
      </w:r>
      <w:r w:rsidR="00536B99" w:rsidRPr="004841EF">
        <w:rPr>
          <w:bCs/>
        </w:rPr>
        <w:t>comply with and understand the requirements of employment equality legislation.</w:t>
      </w:r>
    </w:p>
    <w:p w14:paraId="198F49C5" w14:textId="5D6F4BD6" w:rsidR="005C5856" w:rsidRPr="004841EF" w:rsidRDefault="00EC1793" w:rsidP="00536B99">
      <w:pPr>
        <w:rPr>
          <w:bCs/>
        </w:rPr>
      </w:pPr>
      <w:r w:rsidRPr="004841EF">
        <w:rPr>
          <w:bCs/>
        </w:rPr>
        <w:t>As discussed, i</w:t>
      </w:r>
      <w:r w:rsidR="00536B99" w:rsidRPr="004841EF">
        <w:rPr>
          <w:bCs/>
        </w:rPr>
        <w:t>n a small number of Workplace Relations Commission</w:t>
      </w:r>
      <w:r w:rsidR="003F664A" w:rsidRPr="004841EF">
        <w:rPr>
          <w:bCs/>
        </w:rPr>
        <w:t xml:space="preserve"> and Labour Court</w:t>
      </w:r>
      <w:r w:rsidR="00536B99" w:rsidRPr="004841EF">
        <w:rPr>
          <w:bCs/>
        </w:rPr>
        <w:t xml:space="preserve"> decisions examined as part of the review, the Adjudication Officer referred to the fact</w:t>
      </w:r>
      <w:r w:rsidR="006170EE" w:rsidRPr="004841EF">
        <w:rPr>
          <w:bCs/>
        </w:rPr>
        <w:t>,</w:t>
      </w:r>
      <w:r w:rsidR="00536B99" w:rsidRPr="004841EF">
        <w:rPr>
          <w:bCs/>
        </w:rPr>
        <w:t xml:space="preserve"> that the employer neither had a policy dedicated to reasonable accommodation nor a working knowledge of reasonable accommodation</w:t>
      </w:r>
      <w:r w:rsidR="006170EE" w:rsidRPr="004841EF">
        <w:rPr>
          <w:bCs/>
        </w:rPr>
        <w:t>,</w:t>
      </w:r>
      <w:r w:rsidR="00536B99" w:rsidRPr="004841EF">
        <w:rPr>
          <w:bCs/>
        </w:rPr>
        <w:t xml:space="preserve"> when determining that they had breached their procedural obligations. The failure to develop a policy</w:t>
      </w:r>
      <w:r w:rsidR="00A4367D" w:rsidRPr="004841EF">
        <w:rPr>
          <w:bCs/>
        </w:rPr>
        <w:t xml:space="preserve"> on reasonable accommodation can be taken into consideration when determining</w:t>
      </w:r>
      <w:r w:rsidR="00536B99" w:rsidRPr="004841EF">
        <w:rPr>
          <w:bCs/>
        </w:rPr>
        <w:t xml:space="preserve"> whether </w:t>
      </w:r>
      <w:r w:rsidR="00A4367D" w:rsidRPr="004841EF">
        <w:rPr>
          <w:bCs/>
        </w:rPr>
        <w:t>an employer has</w:t>
      </w:r>
      <w:r w:rsidR="00536B99" w:rsidRPr="004841EF">
        <w:rPr>
          <w:bCs/>
        </w:rPr>
        <w:t xml:space="preserve"> breached their procedural obligation</w:t>
      </w:r>
      <w:r w:rsidR="00A4367D" w:rsidRPr="004841EF">
        <w:rPr>
          <w:bCs/>
        </w:rPr>
        <w:t>s</w:t>
      </w:r>
      <w:r w:rsidR="00536B99" w:rsidRPr="004841EF">
        <w:rPr>
          <w:bCs/>
        </w:rPr>
        <w:t>.</w:t>
      </w:r>
      <w:r w:rsidR="00536B99" w:rsidRPr="004841EF">
        <w:rPr>
          <w:bCs/>
          <w:sz w:val="22"/>
          <w:szCs w:val="22"/>
          <w:vertAlign w:val="superscript"/>
        </w:rPr>
        <w:footnoteReference w:id="110"/>
      </w:r>
    </w:p>
    <w:p w14:paraId="290DC370" w14:textId="4085BDF3" w:rsidR="00195776" w:rsidRPr="004841EF" w:rsidRDefault="00885FA4" w:rsidP="00536B99">
      <w:pPr>
        <w:rPr>
          <w:bCs/>
        </w:rPr>
      </w:pPr>
      <w:r w:rsidRPr="004841EF">
        <w:rPr>
          <w:bCs/>
        </w:rPr>
        <w:t>Participants in one focus group</w:t>
      </w:r>
      <w:r w:rsidR="005C5856" w:rsidRPr="004841EF">
        <w:rPr>
          <w:bCs/>
        </w:rPr>
        <w:t xml:space="preserve"> </w:t>
      </w:r>
      <w:r w:rsidRPr="004841EF">
        <w:rPr>
          <w:bCs/>
        </w:rPr>
        <w:t>noted that</w:t>
      </w:r>
      <w:r w:rsidR="00C35E92" w:rsidRPr="004841EF">
        <w:rPr>
          <w:bCs/>
        </w:rPr>
        <w:t xml:space="preserve"> most</w:t>
      </w:r>
      <w:r w:rsidRPr="004841EF">
        <w:rPr>
          <w:bCs/>
        </w:rPr>
        <w:t xml:space="preserve"> private sector employers, particularly small and medium sized enterprises, do not have policies and procedures in place to deal with accommodation requests.</w:t>
      </w:r>
      <w:r w:rsidR="00922CE8" w:rsidRPr="004841EF">
        <w:rPr>
          <w:rStyle w:val="FootnoteReference"/>
          <w:rFonts w:ascii="Gill Sans MT" w:hAnsi="Gill Sans MT"/>
          <w:bCs/>
        </w:rPr>
        <w:footnoteReference w:id="111"/>
      </w:r>
      <w:r w:rsidR="00311222" w:rsidRPr="004841EF">
        <w:rPr>
          <w:bCs/>
        </w:rPr>
        <w:t xml:space="preserve"> Participants in another focus group</w:t>
      </w:r>
      <w:r w:rsidR="005C5856" w:rsidRPr="004841EF">
        <w:rPr>
          <w:bCs/>
        </w:rPr>
        <w:t xml:space="preserve"> agreed that while public bodies generally have policies and procedures in place for employees with a disability, they generally do not extend to prospective employees. </w:t>
      </w:r>
      <w:r w:rsidR="00195776" w:rsidRPr="004841EF">
        <w:rPr>
          <w:bCs/>
        </w:rPr>
        <w:t xml:space="preserve">Participants in </w:t>
      </w:r>
      <w:r w:rsidR="005C5856" w:rsidRPr="004841EF">
        <w:rPr>
          <w:bCs/>
        </w:rPr>
        <w:t>this</w:t>
      </w:r>
      <w:r w:rsidR="00195776" w:rsidRPr="004841EF">
        <w:rPr>
          <w:bCs/>
        </w:rPr>
        <w:t xml:space="preserve"> focus group noted that for some recruitment campaigns</w:t>
      </w:r>
      <w:r w:rsidR="000C0DF4" w:rsidRPr="004841EF">
        <w:rPr>
          <w:bCs/>
        </w:rPr>
        <w:t xml:space="preserve"> conducted directly by government departments or statutory agencies</w:t>
      </w:r>
      <w:r w:rsidR="00195776" w:rsidRPr="004841EF">
        <w:rPr>
          <w:bCs/>
        </w:rPr>
        <w:t>,</w:t>
      </w:r>
      <w:r w:rsidR="000C0DF4" w:rsidRPr="004841EF">
        <w:rPr>
          <w:bCs/>
        </w:rPr>
        <w:t xml:space="preserve"> outside of the centralised recruitment system provided by the Public Appointments Service,</w:t>
      </w:r>
      <w:r w:rsidR="005C5856" w:rsidRPr="004841EF">
        <w:rPr>
          <w:bCs/>
        </w:rPr>
        <w:t xml:space="preserve"> reasonable accommodations are</w:t>
      </w:r>
      <w:r w:rsidR="00195776" w:rsidRPr="004841EF">
        <w:rPr>
          <w:bCs/>
        </w:rPr>
        <w:t xml:space="preserve"> granted through informal processes</w:t>
      </w:r>
      <w:r w:rsidR="005C5856" w:rsidRPr="004841EF">
        <w:rPr>
          <w:bCs/>
        </w:rPr>
        <w:t>, and typically</w:t>
      </w:r>
      <w:r w:rsidR="00195776" w:rsidRPr="004841EF">
        <w:rPr>
          <w:bCs/>
        </w:rPr>
        <w:t xml:space="preserve"> without difficulty. However, participants agreed that it was preferable to have standardised, formal policies and procedures in place</w:t>
      </w:r>
      <w:r w:rsidR="00DF3A69" w:rsidRPr="004841EF">
        <w:rPr>
          <w:bCs/>
        </w:rPr>
        <w:t xml:space="preserve"> for recruitment processes</w:t>
      </w:r>
      <w:r w:rsidR="00195776" w:rsidRPr="004841EF">
        <w:rPr>
          <w:bCs/>
        </w:rPr>
        <w:t>.</w:t>
      </w:r>
    </w:p>
    <w:p w14:paraId="100F745C" w14:textId="0394CF16" w:rsidR="00536B99" w:rsidRPr="004841EF" w:rsidRDefault="00536B99" w:rsidP="00536B99">
      <w:pPr>
        <w:rPr>
          <w:bCs/>
        </w:rPr>
      </w:pPr>
      <w:r w:rsidRPr="004841EF">
        <w:rPr>
          <w:bCs/>
        </w:rPr>
        <w:t xml:space="preserve">According to the International Labour Organisation, a formal procedure should exist within </w:t>
      </w:r>
      <w:r w:rsidR="00C35E92" w:rsidRPr="004841EF">
        <w:rPr>
          <w:bCs/>
        </w:rPr>
        <w:t>an organisation</w:t>
      </w:r>
      <w:r w:rsidRPr="004841EF">
        <w:rPr>
          <w:bCs/>
        </w:rPr>
        <w:t xml:space="preserve"> to handle requests for reasonable accommodations and such pr</w:t>
      </w:r>
      <w:r w:rsidR="00195776" w:rsidRPr="004841EF">
        <w:rPr>
          <w:bCs/>
        </w:rPr>
        <w:t xml:space="preserve">ocedures should identify who </w:t>
      </w:r>
      <w:r w:rsidRPr="004841EF">
        <w:rPr>
          <w:bCs/>
        </w:rPr>
        <w:t>the appropriate decision-maker</w:t>
      </w:r>
      <w:r w:rsidR="00195776" w:rsidRPr="004841EF">
        <w:rPr>
          <w:bCs/>
        </w:rPr>
        <w:t xml:space="preserve"> is</w:t>
      </w:r>
      <w:r w:rsidRPr="004841EF">
        <w:rPr>
          <w:bCs/>
        </w:rPr>
        <w:t xml:space="preserve"> in relation to accommodation requests. Such procedures help to ensure consistency in how </w:t>
      </w:r>
      <w:r w:rsidR="000C0DF4" w:rsidRPr="004841EF">
        <w:rPr>
          <w:bCs/>
        </w:rPr>
        <w:t xml:space="preserve">organisations </w:t>
      </w:r>
      <w:r w:rsidRPr="004841EF">
        <w:rPr>
          <w:bCs/>
        </w:rPr>
        <w:t>respond to requests from staff in different roles and build expertise regarding any legal obligations they might have in this regard.</w:t>
      </w:r>
      <w:r w:rsidRPr="004841EF">
        <w:rPr>
          <w:bCs/>
          <w:sz w:val="22"/>
          <w:szCs w:val="22"/>
          <w:vertAlign w:val="superscript"/>
        </w:rPr>
        <w:footnoteReference w:id="112"/>
      </w:r>
    </w:p>
    <w:p w14:paraId="3BEFAAA4" w14:textId="77777777" w:rsidR="00536B99" w:rsidRPr="004841EF" w:rsidRDefault="00536B99" w:rsidP="00536B99">
      <w:pPr>
        <w:rPr>
          <w:bCs/>
        </w:rPr>
      </w:pPr>
      <w:r w:rsidRPr="004841EF">
        <w:rPr>
          <w:bCs/>
        </w:rPr>
        <w:t xml:space="preserve">The existence of </w:t>
      </w:r>
      <w:r w:rsidR="0026586A" w:rsidRPr="004841EF">
        <w:rPr>
          <w:bCs/>
        </w:rPr>
        <w:t xml:space="preserve">clear policies and procedures </w:t>
      </w:r>
      <w:r w:rsidR="007D6C77" w:rsidRPr="004841EF">
        <w:rPr>
          <w:bCs/>
        </w:rPr>
        <w:t xml:space="preserve">for reasonable accommodations </w:t>
      </w:r>
      <w:r w:rsidR="0026586A" w:rsidRPr="004841EF">
        <w:rPr>
          <w:bCs/>
        </w:rPr>
        <w:t>are</w:t>
      </w:r>
      <w:r w:rsidRPr="004841EF">
        <w:rPr>
          <w:bCs/>
        </w:rPr>
        <w:t xml:space="preserve"> also important for employees and prospective employees. The existence </w:t>
      </w:r>
      <w:r w:rsidR="00E64296" w:rsidRPr="004841EF">
        <w:rPr>
          <w:bCs/>
        </w:rPr>
        <w:t xml:space="preserve">and awareness </w:t>
      </w:r>
      <w:r w:rsidRPr="004841EF">
        <w:rPr>
          <w:bCs/>
        </w:rPr>
        <w:t xml:space="preserve">of </w:t>
      </w:r>
      <w:r w:rsidR="00C35E92" w:rsidRPr="004841EF">
        <w:rPr>
          <w:bCs/>
        </w:rPr>
        <w:t>written</w:t>
      </w:r>
      <w:r w:rsidRPr="004841EF">
        <w:rPr>
          <w:bCs/>
        </w:rPr>
        <w:t xml:space="preserve"> policies and assessment pr</w:t>
      </w:r>
      <w:r w:rsidR="00A4367D" w:rsidRPr="004841EF">
        <w:rPr>
          <w:bCs/>
        </w:rPr>
        <w:t>ocedures ensures that potential</w:t>
      </w:r>
      <w:r w:rsidRPr="004841EF">
        <w:rPr>
          <w:bCs/>
        </w:rPr>
        <w:t xml:space="preserve"> and existing employees understand the process involved in requesting reasonable accommodations and their responsibilities when engaging in the process.</w:t>
      </w:r>
      <w:r w:rsidR="004B3801" w:rsidRPr="004841EF">
        <w:rPr>
          <w:bCs/>
        </w:rPr>
        <w:t xml:space="preserve"> E</w:t>
      </w:r>
      <w:r w:rsidR="00BB7C2F" w:rsidRPr="004841EF">
        <w:rPr>
          <w:bCs/>
        </w:rPr>
        <w:t>mployees</w:t>
      </w:r>
      <w:r w:rsidR="004B3801" w:rsidRPr="004841EF">
        <w:rPr>
          <w:bCs/>
        </w:rPr>
        <w:t xml:space="preserve"> are also more likely</w:t>
      </w:r>
      <w:r w:rsidR="00BB7C2F" w:rsidRPr="004841EF">
        <w:rPr>
          <w:bCs/>
        </w:rPr>
        <w:t xml:space="preserve"> </w:t>
      </w:r>
      <w:r w:rsidR="00257FA7" w:rsidRPr="004841EF">
        <w:rPr>
          <w:bCs/>
        </w:rPr>
        <w:t>to disclose</w:t>
      </w:r>
      <w:r w:rsidR="00EC1793" w:rsidRPr="004841EF">
        <w:rPr>
          <w:bCs/>
        </w:rPr>
        <w:t xml:space="preserve"> their disability</w:t>
      </w:r>
      <w:r w:rsidR="004B3801" w:rsidRPr="004841EF">
        <w:rPr>
          <w:bCs/>
        </w:rPr>
        <w:t xml:space="preserve"> if they know about the relevant policies and procedures, and potential measures to support them</w:t>
      </w:r>
      <w:r w:rsidR="00257FA7" w:rsidRPr="004841EF">
        <w:rPr>
          <w:bCs/>
        </w:rPr>
        <w:t>.</w:t>
      </w:r>
      <w:r w:rsidR="00257FA7" w:rsidRPr="004841EF">
        <w:rPr>
          <w:rStyle w:val="FootnoteReference"/>
          <w:rFonts w:ascii="Gill Sans MT" w:hAnsi="Gill Sans MT"/>
          <w:bCs/>
        </w:rPr>
        <w:footnoteReference w:id="113"/>
      </w:r>
    </w:p>
    <w:p w14:paraId="74721869" w14:textId="2E727A0F" w:rsidR="009040F9" w:rsidRPr="004841EF" w:rsidRDefault="007C588F" w:rsidP="00536B99">
      <w:pPr>
        <w:rPr>
          <w:bCs/>
        </w:rPr>
      </w:pPr>
      <w:r w:rsidRPr="004841EF">
        <w:rPr>
          <w:bCs/>
        </w:rPr>
        <w:t>Low awareness</w:t>
      </w:r>
      <w:r w:rsidR="009040F9" w:rsidRPr="004841EF">
        <w:rPr>
          <w:bCs/>
        </w:rPr>
        <w:t xml:space="preserve"> amongst employees of the existence of specific policies on reasonable accommodation was highlighted in two focus groups.</w:t>
      </w:r>
    </w:p>
    <w:p w14:paraId="581F753F" w14:textId="4E828B17" w:rsidR="00536B99" w:rsidRPr="004841EF" w:rsidRDefault="0013421A" w:rsidP="00037C18">
      <w:pPr>
        <w:pStyle w:val="Heading3"/>
      </w:pPr>
      <w:bookmarkStart w:id="238" w:name="_Toc26192124"/>
      <w:r w:rsidRPr="004841EF">
        <w:t>4.2</w:t>
      </w:r>
      <w:r w:rsidR="00037C18" w:rsidRPr="004841EF">
        <w:t>.3.</w:t>
      </w:r>
      <w:r w:rsidR="00536B99" w:rsidRPr="004841EF">
        <w:t xml:space="preserve"> The failure to provide reasonable accommodation</w:t>
      </w:r>
      <w:r w:rsidR="006540F5" w:rsidRPr="004841EF">
        <w:t>s</w:t>
      </w:r>
      <w:r w:rsidR="00536B99" w:rsidRPr="004841EF">
        <w:t xml:space="preserve"> in a timely manner</w:t>
      </w:r>
      <w:bookmarkEnd w:id="238"/>
    </w:p>
    <w:p w14:paraId="49E1CA87" w14:textId="2014DA18" w:rsidR="00536B99" w:rsidRPr="004841EF" w:rsidRDefault="00374ED2" w:rsidP="00A51B68">
      <w:pPr>
        <w:spacing w:after="0"/>
      </w:pPr>
      <w:r w:rsidRPr="004841EF">
        <w:t xml:space="preserve">Unnecessary delays in responding to or implementing a reasonable accommodation can result in a breach of the </w:t>
      </w:r>
      <w:r w:rsidRPr="004841EF">
        <w:rPr>
          <w:b/>
        </w:rPr>
        <w:t>Employment Equality Acts</w:t>
      </w:r>
      <w:r w:rsidRPr="004841EF">
        <w:t xml:space="preserve">. </w:t>
      </w:r>
      <w:r w:rsidR="00536B99" w:rsidRPr="004841EF">
        <w:t>In a very small proportion of Workplace Relations Commission</w:t>
      </w:r>
      <w:r w:rsidR="003F664A" w:rsidRPr="004841EF">
        <w:t xml:space="preserve"> and Labour Court</w:t>
      </w:r>
      <w:r w:rsidR="00536B99" w:rsidRPr="004841EF">
        <w:t xml:space="preserve"> cases reviewed</w:t>
      </w:r>
      <w:r w:rsidR="00986091" w:rsidRPr="004841EF">
        <w:t xml:space="preserve"> as part of the study</w:t>
      </w:r>
      <w:r w:rsidR="00536B99" w:rsidRPr="004841EF">
        <w:t>, a breach of the requirement to reasonably accommodate arose as a result of an employer taking an unreasonable length of time to accommodate the employee’s disability. As part of their procedural obligations, an employer must be proactive and act without delay when an employee with a disability requests a reasonable accommodation.</w:t>
      </w:r>
      <w:r w:rsidR="00536B99" w:rsidRPr="004841EF">
        <w:rPr>
          <w:sz w:val="22"/>
          <w:szCs w:val="22"/>
          <w:vertAlign w:val="superscript"/>
        </w:rPr>
        <w:footnoteReference w:id="114"/>
      </w:r>
    </w:p>
    <w:p w14:paraId="7623724F" w14:textId="77777777" w:rsidR="009A1D55" w:rsidRPr="004841EF" w:rsidRDefault="009A1D55" w:rsidP="00536B99">
      <w:r w:rsidRPr="004841EF">
        <w:t>The process for evaluating a request for reasonable accommodation should commence as soon as the request is received. Prompt evaluations of requests for reasonable accommodations are particularly important for those engaged in the recruitment process, where there is typically a short timeframe between the closing date for applications and the holding of a test/assessment or interview.</w:t>
      </w:r>
      <w:r w:rsidR="003A6734" w:rsidRPr="004841EF">
        <w:t xml:space="preserve"> However, prompt evaluation and implementation of reasonable accommodation measures are also important for employees with a disability, who may not be able to work effectively without the relevant accommodation.</w:t>
      </w:r>
    </w:p>
    <w:p w14:paraId="48E535A9" w14:textId="77777777" w:rsidR="002C2468" w:rsidRPr="004841EF" w:rsidRDefault="00536B99" w:rsidP="00536B99">
      <w:r w:rsidRPr="004841EF">
        <w:t xml:space="preserve">The </w:t>
      </w:r>
      <w:r w:rsidRPr="004841EF">
        <w:rPr>
          <w:b/>
        </w:rPr>
        <w:t>UK’s Civil Service Diversity and Inclusion Strategy, A Brilliant Civil Service,</w:t>
      </w:r>
      <w:r w:rsidRPr="004841EF">
        <w:t xml:space="preserve"> emphasises that requests for workplace adjustments should be responded to, and put in place, in a timely manner.</w:t>
      </w:r>
      <w:r w:rsidRPr="004841EF">
        <w:rPr>
          <w:sz w:val="22"/>
          <w:szCs w:val="22"/>
          <w:vertAlign w:val="superscript"/>
        </w:rPr>
        <w:footnoteReference w:id="115"/>
      </w:r>
      <w:r w:rsidRPr="004841EF">
        <w:t xml:space="preserve"> </w:t>
      </w:r>
      <w:r w:rsidR="002C2468" w:rsidRPr="004841EF">
        <w:t>Participants in one focus group expressed the view that requests for reasonable accommodations are generally evaluated and implemented in a short turnaround time, although one participant acknowledged that delays infrequently occur.</w:t>
      </w:r>
      <w:r w:rsidR="00512F28" w:rsidRPr="004841EF">
        <w:t xml:space="preserve"> A participant in another focus group noted that they were aware of a case where a reasonable accommodation took 12 months to implement.</w:t>
      </w:r>
    </w:p>
    <w:p w14:paraId="1C488311" w14:textId="4219DA91" w:rsidR="00536B99" w:rsidRPr="004841EF" w:rsidRDefault="00536B99" w:rsidP="00536B99">
      <w:r w:rsidRPr="004841EF">
        <w:t xml:space="preserve">While delays can result from employers failing to deal with requests for accommodations in an efficient and proactive manner, delays in the provision of reasonable accommodation can also arise as </w:t>
      </w:r>
      <w:r w:rsidR="00375E0E" w:rsidRPr="004841EF">
        <w:t xml:space="preserve">a result of inefficiencies in </w:t>
      </w:r>
      <w:r w:rsidR="00181CDE" w:rsidRPr="004841EF">
        <w:t>other parts of the system</w:t>
      </w:r>
      <w:r w:rsidR="00375E0E" w:rsidRPr="004841EF">
        <w:t xml:space="preserve">. </w:t>
      </w:r>
      <w:r w:rsidR="00771624" w:rsidRPr="004841EF">
        <w:t>While these issues did not arise in the review</w:t>
      </w:r>
      <w:r w:rsidR="005206AB" w:rsidRPr="004841EF">
        <w:t xml:space="preserve"> of Workplace Relations Commission and Labour Court decisions</w:t>
      </w:r>
      <w:r w:rsidRPr="004841EF">
        <w:t xml:space="preserve">, the Employer Disability Information service has reported that financial grants provided by the Department of Employment Affairs and Social Protection to assist employers in making reasonable accommodations </w:t>
      </w:r>
      <w:r w:rsidR="00181CDE" w:rsidRPr="004841EF">
        <w:t>can take a</w:t>
      </w:r>
      <w:r w:rsidRPr="004841EF">
        <w:t xml:space="preserve"> long time to complete, approve and put in place.</w:t>
      </w:r>
    </w:p>
    <w:p w14:paraId="24D8E185" w14:textId="5E843496" w:rsidR="00536B99" w:rsidRPr="004841EF" w:rsidRDefault="00536B99" w:rsidP="00536B99">
      <w:r w:rsidRPr="004841EF">
        <w:t>The Employer Disa</w:t>
      </w:r>
      <w:r w:rsidR="00771624" w:rsidRPr="004841EF">
        <w:t>bility Information service noted</w:t>
      </w:r>
      <w:r w:rsidRPr="004841EF">
        <w:t xml:space="preserve"> that the current </w:t>
      </w:r>
      <w:r w:rsidR="00771624" w:rsidRPr="004841EF">
        <w:t xml:space="preserve">grant </w:t>
      </w:r>
      <w:r w:rsidRPr="004841EF">
        <w:t>structure requires an employer to employ someone with a disability, apply for the</w:t>
      </w:r>
      <w:r w:rsidR="00771624" w:rsidRPr="004841EF">
        <w:t xml:space="preserve"> relevant</w:t>
      </w:r>
      <w:r w:rsidRPr="004841EF">
        <w:t xml:space="preserve"> grant and wait for 6/8 weeks for approval prior to purchasing supports.</w:t>
      </w:r>
      <w:r w:rsidRPr="004841EF">
        <w:rPr>
          <w:sz w:val="22"/>
          <w:szCs w:val="22"/>
          <w:vertAlign w:val="superscript"/>
        </w:rPr>
        <w:footnoteReference w:id="116"/>
      </w:r>
      <w:r w:rsidRPr="004841EF">
        <w:t xml:space="preserve"> </w:t>
      </w:r>
      <w:r w:rsidR="00771624" w:rsidRPr="004841EF">
        <w:t>This means that an employer may be</w:t>
      </w:r>
      <w:r w:rsidRPr="004841EF">
        <w:t xml:space="preserve"> expected to employ and pay a person with a disability who is unable to take up the offered work until their supports are in place and </w:t>
      </w:r>
      <w:r w:rsidR="00771624" w:rsidRPr="004841EF">
        <w:t>can act</w:t>
      </w:r>
      <w:r w:rsidRPr="004841EF">
        <w:t xml:space="preserve"> as </w:t>
      </w:r>
      <w:r w:rsidR="00311222" w:rsidRPr="004841EF">
        <w:t>a “…</w:t>
      </w:r>
      <w:r w:rsidRPr="004841EF">
        <w:t>deterrent for employers trying to employ people with disabilities”.</w:t>
      </w:r>
      <w:r w:rsidRPr="004841EF">
        <w:rPr>
          <w:sz w:val="22"/>
          <w:szCs w:val="22"/>
          <w:vertAlign w:val="superscript"/>
        </w:rPr>
        <w:footnoteReference w:id="117"/>
      </w:r>
    </w:p>
    <w:p w14:paraId="2F506397" w14:textId="49361458" w:rsidR="003C5A15" w:rsidRPr="004841EF" w:rsidRDefault="003C5A15" w:rsidP="00536B99">
      <w:r w:rsidRPr="004841EF">
        <w:t>Information received during one of the focus group</w:t>
      </w:r>
      <w:r w:rsidR="00311222" w:rsidRPr="004841EF">
        <w:t>s facilitated by the NDA</w:t>
      </w:r>
      <w:r w:rsidRPr="004841EF">
        <w:t xml:space="preserve"> indicates that waiting times for the </w:t>
      </w:r>
      <w:r w:rsidR="004D1900" w:rsidRPr="004841EF">
        <w:rPr>
          <w:b/>
        </w:rPr>
        <w:t>Workplace Equipment and Adaptation Grant</w:t>
      </w:r>
      <w:r w:rsidR="004D1900" w:rsidRPr="004841EF">
        <w:t xml:space="preserve"> (WEAG)</w:t>
      </w:r>
      <w:r w:rsidRPr="004841EF">
        <w:t xml:space="preserve"> are inconsistent and vary from area to area, with average waiting times ranging from</w:t>
      </w:r>
      <w:r w:rsidR="00181CDE" w:rsidRPr="004841EF">
        <w:t xml:space="preserve"> between one to three </w:t>
      </w:r>
      <w:r w:rsidRPr="004841EF">
        <w:t>months.</w:t>
      </w:r>
      <w:r w:rsidR="001C72C7" w:rsidRPr="004841EF">
        <w:rPr>
          <w:rStyle w:val="FootnoteReference"/>
          <w:rFonts w:ascii="Gill Sans MT" w:hAnsi="Gill Sans MT"/>
        </w:rPr>
        <w:footnoteReference w:id="118"/>
      </w:r>
      <w:r w:rsidRPr="004841EF">
        <w:t xml:space="preserve"> Some participants</w:t>
      </w:r>
      <w:r w:rsidR="006540F5" w:rsidRPr="004841EF">
        <w:t xml:space="preserve"> in this focus group</w:t>
      </w:r>
      <w:r w:rsidRPr="004841EF">
        <w:t xml:space="preserve"> stated that private sector employers can be deterred from applying for the WEAG due to the timeframes involved.</w:t>
      </w:r>
    </w:p>
    <w:p w14:paraId="3A095B24" w14:textId="56FE9755" w:rsidR="00536B99" w:rsidRPr="004841EF" w:rsidRDefault="0013421A" w:rsidP="00037C18">
      <w:pPr>
        <w:pStyle w:val="Heading3"/>
      </w:pPr>
      <w:bookmarkStart w:id="239" w:name="_Toc26192125"/>
      <w:r w:rsidRPr="004841EF">
        <w:t>4.2</w:t>
      </w:r>
      <w:r w:rsidR="00037C18" w:rsidRPr="004841EF">
        <w:t>.</w:t>
      </w:r>
      <w:r w:rsidR="004A7E2D" w:rsidRPr="004841EF">
        <w:t>4.</w:t>
      </w:r>
      <w:r w:rsidR="00536B99" w:rsidRPr="004841EF">
        <w:t xml:space="preserve"> The </w:t>
      </w:r>
      <w:r w:rsidR="00CB71C6" w:rsidRPr="004841EF">
        <w:t>low awareness of</w:t>
      </w:r>
      <w:r w:rsidR="00536B99" w:rsidRPr="004841EF">
        <w:t xml:space="preserve"> the </w:t>
      </w:r>
      <w:r w:rsidR="0081689A" w:rsidRPr="004841EF">
        <w:t xml:space="preserve">legal </w:t>
      </w:r>
      <w:r w:rsidR="00536B99" w:rsidRPr="004841EF">
        <w:t xml:space="preserve">obligations on employers to provide reasonable accommodation and </w:t>
      </w:r>
      <w:r w:rsidR="0081689A" w:rsidRPr="004841EF">
        <w:t>the types of reasonable accommodations available</w:t>
      </w:r>
      <w:bookmarkEnd w:id="239"/>
    </w:p>
    <w:p w14:paraId="13FA5244" w14:textId="77777777" w:rsidR="00181CDE" w:rsidRPr="0027491F" w:rsidRDefault="00181CDE" w:rsidP="0027491F">
      <w:pPr>
        <w:keepNext/>
        <w:spacing w:after="0"/>
        <w:outlineLvl w:val="3"/>
        <w:rPr>
          <w:b/>
        </w:rPr>
      </w:pPr>
      <w:r w:rsidRPr="0027491F">
        <w:rPr>
          <w:b/>
        </w:rPr>
        <w:t>4.2.4.1. Employers</w:t>
      </w:r>
    </w:p>
    <w:p w14:paraId="0532BA8C" w14:textId="2A46A6FF" w:rsidR="008F1152" w:rsidRPr="004841EF" w:rsidRDefault="007C588F" w:rsidP="00536B99">
      <w:pPr>
        <w:rPr>
          <w:bCs/>
        </w:rPr>
      </w:pPr>
      <w:r w:rsidRPr="004841EF">
        <w:rPr>
          <w:bCs/>
        </w:rPr>
        <w:t>Some e</w:t>
      </w:r>
      <w:r w:rsidR="008F1152" w:rsidRPr="004841EF">
        <w:rPr>
          <w:bCs/>
        </w:rPr>
        <w:t xml:space="preserve">mployers </w:t>
      </w:r>
      <w:r w:rsidR="00B024B0" w:rsidRPr="004841EF">
        <w:rPr>
          <w:bCs/>
        </w:rPr>
        <w:t xml:space="preserve">have low </w:t>
      </w:r>
      <w:r w:rsidR="008F1152" w:rsidRPr="004841EF">
        <w:rPr>
          <w:bCs/>
        </w:rPr>
        <w:t>knowledge</w:t>
      </w:r>
      <w:r w:rsidR="00620740" w:rsidRPr="004841EF">
        <w:rPr>
          <w:bCs/>
        </w:rPr>
        <w:t xml:space="preserve"> and understanding of </w:t>
      </w:r>
      <w:r w:rsidR="001F56D1" w:rsidRPr="004841EF">
        <w:rPr>
          <w:bCs/>
        </w:rPr>
        <w:t xml:space="preserve">the types of </w:t>
      </w:r>
      <w:r w:rsidR="008F1152" w:rsidRPr="004841EF">
        <w:rPr>
          <w:bCs/>
        </w:rPr>
        <w:t xml:space="preserve">reasonable accommodations </w:t>
      </w:r>
      <w:r w:rsidR="001F56D1" w:rsidRPr="004841EF">
        <w:rPr>
          <w:bCs/>
        </w:rPr>
        <w:t xml:space="preserve">available </w:t>
      </w:r>
      <w:r w:rsidR="008F1152" w:rsidRPr="004841EF">
        <w:rPr>
          <w:bCs/>
        </w:rPr>
        <w:t>and their legal obligations towards employees with disabilities.</w:t>
      </w:r>
      <w:r w:rsidR="008F1152" w:rsidRPr="004841EF">
        <w:t xml:space="preserve"> </w:t>
      </w:r>
      <w:r w:rsidR="004510B3" w:rsidRPr="004841EF">
        <w:rPr>
          <w:bCs/>
        </w:rPr>
        <w:t xml:space="preserve">The delivery of training and the provision of information to employers on </w:t>
      </w:r>
      <w:r w:rsidR="00FB0AB0" w:rsidRPr="004841EF">
        <w:rPr>
          <w:bCs/>
        </w:rPr>
        <w:t xml:space="preserve">types of appropriate measures or reasonable accommodations </w:t>
      </w:r>
      <w:r w:rsidR="001F56D1" w:rsidRPr="004841EF">
        <w:rPr>
          <w:bCs/>
        </w:rPr>
        <w:t xml:space="preserve">available </w:t>
      </w:r>
      <w:r w:rsidR="00FB0AB0" w:rsidRPr="004841EF">
        <w:rPr>
          <w:bCs/>
        </w:rPr>
        <w:t>for people with a disability in the workplace</w:t>
      </w:r>
      <w:r w:rsidR="000C0DF4" w:rsidRPr="004841EF">
        <w:rPr>
          <w:bCs/>
        </w:rPr>
        <w:t>,</w:t>
      </w:r>
      <w:r w:rsidR="00FB0AB0" w:rsidRPr="004841EF">
        <w:rPr>
          <w:bCs/>
        </w:rPr>
        <w:t xml:space="preserve"> </w:t>
      </w:r>
      <w:r w:rsidR="004510B3" w:rsidRPr="004841EF">
        <w:rPr>
          <w:bCs/>
        </w:rPr>
        <w:t xml:space="preserve">and relevant legislation, including </w:t>
      </w:r>
      <w:r w:rsidR="00FB0AB0" w:rsidRPr="004841EF">
        <w:rPr>
          <w:bCs/>
        </w:rPr>
        <w:t xml:space="preserve">the legal obligation to provide </w:t>
      </w:r>
      <w:r w:rsidR="004510B3" w:rsidRPr="004841EF">
        <w:rPr>
          <w:bCs/>
        </w:rPr>
        <w:t xml:space="preserve">reasonable accommodation, </w:t>
      </w:r>
      <w:r w:rsidR="000C0DF4" w:rsidRPr="004841EF">
        <w:rPr>
          <w:bCs/>
        </w:rPr>
        <w:t>are</w:t>
      </w:r>
      <w:r w:rsidR="004510B3" w:rsidRPr="004841EF">
        <w:rPr>
          <w:bCs/>
        </w:rPr>
        <w:t xml:space="preserve"> key in this regard.</w:t>
      </w:r>
    </w:p>
    <w:p w14:paraId="062B370C" w14:textId="34FEC32D" w:rsidR="00826522" w:rsidRPr="004841EF" w:rsidRDefault="00826522" w:rsidP="00536B99">
      <w:pPr>
        <w:rPr>
          <w:bCs/>
        </w:rPr>
      </w:pPr>
      <w:r w:rsidRPr="004841EF">
        <w:rPr>
          <w:bCs/>
        </w:rPr>
        <w:t xml:space="preserve">In </w:t>
      </w:r>
      <w:r w:rsidR="00620740" w:rsidRPr="004841EF">
        <w:rPr>
          <w:bCs/>
        </w:rPr>
        <w:t>some of its</w:t>
      </w:r>
      <w:r w:rsidRPr="004841EF">
        <w:rPr>
          <w:bCs/>
        </w:rPr>
        <w:t xml:space="preserve"> Concluding</w:t>
      </w:r>
      <w:r w:rsidR="005B6535" w:rsidRPr="004841EF">
        <w:rPr>
          <w:bCs/>
        </w:rPr>
        <w:t xml:space="preserve"> Observations</w:t>
      </w:r>
      <w:r w:rsidRPr="004841EF">
        <w:rPr>
          <w:bCs/>
        </w:rPr>
        <w:t>, the UN Committee on the Rights of Persons with Disabilities</w:t>
      </w:r>
      <w:r w:rsidR="00B72726" w:rsidRPr="004841EF">
        <w:rPr>
          <w:bCs/>
        </w:rPr>
        <w:t xml:space="preserve"> (“the UN Committee”)</w:t>
      </w:r>
      <w:r w:rsidRPr="004841EF">
        <w:rPr>
          <w:bCs/>
        </w:rPr>
        <w:t xml:space="preserve"> has expressed concern about</w:t>
      </w:r>
      <w:r w:rsidR="009D7A52" w:rsidRPr="004841EF">
        <w:rPr>
          <w:bCs/>
        </w:rPr>
        <w:t xml:space="preserve"> lack of information and</w:t>
      </w:r>
      <w:r w:rsidRPr="004841EF">
        <w:rPr>
          <w:bCs/>
        </w:rPr>
        <w:t xml:space="preserve"> the low level of awareness among employers about reasonable accommodation at the workplace</w:t>
      </w:r>
      <w:r w:rsidR="00311222" w:rsidRPr="004841EF">
        <w:rPr>
          <w:bCs/>
        </w:rPr>
        <w:t xml:space="preserve"> in other jurisdictions</w:t>
      </w:r>
      <w:r w:rsidRPr="004841EF">
        <w:rPr>
          <w:bCs/>
        </w:rPr>
        <w:t>.</w:t>
      </w:r>
      <w:r w:rsidRPr="004841EF">
        <w:rPr>
          <w:rStyle w:val="FootnoteReference"/>
          <w:rFonts w:ascii="Gill Sans MT" w:hAnsi="Gill Sans MT"/>
          <w:bCs/>
        </w:rPr>
        <w:footnoteReference w:id="119"/>
      </w:r>
      <w:r w:rsidRPr="004841EF">
        <w:rPr>
          <w:bCs/>
        </w:rPr>
        <w:t xml:space="preserve"> </w:t>
      </w:r>
      <w:r w:rsidR="005B6535" w:rsidRPr="004841EF">
        <w:rPr>
          <w:bCs/>
        </w:rPr>
        <w:t xml:space="preserve">With this in mind, the </w:t>
      </w:r>
      <w:r w:rsidR="009A61BF" w:rsidRPr="004841EF">
        <w:rPr>
          <w:bCs/>
        </w:rPr>
        <w:t xml:space="preserve">UN </w:t>
      </w:r>
      <w:r w:rsidR="005B6535" w:rsidRPr="004841EF">
        <w:rPr>
          <w:bCs/>
        </w:rPr>
        <w:t xml:space="preserve">Committee has recommended that certain States Parties to the </w:t>
      </w:r>
      <w:r w:rsidR="005B6535" w:rsidRPr="004841EF">
        <w:rPr>
          <w:b/>
          <w:bCs/>
        </w:rPr>
        <w:t xml:space="preserve">UNCRPD </w:t>
      </w:r>
      <w:r w:rsidR="005B6535" w:rsidRPr="004841EF">
        <w:rPr>
          <w:bCs/>
        </w:rPr>
        <w:t>raise awareness among public and private companies about reasonable accommodation at work</w:t>
      </w:r>
      <w:r w:rsidRPr="004841EF">
        <w:rPr>
          <w:bCs/>
        </w:rPr>
        <w:t>.</w:t>
      </w:r>
      <w:r w:rsidRPr="004841EF">
        <w:rPr>
          <w:rStyle w:val="FootnoteReference"/>
          <w:rFonts w:ascii="Gill Sans MT" w:hAnsi="Gill Sans MT"/>
          <w:bCs/>
        </w:rPr>
        <w:footnoteReference w:id="120"/>
      </w:r>
      <w:r w:rsidRPr="004841EF">
        <w:rPr>
          <w:bCs/>
        </w:rPr>
        <w:t xml:space="preserve"> The UN Committee has also previously recommended that regular trainin</w:t>
      </w:r>
      <w:r w:rsidR="005B6535" w:rsidRPr="004841EF">
        <w:rPr>
          <w:bCs/>
        </w:rPr>
        <w:t>g on reasonable accommodation be made</w:t>
      </w:r>
      <w:r w:rsidRPr="004841EF">
        <w:rPr>
          <w:bCs/>
        </w:rPr>
        <w:t xml:space="preserve"> available to employers.</w:t>
      </w:r>
      <w:r w:rsidRPr="004841EF">
        <w:rPr>
          <w:rStyle w:val="FootnoteReference"/>
          <w:rFonts w:ascii="Gill Sans MT" w:hAnsi="Gill Sans MT"/>
          <w:bCs/>
        </w:rPr>
        <w:footnoteReference w:id="121"/>
      </w:r>
    </w:p>
    <w:p w14:paraId="42EB84F3" w14:textId="601159C1" w:rsidR="00536B99" w:rsidRPr="004841EF" w:rsidRDefault="00536B99" w:rsidP="00536B99">
      <w:pPr>
        <w:rPr>
          <w:bCs/>
        </w:rPr>
      </w:pPr>
      <w:r w:rsidRPr="004841EF">
        <w:rPr>
          <w:bCs/>
        </w:rPr>
        <w:t>As discussed, the failure of employers to comply with their procedural obligations under the reasonable accommodation duty</w:t>
      </w:r>
      <w:r w:rsidR="00562CCE" w:rsidRPr="004841EF">
        <w:rPr>
          <w:bCs/>
        </w:rPr>
        <w:t xml:space="preserve"> can</w:t>
      </w:r>
      <w:r w:rsidRPr="004841EF">
        <w:rPr>
          <w:bCs/>
        </w:rPr>
        <w:t xml:space="preserve"> indicate an information deficit or a </w:t>
      </w:r>
      <w:r w:rsidR="00201404" w:rsidRPr="004841EF">
        <w:rPr>
          <w:bCs/>
        </w:rPr>
        <w:t xml:space="preserve">low level </w:t>
      </w:r>
      <w:r w:rsidRPr="004841EF">
        <w:rPr>
          <w:bCs/>
        </w:rPr>
        <w:t xml:space="preserve">of understanding amongst </w:t>
      </w:r>
      <w:r w:rsidR="006846B2" w:rsidRPr="004841EF">
        <w:rPr>
          <w:bCs/>
        </w:rPr>
        <w:t xml:space="preserve">some of them </w:t>
      </w:r>
      <w:r w:rsidRPr="004841EF">
        <w:rPr>
          <w:bCs/>
        </w:rPr>
        <w:t xml:space="preserve">regarding the appropriate law and procedures and the extent of their obligations under employment equality legislation. </w:t>
      </w:r>
      <w:r w:rsidR="00FB2DFD" w:rsidRPr="004841EF">
        <w:rPr>
          <w:bCs/>
        </w:rPr>
        <w:t>Ensuring employers understand their obligations under legislation to provide reasonable accommodations helps organisations be more inclusive of employees with disabilities.</w:t>
      </w:r>
      <w:r w:rsidR="00FB2DFD" w:rsidRPr="004841EF">
        <w:rPr>
          <w:rStyle w:val="FootnoteReference"/>
          <w:rFonts w:ascii="Gill Sans MT" w:hAnsi="Gill Sans MT"/>
          <w:bCs/>
        </w:rPr>
        <w:footnoteReference w:id="122"/>
      </w:r>
    </w:p>
    <w:p w14:paraId="605843F4" w14:textId="7151B1F1" w:rsidR="000C5055" w:rsidRPr="004841EF" w:rsidRDefault="00885FA4" w:rsidP="00536B99">
      <w:pPr>
        <w:rPr>
          <w:bCs/>
        </w:rPr>
      </w:pPr>
      <w:r w:rsidRPr="004841EF">
        <w:rPr>
          <w:bCs/>
        </w:rPr>
        <w:t>Participants in one of the focus group</w:t>
      </w:r>
      <w:r w:rsidR="00FC667C" w:rsidRPr="004841EF">
        <w:rPr>
          <w:bCs/>
        </w:rPr>
        <w:t>s</w:t>
      </w:r>
      <w:r w:rsidRPr="004841EF">
        <w:rPr>
          <w:bCs/>
        </w:rPr>
        <w:t xml:space="preserve"> cited </w:t>
      </w:r>
      <w:r w:rsidR="00201404" w:rsidRPr="004841EF">
        <w:rPr>
          <w:bCs/>
        </w:rPr>
        <w:t>low</w:t>
      </w:r>
      <w:r w:rsidRPr="004841EF">
        <w:rPr>
          <w:bCs/>
        </w:rPr>
        <w:t xml:space="preserve"> knowledge amongst employers about the legal requirement to provide reasonable accommodation and</w:t>
      </w:r>
      <w:r w:rsidR="005E1DA6" w:rsidRPr="004841EF">
        <w:rPr>
          <w:bCs/>
        </w:rPr>
        <w:t xml:space="preserve"> </w:t>
      </w:r>
      <w:r w:rsidR="006846B2" w:rsidRPr="004841EF">
        <w:rPr>
          <w:bCs/>
        </w:rPr>
        <w:t xml:space="preserve">the </w:t>
      </w:r>
      <w:r w:rsidR="005E1DA6" w:rsidRPr="004841EF">
        <w:rPr>
          <w:bCs/>
        </w:rPr>
        <w:t>types of</w:t>
      </w:r>
      <w:r w:rsidRPr="004841EF">
        <w:rPr>
          <w:bCs/>
        </w:rPr>
        <w:t xml:space="preserve"> reasonable accommodations </w:t>
      </w:r>
      <w:r w:rsidR="006846B2" w:rsidRPr="004841EF">
        <w:rPr>
          <w:bCs/>
        </w:rPr>
        <w:t xml:space="preserve">available </w:t>
      </w:r>
      <w:r w:rsidRPr="004841EF">
        <w:rPr>
          <w:bCs/>
        </w:rPr>
        <w:t xml:space="preserve">more generally as obstacles in the provision of reasonable accommodations. </w:t>
      </w:r>
      <w:r w:rsidR="00201404" w:rsidRPr="004841EF">
        <w:rPr>
          <w:bCs/>
        </w:rPr>
        <w:t xml:space="preserve">Low levels </w:t>
      </w:r>
      <w:r w:rsidR="002C2468" w:rsidRPr="004841EF">
        <w:rPr>
          <w:bCs/>
        </w:rPr>
        <w:t xml:space="preserve">of understanding amongst those dealing with accommodation requests of the particular needs of </w:t>
      </w:r>
      <w:r w:rsidR="000F7C06" w:rsidRPr="004841EF">
        <w:rPr>
          <w:bCs/>
        </w:rPr>
        <w:t xml:space="preserve">persons </w:t>
      </w:r>
      <w:r w:rsidR="002C2468" w:rsidRPr="004841EF">
        <w:rPr>
          <w:bCs/>
        </w:rPr>
        <w:t xml:space="preserve">with certain disabilities was also cited as a barrier in another focus group. </w:t>
      </w:r>
      <w:r w:rsidR="000C5055" w:rsidRPr="004841EF">
        <w:rPr>
          <w:bCs/>
        </w:rPr>
        <w:t>Participants also agreed that employers do not know where to go to get this information.</w:t>
      </w:r>
    </w:p>
    <w:p w14:paraId="3533D423" w14:textId="5B7F5CFF" w:rsidR="000C5055" w:rsidRPr="004841EF" w:rsidRDefault="000C5055" w:rsidP="00536B99">
      <w:pPr>
        <w:rPr>
          <w:bCs/>
        </w:rPr>
      </w:pPr>
      <w:r w:rsidRPr="004841EF">
        <w:rPr>
          <w:bCs/>
        </w:rPr>
        <w:t xml:space="preserve">In the absence of such knowledge and understanding, participants in one focus group noted that employers can be fearful of employing </w:t>
      </w:r>
      <w:r w:rsidR="000F7C06" w:rsidRPr="004841EF">
        <w:rPr>
          <w:bCs/>
        </w:rPr>
        <w:t xml:space="preserve">persons </w:t>
      </w:r>
      <w:r w:rsidRPr="004841EF">
        <w:rPr>
          <w:bCs/>
        </w:rPr>
        <w:t>with disabilities. These reservations can relate to saying or doing the wrong thing, or facing potential litigation if the employment does</w:t>
      </w:r>
      <w:r w:rsidR="006170EE" w:rsidRPr="004841EF">
        <w:rPr>
          <w:bCs/>
        </w:rPr>
        <w:t xml:space="preserve"> </w:t>
      </w:r>
      <w:r w:rsidRPr="004841EF">
        <w:rPr>
          <w:bCs/>
        </w:rPr>
        <w:t>n</w:t>
      </w:r>
      <w:r w:rsidR="006170EE" w:rsidRPr="004841EF">
        <w:rPr>
          <w:bCs/>
        </w:rPr>
        <w:t>o</w:t>
      </w:r>
      <w:r w:rsidRPr="004841EF">
        <w:rPr>
          <w:bCs/>
        </w:rPr>
        <w:t>t work out.</w:t>
      </w:r>
    </w:p>
    <w:p w14:paraId="288788CB" w14:textId="7C58F6B2" w:rsidR="00443E96" w:rsidRPr="004841EF" w:rsidRDefault="00AA69E3" w:rsidP="00536B99">
      <w:pPr>
        <w:rPr>
          <w:bCs/>
        </w:rPr>
      </w:pPr>
      <w:r w:rsidRPr="004841EF">
        <w:rPr>
          <w:bCs/>
        </w:rPr>
        <w:t xml:space="preserve">With specific regard to reasonable accommodations, </w:t>
      </w:r>
      <w:r w:rsidR="00201404" w:rsidRPr="004841EF">
        <w:rPr>
          <w:bCs/>
        </w:rPr>
        <w:t xml:space="preserve">some </w:t>
      </w:r>
      <w:r w:rsidRPr="004841EF">
        <w:rPr>
          <w:bCs/>
        </w:rPr>
        <w:t xml:space="preserve">employers </w:t>
      </w:r>
      <w:r w:rsidR="005E1DA6" w:rsidRPr="004841EF">
        <w:rPr>
          <w:bCs/>
        </w:rPr>
        <w:t xml:space="preserve">can </w:t>
      </w:r>
      <w:r w:rsidRPr="004841EF">
        <w:rPr>
          <w:bCs/>
        </w:rPr>
        <w:t xml:space="preserve">lack understanding of the various forms of </w:t>
      </w:r>
      <w:r w:rsidR="005E1DA6" w:rsidRPr="004841EF">
        <w:rPr>
          <w:bCs/>
        </w:rPr>
        <w:t>appropriate measures or reasonable accommodations</w:t>
      </w:r>
      <w:r w:rsidR="006170EE" w:rsidRPr="004841EF">
        <w:rPr>
          <w:bCs/>
        </w:rPr>
        <w:t>,</w:t>
      </w:r>
      <w:r w:rsidRPr="004841EF">
        <w:rPr>
          <w:bCs/>
        </w:rPr>
        <w:t xml:space="preserve"> which </w:t>
      </w:r>
      <w:r w:rsidR="006170EE" w:rsidRPr="004841EF">
        <w:rPr>
          <w:bCs/>
        </w:rPr>
        <w:t xml:space="preserve">could </w:t>
      </w:r>
      <w:r w:rsidRPr="004841EF">
        <w:rPr>
          <w:bCs/>
        </w:rPr>
        <w:t>be provided</w:t>
      </w:r>
      <w:r w:rsidR="006170EE" w:rsidRPr="004841EF">
        <w:rPr>
          <w:bCs/>
        </w:rPr>
        <w:t xml:space="preserve"> to the person</w:t>
      </w:r>
      <w:r w:rsidRPr="004841EF">
        <w:rPr>
          <w:bCs/>
        </w:rPr>
        <w:t>.</w:t>
      </w:r>
      <w:r w:rsidRPr="004841EF">
        <w:rPr>
          <w:bCs/>
          <w:sz w:val="22"/>
          <w:szCs w:val="22"/>
          <w:vertAlign w:val="superscript"/>
        </w:rPr>
        <w:footnoteReference w:id="123"/>
      </w:r>
      <w:r w:rsidRPr="004841EF">
        <w:rPr>
          <w:bCs/>
          <w:sz w:val="22"/>
          <w:szCs w:val="22"/>
        </w:rPr>
        <w:t xml:space="preserve"> </w:t>
      </w:r>
      <w:r w:rsidR="00443E96" w:rsidRPr="004841EF">
        <w:rPr>
          <w:bCs/>
        </w:rPr>
        <w:t>For example</w:t>
      </w:r>
      <w:r w:rsidR="001835E4" w:rsidRPr="004841EF">
        <w:rPr>
          <w:bCs/>
        </w:rPr>
        <w:t>,</w:t>
      </w:r>
      <w:r w:rsidR="00443E96" w:rsidRPr="004841EF">
        <w:rPr>
          <w:bCs/>
        </w:rPr>
        <w:t xml:space="preserve"> an employer may be unsure of an appropriate reasonable accommodation in the case of a person with a mental health issue.</w:t>
      </w:r>
    </w:p>
    <w:p w14:paraId="205E1D28" w14:textId="010EDEC0" w:rsidR="00AA69E3" w:rsidRPr="004841EF" w:rsidRDefault="00443E96" w:rsidP="00536B99">
      <w:pPr>
        <w:rPr>
          <w:bCs/>
        </w:rPr>
      </w:pPr>
      <w:r w:rsidRPr="004841EF">
        <w:rPr>
          <w:bCs/>
        </w:rPr>
        <w:t>A</w:t>
      </w:r>
      <w:r w:rsidR="00AA69E3" w:rsidRPr="004841EF">
        <w:rPr>
          <w:bCs/>
        </w:rPr>
        <w:t>dditionally, employers are not always clear</w:t>
      </w:r>
      <w:r w:rsidR="00620740" w:rsidRPr="004841EF">
        <w:rPr>
          <w:bCs/>
        </w:rPr>
        <w:t xml:space="preserve"> how to assess</w:t>
      </w:r>
      <w:r w:rsidR="00AA69E3" w:rsidRPr="004841EF">
        <w:rPr>
          <w:bCs/>
        </w:rPr>
        <w:t xml:space="preserve"> </w:t>
      </w:r>
      <w:r w:rsidR="00620740" w:rsidRPr="004841EF">
        <w:rPr>
          <w:bCs/>
        </w:rPr>
        <w:t>a request for reasonable</w:t>
      </w:r>
      <w:r w:rsidR="00AA69E3" w:rsidRPr="004841EF">
        <w:rPr>
          <w:bCs/>
        </w:rPr>
        <w:t xml:space="preserve"> accommodation</w:t>
      </w:r>
      <w:r w:rsidR="00620740" w:rsidRPr="004841EF">
        <w:rPr>
          <w:bCs/>
        </w:rPr>
        <w:t>s and</w:t>
      </w:r>
      <w:r w:rsidR="006170EE" w:rsidRPr="004841EF">
        <w:rPr>
          <w:bCs/>
        </w:rPr>
        <w:t>,</w:t>
      </w:r>
      <w:r w:rsidR="00620740" w:rsidRPr="004841EF">
        <w:rPr>
          <w:bCs/>
        </w:rPr>
        <w:t xml:space="preserve"> in particular</w:t>
      </w:r>
      <w:r w:rsidR="006170EE" w:rsidRPr="004841EF">
        <w:rPr>
          <w:bCs/>
        </w:rPr>
        <w:t>,</w:t>
      </w:r>
      <w:r w:rsidR="00620740" w:rsidRPr="004841EF">
        <w:rPr>
          <w:bCs/>
        </w:rPr>
        <w:t xml:space="preserve"> whether such a request</w:t>
      </w:r>
      <w:r w:rsidR="00AA69E3" w:rsidRPr="004841EF">
        <w:rPr>
          <w:bCs/>
        </w:rPr>
        <w:t xml:space="preserve"> would impose a disproportionate burden on them. </w:t>
      </w:r>
      <w:r w:rsidR="00536B99" w:rsidRPr="004841EF">
        <w:rPr>
          <w:bCs/>
        </w:rPr>
        <w:t xml:space="preserve">One of the points raised by participants during the public consultation process on the </w:t>
      </w:r>
      <w:r w:rsidR="00536B99" w:rsidRPr="004841EF">
        <w:rPr>
          <w:b/>
          <w:bCs/>
        </w:rPr>
        <w:t>Comprehensive Employment Strategy for People with Disabilities</w:t>
      </w:r>
      <w:r w:rsidR="00536B99" w:rsidRPr="004841EF">
        <w:rPr>
          <w:bCs/>
        </w:rPr>
        <w:t xml:space="preserve"> </w:t>
      </w:r>
      <w:r w:rsidR="00347897" w:rsidRPr="004841EF">
        <w:rPr>
          <w:b/>
          <w:bCs/>
        </w:rPr>
        <w:t xml:space="preserve">2015-2024 </w:t>
      </w:r>
      <w:r w:rsidR="00536B99" w:rsidRPr="004841EF">
        <w:rPr>
          <w:bCs/>
        </w:rPr>
        <w:t>was the need to “provide employers with a realistic sense of how much it costs for reasonable accommodation”.</w:t>
      </w:r>
      <w:r w:rsidR="00536B99" w:rsidRPr="004841EF">
        <w:rPr>
          <w:bCs/>
          <w:sz w:val="22"/>
          <w:szCs w:val="22"/>
          <w:vertAlign w:val="superscript"/>
        </w:rPr>
        <w:footnoteReference w:id="124"/>
      </w:r>
      <w:r w:rsidR="00536B99" w:rsidRPr="004841EF">
        <w:rPr>
          <w:bCs/>
        </w:rPr>
        <w:t xml:space="preserve"> Additionally, the review of </w:t>
      </w:r>
      <w:r w:rsidR="00291852" w:rsidRPr="004841EF">
        <w:rPr>
          <w:bCs/>
        </w:rPr>
        <w:t xml:space="preserve">the </w:t>
      </w:r>
      <w:r w:rsidR="00536B99" w:rsidRPr="004841EF">
        <w:rPr>
          <w:bCs/>
        </w:rPr>
        <w:t>Workplace Relations Commission</w:t>
      </w:r>
      <w:r w:rsidR="003F664A" w:rsidRPr="004841EF">
        <w:rPr>
          <w:bCs/>
        </w:rPr>
        <w:t xml:space="preserve"> and Labour Court</w:t>
      </w:r>
      <w:r w:rsidR="00536B99" w:rsidRPr="004841EF">
        <w:rPr>
          <w:bCs/>
        </w:rPr>
        <w:t xml:space="preserve"> cases revealed instances where employers unsuccessfully argued that the provision of reasonable accommodations to an employee would impose a disproportionate burden on them.</w:t>
      </w:r>
      <w:r w:rsidR="00536B99" w:rsidRPr="004841EF">
        <w:rPr>
          <w:bCs/>
          <w:sz w:val="22"/>
          <w:szCs w:val="22"/>
          <w:vertAlign w:val="superscript"/>
        </w:rPr>
        <w:footnoteReference w:id="125"/>
      </w:r>
    </w:p>
    <w:p w14:paraId="55914439" w14:textId="69112538" w:rsidR="00536B99" w:rsidRPr="004841EF" w:rsidRDefault="00536B99" w:rsidP="00536B99">
      <w:pPr>
        <w:rPr>
          <w:bCs/>
        </w:rPr>
      </w:pPr>
      <w:r w:rsidRPr="004841EF">
        <w:rPr>
          <w:bCs/>
        </w:rPr>
        <w:t xml:space="preserve">More generally, research conducted by the </w:t>
      </w:r>
      <w:r w:rsidRPr="004841EF">
        <w:t>Employer Disability Information</w:t>
      </w:r>
      <w:r w:rsidRPr="004841EF">
        <w:rPr>
          <w:bCs/>
        </w:rPr>
        <w:t xml:space="preserve"> service found that lack of information about how to support employees with disabilities was one of the main reasons why employers are reluctant to hire </w:t>
      </w:r>
      <w:r w:rsidR="000F7C06" w:rsidRPr="004841EF">
        <w:rPr>
          <w:bCs/>
        </w:rPr>
        <w:t xml:space="preserve">persons </w:t>
      </w:r>
      <w:r w:rsidRPr="004841EF">
        <w:rPr>
          <w:bCs/>
        </w:rPr>
        <w:t>with disabilities. 47.8% of employers who participated in a</w:t>
      </w:r>
      <w:r w:rsidR="000C295E" w:rsidRPr="004841EF">
        <w:rPr>
          <w:bCs/>
        </w:rPr>
        <w:t xml:space="preserve"> limited</w:t>
      </w:r>
      <w:r w:rsidRPr="004841EF">
        <w:rPr>
          <w:bCs/>
        </w:rPr>
        <w:t xml:space="preserve"> survey undertaken by the </w:t>
      </w:r>
      <w:r w:rsidRPr="004841EF">
        <w:t>Employer Disability Information</w:t>
      </w:r>
      <w:r w:rsidRPr="004841EF">
        <w:rPr>
          <w:bCs/>
        </w:rPr>
        <w:t xml:space="preserve"> service reported that information support would encourage them to </w:t>
      </w:r>
      <w:r w:rsidR="00620740" w:rsidRPr="004841EF">
        <w:rPr>
          <w:bCs/>
        </w:rPr>
        <w:t xml:space="preserve">employ </w:t>
      </w:r>
      <w:r w:rsidR="000F7C06" w:rsidRPr="004841EF">
        <w:rPr>
          <w:bCs/>
        </w:rPr>
        <w:t xml:space="preserve">persons </w:t>
      </w:r>
      <w:r w:rsidR="00620740" w:rsidRPr="004841EF">
        <w:rPr>
          <w:bCs/>
        </w:rPr>
        <w:t>with disabilities</w:t>
      </w:r>
      <w:r w:rsidRPr="004841EF">
        <w:rPr>
          <w:bCs/>
        </w:rPr>
        <w:t>.</w:t>
      </w:r>
      <w:r w:rsidRPr="004841EF">
        <w:rPr>
          <w:bCs/>
          <w:sz w:val="22"/>
          <w:szCs w:val="22"/>
          <w:vertAlign w:val="superscript"/>
        </w:rPr>
        <w:footnoteReference w:id="126"/>
      </w:r>
    </w:p>
    <w:p w14:paraId="40F31D7E" w14:textId="1BA3C18A" w:rsidR="00705EE2" w:rsidRPr="004841EF" w:rsidRDefault="00705EE2" w:rsidP="00536B99">
      <w:pPr>
        <w:rPr>
          <w:bCs/>
        </w:rPr>
      </w:pPr>
      <w:r w:rsidRPr="004841EF">
        <w:rPr>
          <w:bCs/>
        </w:rPr>
        <w:t xml:space="preserve">Until January 2019, the Employer Disability Information service operated as a </w:t>
      </w:r>
      <w:r w:rsidR="00227943" w:rsidRPr="004841EF">
        <w:rPr>
          <w:bCs/>
        </w:rPr>
        <w:t>pilot project</w:t>
      </w:r>
      <w:r w:rsidR="006846B2" w:rsidRPr="004841EF">
        <w:rPr>
          <w:bCs/>
        </w:rPr>
        <w:t>. It was</w:t>
      </w:r>
      <w:r w:rsidR="00227943" w:rsidRPr="004841EF">
        <w:rPr>
          <w:bCs/>
        </w:rPr>
        <w:t xml:space="preserve"> designed to provide employers with an expert peer source of</w:t>
      </w:r>
      <w:r w:rsidR="00C02876" w:rsidRPr="004841EF">
        <w:rPr>
          <w:bCs/>
        </w:rPr>
        <w:t xml:space="preserve"> advice and information </w:t>
      </w:r>
      <w:r w:rsidRPr="004841EF">
        <w:rPr>
          <w:bCs/>
        </w:rPr>
        <w:t xml:space="preserve">on the employment and recruitment of </w:t>
      </w:r>
      <w:r w:rsidR="000F7C06" w:rsidRPr="004841EF">
        <w:rPr>
          <w:bCs/>
        </w:rPr>
        <w:t xml:space="preserve">persons </w:t>
      </w:r>
      <w:r w:rsidR="00C02876" w:rsidRPr="004841EF">
        <w:rPr>
          <w:bCs/>
        </w:rPr>
        <w:t xml:space="preserve">with </w:t>
      </w:r>
      <w:r w:rsidRPr="004841EF">
        <w:rPr>
          <w:bCs/>
        </w:rPr>
        <w:t>disabilities</w:t>
      </w:r>
      <w:r w:rsidR="00C02876" w:rsidRPr="004841EF">
        <w:rPr>
          <w:bCs/>
        </w:rPr>
        <w:t xml:space="preserve"> </w:t>
      </w:r>
      <w:r w:rsidRPr="004841EF">
        <w:rPr>
          <w:bCs/>
        </w:rPr>
        <w:t>in Ireland. This included, though was not limited to, information and advice on the provision of reasonable accommodations.</w:t>
      </w:r>
      <w:r w:rsidR="006E1D0D" w:rsidRPr="004841EF">
        <w:rPr>
          <w:bCs/>
        </w:rPr>
        <w:t xml:space="preserve"> The service ceased </w:t>
      </w:r>
      <w:r w:rsidR="00CB2F48" w:rsidRPr="004841EF">
        <w:rPr>
          <w:bCs/>
        </w:rPr>
        <w:t xml:space="preserve">operations </w:t>
      </w:r>
      <w:r w:rsidR="006E1D0D" w:rsidRPr="004841EF">
        <w:rPr>
          <w:bCs/>
        </w:rPr>
        <w:t xml:space="preserve">following the conclusion of </w:t>
      </w:r>
      <w:r w:rsidR="006846B2" w:rsidRPr="004841EF">
        <w:rPr>
          <w:bCs/>
        </w:rPr>
        <w:t xml:space="preserve">a </w:t>
      </w:r>
      <w:r w:rsidR="006E1D0D" w:rsidRPr="004841EF">
        <w:rPr>
          <w:bCs/>
        </w:rPr>
        <w:t>three year pilot phase.</w:t>
      </w:r>
      <w:r w:rsidR="00CB2F48" w:rsidRPr="004841EF">
        <w:rPr>
          <w:rStyle w:val="FootnoteReference"/>
          <w:rFonts w:ascii="Gill Sans MT" w:hAnsi="Gill Sans MT"/>
          <w:bCs/>
        </w:rPr>
        <w:footnoteReference w:id="127"/>
      </w:r>
      <w:r w:rsidR="00620740" w:rsidRPr="004841EF">
        <w:rPr>
          <w:bCs/>
        </w:rPr>
        <w:t xml:space="preserve"> </w:t>
      </w:r>
      <w:r w:rsidR="006846B2" w:rsidRPr="004841EF">
        <w:rPr>
          <w:bCs/>
        </w:rPr>
        <w:t>At present</w:t>
      </w:r>
      <w:r w:rsidR="00562CCE" w:rsidRPr="004841EF">
        <w:rPr>
          <w:bCs/>
        </w:rPr>
        <w:t>,</w:t>
      </w:r>
      <w:r w:rsidR="00291852" w:rsidRPr="004841EF">
        <w:rPr>
          <w:bCs/>
        </w:rPr>
        <w:t xml:space="preserve"> </w:t>
      </w:r>
      <w:r w:rsidR="00620740" w:rsidRPr="004841EF">
        <w:rPr>
          <w:bCs/>
        </w:rPr>
        <w:t xml:space="preserve">there is no dedicated, centrally-based national resource of peer advice and information for employers on the employment of </w:t>
      </w:r>
      <w:r w:rsidR="000F7C06" w:rsidRPr="004841EF">
        <w:rPr>
          <w:bCs/>
        </w:rPr>
        <w:t xml:space="preserve">persons </w:t>
      </w:r>
      <w:r w:rsidR="00620740" w:rsidRPr="004841EF">
        <w:rPr>
          <w:bCs/>
        </w:rPr>
        <w:t>with disabilities.</w:t>
      </w:r>
    </w:p>
    <w:p w14:paraId="49BF3BFF" w14:textId="09CD31FA" w:rsidR="00794C3D" w:rsidRPr="004841EF" w:rsidRDefault="006E1D0D" w:rsidP="00536B99">
      <w:pPr>
        <w:rPr>
          <w:bCs/>
        </w:rPr>
      </w:pPr>
      <w:r w:rsidRPr="004841EF">
        <w:rPr>
          <w:bCs/>
        </w:rPr>
        <w:t>The provision of</w:t>
      </w:r>
      <w:r w:rsidR="00CB3A01" w:rsidRPr="004841EF">
        <w:rPr>
          <w:bCs/>
        </w:rPr>
        <w:t xml:space="preserve"> training,</w:t>
      </w:r>
      <w:r w:rsidRPr="004841EF">
        <w:rPr>
          <w:bCs/>
        </w:rPr>
        <w:t xml:space="preserve"> information and advice to employers on reasonable accommodations takes different forms in various jurisdictions. For instance,</w:t>
      </w:r>
      <w:r w:rsidR="00794C3D" w:rsidRPr="004841EF">
        <w:rPr>
          <w:bCs/>
        </w:rPr>
        <w:t xml:space="preserve"> in Australia, “JobAccess” is the national hub for workplace and employment information for </w:t>
      </w:r>
      <w:r w:rsidR="000F7C06" w:rsidRPr="004841EF">
        <w:rPr>
          <w:bCs/>
        </w:rPr>
        <w:t xml:space="preserve">persons </w:t>
      </w:r>
      <w:r w:rsidR="00794C3D" w:rsidRPr="004841EF">
        <w:rPr>
          <w:bCs/>
        </w:rPr>
        <w:t xml:space="preserve">with </w:t>
      </w:r>
      <w:r w:rsidR="000F7C06" w:rsidRPr="004841EF">
        <w:rPr>
          <w:bCs/>
        </w:rPr>
        <w:t xml:space="preserve">a </w:t>
      </w:r>
      <w:r w:rsidR="00794C3D" w:rsidRPr="004841EF">
        <w:rPr>
          <w:bCs/>
        </w:rPr>
        <w:t>disability and employers, including information about how to make reasonable accommodations.</w:t>
      </w:r>
      <w:r w:rsidR="00794C3D" w:rsidRPr="004841EF">
        <w:rPr>
          <w:bCs/>
          <w:sz w:val="22"/>
          <w:szCs w:val="22"/>
          <w:vertAlign w:val="superscript"/>
        </w:rPr>
        <w:footnoteReference w:id="128"/>
      </w:r>
      <w:r w:rsidR="00794C3D" w:rsidRPr="004841EF">
        <w:rPr>
          <w:bCs/>
        </w:rPr>
        <w:t xml:space="preserve"> In addition to a telephone advice line and online information on disability types and the rights and responsibilities of employers, JobAccess have also developed employer toolkits</w:t>
      </w:r>
      <w:r w:rsidR="00291852" w:rsidRPr="004841EF">
        <w:rPr>
          <w:bCs/>
        </w:rPr>
        <w:t>,</w:t>
      </w:r>
      <w:r w:rsidR="00794C3D" w:rsidRPr="004841EF">
        <w:rPr>
          <w:bCs/>
        </w:rPr>
        <w:t xml:space="preserve"> which contain practical ideas and solutions aimed at providing reasonable accommodations in the workplace.</w:t>
      </w:r>
      <w:r w:rsidR="00794C3D" w:rsidRPr="004841EF">
        <w:rPr>
          <w:bCs/>
          <w:sz w:val="22"/>
          <w:szCs w:val="22"/>
          <w:vertAlign w:val="superscript"/>
        </w:rPr>
        <w:footnoteReference w:id="129"/>
      </w:r>
      <w:r w:rsidR="002803D7" w:rsidRPr="004841EF">
        <w:rPr>
          <w:bCs/>
        </w:rPr>
        <w:t xml:space="preserve"> The </w:t>
      </w:r>
      <w:r w:rsidR="000B0221" w:rsidRPr="004841EF">
        <w:rPr>
          <w:bCs/>
        </w:rPr>
        <w:t>Australian Government funds the service</w:t>
      </w:r>
      <w:r w:rsidR="002803D7" w:rsidRPr="004841EF">
        <w:rPr>
          <w:bCs/>
        </w:rPr>
        <w:t>.</w:t>
      </w:r>
    </w:p>
    <w:p w14:paraId="2002E744" w14:textId="5C816F4A" w:rsidR="00316D45" w:rsidRPr="004841EF" w:rsidRDefault="00316D45" w:rsidP="00536B99">
      <w:pPr>
        <w:rPr>
          <w:bCs/>
        </w:rPr>
      </w:pPr>
      <w:r w:rsidRPr="004841EF">
        <w:rPr>
          <w:bCs/>
        </w:rPr>
        <w:t>In the United States of America, the Department of Labor funds the Job Accommodation Network. The Job Accommodation Network provides free, expert and confidential guidance to employers, individuals and other professionals (medical professionals, trade union representatives and legal representatives) on workplace accommodations and disability employment issues.</w:t>
      </w:r>
      <w:r w:rsidR="00861101" w:rsidRPr="004841EF">
        <w:rPr>
          <w:rStyle w:val="FootnoteReference"/>
          <w:rFonts w:ascii="Gill Sans MT" w:hAnsi="Gill Sans MT"/>
          <w:bCs/>
        </w:rPr>
        <w:footnoteReference w:id="130"/>
      </w:r>
      <w:r w:rsidRPr="004841EF">
        <w:rPr>
          <w:bCs/>
        </w:rPr>
        <w:t xml:space="preserve"> In addition to a web resource, the Job Accommodation Network offers one-on-one guidance</w:t>
      </w:r>
      <w:r w:rsidRPr="004841EF">
        <w:rPr>
          <w:color w:val="555555"/>
          <w:sz w:val="21"/>
          <w:szCs w:val="21"/>
          <w:shd w:val="clear" w:color="auto" w:fill="FFFFFF"/>
        </w:rPr>
        <w:t xml:space="preserve"> </w:t>
      </w:r>
      <w:r w:rsidRPr="004841EF">
        <w:rPr>
          <w:bCs/>
        </w:rPr>
        <w:t>o</w:t>
      </w:r>
      <w:r w:rsidR="00861101" w:rsidRPr="004841EF">
        <w:rPr>
          <w:bCs/>
        </w:rPr>
        <w:t xml:space="preserve">n workplace accommodations, </w:t>
      </w:r>
      <w:r w:rsidRPr="004841EF">
        <w:rPr>
          <w:bCs/>
        </w:rPr>
        <w:t>relevant legislation, and self-employment and entrepreneurship options for people with disabilities.</w:t>
      </w:r>
      <w:r w:rsidR="00861101" w:rsidRPr="004841EF">
        <w:rPr>
          <w:bCs/>
        </w:rPr>
        <w:t xml:space="preserve"> This guidance is available</w:t>
      </w:r>
      <w:r w:rsidRPr="004841EF">
        <w:rPr>
          <w:bCs/>
        </w:rPr>
        <w:t xml:space="preserve"> via telephone</w:t>
      </w:r>
      <w:r w:rsidR="00861101" w:rsidRPr="004841EF">
        <w:rPr>
          <w:bCs/>
        </w:rPr>
        <w:t xml:space="preserve"> and online channels</w:t>
      </w:r>
      <w:r w:rsidRPr="004841EF">
        <w:rPr>
          <w:bCs/>
        </w:rPr>
        <w:t>, to public and private employers, trade union representatives, and persons with disabilities and their families.</w:t>
      </w:r>
    </w:p>
    <w:p w14:paraId="486D7B94" w14:textId="672E2548" w:rsidR="004B701E" w:rsidRPr="004841EF" w:rsidRDefault="00794C3D" w:rsidP="00536B99">
      <w:pPr>
        <w:rPr>
          <w:bCs/>
        </w:rPr>
      </w:pPr>
      <w:r w:rsidRPr="004841EF">
        <w:rPr>
          <w:bCs/>
        </w:rPr>
        <w:t>I</w:t>
      </w:r>
      <w:r w:rsidR="006E1D0D" w:rsidRPr="004841EF">
        <w:rPr>
          <w:bCs/>
        </w:rPr>
        <w:t>n Northern Ireland, the Equality Commission runs</w:t>
      </w:r>
      <w:r w:rsidR="00DB1EC8" w:rsidRPr="004841EF">
        <w:rPr>
          <w:bCs/>
        </w:rPr>
        <w:t xml:space="preserve"> </w:t>
      </w:r>
      <w:r w:rsidR="00CB2F48" w:rsidRPr="004841EF">
        <w:rPr>
          <w:bCs/>
        </w:rPr>
        <w:t xml:space="preserve">free </w:t>
      </w:r>
      <w:r w:rsidR="00DB1EC8" w:rsidRPr="004841EF">
        <w:rPr>
          <w:bCs/>
        </w:rPr>
        <w:t>half-day</w:t>
      </w:r>
      <w:r w:rsidR="006E1D0D" w:rsidRPr="004841EF">
        <w:rPr>
          <w:bCs/>
        </w:rPr>
        <w:t xml:space="preserve"> </w:t>
      </w:r>
      <w:r w:rsidR="00DB1EC8" w:rsidRPr="004841EF">
        <w:rPr>
          <w:bCs/>
        </w:rPr>
        <w:t xml:space="preserve">employer training sessions on specific topics, such as “promoting equality in employment for </w:t>
      </w:r>
      <w:r w:rsidR="000F7C06" w:rsidRPr="004841EF">
        <w:rPr>
          <w:bCs/>
        </w:rPr>
        <w:t xml:space="preserve">persons </w:t>
      </w:r>
      <w:r w:rsidR="00DB1EC8" w:rsidRPr="004841EF">
        <w:rPr>
          <w:bCs/>
        </w:rPr>
        <w:t>with disabilities” and “the disability reasonable adjustment duty in the recruitment and selection process”.</w:t>
      </w:r>
      <w:r w:rsidR="00DB1EC8" w:rsidRPr="004841EF">
        <w:rPr>
          <w:rStyle w:val="FootnoteReference"/>
          <w:rFonts w:ascii="Gill Sans MT" w:hAnsi="Gill Sans MT"/>
          <w:bCs/>
        </w:rPr>
        <w:footnoteReference w:id="131"/>
      </w:r>
      <w:r w:rsidR="003F6BDC" w:rsidRPr="004841EF">
        <w:rPr>
          <w:bCs/>
        </w:rPr>
        <w:t xml:space="preserve"> A Code of Practice has also been developed entitled </w:t>
      </w:r>
      <w:r w:rsidR="003F6BDC" w:rsidRPr="004841EF">
        <w:rPr>
          <w:b/>
          <w:bCs/>
        </w:rPr>
        <w:t>Disability Code of Practice: Employment and Occupation</w:t>
      </w:r>
      <w:r w:rsidR="003F6BDC" w:rsidRPr="004841EF">
        <w:rPr>
          <w:bCs/>
        </w:rPr>
        <w:t xml:space="preserve"> which provides information to employers and employees on anti-discrimination law, including reasonable accommodation.</w:t>
      </w:r>
      <w:r w:rsidR="003F6BDC" w:rsidRPr="004841EF">
        <w:rPr>
          <w:rStyle w:val="FootnoteReference"/>
          <w:rFonts w:ascii="Gill Sans MT" w:hAnsi="Gill Sans MT"/>
          <w:bCs/>
        </w:rPr>
        <w:footnoteReference w:id="132"/>
      </w:r>
    </w:p>
    <w:p w14:paraId="2B2AC3B8" w14:textId="688C1129" w:rsidR="009A6BA1" w:rsidRPr="004841EF" w:rsidRDefault="00794C3D" w:rsidP="00536B99">
      <w:pPr>
        <w:rPr>
          <w:bCs/>
        </w:rPr>
      </w:pPr>
      <w:r w:rsidRPr="004841EF">
        <w:rPr>
          <w:bCs/>
        </w:rPr>
        <w:t xml:space="preserve">There is a </w:t>
      </w:r>
      <w:r w:rsidRPr="004841EF">
        <w:rPr>
          <w:b/>
          <w:bCs/>
        </w:rPr>
        <w:t>Code of Practice for the Employment of People with a Disability in the Irish Civil Service</w:t>
      </w:r>
      <w:r w:rsidR="00562CCE" w:rsidRPr="004841EF">
        <w:rPr>
          <w:bCs/>
        </w:rPr>
        <w:t xml:space="preserve"> which covers issues related to reasonable accommodation</w:t>
      </w:r>
      <w:r w:rsidRPr="004841EF">
        <w:rPr>
          <w:bCs/>
        </w:rPr>
        <w:t>.</w:t>
      </w:r>
      <w:r w:rsidRPr="004841EF">
        <w:rPr>
          <w:rStyle w:val="FootnoteReference"/>
          <w:rFonts w:ascii="Gill Sans MT" w:hAnsi="Gill Sans MT"/>
          <w:bCs/>
        </w:rPr>
        <w:footnoteReference w:id="133"/>
      </w:r>
      <w:r w:rsidRPr="004841EF">
        <w:rPr>
          <w:bCs/>
        </w:rPr>
        <w:t xml:space="preserve"> However, this only relates to public and civil service employers. </w:t>
      </w:r>
      <w:r w:rsidR="00864276" w:rsidRPr="004841EF">
        <w:rPr>
          <w:bCs/>
        </w:rPr>
        <w:t xml:space="preserve">In October 2019, IHREC announced that </w:t>
      </w:r>
      <w:r w:rsidR="009A61BF" w:rsidRPr="004841EF">
        <w:rPr>
          <w:bCs/>
        </w:rPr>
        <w:t>they</w:t>
      </w:r>
      <w:r w:rsidR="00864276" w:rsidRPr="004841EF">
        <w:rPr>
          <w:bCs/>
        </w:rPr>
        <w:t xml:space="preserve"> would use </w:t>
      </w:r>
      <w:r w:rsidR="00562CCE" w:rsidRPr="004841EF">
        <w:rPr>
          <w:bCs/>
        </w:rPr>
        <w:t xml:space="preserve">their </w:t>
      </w:r>
      <w:r w:rsidR="00864276" w:rsidRPr="004841EF">
        <w:rPr>
          <w:bCs/>
        </w:rPr>
        <w:t xml:space="preserve">statutory powers to prepare and bring forward a new legal code of practice to promote greater employment of </w:t>
      </w:r>
      <w:r w:rsidR="000F7C06" w:rsidRPr="004841EF">
        <w:rPr>
          <w:bCs/>
        </w:rPr>
        <w:t xml:space="preserve">persons </w:t>
      </w:r>
      <w:r w:rsidR="00864276" w:rsidRPr="004841EF">
        <w:rPr>
          <w:bCs/>
        </w:rPr>
        <w:t>with disabilities, which will cover reasonable accommodations.</w:t>
      </w:r>
      <w:r w:rsidR="00864276" w:rsidRPr="004841EF">
        <w:rPr>
          <w:rStyle w:val="FootnoteReference"/>
          <w:rFonts w:ascii="Gill Sans MT" w:hAnsi="Gill Sans MT"/>
          <w:bCs/>
        </w:rPr>
        <w:footnoteReference w:id="134"/>
      </w:r>
      <w:r w:rsidR="004B701E" w:rsidRPr="004841EF">
        <w:rPr>
          <w:color w:val="333333"/>
          <w:shd w:val="clear" w:color="auto" w:fill="FFFFFF"/>
        </w:rPr>
        <w:t xml:space="preserve"> </w:t>
      </w:r>
      <w:r w:rsidR="004B701E" w:rsidRPr="004841EF">
        <w:rPr>
          <w:bCs/>
        </w:rPr>
        <w:t>Once completed, this code will be legally admissible in evidence in court, Workplace Relations Commission and Labour Court proceedings.</w:t>
      </w:r>
    </w:p>
    <w:p w14:paraId="4B9AC76D" w14:textId="77777777" w:rsidR="006A4AE5" w:rsidRPr="004841EF" w:rsidRDefault="006A4AE5" w:rsidP="00C02876">
      <w:pPr>
        <w:spacing w:after="120"/>
        <w:rPr>
          <w:bCs/>
        </w:rPr>
      </w:pPr>
      <w:r w:rsidRPr="004841EF">
        <w:rPr>
          <w:bCs/>
        </w:rPr>
        <w:t>In addition, the NDA is grant funding four organisations to develop employer awareness-raising materials that aim to promote disability confidence across the public and private sectors. The training materials will be made available to employers as interconnected modules via an eLearning portal. The content will cover a range of topics including:</w:t>
      </w:r>
    </w:p>
    <w:p w14:paraId="0BE186BA" w14:textId="77777777" w:rsidR="006A4AE5" w:rsidRPr="004841EF" w:rsidRDefault="006A4AE5" w:rsidP="006272C6">
      <w:pPr>
        <w:numPr>
          <w:ilvl w:val="0"/>
          <w:numId w:val="1"/>
        </w:numPr>
        <w:rPr>
          <w:bCs/>
        </w:rPr>
      </w:pPr>
      <w:r w:rsidRPr="004841EF">
        <w:rPr>
          <w:bCs/>
        </w:rPr>
        <w:t xml:space="preserve">understanding disability </w:t>
      </w:r>
    </w:p>
    <w:p w14:paraId="65FA5726" w14:textId="77777777" w:rsidR="006A4AE5" w:rsidRPr="004841EF" w:rsidRDefault="006A4AE5" w:rsidP="006272C6">
      <w:pPr>
        <w:numPr>
          <w:ilvl w:val="0"/>
          <w:numId w:val="1"/>
        </w:numPr>
        <w:rPr>
          <w:bCs/>
        </w:rPr>
      </w:pPr>
      <w:r w:rsidRPr="004841EF">
        <w:rPr>
          <w:bCs/>
        </w:rPr>
        <w:t>understanding employers’ statutory obligations regarding disability</w:t>
      </w:r>
    </w:p>
    <w:p w14:paraId="4FEE34E1" w14:textId="77777777" w:rsidR="006A4AE5" w:rsidRPr="004841EF" w:rsidRDefault="006A4AE5" w:rsidP="006272C6">
      <w:pPr>
        <w:numPr>
          <w:ilvl w:val="0"/>
          <w:numId w:val="1"/>
        </w:numPr>
        <w:rPr>
          <w:bCs/>
        </w:rPr>
      </w:pPr>
      <w:r w:rsidRPr="004841EF">
        <w:rPr>
          <w:bCs/>
        </w:rPr>
        <w:t>understanding how best to support persons with disabilities in employment</w:t>
      </w:r>
    </w:p>
    <w:p w14:paraId="006F810C" w14:textId="50D4DA06" w:rsidR="006A4AE5" w:rsidRPr="004841EF" w:rsidRDefault="00140D07" w:rsidP="006272C6">
      <w:pPr>
        <w:numPr>
          <w:ilvl w:val="0"/>
          <w:numId w:val="1"/>
        </w:numPr>
        <w:rPr>
          <w:bCs/>
        </w:rPr>
      </w:pPr>
      <w:r w:rsidRPr="004841EF">
        <w:rPr>
          <w:bCs/>
        </w:rPr>
        <w:t>considering human resources and e</w:t>
      </w:r>
      <w:r w:rsidR="006A4AE5" w:rsidRPr="004841EF">
        <w:rPr>
          <w:bCs/>
        </w:rPr>
        <w:t xml:space="preserve">quality issues </w:t>
      </w:r>
    </w:p>
    <w:p w14:paraId="50B64CA6" w14:textId="77777777" w:rsidR="006A4AE5" w:rsidRPr="004841EF" w:rsidRDefault="006A4AE5" w:rsidP="006272C6">
      <w:pPr>
        <w:numPr>
          <w:ilvl w:val="0"/>
          <w:numId w:val="1"/>
        </w:numPr>
        <w:rPr>
          <w:bCs/>
        </w:rPr>
      </w:pPr>
      <w:r w:rsidRPr="004841EF">
        <w:rPr>
          <w:bCs/>
        </w:rPr>
        <w:t xml:space="preserve">ensuring disability-friendly and inclusive work-places </w:t>
      </w:r>
    </w:p>
    <w:p w14:paraId="607B5159" w14:textId="667BB8E7" w:rsidR="006A4AE5" w:rsidRPr="004841EF" w:rsidRDefault="006A4AE5" w:rsidP="006272C6">
      <w:pPr>
        <w:numPr>
          <w:ilvl w:val="0"/>
          <w:numId w:val="1"/>
        </w:numPr>
        <w:ind w:left="357" w:hanging="357"/>
        <w:rPr>
          <w:bCs/>
        </w:rPr>
      </w:pPr>
      <w:r w:rsidRPr="004841EF">
        <w:rPr>
          <w:bCs/>
        </w:rPr>
        <w:t>considering all stages of the employment journey such as recruitment, interviews, career progression, etc.</w:t>
      </w:r>
    </w:p>
    <w:p w14:paraId="22A3335A" w14:textId="619DDABE" w:rsidR="00181CDE" w:rsidRPr="0027491F" w:rsidRDefault="00181CDE" w:rsidP="0027491F">
      <w:pPr>
        <w:keepNext/>
        <w:spacing w:after="0"/>
        <w:outlineLvl w:val="3"/>
        <w:rPr>
          <w:b/>
        </w:rPr>
      </w:pPr>
      <w:r w:rsidRPr="0027491F">
        <w:rPr>
          <w:b/>
        </w:rPr>
        <w:t>4.2.4.2. Pe</w:t>
      </w:r>
      <w:r w:rsidR="000F7C06" w:rsidRPr="0027491F">
        <w:rPr>
          <w:b/>
        </w:rPr>
        <w:t>rsons</w:t>
      </w:r>
      <w:r w:rsidRPr="0027491F">
        <w:rPr>
          <w:b/>
        </w:rPr>
        <w:t xml:space="preserve"> with a disability</w:t>
      </w:r>
    </w:p>
    <w:p w14:paraId="69F5BE70" w14:textId="53948B97" w:rsidR="00946230" w:rsidRPr="004841EF" w:rsidRDefault="00201404" w:rsidP="00536B99">
      <w:pPr>
        <w:rPr>
          <w:bCs/>
        </w:rPr>
      </w:pPr>
      <w:r w:rsidRPr="004841EF">
        <w:rPr>
          <w:bCs/>
        </w:rPr>
        <w:t>Low</w:t>
      </w:r>
      <w:r w:rsidR="00946230" w:rsidRPr="004841EF">
        <w:rPr>
          <w:bCs/>
        </w:rPr>
        <w:t xml:space="preserve"> knowledge</w:t>
      </w:r>
      <w:r w:rsidR="00B0008E" w:rsidRPr="004841EF">
        <w:rPr>
          <w:bCs/>
        </w:rPr>
        <w:t xml:space="preserve"> of</w:t>
      </w:r>
      <w:r w:rsidR="005E1DA6" w:rsidRPr="004841EF">
        <w:rPr>
          <w:bCs/>
        </w:rPr>
        <w:t xml:space="preserve"> </w:t>
      </w:r>
      <w:r w:rsidR="005960C7" w:rsidRPr="004841EF">
        <w:rPr>
          <w:bCs/>
        </w:rPr>
        <w:t xml:space="preserve">the </w:t>
      </w:r>
      <w:r w:rsidR="005E1DA6" w:rsidRPr="004841EF">
        <w:rPr>
          <w:bCs/>
        </w:rPr>
        <w:t>types of</w:t>
      </w:r>
      <w:r w:rsidR="00B0008E" w:rsidRPr="004841EF">
        <w:rPr>
          <w:bCs/>
        </w:rPr>
        <w:t xml:space="preserve"> reasonable accommodations</w:t>
      </w:r>
      <w:r w:rsidR="005960C7" w:rsidRPr="004841EF">
        <w:rPr>
          <w:bCs/>
        </w:rPr>
        <w:t xml:space="preserve"> available</w:t>
      </w:r>
      <w:r w:rsidR="00B0008E" w:rsidRPr="004841EF">
        <w:rPr>
          <w:bCs/>
        </w:rPr>
        <w:t>, as well as rights and entitlements</w:t>
      </w:r>
      <w:r w:rsidR="00946230" w:rsidRPr="004841EF">
        <w:rPr>
          <w:bCs/>
        </w:rPr>
        <w:t xml:space="preserve"> </w:t>
      </w:r>
      <w:r w:rsidR="00B0008E" w:rsidRPr="004841EF">
        <w:rPr>
          <w:bCs/>
        </w:rPr>
        <w:t xml:space="preserve">in this area, </w:t>
      </w:r>
      <w:r w:rsidR="00946230" w:rsidRPr="004841EF">
        <w:rPr>
          <w:bCs/>
        </w:rPr>
        <w:t xml:space="preserve">also extends to employees and job applicants with disabilities. </w:t>
      </w:r>
      <w:r w:rsidR="005960C7" w:rsidRPr="004841EF">
        <w:rPr>
          <w:bCs/>
        </w:rPr>
        <w:t xml:space="preserve">Participants in two focus groups agreed </w:t>
      </w:r>
      <w:r w:rsidR="00946230" w:rsidRPr="004841EF">
        <w:rPr>
          <w:bCs/>
        </w:rPr>
        <w:t xml:space="preserve">that </w:t>
      </w:r>
      <w:r w:rsidR="000F7C06" w:rsidRPr="004841EF">
        <w:rPr>
          <w:bCs/>
        </w:rPr>
        <w:t xml:space="preserve">persons </w:t>
      </w:r>
      <w:r w:rsidR="00946230" w:rsidRPr="004841EF">
        <w:rPr>
          <w:bCs/>
        </w:rPr>
        <w:t>with disabilities are unaware of the employment equality protections</w:t>
      </w:r>
      <w:r w:rsidR="009A61BF" w:rsidRPr="004841EF">
        <w:rPr>
          <w:bCs/>
        </w:rPr>
        <w:t xml:space="preserve"> </w:t>
      </w:r>
      <w:r w:rsidR="00946230" w:rsidRPr="004841EF">
        <w:rPr>
          <w:bCs/>
        </w:rPr>
        <w:t>which are in place and the right to reasonable accommodation in the workplace.</w:t>
      </w:r>
      <w:r w:rsidR="00A861D7" w:rsidRPr="004841EF">
        <w:rPr>
          <w:bCs/>
        </w:rPr>
        <w:t xml:space="preserve"> Without this knowledge, </w:t>
      </w:r>
      <w:r w:rsidR="000F7C06" w:rsidRPr="004841EF">
        <w:rPr>
          <w:bCs/>
        </w:rPr>
        <w:t xml:space="preserve">persons </w:t>
      </w:r>
      <w:r w:rsidR="00A861D7" w:rsidRPr="004841EF">
        <w:rPr>
          <w:bCs/>
        </w:rPr>
        <w:t>with disabilities are unlikely to be in a position to advocate for their rig</w:t>
      </w:r>
      <w:r w:rsidR="00C02876" w:rsidRPr="004841EF">
        <w:rPr>
          <w:bCs/>
        </w:rPr>
        <w:t>ht to reasonable accommodation.</w:t>
      </w:r>
    </w:p>
    <w:p w14:paraId="1BB24B48" w14:textId="5687F907" w:rsidR="00FE6FFE" w:rsidRPr="004841EF" w:rsidRDefault="00FE6FFE" w:rsidP="00536B99">
      <w:pPr>
        <w:rPr>
          <w:bCs/>
        </w:rPr>
      </w:pPr>
      <w:r w:rsidRPr="004841EF">
        <w:rPr>
          <w:bCs/>
        </w:rPr>
        <w:t xml:space="preserve">In addition, participants in </w:t>
      </w:r>
      <w:r w:rsidR="005960C7" w:rsidRPr="004841EF">
        <w:rPr>
          <w:bCs/>
        </w:rPr>
        <w:t>one</w:t>
      </w:r>
      <w:r w:rsidRPr="004841EF">
        <w:rPr>
          <w:bCs/>
        </w:rPr>
        <w:t xml:space="preserve"> focus group were unaware of the meaning of reasonable accommodations; although many of them were in fact receiving reasonable accommodations, they did not term or identify the measures in that way. One participant added that while the form of a reasonable accommodation may be obvious for certain disabilities, for instance a physical disability, others are not always so clear (for example, accommodations</w:t>
      </w:r>
      <w:r w:rsidR="005960C7" w:rsidRPr="004841EF">
        <w:rPr>
          <w:bCs/>
        </w:rPr>
        <w:t xml:space="preserve"> which may be available</w:t>
      </w:r>
      <w:r w:rsidRPr="004841EF">
        <w:rPr>
          <w:bCs/>
        </w:rPr>
        <w:t xml:space="preserve"> for persons with mental health related issues</w:t>
      </w:r>
      <w:r w:rsidR="005960C7" w:rsidRPr="004841EF">
        <w:rPr>
          <w:rFonts w:cs="Arial"/>
          <w:color w:val="222222"/>
          <w:shd w:val="clear" w:color="auto" w:fill="FFFFFF"/>
        </w:rPr>
        <w:t xml:space="preserve"> </w:t>
      </w:r>
      <w:r w:rsidR="005960C7" w:rsidRPr="004841EF">
        <w:rPr>
          <w:bCs/>
        </w:rPr>
        <w:t xml:space="preserve">may include time off to </w:t>
      </w:r>
      <w:r w:rsidR="003537CC" w:rsidRPr="004841EF">
        <w:rPr>
          <w:bCs/>
        </w:rPr>
        <w:t>attend medical appointments,</w:t>
      </w:r>
      <w:r w:rsidR="005960C7" w:rsidRPr="004841EF">
        <w:rPr>
          <w:bCs/>
        </w:rPr>
        <w:t xml:space="preserve"> mentoring and peer support within the workplace etc.</w:t>
      </w:r>
      <w:r w:rsidRPr="004841EF">
        <w:rPr>
          <w:bCs/>
        </w:rPr>
        <w:t xml:space="preserve">). As a result, people </w:t>
      </w:r>
      <w:r w:rsidR="009A61BF" w:rsidRPr="004841EF">
        <w:rPr>
          <w:bCs/>
        </w:rPr>
        <w:t xml:space="preserve">with certain types of disabilities </w:t>
      </w:r>
      <w:r w:rsidRPr="004841EF">
        <w:rPr>
          <w:bCs/>
        </w:rPr>
        <w:t>may be unsure of their entitlements.</w:t>
      </w:r>
    </w:p>
    <w:p w14:paraId="3E7EF9D1" w14:textId="77777777" w:rsidR="00181CDE" w:rsidRPr="0027491F" w:rsidRDefault="00181CDE" w:rsidP="0027491F">
      <w:pPr>
        <w:keepNext/>
        <w:spacing w:after="0"/>
        <w:outlineLvl w:val="3"/>
        <w:rPr>
          <w:b/>
        </w:rPr>
      </w:pPr>
      <w:r w:rsidRPr="0027491F">
        <w:rPr>
          <w:b/>
        </w:rPr>
        <w:t>4.2.4.3. Management and colleagues</w:t>
      </w:r>
    </w:p>
    <w:p w14:paraId="28429321" w14:textId="3EA3297B" w:rsidR="00FC667C" w:rsidRPr="004841EF" w:rsidRDefault="00FC667C" w:rsidP="00536B99">
      <w:r w:rsidRPr="004841EF">
        <w:t xml:space="preserve">In addition to employers, other important staff members can lack the required knowledge in this area, such as supervisors and managers. </w:t>
      </w:r>
      <w:r w:rsidR="00182226" w:rsidRPr="004841EF">
        <w:t>Lack of information and experience in working with people with disabilities can lead to fears and concerns about what might be required in order to manage a person with a disability.</w:t>
      </w:r>
      <w:r w:rsidR="00182226" w:rsidRPr="004841EF">
        <w:rPr>
          <w:rStyle w:val="FootnoteReference"/>
          <w:rFonts w:ascii="Gill Sans MT" w:hAnsi="Gill Sans MT"/>
        </w:rPr>
        <w:footnoteReference w:id="135"/>
      </w:r>
      <w:r w:rsidR="00182226" w:rsidRPr="004841EF">
        <w:t xml:space="preserve"> </w:t>
      </w:r>
      <w:r w:rsidRPr="004841EF">
        <w:t>The World Health Organisation, in its 2011</w:t>
      </w:r>
      <w:r w:rsidRPr="004841EF">
        <w:rPr>
          <w:b/>
        </w:rPr>
        <w:t xml:space="preserve"> World Report on Disability</w:t>
      </w:r>
      <w:r w:rsidRPr="004841EF">
        <w:t>, emphasised the importance of supervisors</w:t>
      </w:r>
      <w:r w:rsidR="00615AA2" w:rsidRPr="004841EF">
        <w:t>, line managers</w:t>
      </w:r>
      <w:r w:rsidRPr="004841EF">
        <w:t xml:space="preserve"> and human resource personnel being familiar with the legal obligations on employers to provide reasonable accommodation to </w:t>
      </w:r>
      <w:r w:rsidR="000F7C06" w:rsidRPr="004841EF">
        <w:t xml:space="preserve">persons </w:t>
      </w:r>
      <w:r w:rsidRPr="004841EF">
        <w:t>with disabilities.</w:t>
      </w:r>
      <w:r w:rsidRPr="004841EF">
        <w:rPr>
          <w:sz w:val="22"/>
          <w:szCs w:val="22"/>
          <w:vertAlign w:val="superscript"/>
        </w:rPr>
        <w:footnoteReference w:id="136"/>
      </w:r>
      <w:r w:rsidRPr="004841EF">
        <w:t xml:space="preserve"> </w:t>
      </w:r>
      <w:r w:rsidR="00615AA2" w:rsidRPr="004841EF">
        <w:t xml:space="preserve">Participants in one focus group </w:t>
      </w:r>
      <w:r w:rsidR="00FB6254" w:rsidRPr="004841EF">
        <w:t>suggested</w:t>
      </w:r>
      <w:r w:rsidR="00615AA2" w:rsidRPr="004841EF">
        <w:t xml:space="preserve"> that line managers should be provided with adequate training on reasonable accommodations and should be more proactive about encouraging wellbeing in the workplace.</w:t>
      </w:r>
    </w:p>
    <w:p w14:paraId="1D13286A" w14:textId="45A3D3EC" w:rsidR="00A3401A" w:rsidRPr="004841EF" w:rsidRDefault="00A3401A" w:rsidP="00A3401A">
      <w:pPr>
        <w:rPr>
          <w:bCs/>
        </w:rPr>
      </w:pPr>
      <w:r w:rsidRPr="004841EF">
        <w:rPr>
          <w:bCs/>
        </w:rPr>
        <w:t>Additionally, in some cases, a reasonable adjustment will not succeed without the cooperation of other workers and managers.</w:t>
      </w:r>
      <w:r w:rsidR="00A17B37" w:rsidRPr="004841EF">
        <w:rPr>
          <w:bCs/>
        </w:rPr>
        <w:t xml:space="preserve"> Colleagues and managers have an important role in ensuring that </w:t>
      </w:r>
      <w:r w:rsidR="000F7C06" w:rsidRPr="004841EF">
        <w:rPr>
          <w:bCs/>
        </w:rPr>
        <w:t xml:space="preserve">persons </w:t>
      </w:r>
      <w:r w:rsidR="00A17B37" w:rsidRPr="004841EF">
        <w:rPr>
          <w:bCs/>
        </w:rPr>
        <w:t>with disabilities feel supported in the workplace and that reasonable accommodations are carried out in practice.</w:t>
      </w:r>
      <w:r w:rsidRPr="004841EF">
        <w:rPr>
          <w:bCs/>
        </w:rPr>
        <w:t xml:space="preserve"> Difficulties can sometimes arise where colleagues </w:t>
      </w:r>
      <w:r w:rsidR="005960C7" w:rsidRPr="004841EF">
        <w:rPr>
          <w:bCs/>
        </w:rPr>
        <w:t xml:space="preserve">do not have an adequate understanding of reasonable accommodations or </w:t>
      </w:r>
      <w:r w:rsidRPr="004841EF">
        <w:rPr>
          <w:bCs/>
        </w:rPr>
        <w:t>are not sensitive to the needs of a person with a disability.</w:t>
      </w:r>
    </w:p>
    <w:p w14:paraId="030232AB" w14:textId="1350080D" w:rsidR="000A7890" w:rsidRPr="004841EF" w:rsidRDefault="000A7890" w:rsidP="00A3401A">
      <w:pPr>
        <w:rPr>
          <w:bCs/>
        </w:rPr>
      </w:pPr>
      <w:r w:rsidRPr="004841EF">
        <w:rPr>
          <w:bCs/>
        </w:rPr>
        <w:t xml:space="preserve">In the NDA’s 2017 </w:t>
      </w:r>
      <w:r w:rsidRPr="004841EF">
        <w:rPr>
          <w:b/>
          <w:bCs/>
        </w:rPr>
        <w:t>National Survey of Public Attitudes to Disability in Ireland</w:t>
      </w:r>
      <w:r w:rsidRPr="004841EF">
        <w:rPr>
          <w:bCs/>
        </w:rPr>
        <w:t>, the majority of respondents indicated that they would feel at ease working with someone with a disability.</w:t>
      </w:r>
      <w:r w:rsidRPr="004841EF">
        <w:rPr>
          <w:bCs/>
          <w:sz w:val="22"/>
          <w:szCs w:val="22"/>
          <w:vertAlign w:val="superscript"/>
        </w:rPr>
        <w:footnoteReference w:id="137"/>
      </w:r>
      <w:r w:rsidRPr="004841EF">
        <w:rPr>
          <w:bCs/>
        </w:rPr>
        <w:t xml:space="preserve"> People were most comfortable working with </w:t>
      </w:r>
      <w:r w:rsidR="000F7C06" w:rsidRPr="004841EF">
        <w:rPr>
          <w:bCs/>
        </w:rPr>
        <w:t xml:space="preserve">persons </w:t>
      </w:r>
      <w:r w:rsidRPr="004841EF">
        <w:rPr>
          <w:bCs/>
        </w:rPr>
        <w:t xml:space="preserve">with physical disabilities and least comfortable working with </w:t>
      </w:r>
      <w:r w:rsidR="000F7C06" w:rsidRPr="004841EF">
        <w:rPr>
          <w:bCs/>
        </w:rPr>
        <w:t xml:space="preserve">persons </w:t>
      </w:r>
      <w:r w:rsidRPr="004841EF">
        <w:rPr>
          <w:bCs/>
        </w:rPr>
        <w:t xml:space="preserve">with mental health </w:t>
      </w:r>
      <w:r w:rsidR="004A1221" w:rsidRPr="004841EF">
        <w:rPr>
          <w:bCs/>
        </w:rPr>
        <w:t>issue</w:t>
      </w:r>
      <w:r w:rsidRPr="004841EF">
        <w:rPr>
          <w:bCs/>
        </w:rPr>
        <w:t>s.</w:t>
      </w:r>
      <w:r w:rsidRPr="004841EF">
        <w:rPr>
          <w:bCs/>
          <w:sz w:val="22"/>
          <w:szCs w:val="22"/>
          <w:vertAlign w:val="superscript"/>
        </w:rPr>
        <w:footnoteReference w:id="138"/>
      </w:r>
      <w:r w:rsidRPr="004841EF">
        <w:rPr>
          <w:bCs/>
        </w:rPr>
        <w:t xml:space="preserve"> Reasons for feeling uncomfortable about having a work colleague with a disability ranged from the suitability of work or work environment and to the belief that there would be more work for the person or their colleague</w:t>
      </w:r>
      <w:r w:rsidR="00197B14" w:rsidRPr="004841EF">
        <w:rPr>
          <w:bCs/>
        </w:rPr>
        <w:t>,</w:t>
      </w:r>
      <w:r w:rsidRPr="004841EF">
        <w:rPr>
          <w:bCs/>
        </w:rPr>
        <w:t xml:space="preserve"> to personal discomfort and behavioural concerns.</w:t>
      </w:r>
    </w:p>
    <w:p w14:paraId="134C3FC2" w14:textId="19459E73" w:rsidR="007B025B" w:rsidRPr="004841EF" w:rsidRDefault="009372AC" w:rsidP="00536B99">
      <w:pPr>
        <w:rPr>
          <w:bCs/>
        </w:rPr>
      </w:pPr>
      <w:r w:rsidRPr="004841EF">
        <w:rPr>
          <w:bCs/>
        </w:rPr>
        <w:t>Good quality training and information</w:t>
      </w:r>
      <w:r w:rsidR="00A3401A" w:rsidRPr="004841EF">
        <w:rPr>
          <w:bCs/>
        </w:rPr>
        <w:t xml:space="preserve"> for staff and managers</w:t>
      </w:r>
      <w:r w:rsidR="00186FB8" w:rsidRPr="004841EF">
        <w:rPr>
          <w:bCs/>
        </w:rPr>
        <w:t xml:space="preserve"> </w:t>
      </w:r>
      <w:r w:rsidR="00FC667C" w:rsidRPr="004841EF">
        <w:rPr>
          <w:bCs/>
        </w:rPr>
        <w:t>can build</w:t>
      </w:r>
      <w:r w:rsidR="005E18C7" w:rsidRPr="004841EF">
        <w:rPr>
          <w:bCs/>
        </w:rPr>
        <w:t xml:space="preserve"> awareness and understanding of disability in the workplace</w:t>
      </w:r>
      <w:r w:rsidR="00A3401A" w:rsidRPr="004841EF">
        <w:rPr>
          <w:bCs/>
        </w:rPr>
        <w:t xml:space="preserve">. </w:t>
      </w:r>
      <w:r w:rsidR="007B025B" w:rsidRPr="004841EF">
        <w:rPr>
          <w:bCs/>
        </w:rPr>
        <w:t>The UN Committee has previously recommended that regular training on reasonable accommodation be made available to employees without disabilities.</w:t>
      </w:r>
      <w:r w:rsidR="007B025B" w:rsidRPr="004841EF">
        <w:rPr>
          <w:bCs/>
          <w:sz w:val="22"/>
          <w:szCs w:val="22"/>
          <w:vertAlign w:val="superscript"/>
        </w:rPr>
        <w:footnoteReference w:id="139"/>
      </w:r>
    </w:p>
    <w:p w14:paraId="065E7A87" w14:textId="7B67EA77" w:rsidR="00536B99" w:rsidRPr="004841EF" w:rsidRDefault="00536B99" w:rsidP="00536B99">
      <w:pPr>
        <w:rPr>
          <w:bCs/>
        </w:rPr>
      </w:pPr>
      <w:r w:rsidRPr="004841EF">
        <w:rPr>
          <w:bCs/>
        </w:rPr>
        <w:t xml:space="preserve">The </w:t>
      </w:r>
      <w:r w:rsidRPr="004841EF">
        <w:rPr>
          <w:b/>
          <w:bCs/>
        </w:rPr>
        <w:t>Disability Awareness Support Scheme</w:t>
      </w:r>
      <w:r w:rsidR="009372AC" w:rsidRPr="004841EF">
        <w:rPr>
          <w:bCs/>
        </w:rPr>
        <w:t>,</w:t>
      </w:r>
      <w:r w:rsidRPr="004841EF">
        <w:rPr>
          <w:bCs/>
        </w:rPr>
        <w:t xml:space="preserve"> </w:t>
      </w:r>
      <w:r w:rsidR="009372AC" w:rsidRPr="004841EF">
        <w:rPr>
          <w:bCs/>
        </w:rPr>
        <w:t xml:space="preserve">administered by the Department of Employment Affairs and Social Protection, </w:t>
      </w:r>
      <w:r w:rsidRPr="004841EF">
        <w:rPr>
          <w:bCs/>
        </w:rPr>
        <w:t>provides funding so that private sector employers can buy in disability awareness training for staff who work with a colleague who has a disability.</w:t>
      </w:r>
      <w:r w:rsidR="00E74AE7" w:rsidRPr="004841EF">
        <w:rPr>
          <w:rStyle w:val="FootnoteReference"/>
          <w:rFonts w:ascii="Gill Sans MT" w:hAnsi="Gill Sans MT"/>
          <w:bCs/>
        </w:rPr>
        <w:footnoteReference w:id="140"/>
      </w:r>
      <w:r w:rsidRPr="004841EF">
        <w:rPr>
          <w:bCs/>
        </w:rPr>
        <w:t xml:space="preserve"> The purpose of the training is to deliver clear and accurate information about disability and to address questions or concerns that employers and employees may have about working with </w:t>
      </w:r>
      <w:r w:rsidR="000F7C06" w:rsidRPr="004841EF">
        <w:rPr>
          <w:bCs/>
        </w:rPr>
        <w:t xml:space="preserve">persons </w:t>
      </w:r>
      <w:r w:rsidRPr="004841EF">
        <w:rPr>
          <w:bCs/>
        </w:rPr>
        <w:t>with disabilities.</w:t>
      </w:r>
    </w:p>
    <w:p w14:paraId="718F4D8E" w14:textId="72D267D1" w:rsidR="00536B99" w:rsidRPr="004841EF" w:rsidRDefault="00536B99" w:rsidP="00C02876">
      <w:pPr>
        <w:spacing w:after="120"/>
        <w:rPr>
          <w:bCs/>
        </w:rPr>
      </w:pPr>
      <w:r w:rsidRPr="004841EF">
        <w:rPr>
          <w:bCs/>
        </w:rPr>
        <w:t xml:space="preserve">According to </w:t>
      </w:r>
      <w:r w:rsidRPr="004841EF">
        <w:t>the Department of Employment Affairs and Social Protection</w:t>
      </w:r>
      <w:r w:rsidR="00C02876" w:rsidRPr="004841EF">
        <w:rPr>
          <w:bCs/>
        </w:rPr>
        <w:t xml:space="preserve">, the training should be </w:t>
      </w:r>
      <w:r w:rsidRPr="004841EF">
        <w:rPr>
          <w:bCs/>
        </w:rPr>
        <w:t>aimed at providing participants with an understanding and awareness of the issues surrounding disability, including:</w:t>
      </w:r>
    </w:p>
    <w:p w14:paraId="219F407B" w14:textId="77777777" w:rsidR="00C31765" w:rsidRPr="004841EF" w:rsidRDefault="00536B99" w:rsidP="00C31765">
      <w:pPr>
        <w:pStyle w:val="ListBullet"/>
      </w:pPr>
      <w:r w:rsidRPr="004841EF">
        <w:t>An overview of relevant anti-discrimination and equal opportunities legislation</w:t>
      </w:r>
    </w:p>
    <w:p w14:paraId="75797BA2" w14:textId="77777777" w:rsidR="00C31765" w:rsidRPr="004841EF" w:rsidRDefault="00536B99" w:rsidP="00C31765">
      <w:pPr>
        <w:pStyle w:val="ListBullet"/>
      </w:pPr>
      <w:r w:rsidRPr="004841EF">
        <w:rPr>
          <w:bCs/>
        </w:rPr>
        <w:t>General and specific information on disabilities, perceptual awareness exercises and disability etiquette</w:t>
      </w:r>
    </w:p>
    <w:p w14:paraId="5088E498" w14:textId="2D66E3F8" w:rsidR="00536B99" w:rsidRPr="004841EF" w:rsidRDefault="00536B99" w:rsidP="00C02876">
      <w:pPr>
        <w:pStyle w:val="ListBullet"/>
        <w:spacing w:after="240"/>
        <w:ind w:left="357" w:hanging="357"/>
      </w:pPr>
      <w:r w:rsidRPr="004841EF">
        <w:rPr>
          <w:bCs/>
        </w:rPr>
        <w:t>Information on dealing with mental health issues in the workplace</w:t>
      </w:r>
      <w:r w:rsidR="00741592" w:rsidRPr="004841EF">
        <w:rPr>
          <w:rStyle w:val="FootnoteReference"/>
          <w:rFonts w:ascii="Gill Sans MT" w:hAnsi="Gill Sans MT"/>
          <w:bCs/>
        </w:rPr>
        <w:footnoteReference w:id="141"/>
      </w:r>
    </w:p>
    <w:p w14:paraId="2EB6870B" w14:textId="45284A93" w:rsidR="00536B99" w:rsidRPr="004841EF" w:rsidRDefault="00536B99" w:rsidP="00536B99">
      <w:pPr>
        <w:rPr>
          <w:bCs/>
        </w:rPr>
      </w:pPr>
      <w:r w:rsidRPr="004841EF">
        <w:rPr>
          <w:bCs/>
        </w:rPr>
        <w:t>The scheme is described as demand-led, where expenditure arises in response to applications received.</w:t>
      </w:r>
      <w:r w:rsidR="00BD7A7C" w:rsidRPr="004841EF">
        <w:rPr>
          <w:rStyle w:val="FootnoteReference"/>
          <w:rFonts w:ascii="Gill Sans MT" w:hAnsi="Gill Sans MT"/>
          <w:bCs/>
        </w:rPr>
        <w:footnoteReference w:id="142"/>
      </w:r>
      <w:r w:rsidRPr="004841EF">
        <w:rPr>
          <w:bCs/>
        </w:rPr>
        <w:t> </w:t>
      </w:r>
      <w:r w:rsidR="0081777C" w:rsidRPr="004841EF">
        <w:rPr>
          <w:bCs/>
        </w:rPr>
        <w:t xml:space="preserve">There is no pre-approved list of </w:t>
      </w:r>
      <w:r w:rsidR="00EF7D51" w:rsidRPr="004841EF">
        <w:rPr>
          <w:b/>
          <w:bCs/>
        </w:rPr>
        <w:t>Disability Awareness Support Scheme</w:t>
      </w:r>
      <w:r w:rsidR="00513AC0" w:rsidRPr="004841EF">
        <w:rPr>
          <w:bCs/>
        </w:rPr>
        <w:t xml:space="preserve"> </w:t>
      </w:r>
      <w:r w:rsidR="0081777C" w:rsidRPr="004841EF">
        <w:rPr>
          <w:bCs/>
        </w:rPr>
        <w:t>training providers</w:t>
      </w:r>
      <w:r w:rsidR="00513AC0" w:rsidRPr="004841EF">
        <w:rPr>
          <w:bCs/>
        </w:rPr>
        <w:t>.</w:t>
      </w:r>
      <w:r w:rsidR="00513AC0" w:rsidRPr="004841EF">
        <w:rPr>
          <w:rStyle w:val="FootnoteReference"/>
          <w:rFonts w:ascii="Gill Sans MT" w:hAnsi="Gill Sans MT"/>
          <w:bCs/>
        </w:rPr>
        <w:footnoteReference w:id="143"/>
      </w:r>
      <w:r w:rsidR="00513AC0" w:rsidRPr="004841EF">
        <w:rPr>
          <w:bCs/>
        </w:rPr>
        <w:t xml:space="preserve"> D</w:t>
      </w:r>
      <w:r w:rsidR="0081777C" w:rsidRPr="004841EF">
        <w:rPr>
          <w:bCs/>
        </w:rPr>
        <w:t xml:space="preserve">ifficulties finding an appropriate trainer were cited </w:t>
      </w:r>
      <w:r w:rsidR="006511C1" w:rsidRPr="004841EF">
        <w:rPr>
          <w:bCs/>
        </w:rPr>
        <w:t xml:space="preserve">during </w:t>
      </w:r>
      <w:r w:rsidR="005E18C7" w:rsidRPr="004841EF">
        <w:rPr>
          <w:bCs/>
        </w:rPr>
        <w:t xml:space="preserve">one of </w:t>
      </w:r>
      <w:r w:rsidR="006511C1" w:rsidRPr="004841EF">
        <w:rPr>
          <w:bCs/>
        </w:rPr>
        <w:t xml:space="preserve">the </w:t>
      </w:r>
      <w:r w:rsidR="005E18C7" w:rsidRPr="004841EF">
        <w:rPr>
          <w:bCs/>
        </w:rPr>
        <w:t>focus groups</w:t>
      </w:r>
      <w:r w:rsidR="00C02876" w:rsidRPr="004841EF">
        <w:rPr>
          <w:bCs/>
        </w:rPr>
        <w:t>.</w:t>
      </w:r>
    </w:p>
    <w:p w14:paraId="2842FB7B" w14:textId="789806E6" w:rsidR="0047147B" w:rsidRPr="004841EF" w:rsidRDefault="00490E18" w:rsidP="00536B99">
      <w:pPr>
        <w:rPr>
          <w:bCs/>
        </w:rPr>
      </w:pPr>
      <w:r w:rsidRPr="004841EF">
        <w:rPr>
          <w:bCs/>
        </w:rPr>
        <w:t>The</w:t>
      </w:r>
      <w:r w:rsidR="00536B99" w:rsidRPr="004841EF">
        <w:rPr>
          <w:bCs/>
        </w:rPr>
        <w:t xml:space="preserve"> </w:t>
      </w:r>
      <w:r w:rsidR="00A60E28" w:rsidRPr="004841EF">
        <w:rPr>
          <w:bCs/>
        </w:rPr>
        <w:t>table below illustrates that few</w:t>
      </w:r>
      <w:r w:rsidR="00536B99" w:rsidRPr="004841EF">
        <w:rPr>
          <w:bCs/>
        </w:rPr>
        <w:t xml:space="preserve"> applications from employers</w:t>
      </w:r>
      <w:r w:rsidR="004C36B2" w:rsidRPr="004841EF">
        <w:rPr>
          <w:bCs/>
        </w:rPr>
        <w:t xml:space="preserve"> have been</w:t>
      </w:r>
      <w:r w:rsidR="00536B99" w:rsidRPr="004841EF">
        <w:rPr>
          <w:bCs/>
        </w:rPr>
        <w:t xml:space="preserve"> </w:t>
      </w:r>
      <w:r w:rsidR="0002734F" w:rsidRPr="004841EF">
        <w:rPr>
          <w:bCs/>
        </w:rPr>
        <w:t xml:space="preserve">granted </w:t>
      </w:r>
      <w:r w:rsidR="00536B99" w:rsidRPr="004841EF">
        <w:rPr>
          <w:bCs/>
        </w:rPr>
        <w:t xml:space="preserve">under the </w:t>
      </w:r>
      <w:r w:rsidR="00536B99" w:rsidRPr="004841EF">
        <w:rPr>
          <w:b/>
          <w:bCs/>
        </w:rPr>
        <w:t>Disability Awareness Support Scheme</w:t>
      </w:r>
      <w:r w:rsidR="00A60E28" w:rsidRPr="004841EF">
        <w:rPr>
          <w:b/>
          <w:bCs/>
        </w:rPr>
        <w:t>.</w:t>
      </w:r>
    </w:p>
    <w:p w14:paraId="748CD180" w14:textId="47E14F90" w:rsidR="00536B99" w:rsidRPr="004841EF" w:rsidRDefault="00536B99" w:rsidP="00536B99">
      <w:pPr>
        <w:spacing w:after="200" w:line="23" w:lineRule="atLeast"/>
        <w:rPr>
          <w:rFonts w:eastAsia="Calibri"/>
          <w:b/>
          <w:sz w:val="24"/>
          <w:szCs w:val="26"/>
        </w:rPr>
      </w:pPr>
      <w:r w:rsidRPr="004841EF">
        <w:rPr>
          <w:rFonts w:eastAsia="Calibri"/>
          <w:b/>
          <w:sz w:val="24"/>
          <w:szCs w:val="26"/>
        </w:rPr>
        <w:t xml:space="preserve">Table 7: Expenditure on the Disability Awareness </w:t>
      </w:r>
      <w:r w:rsidR="00C00B0B" w:rsidRPr="004841EF">
        <w:rPr>
          <w:rFonts w:eastAsia="Calibri"/>
          <w:b/>
          <w:sz w:val="24"/>
          <w:szCs w:val="26"/>
        </w:rPr>
        <w:t xml:space="preserve">Support </w:t>
      </w:r>
      <w:r w:rsidRPr="004841EF">
        <w:rPr>
          <w:rFonts w:eastAsia="Calibri"/>
          <w:b/>
          <w:sz w:val="24"/>
          <w:szCs w:val="26"/>
        </w:rPr>
        <w:t>Scheme, 2012-201</w:t>
      </w:r>
      <w:r w:rsidR="003243D6" w:rsidRPr="004841EF">
        <w:rPr>
          <w:rFonts w:eastAsia="Calibri"/>
          <w:b/>
          <w:sz w:val="24"/>
          <w:szCs w:val="26"/>
        </w:rPr>
        <w:t>9</w:t>
      </w:r>
    </w:p>
    <w:tbl>
      <w:tblPr>
        <w:tblW w:w="902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513"/>
        <w:gridCol w:w="4513"/>
      </w:tblGrid>
      <w:tr w:rsidR="00536B99" w:rsidRPr="004841EF" w14:paraId="4A3F45EC" w14:textId="77777777" w:rsidTr="00536B99">
        <w:trPr>
          <w:tblHeader/>
        </w:trPr>
        <w:tc>
          <w:tcPr>
            <w:tcW w:w="4513" w:type="dxa"/>
            <w:tcBorders>
              <w:bottom w:val="single" w:sz="12" w:space="0" w:color="000000"/>
            </w:tcBorders>
            <w:shd w:val="clear" w:color="auto" w:fill="auto"/>
          </w:tcPr>
          <w:p w14:paraId="594E1170" w14:textId="77777777" w:rsidR="00536B99" w:rsidRPr="004841EF" w:rsidRDefault="00536B99" w:rsidP="00051A5F">
            <w:pPr>
              <w:spacing w:after="200" w:line="23" w:lineRule="atLeast"/>
              <w:jc w:val="right"/>
              <w:rPr>
                <w:b/>
                <w:bCs/>
                <w:sz w:val="22"/>
                <w:szCs w:val="22"/>
              </w:rPr>
            </w:pPr>
            <w:r w:rsidRPr="004841EF">
              <w:rPr>
                <w:b/>
                <w:bCs/>
                <w:sz w:val="22"/>
                <w:szCs w:val="22"/>
              </w:rPr>
              <w:t>Year</w:t>
            </w:r>
          </w:p>
        </w:tc>
        <w:tc>
          <w:tcPr>
            <w:tcW w:w="4513" w:type="dxa"/>
            <w:tcBorders>
              <w:bottom w:val="single" w:sz="12" w:space="0" w:color="000000"/>
            </w:tcBorders>
            <w:shd w:val="clear" w:color="auto" w:fill="auto"/>
          </w:tcPr>
          <w:p w14:paraId="22FFCBEF" w14:textId="77777777" w:rsidR="00536B99" w:rsidRPr="004841EF" w:rsidRDefault="00536B99" w:rsidP="00051A5F">
            <w:pPr>
              <w:spacing w:after="200" w:line="23" w:lineRule="atLeast"/>
              <w:jc w:val="right"/>
              <w:rPr>
                <w:b/>
                <w:bCs/>
                <w:sz w:val="22"/>
                <w:szCs w:val="22"/>
              </w:rPr>
            </w:pPr>
            <w:r w:rsidRPr="004841EF">
              <w:rPr>
                <w:b/>
                <w:bCs/>
                <w:sz w:val="22"/>
                <w:szCs w:val="22"/>
              </w:rPr>
              <w:t>€</w:t>
            </w:r>
          </w:p>
        </w:tc>
      </w:tr>
      <w:tr w:rsidR="00536B99" w:rsidRPr="004841EF" w14:paraId="3DE3AB34" w14:textId="77777777" w:rsidTr="00536B99">
        <w:tc>
          <w:tcPr>
            <w:tcW w:w="4513" w:type="dxa"/>
            <w:tcBorders>
              <w:top w:val="single" w:sz="12" w:space="0" w:color="000000"/>
            </w:tcBorders>
            <w:shd w:val="clear" w:color="auto" w:fill="auto"/>
          </w:tcPr>
          <w:p w14:paraId="786A4E1D" w14:textId="77777777" w:rsidR="00536B99" w:rsidRPr="004841EF" w:rsidRDefault="00536B99" w:rsidP="00832306">
            <w:pPr>
              <w:spacing w:after="200" w:line="23" w:lineRule="atLeast"/>
              <w:jc w:val="right"/>
              <w:rPr>
                <w:bCs/>
                <w:sz w:val="22"/>
                <w:szCs w:val="22"/>
              </w:rPr>
            </w:pPr>
            <w:r w:rsidRPr="004841EF">
              <w:rPr>
                <w:bCs/>
                <w:sz w:val="22"/>
                <w:szCs w:val="22"/>
              </w:rPr>
              <w:t>2012</w:t>
            </w:r>
          </w:p>
        </w:tc>
        <w:tc>
          <w:tcPr>
            <w:tcW w:w="4513" w:type="dxa"/>
            <w:tcBorders>
              <w:top w:val="single" w:sz="12" w:space="0" w:color="000000"/>
            </w:tcBorders>
            <w:shd w:val="clear" w:color="auto" w:fill="auto"/>
          </w:tcPr>
          <w:p w14:paraId="2143B782" w14:textId="2F532320" w:rsidR="00536B99" w:rsidRPr="004841EF" w:rsidRDefault="00536B99" w:rsidP="00832306">
            <w:pPr>
              <w:spacing w:after="200" w:line="23" w:lineRule="atLeast"/>
              <w:jc w:val="right"/>
              <w:rPr>
                <w:bCs/>
                <w:sz w:val="22"/>
                <w:szCs w:val="22"/>
              </w:rPr>
            </w:pPr>
            <w:r w:rsidRPr="004841EF">
              <w:rPr>
                <w:bCs/>
                <w:sz w:val="22"/>
                <w:szCs w:val="22"/>
              </w:rPr>
              <w:t>2,430</w:t>
            </w:r>
          </w:p>
        </w:tc>
      </w:tr>
      <w:tr w:rsidR="00536B99" w:rsidRPr="004841EF" w14:paraId="7986702B" w14:textId="77777777" w:rsidTr="00536B99">
        <w:tc>
          <w:tcPr>
            <w:tcW w:w="4513" w:type="dxa"/>
            <w:shd w:val="clear" w:color="auto" w:fill="auto"/>
          </w:tcPr>
          <w:p w14:paraId="622BAD79" w14:textId="77777777" w:rsidR="00536B99" w:rsidRPr="004841EF" w:rsidRDefault="00536B99" w:rsidP="00832306">
            <w:pPr>
              <w:spacing w:after="200" w:line="23" w:lineRule="atLeast"/>
              <w:jc w:val="right"/>
              <w:rPr>
                <w:bCs/>
                <w:sz w:val="22"/>
                <w:szCs w:val="22"/>
              </w:rPr>
            </w:pPr>
            <w:r w:rsidRPr="004841EF">
              <w:rPr>
                <w:bCs/>
                <w:sz w:val="22"/>
                <w:szCs w:val="22"/>
              </w:rPr>
              <w:t>2013</w:t>
            </w:r>
          </w:p>
        </w:tc>
        <w:tc>
          <w:tcPr>
            <w:tcW w:w="4513" w:type="dxa"/>
            <w:shd w:val="clear" w:color="auto" w:fill="auto"/>
          </w:tcPr>
          <w:p w14:paraId="40AAF504" w14:textId="5461BFDD" w:rsidR="00536B99" w:rsidRPr="004841EF" w:rsidRDefault="00536B99" w:rsidP="00832306">
            <w:pPr>
              <w:spacing w:after="200" w:line="23" w:lineRule="atLeast"/>
              <w:jc w:val="right"/>
              <w:rPr>
                <w:bCs/>
                <w:sz w:val="22"/>
                <w:szCs w:val="22"/>
              </w:rPr>
            </w:pPr>
            <w:r w:rsidRPr="004841EF">
              <w:rPr>
                <w:bCs/>
                <w:sz w:val="22"/>
                <w:szCs w:val="22"/>
              </w:rPr>
              <w:t>834</w:t>
            </w:r>
          </w:p>
        </w:tc>
      </w:tr>
      <w:tr w:rsidR="00536B99" w:rsidRPr="004841EF" w14:paraId="6916BDC8" w14:textId="77777777" w:rsidTr="00536B99">
        <w:tc>
          <w:tcPr>
            <w:tcW w:w="4513" w:type="dxa"/>
            <w:shd w:val="clear" w:color="auto" w:fill="auto"/>
          </w:tcPr>
          <w:p w14:paraId="358A1A08" w14:textId="77777777" w:rsidR="00536B99" w:rsidRPr="004841EF" w:rsidRDefault="00536B99" w:rsidP="00832306">
            <w:pPr>
              <w:spacing w:after="200" w:line="23" w:lineRule="atLeast"/>
              <w:jc w:val="right"/>
              <w:rPr>
                <w:bCs/>
                <w:sz w:val="22"/>
                <w:szCs w:val="22"/>
              </w:rPr>
            </w:pPr>
            <w:r w:rsidRPr="004841EF">
              <w:rPr>
                <w:bCs/>
                <w:sz w:val="22"/>
                <w:szCs w:val="22"/>
              </w:rPr>
              <w:t>2014</w:t>
            </w:r>
          </w:p>
        </w:tc>
        <w:tc>
          <w:tcPr>
            <w:tcW w:w="4513" w:type="dxa"/>
            <w:shd w:val="clear" w:color="auto" w:fill="auto"/>
          </w:tcPr>
          <w:p w14:paraId="0E157ADA" w14:textId="2C1B41C6" w:rsidR="00536B99" w:rsidRPr="004841EF" w:rsidRDefault="00536B99" w:rsidP="00832306">
            <w:pPr>
              <w:spacing w:after="200" w:line="23" w:lineRule="atLeast"/>
              <w:jc w:val="right"/>
              <w:rPr>
                <w:bCs/>
                <w:sz w:val="22"/>
                <w:szCs w:val="22"/>
              </w:rPr>
            </w:pPr>
            <w:r w:rsidRPr="004841EF">
              <w:rPr>
                <w:bCs/>
                <w:sz w:val="22"/>
                <w:szCs w:val="22"/>
              </w:rPr>
              <w:t>3,760</w:t>
            </w:r>
          </w:p>
        </w:tc>
      </w:tr>
      <w:tr w:rsidR="00536B99" w:rsidRPr="004841EF" w14:paraId="0C93E272" w14:textId="77777777" w:rsidTr="00536B99">
        <w:tc>
          <w:tcPr>
            <w:tcW w:w="4513" w:type="dxa"/>
            <w:shd w:val="clear" w:color="auto" w:fill="auto"/>
          </w:tcPr>
          <w:p w14:paraId="287B9187" w14:textId="77777777" w:rsidR="00536B99" w:rsidRPr="004841EF" w:rsidRDefault="00536B99" w:rsidP="00832306">
            <w:pPr>
              <w:spacing w:after="200" w:line="23" w:lineRule="atLeast"/>
              <w:jc w:val="right"/>
              <w:rPr>
                <w:bCs/>
                <w:sz w:val="22"/>
                <w:szCs w:val="22"/>
              </w:rPr>
            </w:pPr>
            <w:r w:rsidRPr="004841EF">
              <w:rPr>
                <w:bCs/>
                <w:sz w:val="22"/>
                <w:szCs w:val="22"/>
              </w:rPr>
              <w:t>2015</w:t>
            </w:r>
          </w:p>
        </w:tc>
        <w:tc>
          <w:tcPr>
            <w:tcW w:w="4513" w:type="dxa"/>
            <w:shd w:val="clear" w:color="auto" w:fill="auto"/>
          </w:tcPr>
          <w:p w14:paraId="278AA2CA" w14:textId="24D92964" w:rsidR="00536B99" w:rsidRPr="004841EF" w:rsidRDefault="00536B99" w:rsidP="00832306">
            <w:pPr>
              <w:spacing w:after="200" w:line="23" w:lineRule="atLeast"/>
              <w:jc w:val="right"/>
              <w:rPr>
                <w:bCs/>
                <w:sz w:val="22"/>
                <w:szCs w:val="22"/>
              </w:rPr>
            </w:pPr>
            <w:r w:rsidRPr="004841EF">
              <w:rPr>
                <w:bCs/>
                <w:sz w:val="22"/>
                <w:szCs w:val="22"/>
              </w:rPr>
              <w:t>12,967</w:t>
            </w:r>
          </w:p>
        </w:tc>
      </w:tr>
      <w:tr w:rsidR="00536B99" w:rsidRPr="004841EF" w14:paraId="5B216412" w14:textId="77777777" w:rsidTr="00536B99">
        <w:tc>
          <w:tcPr>
            <w:tcW w:w="4513" w:type="dxa"/>
            <w:shd w:val="clear" w:color="auto" w:fill="auto"/>
          </w:tcPr>
          <w:p w14:paraId="2062F8B2" w14:textId="77777777" w:rsidR="00536B99" w:rsidRPr="004841EF" w:rsidRDefault="00536B99" w:rsidP="00832306">
            <w:pPr>
              <w:spacing w:after="200" w:line="23" w:lineRule="atLeast"/>
              <w:jc w:val="right"/>
              <w:rPr>
                <w:bCs/>
                <w:sz w:val="22"/>
                <w:szCs w:val="22"/>
              </w:rPr>
            </w:pPr>
            <w:r w:rsidRPr="004841EF">
              <w:rPr>
                <w:bCs/>
                <w:sz w:val="22"/>
                <w:szCs w:val="22"/>
              </w:rPr>
              <w:t>2016</w:t>
            </w:r>
          </w:p>
        </w:tc>
        <w:tc>
          <w:tcPr>
            <w:tcW w:w="4513" w:type="dxa"/>
            <w:shd w:val="clear" w:color="auto" w:fill="auto"/>
          </w:tcPr>
          <w:p w14:paraId="0FEB90DF" w14:textId="6F6D49BE" w:rsidR="00536B99" w:rsidRPr="004841EF" w:rsidRDefault="00536B99" w:rsidP="00832306">
            <w:pPr>
              <w:spacing w:after="200" w:line="23" w:lineRule="atLeast"/>
              <w:jc w:val="right"/>
              <w:rPr>
                <w:bCs/>
                <w:sz w:val="22"/>
                <w:szCs w:val="22"/>
              </w:rPr>
            </w:pPr>
            <w:r w:rsidRPr="004841EF">
              <w:rPr>
                <w:bCs/>
                <w:sz w:val="22"/>
                <w:szCs w:val="22"/>
              </w:rPr>
              <w:t>9,270</w:t>
            </w:r>
          </w:p>
        </w:tc>
      </w:tr>
      <w:tr w:rsidR="00536B99" w:rsidRPr="004841EF" w14:paraId="5EBD7FDB" w14:textId="77777777" w:rsidTr="00536B99">
        <w:tc>
          <w:tcPr>
            <w:tcW w:w="4513" w:type="dxa"/>
            <w:shd w:val="clear" w:color="auto" w:fill="auto"/>
          </w:tcPr>
          <w:p w14:paraId="2B08F50F" w14:textId="77777777" w:rsidR="00536B99" w:rsidRPr="004841EF" w:rsidRDefault="00536B99" w:rsidP="00832306">
            <w:pPr>
              <w:spacing w:after="200" w:line="23" w:lineRule="atLeast"/>
              <w:jc w:val="right"/>
              <w:rPr>
                <w:bCs/>
                <w:sz w:val="22"/>
                <w:szCs w:val="22"/>
              </w:rPr>
            </w:pPr>
            <w:r w:rsidRPr="004841EF">
              <w:rPr>
                <w:bCs/>
                <w:sz w:val="22"/>
                <w:szCs w:val="22"/>
              </w:rPr>
              <w:t>2017</w:t>
            </w:r>
          </w:p>
        </w:tc>
        <w:tc>
          <w:tcPr>
            <w:tcW w:w="4513" w:type="dxa"/>
            <w:shd w:val="clear" w:color="auto" w:fill="auto"/>
          </w:tcPr>
          <w:p w14:paraId="11AE1738" w14:textId="1A6B1318" w:rsidR="00536B99" w:rsidRPr="004841EF" w:rsidRDefault="00536B99" w:rsidP="00832306">
            <w:pPr>
              <w:spacing w:after="200" w:line="23" w:lineRule="atLeast"/>
              <w:jc w:val="right"/>
              <w:rPr>
                <w:bCs/>
                <w:sz w:val="22"/>
                <w:szCs w:val="22"/>
              </w:rPr>
            </w:pPr>
            <w:r w:rsidRPr="004841EF">
              <w:rPr>
                <w:bCs/>
                <w:sz w:val="22"/>
                <w:szCs w:val="22"/>
              </w:rPr>
              <w:t>62,275</w:t>
            </w:r>
          </w:p>
        </w:tc>
      </w:tr>
      <w:tr w:rsidR="00536B99" w:rsidRPr="004841EF" w14:paraId="6A890CFB" w14:textId="77777777" w:rsidTr="00536B99">
        <w:tc>
          <w:tcPr>
            <w:tcW w:w="4513" w:type="dxa"/>
            <w:shd w:val="clear" w:color="auto" w:fill="auto"/>
          </w:tcPr>
          <w:p w14:paraId="26DEDD76" w14:textId="77777777" w:rsidR="00536B99" w:rsidRPr="004841EF" w:rsidRDefault="00536B99" w:rsidP="00701122">
            <w:pPr>
              <w:spacing w:after="200" w:line="23" w:lineRule="atLeast"/>
              <w:jc w:val="right"/>
              <w:rPr>
                <w:rFonts w:eastAsia="Calibri"/>
                <w:sz w:val="22"/>
                <w:szCs w:val="22"/>
              </w:rPr>
            </w:pPr>
            <w:r w:rsidRPr="004841EF">
              <w:rPr>
                <w:rFonts w:eastAsia="Calibri"/>
                <w:sz w:val="22"/>
                <w:szCs w:val="22"/>
              </w:rPr>
              <w:t>2018</w:t>
            </w:r>
          </w:p>
        </w:tc>
        <w:tc>
          <w:tcPr>
            <w:tcW w:w="4513" w:type="dxa"/>
            <w:shd w:val="clear" w:color="auto" w:fill="auto"/>
          </w:tcPr>
          <w:p w14:paraId="4EE2B6BB" w14:textId="3BBF2728" w:rsidR="00536B99" w:rsidRPr="004841EF" w:rsidRDefault="0081777C" w:rsidP="00701122">
            <w:pPr>
              <w:spacing w:after="200" w:line="23" w:lineRule="atLeast"/>
              <w:jc w:val="right"/>
              <w:rPr>
                <w:rFonts w:eastAsia="Calibri"/>
                <w:sz w:val="22"/>
                <w:szCs w:val="22"/>
              </w:rPr>
            </w:pPr>
            <w:r w:rsidRPr="004841EF">
              <w:rPr>
                <w:rFonts w:eastAsia="Calibri"/>
                <w:sz w:val="22"/>
                <w:szCs w:val="22"/>
              </w:rPr>
              <w:t xml:space="preserve">20,214 </w:t>
            </w:r>
          </w:p>
        </w:tc>
      </w:tr>
      <w:tr w:rsidR="0083653A" w:rsidRPr="004841EF" w14:paraId="577DBA66" w14:textId="77777777" w:rsidTr="00536B99">
        <w:tc>
          <w:tcPr>
            <w:tcW w:w="4513" w:type="dxa"/>
            <w:shd w:val="clear" w:color="auto" w:fill="auto"/>
          </w:tcPr>
          <w:p w14:paraId="12419469" w14:textId="20D9BA77" w:rsidR="0083653A" w:rsidRPr="004841EF" w:rsidRDefault="0083653A" w:rsidP="00701122">
            <w:pPr>
              <w:spacing w:after="200" w:line="23" w:lineRule="atLeast"/>
              <w:jc w:val="right"/>
              <w:rPr>
                <w:rFonts w:eastAsia="Calibri"/>
                <w:sz w:val="22"/>
                <w:szCs w:val="22"/>
              </w:rPr>
            </w:pPr>
            <w:r w:rsidRPr="004841EF">
              <w:rPr>
                <w:rFonts w:eastAsia="Calibri"/>
                <w:sz w:val="22"/>
                <w:szCs w:val="22"/>
              </w:rPr>
              <w:t>2019 (up to April 2019)</w:t>
            </w:r>
          </w:p>
        </w:tc>
        <w:tc>
          <w:tcPr>
            <w:tcW w:w="4513" w:type="dxa"/>
            <w:shd w:val="clear" w:color="auto" w:fill="auto"/>
          </w:tcPr>
          <w:p w14:paraId="78E72B86" w14:textId="5A80FA91" w:rsidR="0083653A" w:rsidRPr="004841EF" w:rsidRDefault="0083653A" w:rsidP="00701122">
            <w:pPr>
              <w:spacing w:after="200" w:line="23" w:lineRule="atLeast"/>
              <w:jc w:val="right"/>
              <w:rPr>
                <w:rFonts w:eastAsia="Calibri"/>
                <w:sz w:val="22"/>
                <w:szCs w:val="22"/>
              </w:rPr>
            </w:pPr>
            <w:r w:rsidRPr="004841EF">
              <w:rPr>
                <w:rFonts w:eastAsia="Calibri"/>
                <w:sz w:val="22"/>
                <w:szCs w:val="22"/>
              </w:rPr>
              <w:t>1,418</w:t>
            </w:r>
          </w:p>
        </w:tc>
      </w:tr>
    </w:tbl>
    <w:p w14:paraId="0E781DC9" w14:textId="24B150DA" w:rsidR="00D4638F" w:rsidRPr="004841EF" w:rsidRDefault="00536B99" w:rsidP="00536B99">
      <w:pPr>
        <w:spacing w:after="200" w:line="23" w:lineRule="atLeast"/>
        <w:rPr>
          <w:rFonts w:eastAsia="Calibri"/>
          <w:b/>
          <w:sz w:val="22"/>
          <w:szCs w:val="22"/>
        </w:rPr>
      </w:pPr>
      <w:r w:rsidRPr="004841EF">
        <w:rPr>
          <w:rFonts w:eastAsia="Calibri"/>
          <w:sz w:val="22"/>
          <w:szCs w:val="22"/>
        </w:rPr>
        <w:t xml:space="preserve">Source: </w:t>
      </w:r>
      <w:r w:rsidR="00947F71">
        <w:rPr>
          <w:rFonts w:eastAsia="Calibri"/>
          <w:sz w:val="22"/>
          <w:szCs w:val="22"/>
        </w:rPr>
        <w:t xml:space="preserve">Minister for Employment Affairs and Social Protection, </w:t>
      </w:r>
      <w:r w:rsidR="0081777C" w:rsidRPr="004841EF">
        <w:rPr>
          <w:rFonts w:eastAsia="Calibri"/>
          <w:sz w:val="22"/>
          <w:szCs w:val="22"/>
        </w:rPr>
        <w:t>Regina Doherty</w:t>
      </w:r>
      <w:r w:rsidRPr="004841EF">
        <w:rPr>
          <w:rFonts w:eastAsia="Calibri"/>
          <w:sz w:val="22"/>
          <w:szCs w:val="22"/>
        </w:rPr>
        <w:t xml:space="preserve"> TD, </w:t>
      </w:r>
      <w:r w:rsidRPr="004841EF">
        <w:rPr>
          <w:rFonts w:eastAsia="Calibri"/>
          <w:b/>
          <w:sz w:val="22"/>
          <w:szCs w:val="22"/>
        </w:rPr>
        <w:t xml:space="preserve">Parliamentary Question, </w:t>
      </w:r>
      <w:r w:rsidR="0081777C" w:rsidRPr="004841EF">
        <w:rPr>
          <w:rFonts w:eastAsia="Calibri"/>
          <w:b/>
          <w:sz w:val="22"/>
          <w:szCs w:val="22"/>
        </w:rPr>
        <w:t>11 June 2019</w:t>
      </w:r>
      <w:r w:rsidRPr="004841EF">
        <w:rPr>
          <w:rFonts w:eastAsia="Calibri"/>
          <w:b/>
          <w:sz w:val="22"/>
          <w:szCs w:val="22"/>
        </w:rPr>
        <w:t xml:space="preserve">, </w:t>
      </w:r>
      <w:r w:rsidR="0081777C" w:rsidRPr="004841EF">
        <w:rPr>
          <w:rFonts w:eastAsia="Calibri"/>
          <w:b/>
          <w:sz w:val="22"/>
          <w:szCs w:val="22"/>
        </w:rPr>
        <w:t>23589/19</w:t>
      </w:r>
      <w:r w:rsidRPr="004841EF">
        <w:rPr>
          <w:rFonts w:eastAsia="Calibri"/>
          <w:b/>
          <w:sz w:val="22"/>
          <w:szCs w:val="22"/>
        </w:rPr>
        <w:t>.</w:t>
      </w:r>
    </w:p>
    <w:p w14:paraId="454EF324" w14:textId="26B8ADA2" w:rsidR="00536B99" w:rsidRPr="004841EF" w:rsidRDefault="00536B99" w:rsidP="00536B99">
      <w:pPr>
        <w:spacing w:after="200" w:line="23" w:lineRule="atLeast"/>
        <w:rPr>
          <w:rFonts w:eastAsia="Calibri"/>
          <w:b/>
          <w:sz w:val="24"/>
          <w:szCs w:val="26"/>
        </w:rPr>
      </w:pPr>
      <w:r w:rsidRPr="004841EF">
        <w:rPr>
          <w:rFonts w:eastAsia="Calibri"/>
          <w:b/>
          <w:sz w:val="24"/>
          <w:szCs w:val="26"/>
        </w:rPr>
        <w:t xml:space="preserve">Table 8: Total applications </w:t>
      </w:r>
      <w:r w:rsidR="0081777C" w:rsidRPr="004841EF">
        <w:rPr>
          <w:rFonts w:eastAsia="Calibri"/>
          <w:b/>
          <w:sz w:val="24"/>
          <w:szCs w:val="26"/>
        </w:rPr>
        <w:t xml:space="preserve">granted </w:t>
      </w:r>
      <w:r w:rsidRPr="004841EF">
        <w:rPr>
          <w:rFonts w:eastAsia="Calibri"/>
          <w:b/>
          <w:sz w:val="24"/>
          <w:szCs w:val="26"/>
        </w:rPr>
        <w:t>under the Disability Awareness Support Scheme, 2012-201</w:t>
      </w:r>
      <w:r w:rsidR="003243D6" w:rsidRPr="004841EF">
        <w:rPr>
          <w:rFonts w:eastAsia="Calibri"/>
          <w:b/>
          <w:sz w:val="24"/>
          <w:szCs w:val="26"/>
        </w:rPr>
        <w:t>9</w:t>
      </w:r>
    </w:p>
    <w:tbl>
      <w:tblPr>
        <w:tblW w:w="893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560"/>
        <w:gridCol w:w="921"/>
        <w:gridCol w:w="921"/>
        <w:gridCol w:w="922"/>
        <w:gridCol w:w="921"/>
        <w:gridCol w:w="921"/>
        <w:gridCol w:w="922"/>
        <w:gridCol w:w="921"/>
        <w:gridCol w:w="922"/>
      </w:tblGrid>
      <w:tr w:rsidR="0083653A" w:rsidRPr="004841EF" w14:paraId="4FE62AB8" w14:textId="6AFF4EBF" w:rsidTr="00EB1682">
        <w:trPr>
          <w:tblHeader/>
        </w:trPr>
        <w:tc>
          <w:tcPr>
            <w:tcW w:w="1560" w:type="dxa"/>
            <w:tcBorders>
              <w:bottom w:val="single" w:sz="12" w:space="0" w:color="000000"/>
            </w:tcBorders>
            <w:shd w:val="clear" w:color="auto" w:fill="auto"/>
          </w:tcPr>
          <w:p w14:paraId="00D279A2" w14:textId="77777777" w:rsidR="0083653A" w:rsidRPr="004841EF" w:rsidRDefault="0083653A" w:rsidP="00C02876">
            <w:pPr>
              <w:spacing w:after="200" w:line="23" w:lineRule="atLeast"/>
              <w:rPr>
                <w:b/>
                <w:bCs/>
                <w:sz w:val="22"/>
                <w:szCs w:val="22"/>
              </w:rPr>
            </w:pPr>
            <w:r w:rsidRPr="004841EF">
              <w:rPr>
                <w:b/>
                <w:bCs/>
                <w:sz w:val="22"/>
                <w:szCs w:val="22"/>
              </w:rPr>
              <w:t>Year</w:t>
            </w:r>
          </w:p>
        </w:tc>
        <w:tc>
          <w:tcPr>
            <w:tcW w:w="921" w:type="dxa"/>
            <w:tcBorders>
              <w:bottom w:val="single" w:sz="12" w:space="0" w:color="000000"/>
            </w:tcBorders>
            <w:shd w:val="clear" w:color="auto" w:fill="auto"/>
          </w:tcPr>
          <w:p w14:paraId="2590EF41" w14:textId="77777777" w:rsidR="0083653A" w:rsidRPr="004841EF" w:rsidRDefault="0083653A" w:rsidP="00051A5F">
            <w:pPr>
              <w:spacing w:after="200" w:line="23" w:lineRule="atLeast"/>
              <w:jc w:val="right"/>
              <w:rPr>
                <w:b/>
                <w:bCs/>
                <w:sz w:val="22"/>
                <w:szCs w:val="22"/>
              </w:rPr>
            </w:pPr>
            <w:r w:rsidRPr="004841EF">
              <w:rPr>
                <w:b/>
                <w:bCs/>
                <w:sz w:val="22"/>
                <w:szCs w:val="22"/>
              </w:rPr>
              <w:t>2012</w:t>
            </w:r>
          </w:p>
        </w:tc>
        <w:tc>
          <w:tcPr>
            <w:tcW w:w="921" w:type="dxa"/>
            <w:tcBorders>
              <w:bottom w:val="single" w:sz="12" w:space="0" w:color="000000"/>
            </w:tcBorders>
            <w:shd w:val="clear" w:color="auto" w:fill="auto"/>
          </w:tcPr>
          <w:p w14:paraId="44375B51" w14:textId="77777777" w:rsidR="0083653A" w:rsidRPr="004841EF" w:rsidRDefault="0083653A" w:rsidP="00051A5F">
            <w:pPr>
              <w:spacing w:after="200" w:line="23" w:lineRule="atLeast"/>
              <w:jc w:val="right"/>
              <w:rPr>
                <w:b/>
                <w:bCs/>
                <w:sz w:val="22"/>
                <w:szCs w:val="22"/>
              </w:rPr>
            </w:pPr>
            <w:r w:rsidRPr="004841EF">
              <w:rPr>
                <w:b/>
                <w:bCs/>
                <w:sz w:val="22"/>
                <w:szCs w:val="22"/>
              </w:rPr>
              <w:t>2013</w:t>
            </w:r>
          </w:p>
        </w:tc>
        <w:tc>
          <w:tcPr>
            <w:tcW w:w="922" w:type="dxa"/>
            <w:tcBorders>
              <w:bottom w:val="single" w:sz="12" w:space="0" w:color="000000"/>
            </w:tcBorders>
            <w:shd w:val="clear" w:color="auto" w:fill="auto"/>
          </w:tcPr>
          <w:p w14:paraId="1AB71B71" w14:textId="77777777" w:rsidR="0083653A" w:rsidRPr="004841EF" w:rsidRDefault="0083653A" w:rsidP="00051A5F">
            <w:pPr>
              <w:spacing w:after="200" w:line="23" w:lineRule="atLeast"/>
              <w:jc w:val="right"/>
              <w:rPr>
                <w:b/>
                <w:bCs/>
                <w:sz w:val="22"/>
                <w:szCs w:val="22"/>
              </w:rPr>
            </w:pPr>
            <w:r w:rsidRPr="004841EF">
              <w:rPr>
                <w:b/>
                <w:bCs/>
                <w:sz w:val="22"/>
                <w:szCs w:val="22"/>
              </w:rPr>
              <w:t>2014</w:t>
            </w:r>
          </w:p>
        </w:tc>
        <w:tc>
          <w:tcPr>
            <w:tcW w:w="921" w:type="dxa"/>
            <w:tcBorders>
              <w:bottom w:val="single" w:sz="12" w:space="0" w:color="000000"/>
            </w:tcBorders>
            <w:shd w:val="clear" w:color="auto" w:fill="auto"/>
          </w:tcPr>
          <w:p w14:paraId="7DA47425" w14:textId="77777777" w:rsidR="0083653A" w:rsidRPr="004841EF" w:rsidRDefault="0083653A" w:rsidP="00051A5F">
            <w:pPr>
              <w:spacing w:after="200" w:line="23" w:lineRule="atLeast"/>
              <w:jc w:val="right"/>
              <w:rPr>
                <w:b/>
                <w:bCs/>
                <w:sz w:val="22"/>
                <w:szCs w:val="22"/>
              </w:rPr>
            </w:pPr>
            <w:r w:rsidRPr="004841EF">
              <w:rPr>
                <w:b/>
                <w:bCs/>
                <w:sz w:val="22"/>
                <w:szCs w:val="22"/>
              </w:rPr>
              <w:t>2015</w:t>
            </w:r>
          </w:p>
        </w:tc>
        <w:tc>
          <w:tcPr>
            <w:tcW w:w="921" w:type="dxa"/>
            <w:tcBorders>
              <w:bottom w:val="single" w:sz="12" w:space="0" w:color="000000"/>
            </w:tcBorders>
            <w:shd w:val="clear" w:color="auto" w:fill="auto"/>
          </w:tcPr>
          <w:p w14:paraId="2908B531" w14:textId="77777777" w:rsidR="0083653A" w:rsidRPr="004841EF" w:rsidRDefault="0083653A" w:rsidP="00051A5F">
            <w:pPr>
              <w:spacing w:after="200" w:line="23" w:lineRule="atLeast"/>
              <w:jc w:val="right"/>
              <w:rPr>
                <w:b/>
                <w:bCs/>
                <w:sz w:val="22"/>
                <w:szCs w:val="22"/>
              </w:rPr>
            </w:pPr>
            <w:r w:rsidRPr="004841EF">
              <w:rPr>
                <w:b/>
                <w:bCs/>
                <w:sz w:val="22"/>
                <w:szCs w:val="22"/>
              </w:rPr>
              <w:t>2016</w:t>
            </w:r>
          </w:p>
        </w:tc>
        <w:tc>
          <w:tcPr>
            <w:tcW w:w="922" w:type="dxa"/>
            <w:tcBorders>
              <w:bottom w:val="single" w:sz="12" w:space="0" w:color="000000"/>
            </w:tcBorders>
            <w:shd w:val="clear" w:color="auto" w:fill="auto"/>
          </w:tcPr>
          <w:p w14:paraId="4E1BD51E" w14:textId="77777777" w:rsidR="0083653A" w:rsidRPr="004841EF" w:rsidRDefault="0083653A" w:rsidP="00051A5F">
            <w:pPr>
              <w:spacing w:after="200" w:line="23" w:lineRule="atLeast"/>
              <w:jc w:val="right"/>
              <w:rPr>
                <w:b/>
                <w:bCs/>
                <w:sz w:val="22"/>
                <w:szCs w:val="22"/>
              </w:rPr>
            </w:pPr>
            <w:r w:rsidRPr="004841EF">
              <w:rPr>
                <w:b/>
                <w:bCs/>
                <w:sz w:val="22"/>
                <w:szCs w:val="22"/>
              </w:rPr>
              <w:t>2017</w:t>
            </w:r>
          </w:p>
        </w:tc>
        <w:tc>
          <w:tcPr>
            <w:tcW w:w="921" w:type="dxa"/>
            <w:tcBorders>
              <w:bottom w:val="single" w:sz="12" w:space="0" w:color="000000"/>
            </w:tcBorders>
            <w:shd w:val="clear" w:color="auto" w:fill="auto"/>
          </w:tcPr>
          <w:p w14:paraId="1CCBC235" w14:textId="77777777" w:rsidR="0083653A" w:rsidRPr="004841EF" w:rsidRDefault="0083653A" w:rsidP="00051A5F">
            <w:pPr>
              <w:spacing w:after="200" w:line="23" w:lineRule="atLeast"/>
              <w:jc w:val="right"/>
              <w:rPr>
                <w:b/>
                <w:bCs/>
                <w:sz w:val="22"/>
                <w:szCs w:val="22"/>
              </w:rPr>
            </w:pPr>
            <w:r w:rsidRPr="004841EF">
              <w:rPr>
                <w:b/>
                <w:bCs/>
                <w:sz w:val="22"/>
                <w:szCs w:val="22"/>
              </w:rPr>
              <w:t xml:space="preserve">2018 </w:t>
            </w:r>
          </w:p>
        </w:tc>
        <w:tc>
          <w:tcPr>
            <w:tcW w:w="922" w:type="dxa"/>
            <w:tcBorders>
              <w:bottom w:val="single" w:sz="12" w:space="0" w:color="000000"/>
            </w:tcBorders>
          </w:tcPr>
          <w:p w14:paraId="5F7CDC43" w14:textId="6D56FCD5" w:rsidR="0083653A" w:rsidRPr="004841EF" w:rsidRDefault="0083653A" w:rsidP="00051A5F">
            <w:pPr>
              <w:spacing w:after="200" w:line="23" w:lineRule="atLeast"/>
              <w:jc w:val="right"/>
              <w:rPr>
                <w:b/>
                <w:bCs/>
                <w:sz w:val="22"/>
                <w:szCs w:val="22"/>
              </w:rPr>
            </w:pPr>
            <w:r w:rsidRPr="004841EF">
              <w:rPr>
                <w:b/>
                <w:bCs/>
                <w:sz w:val="22"/>
                <w:szCs w:val="22"/>
              </w:rPr>
              <w:t>2019 (up to April 2019)</w:t>
            </w:r>
          </w:p>
        </w:tc>
      </w:tr>
      <w:tr w:rsidR="0083653A" w:rsidRPr="004841EF" w14:paraId="2CA993F1" w14:textId="541ADF50" w:rsidTr="00EB1682">
        <w:tc>
          <w:tcPr>
            <w:tcW w:w="1560" w:type="dxa"/>
            <w:tcBorders>
              <w:top w:val="single" w:sz="12" w:space="0" w:color="000000"/>
            </w:tcBorders>
            <w:shd w:val="clear" w:color="auto" w:fill="auto"/>
          </w:tcPr>
          <w:p w14:paraId="4C01A8EA" w14:textId="77777777" w:rsidR="0083653A" w:rsidRPr="004841EF" w:rsidRDefault="0083653A" w:rsidP="00C02876">
            <w:pPr>
              <w:spacing w:after="200" w:line="23" w:lineRule="atLeast"/>
              <w:rPr>
                <w:bCs/>
                <w:sz w:val="22"/>
                <w:szCs w:val="22"/>
              </w:rPr>
            </w:pPr>
            <w:r w:rsidRPr="004841EF">
              <w:rPr>
                <w:bCs/>
                <w:sz w:val="22"/>
                <w:szCs w:val="22"/>
              </w:rPr>
              <w:t>Number of Applications granted</w:t>
            </w:r>
          </w:p>
        </w:tc>
        <w:tc>
          <w:tcPr>
            <w:tcW w:w="921" w:type="dxa"/>
            <w:tcBorders>
              <w:top w:val="single" w:sz="12" w:space="0" w:color="000000"/>
            </w:tcBorders>
            <w:shd w:val="clear" w:color="auto" w:fill="auto"/>
          </w:tcPr>
          <w:p w14:paraId="76B9EB33" w14:textId="77777777" w:rsidR="0083653A" w:rsidRPr="004841EF" w:rsidRDefault="0083653A" w:rsidP="000D0320">
            <w:pPr>
              <w:spacing w:after="200" w:line="23" w:lineRule="atLeast"/>
              <w:jc w:val="right"/>
              <w:rPr>
                <w:bCs/>
                <w:sz w:val="22"/>
                <w:szCs w:val="22"/>
              </w:rPr>
            </w:pPr>
            <w:r w:rsidRPr="004841EF">
              <w:rPr>
                <w:bCs/>
                <w:sz w:val="22"/>
                <w:szCs w:val="22"/>
              </w:rPr>
              <w:t>1</w:t>
            </w:r>
          </w:p>
        </w:tc>
        <w:tc>
          <w:tcPr>
            <w:tcW w:w="921" w:type="dxa"/>
            <w:tcBorders>
              <w:top w:val="single" w:sz="12" w:space="0" w:color="000000"/>
            </w:tcBorders>
            <w:shd w:val="clear" w:color="auto" w:fill="auto"/>
          </w:tcPr>
          <w:p w14:paraId="55810DB2" w14:textId="77777777" w:rsidR="0083653A" w:rsidRPr="004841EF" w:rsidRDefault="0083653A" w:rsidP="000D0320">
            <w:pPr>
              <w:spacing w:after="200" w:line="23" w:lineRule="atLeast"/>
              <w:jc w:val="right"/>
              <w:rPr>
                <w:bCs/>
                <w:sz w:val="22"/>
                <w:szCs w:val="22"/>
              </w:rPr>
            </w:pPr>
            <w:r w:rsidRPr="004841EF">
              <w:rPr>
                <w:bCs/>
                <w:sz w:val="22"/>
                <w:szCs w:val="22"/>
              </w:rPr>
              <w:t>1</w:t>
            </w:r>
          </w:p>
        </w:tc>
        <w:tc>
          <w:tcPr>
            <w:tcW w:w="922" w:type="dxa"/>
            <w:tcBorders>
              <w:top w:val="single" w:sz="12" w:space="0" w:color="000000"/>
            </w:tcBorders>
            <w:shd w:val="clear" w:color="auto" w:fill="auto"/>
          </w:tcPr>
          <w:p w14:paraId="52F73D67" w14:textId="77777777" w:rsidR="0083653A" w:rsidRPr="004841EF" w:rsidRDefault="0083653A" w:rsidP="000D0320">
            <w:pPr>
              <w:spacing w:after="200" w:line="23" w:lineRule="atLeast"/>
              <w:jc w:val="right"/>
              <w:rPr>
                <w:bCs/>
                <w:sz w:val="22"/>
                <w:szCs w:val="22"/>
              </w:rPr>
            </w:pPr>
            <w:r w:rsidRPr="004841EF">
              <w:rPr>
                <w:bCs/>
                <w:sz w:val="22"/>
                <w:szCs w:val="22"/>
              </w:rPr>
              <w:t>3</w:t>
            </w:r>
          </w:p>
        </w:tc>
        <w:tc>
          <w:tcPr>
            <w:tcW w:w="921" w:type="dxa"/>
            <w:tcBorders>
              <w:top w:val="single" w:sz="12" w:space="0" w:color="000000"/>
            </w:tcBorders>
            <w:shd w:val="clear" w:color="auto" w:fill="auto"/>
          </w:tcPr>
          <w:p w14:paraId="71FB8D27" w14:textId="77777777" w:rsidR="0083653A" w:rsidRPr="004841EF" w:rsidRDefault="0083653A" w:rsidP="000D0320">
            <w:pPr>
              <w:spacing w:after="200" w:line="23" w:lineRule="atLeast"/>
              <w:jc w:val="right"/>
              <w:rPr>
                <w:bCs/>
                <w:sz w:val="22"/>
                <w:szCs w:val="22"/>
              </w:rPr>
            </w:pPr>
            <w:r w:rsidRPr="004841EF">
              <w:rPr>
                <w:bCs/>
                <w:sz w:val="22"/>
                <w:szCs w:val="22"/>
              </w:rPr>
              <w:t>5</w:t>
            </w:r>
          </w:p>
        </w:tc>
        <w:tc>
          <w:tcPr>
            <w:tcW w:w="921" w:type="dxa"/>
            <w:tcBorders>
              <w:top w:val="single" w:sz="12" w:space="0" w:color="000000"/>
            </w:tcBorders>
            <w:shd w:val="clear" w:color="auto" w:fill="auto"/>
          </w:tcPr>
          <w:p w14:paraId="5A631138" w14:textId="77777777" w:rsidR="0083653A" w:rsidRPr="004841EF" w:rsidRDefault="0083653A" w:rsidP="000D0320">
            <w:pPr>
              <w:spacing w:after="200" w:line="23" w:lineRule="atLeast"/>
              <w:jc w:val="right"/>
              <w:rPr>
                <w:bCs/>
                <w:sz w:val="22"/>
                <w:szCs w:val="22"/>
              </w:rPr>
            </w:pPr>
            <w:r w:rsidRPr="004841EF">
              <w:rPr>
                <w:bCs/>
                <w:sz w:val="22"/>
                <w:szCs w:val="22"/>
              </w:rPr>
              <w:t>2</w:t>
            </w:r>
          </w:p>
        </w:tc>
        <w:tc>
          <w:tcPr>
            <w:tcW w:w="922" w:type="dxa"/>
            <w:tcBorders>
              <w:top w:val="single" w:sz="12" w:space="0" w:color="000000"/>
            </w:tcBorders>
            <w:shd w:val="clear" w:color="auto" w:fill="auto"/>
          </w:tcPr>
          <w:p w14:paraId="25987B85" w14:textId="77777777" w:rsidR="0083653A" w:rsidRPr="004841EF" w:rsidRDefault="0083653A" w:rsidP="000D0320">
            <w:pPr>
              <w:spacing w:after="200" w:line="23" w:lineRule="atLeast"/>
              <w:jc w:val="right"/>
              <w:rPr>
                <w:bCs/>
                <w:sz w:val="22"/>
                <w:szCs w:val="22"/>
              </w:rPr>
            </w:pPr>
            <w:r w:rsidRPr="004841EF">
              <w:rPr>
                <w:bCs/>
                <w:sz w:val="22"/>
                <w:szCs w:val="22"/>
              </w:rPr>
              <w:t>11</w:t>
            </w:r>
          </w:p>
        </w:tc>
        <w:tc>
          <w:tcPr>
            <w:tcW w:w="921" w:type="dxa"/>
            <w:tcBorders>
              <w:top w:val="single" w:sz="12" w:space="0" w:color="000000"/>
            </w:tcBorders>
            <w:shd w:val="clear" w:color="auto" w:fill="auto"/>
          </w:tcPr>
          <w:p w14:paraId="65C75F8D" w14:textId="77777777" w:rsidR="0083653A" w:rsidRPr="004841EF" w:rsidRDefault="0083653A" w:rsidP="000D0320">
            <w:pPr>
              <w:spacing w:after="200" w:line="23" w:lineRule="atLeast"/>
              <w:jc w:val="right"/>
              <w:rPr>
                <w:bCs/>
                <w:sz w:val="22"/>
                <w:szCs w:val="22"/>
              </w:rPr>
            </w:pPr>
            <w:r w:rsidRPr="004841EF">
              <w:rPr>
                <w:bCs/>
                <w:sz w:val="22"/>
                <w:szCs w:val="22"/>
              </w:rPr>
              <w:t>5</w:t>
            </w:r>
          </w:p>
        </w:tc>
        <w:tc>
          <w:tcPr>
            <w:tcW w:w="922" w:type="dxa"/>
            <w:tcBorders>
              <w:top w:val="single" w:sz="12" w:space="0" w:color="000000"/>
            </w:tcBorders>
          </w:tcPr>
          <w:p w14:paraId="25F5EC43" w14:textId="344FF4D8" w:rsidR="0083653A" w:rsidRPr="004841EF" w:rsidRDefault="0083653A" w:rsidP="000D0320">
            <w:pPr>
              <w:spacing w:after="200" w:line="23" w:lineRule="atLeast"/>
              <w:jc w:val="right"/>
              <w:rPr>
                <w:bCs/>
                <w:sz w:val="22"/>
                <w:szCs w:val="22"/>
              </w:rPr>
            </w:pPr>
            <w:r w:rsidRPr="004841EF">
              <w:rPr>
                <w:bCs/>
                <w:sz w:val="22"/>
                <w:szCs w:val="22"/>
              </w:rPr>
              <w:t>1</w:t>
            </w:r>
          </w:p>
        </w:tc>
      </w:tr>
    </w:tbl>
    <w:p w14:paraId="009D57BA" w14:textId="64AAE0DF" w:rsidR="00536B99" w:rsidRPr="004841EF" w:rsidRDefault="00536B99" w:rsidP="00536B99">
      <w:pPr>
        <w:spacing w:after="200" w:line="23" w:lineRule="atLeast"/>
        <w:rPr>
          <w:rFonts w:eastAsia="Calibri"/>
          <w:b/>
          <w:sz w:val="22"/>
          <w:szCs w:val="22"/>
        </w:rPr>
      </w:pPr>
      <w:r w:rsidRPr="004841EF">
        <w:rPr>
          <w:rFonts w:eastAsia="Calibri"/>
          <w:sz w:val="22"/>
          <w:szCs w:val="22"/>
        </w:rPr>
        <w:t xml:space="preserve">Source: </w:t>
      </w:r>
      <w:r w:rsidR="00947F71" w:rsidRPr="00947F71">
        <w:rPr>
          <w:rFonts w:eastAsia="Calibri"/>
          <w:sz w:val="22"/>
          <w:szCs w:val="22"/>
        </w:rPr>
        <w:t>Minister for Employment Affairs and Social Protection</w:t>
      </w:r>
      <w:r w:rsidR="00947F71">
        <w:rPr>
          <w:rFonts w:eastAsia="Calibri"/>
          <w:sz w:val="22"/>
          <w:szCs w:val="22"/>
        </w:rPr>
        <w:t>,</w:t>
      </w:r>
      <w:r w:rsidR="00947F71" w:rsidRPr="00947F71">
        <w:rPr>
          <w:rFonts w:eastAsia="Calibri"/>
          <w:sz w:val="22"/>
          <w:szCs w:val="22"/>
        </w:rPr>
        <w:t xml:space="preserve"> </w:t>
      </w:r>
      <w:r w:rsidR="0081777C" w:rsidRPr="004841EF">
        <w:rPr>
          <w:rFonts w:eastAsia="Calibri"/>
          <w:sz w:val="22"/>
          <w:szCs w:val="22"/>
        </w:rPr>
        <w:t>Regina Doherty</w:t>
      </w:r>
      <w:r w:rsidRPr="004841EF">
        <w:rPr>
          <w:rFonts w:eastAsia="Calibri"/>
          <w:sz w:val="22"/>
          <w:szCs w:val="22"/>
        </w:rPr>
        <w:t xml:space="preserve"> TD, </w:t>
      </w:r>
      <w:r w:rsidRPr="004841EF">
        <w:rPr>
          <w:rFonts w:eastAsia="Calibri"/>
          <w:b/>
          <w:sz w:val="22"/>
          <w:szCs w:val="22"/>
        </w:rPr>
        <w:t xml:space="preserve">Parliamentary Question, </w:t>
      </w:r>
      <w:r w:rsidR="0081777C" w:rsidRPr="004841EF">
        <w:rPr>
          <w:rFonts w:eastAsia="Calibri"/>
          <w:b/>
          <w:sz w:val="22"/>
          <w:szCs w:val="22"/>
        </w:rPr>
        <w:t>11 June 2019</w:t>
      </w:r>
      <w:r w:rsidRPr="004841EF">
        <w:rPr>
          <w:rFonts w:eastAsia="Calibri"/>
          <w:b/>
          <w:sz w:val="22"/>
          <w:szCs w:val="22"/>
        </w:rPr>
        <w:t xml:space="preserve">, </w:t>
      </w:r>
      <w:r w:rsidR="0081777C" w:rsidRPr="004841EF">
        <w:rPr>
          <w:rFonts w:eastAsia="Calibri"/>
          <w:b/>
          <w:sz w:val="22"/>
          <w:szCs w:val="22"/>
        </w:rPr>
        <w:t>23589/19</w:t>
      </w:r>
      <w:r w:rsidRPr="004841EF">
        <w:rPr>
          <w:rFonts w:eastAsia="Calibri"/>
          <w:b/>
          <w:sz w:val="22"/>
          <w:szCs w:val="22"/>
        </w:rPr>
        <w:t>.</w:t>
      </w:r>
    </w:p>
    <w:p w14:paraId="2F3B1F83" w14:textId="68775E99" w:rsidR="00A60E28" w:rsidRPr="004841EF" w:rsidRDefault="00A60E28" w:rsidP="00A60E28">
      <w:pPr>
        <w:rPr>
          <w:bCs/>
        </w:rPr>
      </w:pPr>
      <w:r w:rsidRPr="004841EF">
        <w:rPr>
          <w:bCs/>
        </w:rPr>
        <w:t xml:space="preserve">These figures suggest that awareness of this training support is low. The highest number of applications </w:t>
      </w:r>
      <w:r w:rsidR="00BD7A7C" w:rsidRPr="004841EF">
        <w:rPr>
          <w:bCs/>
        </w:rPr>
        <w:t xml:space="preserve">granted </w:t>
      </w:r>
      <w:r w:rsidRPr="004841EF">
        <w:rPr>
          <w:bCs/>
        </w:rPr>
        <w:t xml:space="preserve">under the scheme in a given year has been eleven. On average, approximately four applications were received per year over the 2012-2018 </w:t>
      </w:r>
      <w:r w:rsidR="00BA124F" w:rsidRPr="004841EF">
        <w:rPr>
          <w:bCs/>
        </w:rPr>
        <w:t>period. It is unclear the extent to which</w:t>
      </w:r>
      <w:r w:rsidRPr="004841EF">
        <w:rPr>
          <w:bCs/>
        </w:rPr>
        <w:t xml:space="preserve"> </w:t>
      </w:r>
      <w:r w:rsidRPr="004841EF">
        <w:t xml:space="preserve">the Department of Employment Affairs and Social Protection </w:t>
      </w:r>
      <w:r w:rsidRPr="004841EF">
        <w:rPr>
          <w:bCs/>
        </w:rPr>
        <w:t>undertakes awareness-rai</w:t>
      </w:r>
      <w:r w:rsidR="00C02876" w:rsidRPr="004841EF">
        <w:rPr>
          <w:bCs/>
        </w:rPr>
        <w:t>sing measures for the scheme.</w:t>
      </w:r>
    </w:p>
    <w:p w14:paraId="191EDECD" w14:textId="1A8380AD" w:rsidR="003243D6" w:rsidRPr="004841EF" w:rsidRDefault="003243D6" w:rsidP="00A60E28">
      <w:pPr>
        <w:rPr>
          <w:bCs/>
        </w:rPr>
      </w:pPr>
      <w:r w:rsidRPr="004841EF">
        <w:rPr>
          <w:bCs/>
        </w:rPr>
        <w:t>The Department has noted that the uptake of this grant has been low and intends to commence a focused policy review of the scheme in 2019.</w:t>
      </w:r>
      <w:r w:rsidRPr="004841EF">
        <w:rPr>
          <w:rStyle w:val="FootnoteReference"/>
          <w:rFonts w:ascii="Gill Sans MT" w:hAnsi="Gill Sans MT"/>
          <w:bCs/>
        </w:rPr>
        <w:footnoteReference w:id="144"/>
      </w:r>
    </w:p>
    <w:p w14:paraId="0A34AD20" w14:textId="6B6AA656" w:rsidR="00153A2A" w:rsidRPr="004841EF" w:rsidRDefault="00153A2A" w:rsidP="00153A2A">
      <w:pPr>
        <w:pStyle w:val="Heading3"/>
      </w:pPr>
      <w:bookmarkStart w:id="240" w:name="_Toc26192126"/>
      <w:r w:rsidRPr="004841EF">
        <w:t xml:space="preserve">4.2.5. The failure to provide reasonable accommodations arising from </w:t>
      </w:r>
      <w:r w:rsidR="00C80002" w:rsidRPr="004841EF">
        <w:t xml:space="preserve">low levels of understanding and awareness of </w:t>
      </w:r>
      <w:r w:rsidRPr="004841EF">
        <w:t xml:space="preserve">disabilities </w:t>
      </w:r>
      <w:r w:rsidR="0081689A" w:rsidRPr="004841EF">
        <w:t xml:space="preserve">as well as </w:t>
      </w:r>
      <w:r w:rsidR="00C80002" w:rsidRPr="004841EF">
        <w:t>negative attitudes towards</w:t>
      </w:r>
      <w:r w:rsidRPr="004841EF">
        <w:t xml:space="preserve"> reasonable accommodations</w:t>
      </w:r>
      <w:bookmarkEnd w:id="240"/>
    </w:p>
    <w:p w14:paraId="21E25D03" w14:textId="29B451D9" w:rsidR="00153A2A" w:rsidRPr="004841EF" w:rsidRDefault="00C80002" w:rsidP="00153A2A">
      <w:pPr>
        <w:rPr>
          <w:bCs/>
        </w:rPr>
      </w:pPr>
      <w:r w:rsidRPr="004841EF">
        <w:rPr>
          <w:bCs/>
        </w:rPr>
        <w:t xml:space="preserve">Low levels of awareness, understanding and expectations of employing persons with a disability </w:t>
      </w:r>
      <w:r w:rsidR="00951E2B" w:rsidRPr="004841EF">
        <w:rPr>
          <w:bCs/>
        </w:rPr>
        <w:t xml:space="preserve">can perpetuate negative attitudes towards </w:t>
      </w:r>
      <w:r w:rsidR="00586B03" w:rsidRPr="004841EF">
        <w:rPr>
          <w:bCs/>
        </w:rPr>
        <w:t>employee</w:t>
      </w:r>
      <w:r w:rsidR="00951E2B" w:rsidRPr="004841EF">
        <w:rPr>
          <w:bCs/>
        </w:rPr>
        <w:t>s</w:t>
      </w:r>
      <w:r w:rsidR="00586B03" w:rsidRPr="004841EF">
        <w:rPr>
          <w:bCs/>
        </w:rPr>
        <w:t xml:space="preserve"> or employment candidates</w:t>
      </w:r>
      <w:r w:rsidR="00951E2B" w:rsidRPr="004841EF">
        <w:rPr>
          <w:bCs/>
        </w:rPr>
        <w:t xml:space="preserve"> with </w:t>
      </w:r>
      <w:r w:rsidR="00933FE3" w:rsidRPr="004841EF">
        <w:rPr>
          <w:bCs/>
        </w:rPr>
        <w:t xml:space="preserve">a </w:t>
      </w:r>
      <w:r w:rsidR="00951E2B" w:rsidRPr="004841EF">
        <w:rPr>
          <w:bCs/>
        </w:rPr>
        <w:t>disability.</w:t>
      </w:r>
      <w:r w:rsidR="00951E2B" w:rsidRPr="004841EF">
        <w:rPr>
          <w:bCs/>
          <w:sz w:val="22"/>
          <w:szCs w:val="22"/>
          <w:vertAlign w:val="superscript"/>
        </w:rPr>
        <w:footnoteReference w:id="145"/>
      </w:r>
      <w:r w:rsidR="00951E2B" w:rsidRPr="004841EF">
        <w:rPr>
          <w:bCs/>
        </w:rPr>
        <w:t xml:space="preserve"> </w:t>
      </w:r>
      <w:r w:rsidR="00153A2A" w:rsidRPr="004841EF">
        <w:t xml:space="preserve">Employers’ negative attitudes towards </w:t>
      </w:r>
      <w:r w:rsidR="000F7C06" w:rsidRPr="004841EF">
        <w:t xml:space="preserve">persons </w:t>
      </w:r>
      <w:r w:rsidR="00153A2A" w:rsidRPr="004841EF">
        <w:t>with disabilities, particularly in the recruitment and hiring process, and towards reasonable accommodations themselves</w:t>
      </w:r>
      <w:r w:rsidR="009C7954" w:rsidRPr="004841EF">
        <w:t>,</w:t>
      </w:r>
      <w:r w:rsidR="00153A2A" w:rsidRPr="004841EF">
        <w:t xml:space="preserve"> can </w:t>
      </w:r>
      <w:r w:rsidR="00231DD9" w:rsidRPr="004841EF">
        <w:t xml:space="preserve">lead to </w:t>
      </w:r>
      <w:r w:rsidR="00153A2A" w:rsidRPr="004841EF">
        <w:t xml:space="preserve">discriminatory behaviour and act as an obstacle to the provision of reasonable accommodations. </w:t>
      </w:r>
      <w:r w:rsidR="005E1DA6" w:rsidRPr="004841EF">
        <w:t xml:space="preserve">Again, disability awareness training has an important role to play in terms of </w:t>
      </w:r>
      <w:r w:rsidR="00C108F1" w:rsidRPr="004841EF">
        <w:t xml:space="preserve">increasing disability confidence amongst employers, </w:t>
      </w:r>
      <w:r w:rsidR="005E1DA6" w:rsidRPr="004841EF">
        <w:t xml:space="preserve">challenging negative perceptions of people with </w:t>
      </w:r>
      <w:r w:rsidR="00D43B5E" w:rsidRPr="004841EF">
        <w:t xml:space="preserve">a </w:t>
      </w:r>
      <w:r w:rsidR="005E1DA6" w:rsidRPr="004841EF">
        <w:t xml:space="preserve">disability </w:t>
      </w:r>
      <w:r w:rsidR="00C108F1" w:rsidRPr="004841EF">
        <w:t>and enabling employers to see people with a disability as competent, capable, contributing members of the workforce.</w:t>
      </w:r>
    </w:p>
    <w:p w14:paraId="0416F6A6" w14:textId="1331A1AF" w:rsidR="00153A2A" w:rsidRPr="004841EF" w:rsidRDefault="00933FE3" w:rsidP="00153A2A">
      <w:r w:rsidRPr="004841EF">
        <w:t>Limited knowledge and understanding of disabilities</w:t>
      </w:r>
      <w:r w:rsidR="00153A2A" w:rsidRPr="004841EF">
        <w:t xml:space="preserve"> can mean that</w:t>
      </w:r>
      <w:r w:rsidRPr="004841EF">
        <w:t xml:space="preserve"> an employer subjects a person with a disability </w:t>
      </w:r>
      <w:r w:rsidR="00153A2A" w:rsidRPr="004841EF">
        <w:t>to negative stereotypes, such as</w:t>
      </w:r>
      <w:r w:rsidR="00EF7D51" w:rsidRPr="004841EF">
        <w:t>,</w:t>
      </w:r>
      <w:r w:rsidR="00153A2A" w:rsidRPr="004841EF">
        <w:t xml:space="preserve"> that they are less capable, unreliable, present an increased compensation risk or are in need of expensive </w:t>
      </w:r>
      <w:r w:rsidR="00112216" w:rsidRPr="004841EF">
        <w:t>reasonable accommodations</w:t>
      </w:r>
      <w:r w:rsidR="00153A2A" w:rsidRPr="004841EF">
        <w:t>.</w:t>
      </w:r>
      <w:r w:rsidR="00153A2A" w:rsidRPr="004841EF">
        <w:rPr>
          <w:rStyle w:val="FootnoteReference"/>
          <w:rFonts w:ascii="Gill Sans MT" w:hAnsi="Gill Sans MT"/>
        </w:rPr>
        <w:footnoteReference w:id="146"/>
      </w:r>
      <w:r w:rsidR="00153A2A" w:rsidRPr="004841EF">
        <w:t xml:space="preserve"> Such opinions can be formed about </w:t>
      </w:r>
      <w:r w:rsidR="000F7C06" w:rsidRPr="004841EF">
        <w:t xml:space="preserve">persons </w:t>
      </w:r>
      <w:r w:rsidR="00153A2A" w:rsidRPr="004841EF">
        <w:t>with disabilities and their capabilities with little or no evidence to support them.</w:t>
      </w:r>
      <w:r w:rsidR="00153A2A" w:rsidRPr="004841EF">
        <w:rPr>
          <w:sz w:val="22"/>
          <w:szCs w:val="22"/>
          <w:vertAlign w:val="superscript"/>
        </w:rPr>
        <w:footnoteReference w:id="147"/>
      </w:r>
    </w:p>
    <w:p w14:paraId="00010321" w14:textId="6E9BB87E" w:rsidR="00153A2A" w:rsidRPr="004841EF" w:rsidRDefault="00153A2A" w:rsidP="0092706D">
      <w:pPr>
        <w:spacing w:after="120"/>
      </w:pPr>
      <w:r w:rsidRPr="004841EF">
        <w:t xml:space="preserve">Discrimination against </w:t>
      </w:r>
      <w:r w:rsidR="000F7C06" w:rsidRPr="004841EF">
        <w:t xml:space="preserve">persons </w:t>
      </w:r>
      <w:r w:rsidRPr="004841EF">
        <w:t xml:space="preserve">with disabilities in the employment context is an issue in Ireland. Research undertaken by the ESRI and IHREC shows that when </w:t>
      </w:r>
      <w:r w:rsidR="000F7C06" w:rsidRPr="004841EF">
        <w:t xml:space="preserve">persons </w:t>
      </w:r>
      <w:r w:rsidRPr="004841EF">
        <w:t xml:space="preserve">with disabilities are looking for work, or in the workplace, the odds of experiencing work-related discrimination </w:t>
      </w:r>
      <w:r w:rsidR="002803D7" w:rsidRPr="004841EF">
        <w:t>were</w:t>
      </w:r>
      <w:r w:rsidRPr="004841EF">
        <w:t xml:space="preserve"> twice as high compared to those without disabilities.</w:t>
      </w:r>
      <w:r w:rsidRPr="004841EF">
        <w:rPr>
          <w:rStyle w:val="FootnoteReference"/>
          <w:rFonts w:ascii="Gill Sans MT" w:hAnsi="Gill Sans MT"/>
        </w:rPr>
        <w:footnoteReference w:id="148"/>
      </w:r>
      <w:r w:rsidRPr="004841EF">
        <w:t xml:space="preserve"> Disability claims to the Workplace Relations Commission under employment equality legislation accounted for 22% of all claims in 2016, 18% in 2017</w:t>
      </w:r>
      <w:r w:rsidRPr="004841EF">
        <w:rPr>
          <w:sz w:val="22"/>
          <w:szCs w:val="22"/>
          <w:vertAlign w:val="superscript"/>
        </w:rPr>
        <w:footnoteReference w:id="149"/>
      </w:r>
      <w:r w:rsidRPr="004841EF">
        <w:t xml:space="preserve"> and 16% in 2018</w:t>
      </w:r>
      <w:r w:rsidRPr="004841EF">
        <w:rPr>
          <w:sz w:val="22"/>
          <w:szCs w:val="22"/>
          <w:vertAlign w:val="superscript"/>
        </w:rPr>
        <w:footnoteReference w:id="150"/>
      </w:r>
      <w:r w:rsidRPr="004841EF">
        <w:t xml:space="preserve">. Disability was the second most-cited ground of discrimination for all three years. However, discrimination against </w:t>
      </w:r>
      <w:r w:rsidR="000F7C06" w:rsidRPr="004841EF">
        <w:t xml:space="preserve">persons </w:t>
      </w:r>
      <w:r w:rsidRPr="004841EF">
        <w:t xml:space="preserve">with disabilities </w:t>
      </w:r>
      <w:r w:rsidR="007A7527" w:rsidRPr="004841EF">
        <w:t>may</w:t>
      </w:r>
      <w:r w:rsidRPr="004841EF">
        <w:t xml:space="preserve"> be under-reported, with ESRI-IHREC research attributing the low prevalence of reporting of labour market discrimination by </w:t>
      </w:r>
      <w:r w:rsidR="000F7C06" w:rsidRPr="004841EF">
        <w:t xml:space="preserve">persons </w:t>
      </w:r>
      <w:r w:rsidRPr="004841EF">
        <w:t>with disabilities to lower rates of labour market participation.</w:t>
      </w:r>
      <w:r w:rsidRPr="004841EF">
        <w:rPr>
          <w:sz w:val="22"/>
          <w:szCs w:val="22"/>
          <w:vertAlign w:val="superscript"/>
        </w:rPr>
        <w:footnoteReference w:id="151"/>
      </w:r>
    </w:p>
    <w:p w14:paraId="41E1C964" w14:textId="77777777" w:rsidR="00153A2A" w:rsidRPr="004841EF" w:rsidRDefault="00153A2A" w:rsidP="00153A2A">
      <w:r w:rsidRPr="004841EF">
        <w:t xml:space="preserve">Furthermore, since its establishment in 2014, disability-related queries have accounted for the highest number of queries to IHREC, </w:t>
      </w:r>
      <w:r w:rsidRPr="004841EF">
        <w:rPr>
          <w:lang w:val="en"/>
        </w:rPr>
        <w:t>the statutory body responsible for providing information on employment equality legislation.</w:t>
      </w:r>
      <w:r w:rsidRPr="004841EF">
        <w:rPr>
          <w:rStyle w:val="FootnoteReference"/>
          <w:rFonts w:ascii="Gill Sans MT" w:hAnsi="Gill Sans MT"/>
          <w:lang w:val="en"/>
        </w:rPr>
        <w:footnoteReference w:id="152"/>
      </w:r>
      <w:r w:rsidRPr="004841EF">
        <w:t xml:space="preserve"> For example, in 2017, 31% of all queries under the </w:t>
      </w:r>
      <w:r w:rsidRPr="004841EF">
        <w:rPr>
          <w:b/>
        </w:rPr>
        <w:t>Employment Equality Acts</w:t>
      </w:r>
      <w:r w:rsidRPr="004841EF">
        <w:t xml:space="preserve"> related to disability,</w:t>
      </w:r>
      <w:r w:rsidRPr="004841EF">
        <w:rPr>
          <w:sz w:val="22"/>
          <w:szCs w:val="22"/>
          <w:vertAlign w:val="superscript"/>
        </w:rPr>
        <w:footnoteReference w:id="153"/>
      </w:r>
      <w:r w:rsidRPr="004841EF">
        <w:rPr>
          <w:sz w:val="22"/>
          <w:szCs w:val="22"/>
        </w:rPr>
        <w:t xml:space="preserve"> </w:t>
      </w:r>
      <w:r w:rsidRPr="004841EF">
        <w:t>whilst in 2018, this figure stood at 30%</w:t>
      </w:r>
      <w:r w:rsidRPr="004841EF">
        <w:rPr>
          <w:sz w:val="22"/>
          <w:szCs w:val="22"/>
          <w:vertAlign w:val="superscript"/>
        </w:rPr>
        <w:footnoteReference w:id="154"/>
      </w:r>
      <w:r w:rsidRPr="004841EF">
        <w:t>. Recent figures released by IHREC show that 36% of employment queries from members of the public related to disability discrimination in the first half of 2019.</w:t>
      </w:r>
      <w:r w:rsidRPr="004841EF">
        <w:rPr>
          <w:rStyle w:val="FootnoteReference"/>
          <w:rFonts w:ascii="Gill Sans MT" w:hAnsi="Gill Sans MT"/>
        </w:rPr>
        <w:footnoteReference w:id="155"/>
      </w:r>
    </w:p>
    <w:p w14:paraId="0DF7CC99" w14:textId="553B062F" w:rsidR="00153A2A" w:rsidRPr="004841EF" w:rsidRDefault="00153A2A" w:rsidP="00153A2A">
      <w:r w:rsidRPr="004841EF">
        <w:t xml:space="preserve">Assumptions as to the abilities of persons with a disability </w:t>
      </w:r>
      <w:r w:rsidR="00F2229C" w:rsidRPr="004841EF">
        <w:t xml:space="preserve">can </w:t>
      </w:r>
      <w:r w:rsidRPr="004841EF">
        <w:t>act as a barrier to employment rather than the actual disability itself.</w:t>
      </w:r>
      <w:r w:rsidRPr="004841EF">
        <w:rPr>
          <w:sz w:val="22"/>
          <w:szCs w:val="22"/>
          <w:vertAlign w:val="superscript"/>
        </w:rPr>
        <w:footnoteReference w:id="156"/>
      </w:r>
      <w:r w:rsidRPr="004841EF">
        <w:rPr>
          <w:sz w:val="22"/>
          <w:szCs w:val="22"/>
        </w:rPr>
        <w:t xml:space="preserve"> </w:t>
      </w:r>
      <w:r w:rsidRPr="004841EF">
        <w:t>In a survey carried out by the Employer Disability Information</w:t>
      </w:r>
      <w:r w:rsidRPr="004841EF">
        <w:rPr>
          <w:bCs/>
        </w:rPr>
        <w:t xml:space="preserve"> service</w:t>
      </w:r>
      <w:r w:rsidR="000C295E" w:rsidRPr="004841EF">
        <w:rPr>
          <w:bCs/>
        </w:rPr>
        <w:t xml:space="preserve"> with 250 respondents</w:t>
      </w:r>
      <w:r w:rsidRPr="004841EF">
        <w:t>, employers were asked to nominate their main reasons for not employing a person with a disability. The reasons supplied included that the work was not suitable for a person with a disability, the person was not suited for the type of role and that the workplace environment was not suitable.</w:t>
      </w:r>
      <w:r w:rsidRPr="004841EF">
        <w:rPr>
          <w:sz w:val="22"/>
          <w:szCs w:val="22"/>
          <w:vertAlign w:val="superscript"/>
        </w:rPr>
        <w:footnoteReference w:id="157"/>
      </w:r>
      <w:r w:rsidRPr="004841EF">
        <w:t xml:space="preserve"> The results highlight the perception amongst some employers that disability may cause difficulty in the workplace and may be complex and expensive to accommodate.</w:t>
      </w:r>
    </w:p>
    <w:p w14:paraId="7670C945" w14:textId="77777777" w:rsidR="00EF56E6" w:rsidRPr="004841EF" w:rsidRDefault="00EF56E6" w:rsidP="00153A2A">
      <w:pPr>
        <w:rPr>
          <w:bCs/>
        </w:rPr>
      </w:pPr>
      <w:r w:rsidRPr="004841EF">
        <w:rPr>
          <w:bCs/>
        </w:rPr>
        <w:t>Feedback from one focus group was that employers are more likely to provide reasonable accommodations where they have personal experience of a disability or have a family member with a disability. In the NDA’s 2017</w:t>
      </w:r>
      <w:r w:rsidRPr="004841EF">
        <w:rPr>
          <w:b/>
          <w:bCs/>
        </w:rPr>
        <w:t xml:space="preserve"> National Survey of Public Attitudes to Disability in Ireland</w:t>
      </w:r>
      <w:r w:rsidRPr="004841EF">
        <w:rPr>
          <w:bCs/>
        </w:rPr>
        <w:t xml:space="preserve">, people who were at risk of social isolation, and who rarely or never had contact with someone with a disability, had lower levels of comfort </w:t>
      </w:r>
      <w:r w:rsidR="007A7527" w:rsidRPr="004841EF">
        <w:rPr>
          <w:bCs/>
        </w:rPr>
        <w:t>of having</w:t>
      </w:r>
      <w:r w:rsidRPr="004841EF">
        <w:rPr>
          <w:bCs/>
        </w:rPr>
        <w:t xml:space="preserve"> colleagues with certain disabilities.</w:t>
      </w:r>
      <w:r w:rsidRPr="004841EF">
        <w:rPr>
          <w:bCs/>
          <w:sz w:val="22"/>
          <w:szCs w:val="22"/>
          <w:vertAlign w:val="superscript"/>
        </w:rPr>
        <w:footnoteReference w:id="158"/>
      </w:r>
    </w:p>
    <w:p w14:paraId="5FE6450A" w14:textId="154A5BAF" w:rsidR="00153A2A" w:rsidRPr="004841EF" w:rsidRDefault="007A7527" w:rsidP="00153A2A">
      <w:r w:rsidRPr="004841EF">
        <w:t>In</w:t>
      </w:r>
      <w:r w:rsidR="00153A2A" w:rsidRPr="004841EF">
        <w:t xml:space="preserve"> Concluding Observations on some countries, the UN Committee on the Rights o</w:t>
      </w:r>
      <w:r w:rsidRPr="004841EF">
        <w:t xml:space="preserve">f Persons with Disabilities </w:t>
      </w:r>
      <w:r w:rsidR="00153A2A" w:rsidRPr="004841EF">
        <w:t>expressed concern about the persistence of discrimination based on disability in the employment context and called on States Parties to combat prejudices and stereotypes against persons with disabilities in the labour market.</w:t>
      </w:r>
      <w:r w:rsidR="00153A2A" w:rsidRPr="004841EF">
        <w:rPr>
          <w:rStyle w:val="FootnoteReference"/>
          <w:rFonts w:ascii="Gill Sans MT" w:hAnsi="Gill Sans MT"/>
        </w:rPr>
        <w:footnoteReference w:id="159"/>
      </w:r>
      <w:r w:rsidR="00153A2A" w:rsidRPr="004841EF">
        <w:t xml:space="preserve"> IHREC has recently launched </w:t>
      </w:r>
      <w:r w:rsidRPr="004841EF">
        <w:t>a</w:t>
      </w:r>
      <w:r w:rsidR="00C02876" w:rsidRPr="004841EF">
        <w:t xml:space="preserve"> </w:t>
      </w:r>
      <w:r w:rsidR="00153A2A" w:rsidRPr="004841EF">
        <w:t>“</w:t>
      </w:r>
      <w:r w:rsidR="00C02876" w:rsidRPr="004841EF">
        <w:rPr>
          <w:bCs/>
          <w:iCs/>
        </w:rPr>
        <w:t xml:space="preserve">Because </w:t>
      </w:r>
      <w:r w:rsidR="00153A2A" w:rsidRPr="004841EF">
        <w:rPr>
          <w:bCs/>
          <w:iCs/>
        </w:rPr>
        <w:t>we’re all human. Means we’re all equal.”</w:t>
      </w:r>
      <w:r w:rsidR="00C02876" w:rsidRPr="004841EF">
        <w:t xml:space="preserve"> </w:t>
      </w:r>
      <w:r w:rsidR="00153A2A" w:rsidRPr="004841EF">
        <w:t xml:space="preserve">national awareness campaign which aims to inform attitudes towards </w:t>
      </w:r>
      <w:r w:rsidR="00EB4927" w:rsidRPr="004841EF">
        <w:t xml:space="preserve">persons </w:t>
      </w:r>
      <w:r w:rsidR="00153A2A" w:rsidRPr="004841EF">
        <w:t>with disabilities across all areas of life, including at work.</w:t>
      </w:r>
      <w:r w:rsidR="00153A2A" w:rsidRPr="004841EF">
        <w:rPr>
          <w:rStyle w:val="FootnoteReference"/>
          <w:rFonts w:ascii="Gill Sans MT" w:hAnsi="Gill Sans MT"/>
        </w:rPr>
        <w:footnoteReference w:id="160"/>
      </w:r>
      <w:r w:rsidR="00EF56E6" w:rsidRPr="004841EF">
        <w:t xml:space="preserve"> </w:t>
      </w:r>
      <w:r w:rsidR="00E51619" w:rsidRPr="004841EF">
        <w:t xml:space="preserve">The Minister of State at the Department of Employment Affairs and Social Protection, the Department of Justice and Equality and the Department of Health with special responsibility for Disability Issues </w:t>
      </w:r>
      <w:r w:rsidR="00153A2A" w:rsidRPr="004841EF">
        <w:t>has indicated that an awareness raising campaign to promote the benefits of employing persons with disabilities will be undertaken</w:t>
      </w:r>
      <w:r w:rsidR="00D4638F" w:rsidRPr="004841EF">
        <w:t xml:space="preserve"> in 2020</w:t>
      </w:r>
      <w:r w:rsidR="00153A2A" w:rsidRPr="004841EF">
        <w:t xml:space="preserve"> as part of the </w:t>
      </w:r>
      <w:r w:rsidR="00153A2A" w:rsidRPr="004841EF">
        <w:rPr>
          <w:b/>
        </w:rPr>
        <w:t>Comprehensive Employment Strategy</w:t>
      </w:r>
      <w:r w:rsidR="00347897" w:rsidRPr="004841EF">
        <w:rPr>
          <w:b/>
        </w:rPr>
        <w:t xml:space="preserve"> for People with Disabilities 2015-2024</w:t>
      </w:r>
      <w:r w:rsidR="00153A2A" w:rsidRPr="004841EF">
        <w:t>.</w:t>
      </w:r>
      <w:r w:rsidR="006333BF" w:rsidRPr="004841EF">
        <w:rPr>
          <w:rStyle w:val="FootnoteReference"/>
          <w:rFonts w:ascii="Gill Sans MT" w:hAnsi="Gill Sans MT"/>
        </w:rPr>
        <w:footnoteReference w:id="161"/>
      </w:r>
    </w:p>
    <w:p w14:paraId="1FF37CE8" w14:textId="28FA1198" w:rsidR="00153A2A" w:rsidRPr="004841EF" w:rsidRDefault="00EF56E6" w:rsidP="00153A2A">
      <w:r w:rsidRPr="004841EF">
        <w:t xml:space="preserve">In addition to negative attitudes towards </w:t>
      </w:r>
      <w:r w:rsidR="000F7C06" w:rsidRPr="004841EF">
        <w:t xml:space="preserve">persons </w:t>
      </w:r>
      <w:r w:rsidRPr="004841EF">
        <w:t>with a disability, s</w:t>
      </w:r>
      <w:r w:rsidR="00153A2A" w:rsidRPr="004841EF">
        <w:t>tudies of employer attitudes toward the provision of accommodations in the workplace have also indicated a negative bias.</w:t>
      </w:r>
      <w:r w:rsidR="00153A2A" w:rsidRPr="004841EF">
        <w:rPr>
          <w:rStyle w:val="FootnoteReference"/>
          <w:rFonts w:ascii="Gill Sans MT" w:hAnsi="Gill Sans MT"/>
        </w:rPr>
        <w:footnoteReference w:id="162"/>
      </w:r>
      <w:r w:rsidR="00153A2A" w:rsidRPr="004841EF">
        <w:t xml:space="preserve"> Employers can view certain accommodations</w:t>
      </w:r>
      <w:r w:rsidR="00EF7D51" w:rsidRPr="004841EF">
        <w:t>,</w:t>
      </w:r>
      <w:r w:rsidR="00F2229C" w:rsidRPr="004841EF">
        <w:t xml:space="preserve"> </w:t>
      </w:r>
      <w:r w:rsidR="00153A2A" w:rsidRPr="004841EF">
        <w:t>such as reduced working hours and restructuri</w:t>
      </w:r>
      <w:r w:rsidR="00F2229C" w:rsidRPr="004841EF">
        <w:t>ng the work environment</w:t>
      </w:r>
      <w:r w:rsidR="00EF7D51" w:rsidRPr="004841EF">
        <w:t>,</w:t>
      </w:r>
      <w:r w:rsidR="00153A2A" w:rsidRPr="004841EF">
        <w:t xml:space="preserve"> as overly burdensome and </w:t>
      </w:r>
      <w:r w:rsidR="006D481A" w:rsidRPr="004841EF">
        <w:t xml:space="preserve">negative </w:t>
      </w:r>
      <w:r w:rsidR="00153A2A" w:rsidRPr="004841EF">
        <w:t>attitudes may cause employers to perceive employees who utilise such accommodations as being less capable or responsible.</w:t>
      </w:r>
      <w:r w:rsidR="00153A2A" w:rsidRPr="004841EF">
        <w:rPr>
          <w:rStyle w:val="FootnoteReference"/>
          <w:rFonts w:ascii="Gill Sans MT" w:hAnsi="Gill Sans MT"/>
        </w:rPr>
        <w:footnoteReference w:id="163"/>
      </w:r>
    </w:p>
    <w:p w14:paraId="5B0B95D0" w14:textId="5F479158" w:rsidR="00112216" w:rsidRPr="004841EF" w:rsidRDefault="00112216" w:rsidP="00153A2A">
      <w:r w:rsidRPr="004841EF">
        <w:t xml:space="preserve">Research from the </w:t>
      </w:r>
      <w:r w:rsidR="008C0FAB" w:rsidRPr="004841EF">
        <w:t>Organisation for Economic Cooperation and Development (OECD)</w:t>
      </w:r>
      <w:r w:rsidRPr="004841EF">
        <w:t xml:space="preserve"> further indicates that employers may be reluctant to hire job applicants with disabilities as they form a view that the various imposed responsibilities (including reasonable accommodation costs) are collectively so onerous, that they feel it is safer not to hire any workers with potential disabilities.</w:t>
      </w:r>
      <w:r w:rsidRPr="004841EF">
        <w:rPr>
          <w:sz w:val="22"/>
          <w:szCs w:val="22"/>
          <w:vertAlign w:val="superscript"/>
        </w:rPr>
        <w:footnoteReference w:id="164"/>
      </w:r>
    </w:p>
    <w:p w14:paraId="667F3BFB" w14:textId="77777777" w:rsidR="00153A2A" w:rsidRPr="004841EF" w:rsidRDefault="00EF56E6" w:rsidP="00153A2A">
      <w:r w:rsidRPr="004841EF">
        <w:t>P</w:t>
      </w:r>
      <w:r w:rsidR="00153A2A" w:rsidRPr="004841EF">
        <w:t xml:space="preserve">articipants in one focus group stated that difficulties occasionally arise in the provision of reasonable accommodations due to the negative attitude of employers. </w:t>
      </w:r>
      <w:r w:rsidRPr="004841EF">
        <w:t>Specifically</w:t>
      </w:r>
      <w:r w:rsidR="00153A2A" w:rsidRPr="004841EF">
        <w:t xml:space="preserve">, some employers are inflexible and reluctant to change existing </w:t>
      </w:r>
      <w:r w:rsidR="007A7527" w:rsidRPr="004841EF">
        <w:t xml:space="preserve">workplace </w:t>
      </w:r>
      <w:r w:rsidR="00153A2A" w:rsidRPr="004841EF">
        <w:t xml:space="preserve">practices in order to provide </w:t>
      </w:r>
      <w:r w:rsidR="007A7527" w:rsidRPr="004841EF">
        <w:t xml:space="preserve">reasonable </w:t>
      </w:r>
      <w:r w:rsidR="00153A2A" w:rsidRPr="004841EF">
        <w:t>accommodations because they have traditionally done things in a certain way.</w:t>
      </w:r>
    </w:p>
    <w:p w14:paraId="3A2CE9D8" w14:textId="215A66B1" w:rsidR="00153A2A" w:rsidRPr="004841EF" w:rsidRDefault="00153A2A" w:rsidP="00153A2A">
      <w:pPr>
        <w:rPr>
          <w:bCs/>
        </w:rPr>
      </w:pPr>
      <w:r w:rsidRPr="004841EF">
        <w:rPr>
          <w:bCs/>
        </w:rPr>
        <w:t>Difficulties can also arise where colleagues have negative perceptions of the equity and fairness of reasonable accommodations</w:t>
      </w:r>
      <w:r w:rsidR="00EF7D51" w:rsidRPr="004841EF">
        <w:rPr>
          <w:bCs/>
        </w:rPr>
        <w:t>, for example,</w:t>
      </w:r>
      <w:r w:rsidR="00C351A8" w:rsidRPr="004841EF">
        <w:rPr>
          <w:bCs/>
        </w:rPr>
        <w:t xml:space="preserve"> where a person with a hidden disability is afforded part-time working hours as a reasonable accommodation</w:t>
      </w:r>
      <w:r w:rsidRPr="004841EF">
        <w:rPr>
          <w:bCs/>
        </w:rPr>
        <w:t xml:space="preserve">. </w:t>
      </w:r>
      <w:r w:rsidRPr="004841EF">
        <w:t xml:space="preserve">The attitudes of </w:t>
      </w:r>
      <w:r w:rsidR="00EF56E6" w:rsidRPr="004841EF">
        <w:t xml:space="preserve">management and </w:t>
      </w:r>
      <w:r w:rsidRPr="004841EF">
        <w:t xml:space="preserve">co-workers towards </w:t>
      </w:r>
      <w:r w:rsidR="000F7C06" w:rsidRPr="004841EF">
        <w:t xml:space="preserve">persons </w:t>
      </w:r>
      <w:r w:rsidRPr="004841EF">
        <w:t xml:space="preserve">with </w:t>
      </w:r>
      <w:r w:rsidR="000F7C06" w:rsidRPr="004841EF">
        <w:t xml:space="preserve">a </w:t>
      </w:r>
      <w:r w:rsidRPr="004841EF">
        <w:t>disability and reasonable accommodations can contribute to negative workplace cultures and present challenges to employers in the provision of reasonable accommodations.</w:t>
      </w:r>
      <w:r w:rsidRPr="004841EF">
        <w:rPr>
          <w:rStyle w:val="FootnoteReference"/>
          <w:rFonts w:ascii="Gill Sans MT" w:hAnsi="Gill Sans MT"/>
        </w:rPr>
        <w:footnoteReference w:id="165"/>
      </w:r>
    </w:p>
    <w:p w14:paraId="2749BBB3" w14:textId="7064A40C" w:rsidR="009F5335" w:rsidRPr="004841EF" w:rsidRDefault="00153A2A" w:rsidP="00137DE1">
      <w:r w:rsidRPr="004841EF">
        <w:rPr>
          <w:bCs/>
        </w:rPr>
        <w:t xml:space="preserve">The </w:t>
      </w:r>
      <w:r w:rsidR="00586B03" w:rsidRPr="004841EF">
        <w:rPr>
          <w:bCs/>
        </w:rPr>
        <w:t>impact of</w:t>
      </w:r>
      <w:r w:rsidR="005960C7" w:rsidRPr="004841EF">
        <w:rPr>
          <w:bCs/>
        </w:rPr>
        <w:t xml:space="preserve"> both</w:t>
      </w:r>
      <w:r w:rsidR="00586B03" w:rsidRPr="004841EF">
        <w:rPr>
          <w:bCs/>
        </w:rPr>
        <w:t xml:space="preserve"> low levels of understanding about disability in the workplace and the </w:t>
      </w:r>
      <w:r w:rsidRPr="004841EF">
        <w:rPr>
          <w:bCs/>
        </w:rPr>
        <w:t>negative attitude of</w:t>
      </w:r>
      <w:r w:rsidR="001336DB" w:rsidRPr="004841EF">
        <w:rPr>
          <w:bCs/>
        </w:rPr>
        <w:t xml:space="preserve"> some</w:t>
      </w:r>
      <w:r w:rsidRPr="004841EF">
        <w:rPr>
          <w:bCs/>
        </w:rPr>
        <w:t xml:space="preserve"> employers can particularly affect those seeking access to employment, where discrimination can be difficult to prove.</w:t>
      </w:r>
      <w:r w:rsidRPr="004841EF">
        <w:rPr>
          <w:rStyle w:val="FootnoteReference"/>
          <w:rFonts w:ascii="Gill Sans MT" w:hAnsi="Gill Sans MT"/>
          <w:bCs/>
        </w:rPr>
        <w:footnoteReference w:id="166"/>
      </w:r>
      <w:r w:rsidRPr="004841EF">
        <w:t xml:space="preserve"> Research commissioned by the NDA</w:t>
      </w:r>
      <w:r w:rsidR="00F66531" w:rsidRPr="004841EF">
        <w:t xml:space="preserve">, </w:t>
      </w:r>
      <w:r w:rsidR="009C7954" w:rsidRPr="004841EF">
        <w:t>carried out in part</w:t>
      </w:r>
      <w:r w:rsidR="00F66531" w:rsidRPr="004841EF">
        <w:t xml:space="preserve"> through a survey consisting of 73 respondents from 26 organisations,</w:t>
      </w:r>
      <w:r w:rsidRPr="004841EF">
        <w:t xml:space="preserve"> </w:t>
      </w:r>
      <w:r w:rsidR="00112216" w:rsidRPr="004841EF">
        <w:t>indicates</w:t>
      </w:r>
      <w:r w:rsidRPr="004841EF">
        <w:t xml:space="preserve"> that public service employers are less likely to provide accommodations at the recruitment stage than to those already in the workplace.</w:t>
      </w:r>
      <w:r w:rsidRPr="004841EF">
        <w:rPr>
          <w:sz w:val="22"/>
          <w:szCs w:val="22"/>
          <w:vertAlign w:val="superscript"/>
        </w:rPr>
        <w:footnoteReference w:id="167"/>
      </w:r>
    </w:p>
    <w:p w14:paraId="4A2E9DEF" w14:textId="4E5F3261" w:rsidR="00137DE1" w:rsidRPr="004841EF" w:rsidRDefault="00137DE1" w:rsidP="00137DE1">
      <w:r w:rsidRPr="004841EF">
        <w:t>I</w:t>
      </w:r>
      <w:r w:rsidR="003537CC" w:rsidRPr="004841EF">
        <w:t xml:space="preserve">n one </w:t>
      </w:r>
      <w:r w:rsidR="003E430A" w:rsidRPr="004841EF">
        <w:t>study</w:t>
      </w:r>
      <w:r w:rsidR="003537CC" w:rsidRPr="004841EF">
        <w:t xml:space="preserve"> from the United States</w:t>
      </w:r>
      <w:r w:rsidR="004D7BB1" w:rsidRPr="004841EF">
        <w:t xml:space="preserve"> of America</w:t>
      </w:r>
      <w:r w:rsidR="003E430A" w:rsidRPr="004841EF">
        <w:t xml:space="preserve">, </w:t>
      </w:r>
      <w:r w:rsidR="00F32D31" w:rsidRPr="004841EF">
        <w:t>researchers</w:t>
      </w:r>
      <w:r w:rsidR="003E430A" w:rsidRPr="004841EF">
        <w:t xml:space="preserve"> </w:t>
      </w:r>
      <w:r w:rsidRPr="004841EF">
        <w:t>compared those with and without a disability applying for sales positions at clothing retailers. They found that people with disabilities were only 27 per cent as likely to receive a job offer or advance as far in the hiring process as their equally qualified counterparts without a disability.</w:t>
      </w:r>
      <w:r w:rsidRPr="004841EF">
        <w:rPr>
          <w:rStyle w:val="FootnoteReference"/>
          <w:rFonts w:ascii="Gill Sans MT" w:hAnsi="Gill Sans MT"/>
        </w:rPr>
        <w:footnoteReference w:id="168"/>
      </w:r>
      <w:r w:rsidRPr="004841EF">
        <w:t xml:space="preserve"> They describe this as a ‘no foot in the door’ discrimination pattern which gives no opportunity for people with disabilities to explain or demonstrate their suitability for the job.</w:t>
      </w:r>
      <w:r w:rsidRPr="004841EF">
        <w:rPr>
          <w:rStyle w:val="FootnoteReference"/>
          <w:rFonts w:ascii="Gill Sans MT" w:hAnsi="Gill Sans MT"/>
        </w:rPr>
        <w:footnoteReference w:id="169"/>
      </w:r>
    </w:p>
    <w:p w14:paraId="42287D0D" w14:textId="15ED05C0" w:rsidR="00191290" w:rsidRPr="004841EF" w:rsidRDefault="00137DE1" w:rsidP="00153A2A">
      <w:r w:rsidRPr="004841EF">
        <w:t xml:space="preserve">A </w:t>
      </w:r>
      <w:r w:rsidRPr="004841EF">
        <w:rPr>
          <w:b/>
        </w:rPr>
        <w:t>National Inquiry into Employment Discrimination Against Older Australians and Australians with Disability</w:t>
      </w:r>
      <w:r w:rsidR="00191290" w:rsidRPr="004841EF">
        <w:t xml:space="preserve"> found that d</w:t>
      </w:r>
      <w:r w:rsidR="00331B35" w:rsidRPr="004841EF">
        <w:t>isclosure at the recruitment stage ‘can result in job seekers with disability being concerned about discrimination or other elimination from the selection process’.</w:t>
      </w:r>
      <w:r w:rsidR="003E430A" w:rsidRPr="004841EF">
        <w:rPr>
          <w:rStyle w:val="FootnoteReference"/>
          <w:rFonts w:ascii="Gill Sans MT" w:hAnsi="Gill Sans MT"/>
        </w:rPr>
        <w:footnoteReference w:id="170"/>
      </w:r>
      <w:r w:rsidR="00191290" w:rsidRPr="004841EF">
        <w:t xml:space="preserve"> Individuals expressed to the Inquiry a strong sense that ‘employers put up a red flag’ when people disclose their disability. The Inquiry also heard from individuals who receive</w:t>
      </w:r>
      <w:r w:rsidR="00025EB8" w:rsidRPr="004841EF">
        <w:t>d</w:t>
      </w:r>
      <w:r w:rsidR="00191290" w:rsidRPr="004841EF">
        <w:t xml:space="preserve"> more</w:t>
      </w:r>
      <w:r w:rsidR="00025EB8" w:rsidRPr="004841EF">
        <w:t xml:space="preserve"> recruitment offers when they did</w:t>
      </w:r>
      <w:r w:rsidR="00191290" w:rsidRPr="004841EF">
        <w:t xml:space="preserve"> not disclose their disability, while others reported offers of employment having been withdrawn following disclosure.</w:t>
      </w:r>
      <w:r w:rsidR="00F32D31" w:rsidRPr="004841EF">
        <w:rPr>
          <w:rStyle w:val="FootnoteReference"/>
          <w:rFonts w:ascii="Gill Sans MT" w:hAnsi="Gill Sans MT"/>
        </w:rPr>
        <w:footnoteReference w:id="171"/>
      </w:r>
    </w:p>
    <w:p w14:paraId="5D68AE02" w14:textId="2012066A" w:rsidR="00153A2A" w:rsidRPr="004841EF" w:rsidRDefault="00153A2A" w:rsidP="00153A2A">
      <w:r w:rsidRPr="004841EF">
        <w:t xml:space="preserve">Where a disability is disclosed in the context of a recruitment process, employers are required to provide prospective employees with disabilities with any necessary reasonable accommodations to help them complete job application forms, competency/assessment tests and to attend interviews. However, </w:t>
      </w:r>
      <w:r w:rsidR="000F7C06" w:rsidRPr="004841EF">
        <w:t xml:space="preserve">persons </w:t>
      </w:r>
      <w:r w:rsidRPr="004841EF">
        <w:t>with disabilities may be less likely to request reasonable accommodations in the context of a recruitment process, where they may be more vulnerable to discrimination, as opposed to when they are in employment.</w:t>
      </w:r>
    </w:p>
    <w:p w14:paraId="13E86410" w14:textId="401B837E" w:rsidR="00153A2A" w:rsidRPr="004841EF" w:rsidRDefault="00153A2A" w:rsidP="00153A2A">
      <w:r w:rsidRPr="004841EF">
        <w:t>The review</w:t>
      </w:r>
      <w:r w:rsidR="005960C7" w:rsidRPr="004841EF">
        <w:t xml:space="preserve"> of Workplace Relations Commission and Labour Court decisions</w:t>
      </w:r>
      <w:r w:rsidRPr="004841EF">
        <w:t xml:space="preserve"> revealed that the number of </w:t>
      </w:r>
      <w:r w:rsidR="000F7C06" w:rsidRPr="004841EF">
        <w:t xml:space="preserve">persons </w:t>
      </w:r>
      <w:r w:rsidRPr="004841EF">
        <w:t xml:space="preserve">taking cases </w:t>
      </w:r>
      <w:r w:rsidR="005960C7" w:rsidRPr="004841EF">
        <w:t>on the basis</w:t>
      </w:r>
      <w:r w:rsidRPr="004841EF">
        <w:t xml:space="preserve"> that a prospective employer had </w:t>
      </w:r>
      <w:r w:rsidR="005960C7" w:rsidRPr="004841EF">
        <w:t xml:space="preserve">allegedly </w:t>
      </w:r>
      <w:r w:rsidRPr="004841EF">
        <w:t>failed to provide reasonable accommodation</w:t>
      </w:r>
      <w:r w:rsidR="00EF7D51" w:rsidRPr="004841EF">
        <w:t>,</w:t>
      </w:r>
      <w:r w:rsidRPr="004841EF">
        <w:t xml:space="preserve"> was very low. Taken </w:t>
      </w:r>
      <w:r w:rsidR="00CD1B74" w:rsidRPr="004841EF">
        <w:t>at</w:t>
      </w:r>
      <w:r w:rsidRPr="004841EF">
        <w:t xml:space="preserve"> face</w:t>
      </w:r>
      <w:r w:rsidR="00EF7D51" w:rsidRPr="004841EF">
        <w:t xml:space="preserve"> value</w:t>
      </w:r>
      <w:r w:rsidRPr="004841EF">
        <w:t xml:space="preserve">, this would indicate that </w:t>
      </w:r>
      <w:r w:rsidR="000F7C06" w:rsidRPr="004841EF">
        <w:t xml:space="preserve">persons </w:t>
      </w:r>
      <w:r w:rsidRPr="004841EF">
        <w:t>with disabilities rarely encounter difficulties when seeking reasonable accommodations at the access stage, which conflicts with the literature in this area and information</w:t>
      </w:r>
      <w:r w:rsidR="00C02876" w:rsidRPr="004841EF">
        <w:t xml:space="preserve"> received during consultations.</w:t>
      </w:r>
    </w:p>
    <w:p w14:paraId="4882177C" w14:textId="71B6E656" w:rsidR="00EF7D51" w:rsidRPr="004841EF" w:rsidRDefault="00153A2A" w:rsidP="00AE3C49">
      <w:pPr>
        <w:pStyle w:val="NormalBeforeList"/>
      </w:pPr>
      <w:r w:rsidRPr="004841EF">
        <w:t>It is unclear why there is a discrepancy between the literature in this area and the numbers of people taking cases relating to reasonable accommodation at the access stage to the Workplace Relations Commission. However, there may be a number</w:t>
      </w:r>
      <w:r w:rsidR="00C22951" w:rsidRPr="004841EF">
        <w:t xml:space="preserve"> of factors at play:</w:t>
      </w:r>
    </w:p>
    <w:p w14:paraId="420FAC1E" w14:textId="0740B11B" w:rsidR="00184691" w:rsidRPr="004841EF" w:rsidRDefault="00EF7D51" w:rsidP="009014F5">
      <w:pPr>
        <w:pStyle w:val="ListNumber"/>
        <w:numPr>
          <w:ilvl w:val="0"/>
          <w:numId w:val="23"/>
        </w:numPr>
      </w:pPr>
      <w:r w:rsidRPr="004841EF">
        <w:t>T</w:t>
      </w:r>
      <w:r w:rsidR="00153A2A" w:rsidRPr="004841EF">
        <w:t>here is limited redress available at the access stage for employment equality claims. The Workplace Relations Commission does not have the power to instruct an employer to hire a prospective employee and compensation awards at the access stage are relatively low (the maximum award is €1</w:t>
      </w:r>
      <w:r w:rsidR="008C0FAB" w:rsidRPr="004841EF">
        <w:t>3</w:t>
      </w:r>
      <w:r w:rsidR="00153A2A" w:rsidRPr="004841EF">
        <w:t>,000)</w:t>
      </w:r>
      <w:r w:rsidR="00394E84" w:rsidRPr="009014F5">
        <w:rPr>
          <w:sz w:val="22"/>
          <w:szCs w:val="22"/>
          <w:vertAlign w:val="superscript"/>
        </w:rPr>
        <w:footnoteReference w:id="172"/>
      </w:r>
    </w:p>
    <w:p w14:paraId="22787BAF" w14:textId="10AC41D4" w:rsidR="00184691" w:rsidRPr="004841EF" w:rsidRDefault="00EF7D51" w:rsidP="00184691">
      <w:pPr>
        <w:pStyle w:val="ListNumber"/>
        <w:numPr>
          <w:ilvl w:val="0"/>
          <w:numId w:val="23"/>
        </w:numPr>
      </w:pPr>
      <w:r w:rsidRPr="004841EF">
        <w:t>G</w:t>
      </w:r>
      <w:r w:rsidR="00153A2A" w:rsidRPr="004841EF">
        <w:t>iven that compensation awards are lower at the access stage, employers may be more likely to enter mediated settlements,</w:t>
      </w:r>
      <w:r w:rsidR="007D7495" w:rsidRPr="004841EF">
        <w:t xml:space="preserve"> which are not published online</w:t>
      </w:r>
    </w:p>
    <w:p w14:paraId="74AF72F9" w14:textId="68351F56" w:rsidR="00184691" w:rsidRPr="009014F5" w:rsidRDefault="005960C7" w:rsidP="00184691">
      <w:pPr>
        <w:pStyle w:val="ListNumber"/>
        <w:numPr>
          <w:ilvl w:val="0"/>
          <w:numId w:val="23"/>
        </w:numPr>
      </w:pPr>
      <w:r w:rsidRPr="004841EF">
        <w:t>Persons</w:t>
      </w:r>
      <w:r w:rsidR="00153A2A" w:rsidRPr="004841EF">
        <w:t xml:space="preserve"> with a disability, particularly those with a hidden disability, may be reluctant to take a case given that the decision may be published online, thereby reveal</w:t>
      </w:r>
      <w:r w:rsidR="007D7495" w:rsidRPr="004841EF">
        <w:t>ing details of their disability</w:t>
      </w:r>
      <w:r w:rsidR="00153A2A" w:rsidRPr="009014F5">
        <w:rPr>
          <w:sz w:val="22"/>
          <w:szCs w:val="22"/>
          <w:vertAlign w:val="superscript"/>
        </w:rPr>
        <w:footnoteReference w:id="173"/>
      </w:r>
    </w:p>
    <w:p w14:paraId="773889F0" w14:textId="17086CC6" w:rsidR="00184691" w:rsidRPr="009014F5" w:rsidRDefault="00EF7D51" w:rsidP="00184691">
      <w:pPr>
        <w:pStyle w:val="ListNumber"/>
        <w:numPr>
          <w:ilvl w:val="0"/>
          <w:numId w:val="23"/>
        </w:numPr>
      </w:pPr>
      <w:r w:rsidRPr="009014F5">
        <w:t>D</w:t>
      </w:r>
      <w:r w:rsidR="00560B89" w:rsidRPr="009014F5">
        <w:t>iscrimination cases at the access stage can be difficult to pr</w:t>
      </w:r>
      <w:r w:rsidR="007D7495" w:rsidRPr="009014F5">
        <w:t>ove</w:t>
      </w:r>
      <w:r w:rsidR="00560B89" w:rsidRPr="009014F5">
        <w:rPr>
          <w:sz w:val="22"/>
          <w:szCs w:val="22"/>
          <w:vertAlign w:val="superscript"/>
        </w:rPr>
        <w:footnoteReference w:id="174"/>
      </w:r>
    </w:p>
    <w:p w14:paraId="04F3D913" w14:textId="07B4A003" w:rsidR="00184691" w:rsidRPr="009014F5" w:rsidRDefault="00191290" w:rsidP="00184691">
      <w:pPr>
        <w:pStyle w:val="ListNumber"/>
        <w:numPr>
          <w:ilvl w:val="0"/>
          <w:numId w:val="23"/>
        </w:numPr>
      </w:pPr>
      <w:r w:rsidRPr="009014F5">
        <w:t>There may be less demand for reasonable accommodations at the recruitment stage. Research undertaken by the Willing Able Mentoring (WAM) programme</w:t>
      </w:r>
      <w:r w:rsidRPr="009014F5">
        <w:footnoteReference w:id="175"/>
      </w:r>
      <w:r w:rsidRPr="009014F5">
        <w:t xml:space="preserve"> found that 79% of WAM applicants did not require accommodations at the interview stage</w:t>
      </w:r>
      <w:r w:rsidRPr="009014F5">
        <w:rPr>
          <w:sz w:val="22"/>
          <w:szCs w:val="22"/>
          <w:vertAlign w:val="superscript"/>
        </w:rPr>
        <w:footnoteReference w:id="176"/>
      </w:r>
    </w:p>
    <w:p w14:paraId="71C84446" w14:textId="35787EB1" w:rsidR="007D7495" w:rsidRPr="009014F5" w:rsidRDefault="00191290" w:rsidP="00184691">
      <w:pPr>
        <w:pStyle w:val="ListNumber"/>
        <w:numPr>
          <w:ilvl w:val="0"/>
          <w:numId w:val="23"/>
        </w:numPr>
      </w:pPr>
      <w:r w:rsidRPr="009014F5">
        <w:t xml:space="preserve">Awareness of the obligation on employers to provide reasonable accommodations </w:t>
      </w:r>
      <w:r w:rsidR="009F5335" w:rsidRPr="009014F5">
        <w:t xml:space="preserve">to prospective employees </w:t>
      </w:r>
      <w:r w:rsidRPr="009014F5">
        <w:t>may be low</w:t>
      </w:r>
      <w:r w:rsidR="007D7495" w:rsidRPr="009014F5">
        <w:t>, which may result in lower number of complaints to the Workplace Relations Commission</w:t>
      </w:r>
      <w:r w:rsidRPr="009014F5">
        <w:t xml:space="preserve">. </w:t>
      </w:r>
      <w:r w:rsidR="009F5335" w:rsidRPr="009014F5">
        <w:t>In an online survey undertaken as part of research commissioned by the NDA, only a small number of employees (9.6% of those with a disability and 9% of those without disabilities) were aware if their organisations provided people with disabilities with reasonable accommodations at the recruitment stage</w:t>
      </w:r>
      <w:r w:rsidR="009F5335" w:rsidRPr="009014F5">
        <w:rPr>
          <w:sz w:val="22"/>
          <w:szCs w:val="22"/>
          <w:vertAlign w:val="superscript"/>
        </w:rPr>
        <w:footnoteReference w:id="177"/>
      </w:r>
    </w:p>
    <w:p w14:paraId="55536B6A" w14:textId="78C67D77" w:rsidR="00153A2A" w:rsidRPr="004841EF" w:rsidRDefault="00153A2A" w:rsidP="00153A2A">
      <w:r w:rsidRPr="004841EF">
        <w:t>Further research in this regard</w:t>
      </w:r>
      <w:r w:rsidR="00560B89" w:rsidRPr="004841EF">
        <w:t xml:space="preserve"> may be merited</w:t>
      </w:r>
      <w:r w:rsidRPr="004841EF">
        <w:t>.</w:t>
      </w:r>
    </w:p>
    <w:p w14:paraId="7C4CA4C9" w14:textId="51A74B23" w:rsidR="00536B99" w:rsidRPr="004841EF" w:rsidRDefault="0013421A" w:rsidP="00037C18">
      <w:pPr>
        <w:pStyle w:val="Heading3"/>
      </w:pPr>
      <w:bookmarkStart w:id="241" w:name="_Toc26192127"/>
      <w:r w:rsidRPr="004841EF">
        <w:t>4.2</w:t>
      </w:r>
      <w:r w:rsidR="00037C18" w:rsidRPr="004841EF">
        <w:t>.</w:t>
      </w:r>
      <w:r w:rsidR="00153A2A" w:rsidRPr="004841EF">
        <w:t>6</w:t>
      </w:r>
      <w:r w:rsidR="004A7E2D" w:rsidRPr="004841EF">
        <w:t>.</w:t>
      </w:r>
      <w:r w:rsidR="00536B99" w:rsidRPr="004841EF">
        <w:t xml:space="preserve"> The </w:t>
      </w:r>
      <w:r w:rsidR="00D771B2" w:rsidRPr="004841EF">
        <w:t>low</w:t>
      </w:r>
      <w:r w:rsidR="00536B99" w:rsidRPr="004841EF">
        <w:t xml:space="preserve"> awareness of financial supports available to employers in the provision of reasonable accommodations</w:t>
      </w:r>
      <w:bookmarkEnd w:id="241"/>
    </w:p>
    <w:p w14:paraId="235AA6B6" w14:textId="172765C6" w:rsidR="006511C1" w:rsidRPr="004841EF" w:rsidRDefault="00536B99" w:rsidP="00536B99">
      <w:pPr>
        <w:rPr>
          <w:lang w:val="en-GB"/>
        </w:rPr>
      </w:pPr>
      <w:r w:rsidRPr="004841EF">
        <w:t xml:space="preserve">The provision of reasonable accommodation does not necessarily involve a financial outlay. </w:t>
      </w:r>
      <w:r w:rsidR="006511C1" w:rsidRPr="004841EF">
        <w:t>Evidence from t</w:t>
      </w:r>
      <w:r w:rsidR="008C0FAB" w:rsidRPr="004841EF">
        <w:t xml:space="preserve">he </w:t>
      </w:r>
      <w:r w:rsidR="00523183" w:rsidRPr="004841EF">
        <w:t>O</w:t>
      </w:r>
      <w:r w:rsidR="006511C1" w:rsidRPr="004841EF">
        <w:t>ECD suggests that accommodation costs are close to zero in around one-third of all cases, and substantial in only a few cases.</w:t>
      </w:r>
      <w:r w:rsidR="006511C1" w:rsidRPr="004841EF">
        <w:rPr>
          <w:sz w:val="22"/>
          <w:szCs w:val="22"/>
          <w:vertAlign w:val="superscript"/>
        </w:rPr>
        <w:footnoteReference w:id="178"/>
      </w:r>
      <w:r w:rsidR="00B139B2" w:rsidRPr="004841EF">
        <w:rPr>
          <w:sz w:val="22"/>
          <w:szCs w:val="22"/>
        </w:rPr>
        <w:t xml:space="preserve"> </w:t>
      </w:r>
      <w:r w:rsidR="00B139B2" w:rsidRPr="004841EF">
        <w:t xml:space="preserve">This suggests </w:t>
      </w:r>
      <w:r w:rsidR="00D673AC" w:rsidRPr="004841EF">
        <w:t>that in many cases</w:t>
      </w:r>
      <w:r w:rsidR="00B139B2" w:rsidRPr="004841EF">
        <w:t xml:space="preserve"> it is flexibility</w:t>
      </w:r>
      <w:r w:rsidR="00EF7D51" w:rsidRPr="004841EF">
        <w:t>,</w:t>
      </w:r>
      <w:r w:rsidR="00B139B2" w:rsidRPr="004841EF">
        <w:t xml:space="preserve"> which is required of an employer in the provision of reasonable accommodations, not expenditure.</w:t>
      </w:r>
    </w:p>
    <w:p w14:paraId="67BA58F9" w14:textId="6D968BBB" w:rsidR="00E24771" w:rsidRPr="004841EF" w:rsidRDefault="00536B99" w:rsidP="00536B99">
      <w:r w:rsidRPr="004841EF">
        <w:t xml:space="preserve">However, </w:t>
      </w:r>
      <w:r w:rsidR="006511C1" w:rsidRPr="004841EF">
        <w:t xml:space="preserve">it is recognised that </w:t>
      </w:r>
      <w:r w:rsidRPr="004841EF">
        <w:t xml:space="preserve">the provision of certain forms of reasonable accommodations, such as the adaptation of premises or the hiring of a sign language interpreter for an interview, can involve </w:t>
      </w:r>
      <w:r w:rsidR="00D673AC" w:rsidRPr="004841EF">
        <w:t>expense</w:t>
      </w:r>
      <w:r w:rsidRPr="004841EF">
        <w:t>. Research indicates that employers can be reluctant to hire an individual with a disability due to the perceived financial burdens associated with the reasonable accommodation requirement and slow to make accommodations for existing employees for these same reasons.</w:t>
      </w:r>
      <w:r w:rsidRPr="004841EF">
        <w:rPr>
          <w:sz w:val="22"/>
          <w:szCs w:val="22"/>
          <w:vertAlign w:val="superscript"/>
        </w:rPr>
        <w:footnoteReference w:id="179"/>
      </w:r>
      <w:r w:rsidRPr="004841EF">
        <w:t xml:space="preserve"> In a </w:t>
      </w:r>
      <w:r w:rsidR="000C295E" w:rsidRPr="004841EF">
        <w:t xml:space="preserve">limited </w:t>
      </w:r>
      <w:r w:rsidRPr="004841EF">
        <w:t>survey undertaken by the Employer Disability Information</w:t>
      </w:r>
      <w:r w:rsidRPr="004841EF">
        <w:rPr>
          <w:bCs/>
        </w:rPr>
        <w:t xml:space="preserve"> service</w:t>
      </w:r>
      <w:r w:rsidR="000C295E" w:rsidRPr="004841EF">
        <w:rPr>
          <w:bCs/>
        </w:rPr>
        <w:t xml:space="preserve"> in 2018, which had 250 respondents</w:t>
      </w:r>
      <w:r w:rsidRPr="004841EF">
        <w:t xml:space="preserve">, 46.7% of participating employers reported that financial support would encourage them to employ </w:t>
      </w:r>
      <w:r w:rsidR="000F7C06" w:rsidRPr="004841EF">
        <w:t xml:space="preserve">persons </w:t>
      </w:r>
      <w:r w:rsidRPr="004841EF">
        <w:t>with disabilities.</w:t>
      </w:r>
      <w:r w:rsidRPr="004841EF">
        <w:rPr>
          <w:sz w:val="22"/>
          <w:szCs w:val="22"/>
          <w:vertAlign w:val="superscript"/>
        </w:rPr>
        <w:footnoteReference w:id="180"/>
      </w:r>
      <w:r w:rsidR="00D82EDF" w:rsidRPr="004841EF">
        <w:t xml:space="preserve"> </w:t>
      </w:r>
      <w:r w:rsidR="00E24771" w:rsidRPr="004841EF">
        <w:t>Participants in one focus group also noted that employers can be concerned about the financial cost of any reasonable accommodation measure.</w:t>
      </w:r>
    </w:p>
    <w:p w14:paraId="72F445E2" w14:textId="51E23D24" w:rsidR="00536B99" w:rsidRPr="004841EF" w:rsidRDefault="00536B99" w:rsidP="00536B99">
      <w:r w:rsidRPr="004841EF">
        <w:t xml:space="preserve">As part of the process to </w:t>
      </w:r>
      <w:r w:rsidR="00EF7D51" w:rsidRPr="004841EF">
        <w:t>provide reasonable accommodations</w:t>
      </w:r>
      <w:r w:rsidRPr="004841EF">
        <w:t xml:space="preserve">, employers are required to determine whether the specific request </w:t>
      </w:r>
      <w:r w:rsidR="00211D80" w:rsidRPr="004841EF">
        <w:t>would impose a disproportionate burden on them</w:t>
      </w:r>
      <w:r w:rsidRPr="004841EF">
        <w:t>. This includes a consideration of the costs involved, and whether there is a possibility of obtaining some form of public funding.</w:t>
      </w:r>
      <w:r w:rsidR="007235E1" w:rsidRPr="004841EF">
        <w:rPr>
          <w:rStyle w:val="FootnoteReference"/>
          <w:rFonts w:ascii="Gill Sans MT" w:hAnsi="Gill Sans MT"/>
        </w:rPr>
        <w:footnoteReference w:id="181"/>
      </w:r>
      <w:r w:rsidRPr="004841EF">
        <w:t xml:space="preserve"> A number of financial supports are available to private sector employers in providing reasonable accommodation to employees or employment candidates with a disability, including the Department of Employment Affairs and Social Protection’s </w:t>
      </w:r>
      <w:r w:rsidRPr="004841EF">
        <w:rPr>
          <w:b/>
        </w:rPr>
        <w:t>Reasonable Accommodation Fund for the Employment of People with Disabilities</w:t>
      </w:r>
      <w:r w:rsidRPr="004841EF">
        <w:t xml:space="preserve"> (“the R</w:t>
      </w:r>
      <w:r w:rsidR="00C02876" w:rsidRPr="004841EF">
        <w:t>easonable Accommodation Fund”).</w:t>
      </w:r>
    </w:p>
    <w:p w14:paraId="2029F1DB" w14:textId="1269622B" w:rsidR="00536B99" w:rsidRPr="004841EF" w:rsidRDefault="00536B99" w:rsidP="00447491">
      <w:pPr>
        <w:spacing w:after="120"/>
      </w:pPr>
      <w:r w:rsidRPr="004841EF">
        <w:t xml:space="preserve">The </w:t>
      </w:r>
      <w:r w:rsidR="00211D80" w:rsidRPr="004841EF">
        <w:t xml:space="preserve">stated </w:t>
      </w:r>
      <w:r w:rsidRPr="004841EF">
        <w:t xml:space="preserve">purpose of the </w:t>
      </w:r>
      <w:r w:rsidRPr="004841EF">
        <w:rPr>
          <w:b/>
        </w:rPr>
        <w:t>Reasonable Accommodation Fund</w:t>
      </w:r>
      <w:r w:rsidRPr="004841EF">
        <w:t xml:space="preserve"> is to assist </w:t>
      </w:r>
      <w:r w:rsidR="000F7C06" w:rsidRPr="004841EF">
        <w:t xml:space="preserve">persons </w:t>
      </w:r>
      <w:r w:rsidRPr="004841EF">
        <w:t xml:space="preserve">with disabilities to gain access to the open labour market by providing grants for reasonable accommodations in the private sector and to support private sector employers in the employment of </w:t>
      </w:r>
      <w:r w:rsidR="000F7C06" w:rsidRPr="004841EF">
        <w:t xml:space="preserve">persons </w:t>
      </w:r>
      <w:r w:rsidRPr="004841EF">
        <w:t>with disabilities.</w:t>
      </w:r>
      <w:r w:rsidR="007235E1" w:rsidRPr="004841EF">
        <w:rPr>
          <w:rStyle w:val="FootnoteReference"/>
          <w:rFonts w:ascii="Gill Sans MT" w:hAnsi="Gill Sans MT"/>
        </w:rPr>
        <w:footnoteReference w:id="182"/>
      </w:r>
      <w:r w:rsidRPr="004841EF">
        <w:t xml:space="preserve"> The following grants are available through the </w:t>
      </w:r>
      <w:r w:rsidRPr="004841EF">
        <w:rPr>
          <w:b/>
        </w:rPr>
        <w:t>Reasonable Accommodation Fund</w:t>
      </w:r>
      <w:r w:rsidRPr="004841EF">
        <w:t>:</w:t>
      </w:r>
    </w:p>
    <w:p w14:paraId="043010B1" w14:textId="7719D9F8" w:rsidR="00536B99" w:rsidRPr="004841EF" w:rsidRDefault="00536B99" w:rsidP="00447491">
      <w:pPr>
        <w:pStyle w:val="ListNumber"/>
        <w:keepNext/>
        <w:numPr>
          <w:ilvl w:val="0"/>
          <w:numId w:val="18"/>
        </w:numPr>
        <w:ind w:left="357" w:hanging="357"/>
      </w:pPr>
      <w:r w:rsidRPr="00447491">
        <w:rPr>
          <w:b/>
        </w:rPr>
        <w:t>Workplace Equipment and Adaptation Grant</w:t>
      </w:r>
      <w:r w:rsidRPr="00447491">
        <w:t>:</w:t>
      </w:r>
      <w:r w:rsidRPr="004841EF">
        <w:t xml:space="preserve"> Grant assistance is available for employers of staff with disabilities who need an adapted or more accessible workplace or the purchase of specialised equipment, in order to do their job. The grant can be applied for if the person with a disability is already</w:t>
      </w:r>
      <w:r w:rsidR="00447491">
        <w:t xml:space="preserve"> </w:t>
      </w:r>
      <w:r w:rsidRPr="004841EF">
        <w:t>employed or is about to be employed. A maximum grant of €6,350 is available towards the cost of adaptations to premises or equipment.</w:t>
      </w:r>
      <w:r w:rsidR="008364C4" w:rsidRPr="004841EF">
        <w:rPr>
          <w:rStyle w:val="FootnoteReference"/>
          <w:rFonts w:ascii="Gill Sans MT" w:hAnsi="Gill Sans MT"/>
        </w:rPr>
        <w:footnoteReference w:id="183"/>
      </w:r>
    </w:p>
    <w:p w14:paraId="42FCF745" w14:textId="411819D2" w:rsidR="00536B99" w:rsidRPr="004841EF" w:rsidRDefault="00536B99" w:rsidP="00184691">
      <w:pPr>
        <w:pStyle w:val="ListNumber"/>
        <w:numPr>
          <w:ilvl w:val="0"/>
          <w:numId w:val="18"/>
        </w:numPr>
      </w:pPr>
      <w:r w:rsidRPr="004841EF">
        <w:rPr>
          <w:b/>
        </w:rPr>
        <w:t xml:space="preserve">Personal Reader Grant: </w:t>
      </w:r>
      <w:r w:rsidRPr="004841EF">
        <w:t>If an employer hires a person who is blind or visually impaired and who needs assistance with job-related reading, they may be entitled to a grant to allow them employ a Personal Reader. Examples of situations for which the grant may be</w:t>
      </w:r>
      <w:r w:rsidR="00C02876" w:rsidRPr="004841EF">
        <w:t xml:space="preserve"> given are where:</w:t>
      </w:r>
    </w:p>
    <w:p w14:paraId="4370F3A8" w14:textId="77777777" w:rsidR="00982A7E" w:rsidRPr="004841EF" w:rsidRDefault="00536B99" w:rsidP="00982A7E">
      <w:pPr>
        <w:pStyle w:val="ListBullet2"/>
      </w:pPr>
      <w:r w:rsidRPr="004841EF">
        <w:t xml:space="preserve">The individual is employed in the private sector and needs assistance with work-related reading </w:t>
      </w:r>
    </w:p>
    <w:p w14:paraId="0741FA21" w14:textId="2865491E" w:rsidR="00536B99" w:rsidRPr="004841EF" w:rsidRDefault="00536B99" w:rsidP="00C02876">
      <w:pPr>
        <w:pStyle w:val="ListBullet2"/>
        <w:spacing w:after="240"/>
        <w:ind w:left="714" w:hanging="357"/>
      </w:pPr>
      <w:r w:rsidRPr="004841EF">
        <w:t>Their prospects for promotion are restricted because of reading difficulties due to visual impairment</w:t>
      </w:r>
      <w:r w:rsidR="008364C4" w:rsidRPr="004841EF">
        <w:rPr>
          <w:rStyle w:val="FootnoteReference"/>
          <w:rFonts w:ascii="Gill Sans MT" w:hAnsi="Gill Sans MT"/>
        </w:rPr>
        <w:footnoteReference w:id="184"/>
      </w:r>
    </w:p>
    <w:p w14:paraId="0925828F" w14:textId="4C3FAD35" w:rsidR="00536B99" w:rsidRPr="004841EF" w:rsidRDefault="00536B99" w:rsidP="00184691">
      <w:pPr>
        <w:pStyle w:val="ListNumber"/>
        <w:numPr>
          <w:ilvl w:val="0"/>
          <w:numId w:val="4"/>
        </w:numPr>
      </w:pPr>
      <w:r w:rsidRPr="004841EF">
        <w:rPr>
          <w:b/>
        </w:rPr>
        <w:t xml:space="preserve">Job Interview Interpreter Grant: </w:t>
      </w:r>
      <w:r w:rsidRPr="004841EF">
        <w:t xml:space="preserve">Under the </w:t>
      </w:r>
      <w:r w:rsidRPr="004841EF">
        <w:rPr>
          <w:b/>
        </w:rPr>
        <w:t xml:space="preserve">Job Interview Interpreter Grant Scheme, </w:t>
      </w:r>
      <w:r w:rsidRPr="004841EF">
        <w:t>the Department of Employment Affairs and Social Protection will normally pay a set fee for a three hour period to provide for the services of an interpreter to support speech or hearing impaired persons who wish to attend job interviews. Travel costs for the interpreter are paid at a fixed rate.</w:t>
      </w:r>
      <w:r w:rsidR="008364C4" w:rsidRPr="004841EF">
        <w:rPr>
          <w:rStyle w:val="FootnoteReference"/>
          <w:rFonts w:ascii="Gill Sans MT" w:hAnsi="Gill Sans MT"/>
        </w:rPr>
        <w:footnoteReference w:id="185"/>
      </w:r>
    </w:p>
    <w:p w14:paraId="7F0E4EC2" w14:textId="77777777" w:rsidR="00536B99" w:rsidRPr="004841EF" w:rsidRDefault="00536B99" w:rsidP="00F623F4">
      <w:pPr>
        <w:numPr>
          <w:ilvl w:val="0"/>
          <w:numId w:val="4"/>
        </w:numPr>
        <w:tabs>
          <w:tab w:val="clear" w:pos="360"/>
        </w:tabs>
        <w:spacing w:after="120"/>
        <w:ind w:left="357" w:hanging="357"/>
      </w:pPr>
      <w:r w:rsidRPr="004841EF">
        <w:rPr>
          <w:b/>
        </w:rPr>
        <w:t>Employee Retention Grant:</w:t>
      </w:r>
      <w:r w:rsidRPr="004841EF">
        <w:t xml:space="preserve"> The purpose of the </w:t>
      </w:r>
      <w:r w:rsidRPr="004841EF">
        <w:rPr>
          <w:b/>
        </w:rPr>
        <w:t>Employee Retention Grant Scheme</w:t>
      </w:r>
      <w:r w:rsidRPr="004841EF">
        <w:t xml:space="preserve"> is to assist private sector employers to retain employees who acquire an illness, condition or impairment which impacts on their ability to carry out their job. This scheme assists in maintaining the employability of the employee when s/he acquires an illness, condition or impairment (occupational or otherwise) by providing funding to:</w:t>
      </w:r>
    </w:p>
    <w:p w14:paraId="62F06C20" w14:textId="77777777" w:rsidR="00536B99" w:rsidRPr="004841EF" w:rsidRDefault="00536B99" w:rsidP="00C22951">
      <w:pPr>
        <w:pStyle w:val="ListBullet2"/>
      </w:pPr>
      <w:r w:rsidRPr="004841EF">
        <w:t>Identify accommodation and/or training to enable the employee to remain in his/her current position (maximum funding is €2,500)</w:t>
      </w:r>
    </w:p>
    <w:p w14:paraId="3C70E702" w14:textId="486D0A2E" w:rsidR="00536B99" w:rsidRPr="004841EF" w:rsidRDefault="00536B99" w:rsidP="00F623F4">
      <w:pPr>
        <w:pStyle w:val="ListBullet2"/>
        <w:spacing w:before="0" w:after="240"/>
        <w:ind w:left="714" w:hanging="357"/>
      </w:pPr>
      <w:r w:rsidRPr="004841EF">
        <w:t>Re-train the employee so that s/he can take up another position within the company (maximum funding is €12,500)</w:t>
      </w:r>
      <w:r w:rsidR="008364C4" w:rsidRPr="004841EF">
        <w:rPr>
          <w:rStyle w:val="FootnoteReference"/>
          <w:rFonts w:ascii="Gill Sans MT" w:hAnsi="Gill Sans MT"/>
        </w:rPr>
        <w:footnoteReference w:id="186"/>
      </w:r>
    </w:p>
    <w:p w14:paraId="525B1A55" w14:textId="095D1C47" w:rsidR="00536B99" w:rsidRPr="004841EF" w:rsidRDefault="00536B99" w:rsidP="00536B99">
      <w:r w:rsidRPr="004841EF">
        <w:t xml:space="preserve">Similar to the </w:t>
      </w:r>
      <w:r w:rsidRPr="004841EF">
        <w:rPr>
          <w:b/>
        </w:rPr>
        <w:t xml:space="preserve">Disability Awareness Support Scheme, </w:t>
      </w:r>
      <w:r w:rsidRPr="004841EF">
        <w:t>the</w:t>
      </w:r>
      <w:r w:rsidRPr="004841EF">
        <w:rPr>
          <w:b/>
        </w:rPr>
        <w:t xml:space="preserve"> Reasonable Accommodation Fund</w:t>
      </w:r>
      <w:r w:rsidRPr="004841EF">
        <w:t xml:space="preserve"> is a demand-led scheme where expenditure arises in response to applications received.</w:t>
      </w:r>
      <w:r w:rsidRPr="004841EF">
        <w:rPr>
          <w:sz w:val="22"/>
          <w:szCs w:val="22"/>
          <w:vertAlign w:val="superscript"/>
        </w:rPr>
        <w:footnoteReference w:id="187"/>
      </w:r>
      <w:r w:rsidRPr="004841EF">
        <w:t xml:space="preserve"> Action 3.2 of the </w:t>
      </w:r>
      <w:r w:rsidRPr="004841EF">
        <w:rPr>
          <w:b/>
        </w:rPr>
        <w:t>Comprehensive Employment Strategy for People with Disabilities</w:t>
      </w:r>
      <w:r w:rsidR="00347897" w:rsidRPr="004841EF">
        <w:rPr>
          <w:b/>
        </w:rPr>
        <w:t xml:space="preserve"> 2015-2024</w:t>
      </w:r>
      <w:r w:rsidRPr="004841EF">
        <w:t xml:space="preserve"> commits to continuing to support </w:t>
      </w:r>
      <w:r w:rsidR="000F7C06" w:rsidRPr="004841EF">
        <w:t xml:space="preserve">persons </w:t>
      </w:r>
      <w:r w:rsidRPr="004841EF">
        <w:t xml:space="preserve">with disabilities to access further training and employment opportunities through relevant programmes that include the </w:t>
      </w:r>
      <w:r w:rsidRPr="004841EF">
        <w:rPr>
          <w:b/>
        </w:rPr>
        <w:t>Reasonable Accommodation Fund</w:t>
      </w:r>
      <w:r w:rsidRPr="004841EF">
        <w:t>.</w:t>
      </w:r>
      <w:r w:rsidRPr="004841EF">
        <w:rPr>
          <w:sz w:val="22"/>
          <w:szCs w:val="22"/>
          <w:vertAlign w:val="superscript"/>
        </w:rPr>
        <w:footnoteReference w:id="188"/>
      </w:r>
    </w:p>
    <w:p w14:paraId="0C0E0A38" w14:textId="1D55F54A" w:rsidR="00536B99" w:rsidRPr="004841EF" w:rsidRDefault="00536B99" w:rsidP="00536B99">
      <w:r w:rsidRPr="004841EF">
        <w:t xml:space="preserve">However, while these supports are both welcome and necessary, it appears that </w:t>
      </w:r>
      <w:r w:rsidR="00DF37E6" w:rsidRPr="004841EF">
        <w:t>low</w:t>
      </w:r>
      <w:r w:rsidRPr="004841EF">
        <w:t xml:space="preserve"> awareness of the </w:t>
      </w:r>
      <w:r w:rsidRPr="004841EF">
        <w:rPr>
          <w:b/>
        </w:rPr>
        <w:t>Reasonable Accommodation Fund</w:t>
      </w:r>
      <w:r w:rsidRPr="004841EF">
        <w:t xml:space="preserve"> is limiting its effectiveness. The Employer Disability Information</w:t>
      </w:r>
      <w:r w:rsidRPr="004841EF">
        <w:rPr>
          <w:bCs/>
        </w:rPr>
        <w:t xml:space="preserve"> service </w:t>
      </w:r>
      <w:r w:rsidRPr="004841EF">
        <w:t xml:space="preserve">reports that </w:t>
      </w:r>
      <w:r w:rsidR="00043185" w:rsidRPr="004841EF">
        <w:t xml:space="preserve">some </w:t>
      </w:r>
      <w:r w:rsidRPr="004841EF">
        <w:t xml:space="preserve">employers are unaware of the supports and funding available through the Department of Employment Affairs and Social Protection and </w:t>
      </w:r>
      <w:r w:rsidR="00043185" w:rsidRPr="004841EF">
        <w:t>they can</w:t>
      </w:r>
      <w:r w:rsidRPr="004841EF">
        <w:t xml:space="preserve"> miss deadlines for applications as a result.</w:t>
      </w:r>
      <w:r w:rsidRPr="004841EF">
        <w:rPr>
          <w:sz w:val="22"/>
          <w:szCs w:val="22"/>
          <w:vertAlign w:val="superscript"/>
        </w:rPr>
        <w:footnoteReference w:id="189"/>
      </w:r>
      <w:r w:rsidRPr="004841EF">
        <w:t xml:space="preserve"> In </w:t>
      </w:r>
      <w:r w:rsidR="00C43A4C" w:rsidRPr="004841EF">
        <w:t xml:space="preserve">the </w:t>
      </w:r>
      <w:r w:rsidR="000C295E" w:rsidRPr="004841EF">
        <w:t xml:space="preserve">limited </w:t>
      </w:r>
      <w:r w:rsidRPr="004841EF">
        <w:t>survey undertaken by the Employer Disability Information</w:t>
      </w:r>
      <w:r w:rsidRPr="004841EF">
        <w:rPr>
          <w:bCs/>
        </w:rPr>
        <w:t xml:space="preserve"> service</w:t>
      </w:r>
      <w:r w:rsidR="000C295E" w:rsidRPr="004841EF">
        <w:rPr>
          <w:bCs/>
        </w:rPr>
        <w:t xml:space="preserve"> in 2018</w:t>
      </w:r>
      <w:r w:rsidRPr="004841EF">
        <w:rPr>
          <w:bCs/>
        </w:rPr>
        <w:t>,</w:t>
      </w:r>
      <w:r w:rsidR="000C295E" w:rsidRPr="004841EF">
        <w:rPr>
          <w:bCs/>
        </w:rPr>
        <w:t xml:space="preserve"> which had 250 respondents,</w:t>
      </w:r>
      <w:r w:rsidRPr="004841EF">
        <w:rPr>
          <w:bCs/>
        </w:rPr>
        <w:t xml:space="preserve"> </w:t>
      </w:r>
      <w:r w:rsidRPr="004841EF">
        <w:t xml:space="preserve">56% of employers were unaware of the financial supports available from the Department of Employment Affairs and Social Protection. While this figure represented an improvement of 9% in awareness of these supports since 2016, it illustrates that </w:t>
      </w:r>
      <w:r w:rsidR="00DF37E6" w:rsidRPr="004841EF">
        <w:t>low</w:t>
      </w:r>
      <w:r w:rsidRPr="004841EF">
        <w:t xml:space="preserve"> awareness among employers about </w:t>
      </w:r>
      <w:r w:rsidR="000C295E" w:rsidRPr="004841EF">
        <w:t xml:space="preserve">the available </w:t>
      </w:r>
      <w:r w:rsidRPr="004841EF">
        <w:t>financial supports</w:t>
      </w:r>
      <w:r w:rsidR="000C295E" w:rsidRPr="004841EF">
        <w:t>,</w:t>
      </w:r>
      <w:r w:rsidRPr="004841EF">
        <w:t xml:space="preserve"> and how to access them</w:t>
      </w:r>
      <w:r w:rsidR="000C295E" w:rsidRPr="004841EF">
        <w:t>,</w:t>
      </w:r>
      <w:r w:rsidRPr="004841EF">
        <w:t xml:space="preserve"> remains an issue.</w:t>
      </w:r>
    </w:p>
    <w:p w14:paraId="11AAC9EF" w14:textId="348929BB" w:rsidR="005B090C" w:rsidRPr="004841EF" w:rsidRDefault="005B090C" w:rsidP="00536B99">
      <w:r w:rsidRPr="004841EF">
        <w:t xml:space="preserve">Participants in one focus group </w:t>
      </w:r>
      <w:r w:rsidR="00CA6E62" w:rsidRPr="004841EF">
        <w:t xml:space="preserve">were of the view </w:t>
      </w:r>
      <w:r w:rsidRPr="004841EF">
        <w:t>that</w:t>
      </w:r>
      <w:r w:rsidR="00D82EDF" w:rsidRPr="004841EF">
        <w:t>, in general,</w:t>
      </w:r>
      <w:r w:rsidRPr="004841EF">
        <w:t xml:space="preserve"> employ</w:t>
      </w:r>
      <w:r w:rsidR="00D82EDF" w:rsidRPr="004841EF">
        <w:t>ers</w:t>
      </w:r>
      <w:r w:rsidRPr="004841EF">
        <w:t xml:space="preserve"> </w:t>
      </w:r>
      <w:r w:rsidR="00B024B0" w:rsidRPr="004841EF">
        <w:t xml:space="preserve">have low levels of </w:t>
      </w:r>
      <w:r w:rsidRPr="004841EF">
        <w:t xml:space="preserve">awareness of the financial and training supports available to them to accommodate the needs of employees with disabilities. </w:t>
      </w:r>
    </w:p>
    <w:p w14:paraId="60118327" w14:textId="18616EE2" w:rsidR="00536B99" w:rsidRPr="004841EF" w:rsidRDefault="00EC1793" w:rsidP="00536B99">
      <w:r w:rsidRPr="004841EF">
        <w:t>The</w:t>
      </w:r>
      <w:r w:rsidR="00536B99" w:rsidRPr="004841EF">
        <w:t xml:space="preserve"> Department of Employment Affairs and Social Protection </w:t>
      </w:r>
      <w:r w:rsidRPr="004841EF">
        <w:t>states that it does</w:t>
      </w:r>
      <w:r w:rsidR="00536B99" w:rsidRPr="004841EF">
        <w:t xml:space="preserve"> engage in awareness-raising activities to increase awareness of the </w:t>
      </w:r>
      <w:r w:rsidR="00536B99" w:rsidRPr="004841EF">
        <w:rPr>
          <w:b/>
        </w:rPr>
        <w:t>Reasonable Accommodation Fund</w:t>
      </w:r>
      <w:r w:rsidR="00536B99" w:rsidRPr="004841EF">
        <w:t>. According to the Department of Employment Affairs and Social Protection, it promotes the scheme through employer engagement initiative</w:t>
      </w:r>
      <w:r w:rsidR="00D82EDF" w:rsidRPr="004841EF">
        <w:t>s. In addition, the Department states that its’</w:t>
      </w:r>
      <w:r w:rsidR="00536B99" w:rsidRPr="004841EF">
        <w:t xml:space="preserve"> own employment case officers’ and the staff of the </w:t>
      </w:r>
      <w:r w:rsidR="00536B99" w:rsidRPr="004841EF">
        <w:rPr>
          <w:b/>
        </w:rPr>
        <w:t>EmployAbility</w:t>
      </w:r>
      <w:r w:rsidR="00536B99" w:rsidRPr="004841EF">
        <w:t xml:space="preserve"> service disseminate information on the </w:t>
      </w:r>
      <w:r w:rsidR="00536B99" w:rsidRPr="004841EF">
        <w:rPr>
          <w:b/>
        </w:rPr>
        <w:t>Reasonable Accommodation Fund</w:t>
      </w:r>
      <w:r w:rsidR="00536B99" w:rsidRPr="004841EF">
        <w:t xml:space="preserve"> to both </w:t>
      </w:r>
      <w:r w:rsidR="000F7C06" w:rsidRPr="004841EF">
        <w:t xml:space="preserve">persons </w:t>
      </w:r>
      <w:r w:rsidR="00536B99" w:rsidRPr="004841EF">
        <w:t>with disabilities and private sector employers on a regular basis.</w:t>
      </w:r>
      <w:r w:rsidR="00536B99" w:rsidRPr="004841EF">
        <w:rPr>
          <w:sz w:val="22"/>
          <w:szCs w:val="22"/>
          <w:vertAlign w:val="superscript"/>
        </w:rPr>
        <w:footnoteReference w:id="190"/>
      </w:r>
    </w:p>
    <w:p w14:paraId="06CF1442" w14:textId="22E25D3F" w:rsidR="000B7FC1" w:rsidRPr="004841EF" w:rsidRDefault="00536B99" w:rsidP="00536B99">
      <w:r w:rsidRPr="004841EF">
        <w:t>Nevertheless, as the following figures show, the number of applications for and expenditure on the existing grants suggest that more could be done to publicise these financial supports</w:t>
      </w:r>
      <w:r w:rsidR="00CA6E62" w:rsidRPr="004841EF">
        <w:t xml:space="preserve"> and encourage their take-up</w:t>
      </w:r>
      <w:r w:rsidRPr="004841EF">
        <w:t>.</w:t>
      </w:r>
      <w:r w:rsidR="000A7890" w:rsidRPr="004841EF">
        <w:t xml:space="preserve"> The Phase Two Action Plan 2019-2021 for the </w:t>
      </w:r>
      <w:r w:rsidR="000A7890" w:rsidRPr="004841EF">
        <w:rPr>
          <w:b/>
        </w:rPr>
        <w:t>Comprehensive Employment Strategy for People with Disabilities</w:t>
      </w:r>
      <w:r w:rsidR="000A7890" w:rsidRPr="004841EF">
        <w:t xml:space="preserve"> </w:t>
      </w:r>
      <w:r w:rsidR="00347897" w:rsidRPr="004841EF">
        <w:rPr>
          <w:b/>
        </w:rPr>
        <w:t xml:space="preserve">2015-2024 </w:t>
      </w:r>
      <w:r w:rsidR="000A7890" w:rsidRPr="004841EF">
        <w:t xml:space="preserve">states that the Department of Employment Affairs and Social Protection will undertake an information campaign to raise awareness among employers of </w:t>
      </w:r>
      <w:r w:rsidR="00DC6B0C" w:rsidRPr="004841EF">
        <w:t xml:space="preserve">its </w:t>
      </w:r>
      <w:r w:rsidR="000A7890" w:rsidRPr="004841EF">
        <w:t>services and supports for the recruitment and retention in employment of persons with disabilities.</w:t>
      </w:r>
      <w:r w:rsidR="000A7890" w:rsidRPr="004841EF">
        <w:rPr>
          <w:rStyle w:val="FootnoteReference"/>
          <w:rFonts w:ascii="Gill Sans MT" w:hAnsi="Gill Sans MT"/>
        </w:rPr>
        <w:footnoteReference w:id="191"/>
      </w:r>
    </w:p>
    <w:p w14:paraId="54DC484C" w14:textId="77777777" w:rsidR="00536B99" w:rsidRPr="004841EF" w:rsidRDefault="00536B99" w:rsidP="00536B99">
      <w:pPr>
        <w:spacing w:after="200" w:line="23" w:lineRule="atLeast"/>
        <w:rPr>
          <w:rFonts w:eastAsia="Calibri"/>
          <w:b/>
          <w:sz w:val="24"/>
          <w:szCs w:val="26"/>
        </w:rPr>
      </w:pPr>
      <w:r w:rsidRPr="004841EF">
        <w:rPr>
          <w:rFonts w:eastAsia="Calibri"/>
          <w:b/>
          <w:sz w:val="24"/>
          <w:szCs w:val="26"/>
        </w:rPr>
        <w:t>Table 9: Expenditure on the Reasonable Accommodation Fund for People with Disabilities, 2012-2018</w:t>
      </w:r>
    </w:p>
    <w:tbl>
      <w:tblPr>
        <w:tblW w:w="902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261"/>
        <w:gridCol w:w="1109"/>
        <w:gridCol w:w="1109"/>
        <w:gridCol w:w="1109"/>
        <w:gridCol w:w="1110"/>
        <w:gridCol w:w="1109"/>
        <w:gridCol w:w="1109"/>
        <w:gridCol w:w="1110"/>
      </w:tblGrid>
      <w:tr w:rsidR="000B7FC1" w:rsidRPr="004841EF" w14:paraId="7D310676" w14:textId="7C1DF9AC" w:rsidTr="000B7FC1">
        <w:trPr>
          <w:tblHeader/>
          <w:jc w:val="center"/>
        </w:trPr>
        <w:tc>
          <w:tcPr>
            <w:tcW w:w="1261" w:type="dxa"/>
            <w:tcBorders>
              <w:bottom w:val="single" w:sz="12" w:space="0" w:color="000000"/>
            </w:tcBorders>
            <w:shd w:val="clear" w:color="auto" w:fill="auto"/>
          </w:tcPr>
          <w:p w14:paraId="21CE617B" w14:textId="77777777" w:rsidR="000B7FC1" w:rsidRPr="004841EF" w:rsidRDefault="000B7FC1" w:rsidP="00C02876">
            <w:pPr>
              <w:spacing w:after="200" w:line="23" w:lineRule="atLeast"/>
              <w:rPr>
                <w:rFonts w:eastAsia="Calibri"/>
                <w:sz w:val="22"/>
                <w:szCs w:val="22"/>
              </w:rPr>
            </w:pPr>
            <w:r w:rsidRPr="004841EF">
              <w:rPr>
                <w:rFonts w:eastAsia="Calibri"/>
                <w:sz w:val="22"/>
                <w:szCs w:val="22"/>
              </w:rPr>
              <w:t>Year</w:t>
            </w:r>
          </w:p>
        </w:tc>
        <w:tc>
          <w:tcPr>
            <w:tcW w:w="1109" w:type="dxa"/>
            <w:tcBorders>
              <w:bottom w:val="single" w:sz="12" w:space="0" w:color="000000"/>
            </w:tcBorders>
            <w:shd w:val="clear" w:color="auto" w:fill="auto"/>
          </w:tcPr>
          <w:p w14:paraId="3B699AEC" w14:textId="77777777" w:rsidR="000B7FC1" w:rsidRPr="004841EF" w:rsidRDefault="000B7FC1" w:rsidP="00C02876">
            <w:pPr>
              <w:spacing w:after="200" w:line="23" w:lineRule="atLeast"/>
              <w:jc w:val="right"/>
              <w:rPr>
                <w:rFonts w:eastAsia="Calibri"/>
                <w:sz w:val="22"/>
                <w:szCs w:val="22"/>
              </w:rPr>
            </w:pPr>
            <w:r w:rsidRPr="004841EF">
              <w:rPr>
                <w:rFonts w:eastAsia="Calibri"/>
                <w:sz w:val="22"/>
                <w:szCs w:val="22"/>
              </w:rPr>
              <w:t>2012</w:t>
            </w:r>
          </w:p>
          <w:p w14:paraId="057E654F" w14:textId="50529988" w:rsidR="00A357E2" w:rsidRPr="004841EF" w:rsidRDefault="00A357E2" w:rsidP="00C02876">
            <w:pPr>
              <w:spacing w:after="200" w:line="23" w:lineRule="atLeast"/>
              <w:jc w:val="right"/>
              <w:rPr>
                <w:rFonts w:eastAsia="Calibri"/>
                <w:sz w:val="22"/>
                <w:szCs w:val="22"/>
              </w:rPr>
            </w:pPr>
            <w:r w:rsidRPr="004841EF">
              <w:rPr>
                <w:rFonts w:eastAsia="Calibri"/>
                <w:sz w:val="22"/>
                <w:szCs w:val="22"/>
              </w:rPr>
              <w:t>€</w:t>
            </w:r>
          </w:p>
        </w:tc>
        <w:tc>
          <w:tcPr>
            <w:tcW w:w="1109" w:type="dxa"/>
            <w:tcBorders>
              <w:bottom w:val="single" w:sz="12" w:space="0" w:color="000000"/>
            </w:tcBorders>
            <w:shd w:val="clear" w:color="auto" w:fill="auto"/>
          </w:tcPr>
          <w:p w14:paraId="426C6D63" w14:textId="77777777" w:rsidR="000B7FC1" w:rsidRPr="004841EF" w:rsidRDefault="000B7FC1" w:rsidP="00C02876">
            <w:pPr>
              <w:spacing w:after="200" w:line="23" w:lineRule="atLeast"/>
              <w:jc w:val="right"/>
              <w:rPr>
                <w:rFonts w:eastAsia="Calibri"/>
                <w:sz w:val="22"/>
                <w:szCs w:val="22"/>
              </w:rPr>
            </w:pPr>
            <w:r w:rsidRPr="004841EF">
              <w:rPr>
                <w:rFonts w:eastAsia="Calibri"/>
                <w:sz w:val="22"/>
                <w:szCs w:val="22"/>
              </w:rPr>
              <w:t>2013</w:t>
            </w:r>
          </w:p>
          <w:p w14:paraId="5D012EF6" w14:textId="53AB5B96" w:rsidR="00A357E2" w:rsidRPr="004841EF" w:rsidRDefault="00A357E2" w:rsidP="00C02876">
            <w:pPr>
              <w:spacing w:after="200" w:line="23" w:lineRule="atLeast"/>
              <w:jc w:val="right"/>
              <w:rPr>
                <w:rFonts w:eastAsia="Calibri"/>
                <w:sz w:val="22"/>
                <w:szCs w:val="22"/>
              </w:rPr>
            </w:pPr>
            <w:r w:rsidRPr="004841EF">
              <w:rPr>
                <w:rFonts w:eastAsia="Calibri"/>
                <w:sz w:val="22"/>
                <w:szCs w:val="22"/>
              </w:rPr>
              <w:t>€</w:t>
            </w:r>
          </w:p>
        </w:tc>
        <w:tc>
          <w:tcPr>
            <w:tcW w:w="1109" w:type="dxa"/>
            <w:tcBorders>
              <w:bottom w:val="single" w:sz="12" w:space="0" w:color="000000"/>
            </w:tcBorders>
            <w:shd w:val="clear" w:color="auto" w:fill="auto"/>
          </w:tcPr>
          <w:p w14:paraId="4F201652" w14:textId="77777777" w:rsidR="000B7FC1" w:rsidRPr="004841EF" w:rsidRDefault="000B7FC1" w:rsidP="00C02876">
            <w:pPr>
              <w:spacing w:after="200" w:line="23" w:lineRule="atLeast"/>
              <w:jc w:val="right"/>
              <w:rPr>
                <w:rFonts w:eastAsia="Calibri"/>
                <w:sz w:val="22"/>
                <w:szCs w:val="22"/>
              </w:rPr>
            </w:pPr>
            <w:r w:rsidRPr="004841EF">
              <w:rPr>
                <w:rFonts w:eastAsia="Calibri"/>
                <w:sz w:val="22"/>
                <w:szCs w:val="22"/>
              </w:rPr>
              <w:t>2014</w:t>
            </w:r>
          </w:p>
          <w:p w14:paraId="1173741A" w14:textId="57B83BBB" w:rsidR="00A357E2" w:rsidRPr="004841EF" w:rsidRDefault="00A357E2" w:rsidP="00C02876">
            <w:pPr>
              <w:spacing w:after="200" w:line="23" w:lineRule="atLeast"/>
              <w:jc w:val="right"/>
              <w:rPr>
                <w:rFonts w:eastAsia="Calibri"/>
                <w:sz w:val="22"/>
                <w:szCs w:val="22"/>
              </w:rPr>
            </w:pPr>
            <w:r w:rsidRPr="004841EF">
              <w:rPr>
                <w:rFonts w:eastAsia="Calibri"/>
                <w:sz w:val="22"/>
                <w:szCs w:val="22"/>
              </w:rPr>
              <w:t>€</w:t>
            </w:r>
          </w:p>
        </w:tc>
        <w:tc>
          <w:tcPr>
            <w:tcW w:w="1110" w:type="dxa"/>
            <w:tcBorders>
              <w:bottom w:val="single" w:sz="12" w:space="0" w:color="000000"/>
            </w:tcBorders>
            <w:shd w:val="clear" w:color="auto" w:fill="auto"/>
          </w:tcPr>
          <w:p w14:paraId="1352B09B" w14:textId="77777777" w:rsidR="000B7FC1" w:rsidRPr="004841EF" w:rsidRDefault="000B7FC1" w:rsidP="00C02876">
            <w:pPr>
              <w:spacing w:after="200" w:line="23" w:lineRule="atLeast"/>
              <w:jc w:val="right"/>
              <w:rPr>
                <w:rFonts w:eastAsia="Calibri"/>
                <w:sz w:val="22"/>
                <w:szCs w:val="22"/>
              </w:rPr>
            </w:pPr>
            <w:r w:rsidRPr="004841EF">
              <w:rPr>
                <w:rFonts w:eastAsia="Calibri"/>
                <w:sz w:val="22"/>
                <w:szCs w:val="22"/>
              </w:rPr>
              <w:t>2015</w:t>
            </w:r>
          </w:p>
          <w:p w14:paraId="1539D008" w14:textId="58349C73" w:rsidR="00A357E2" w:rsidRPr="004841EF" w:rsidRDefault="00A357E2" w:rsidP="00C02876">
            <w:pPr>
              <w:spacing w:after="200" w:line="23" w:lineRule="atLeast"/>
              <w:jc w:val="right"/>
              <w:rPr>
                <w:rFonts w:eastAsia="Calibri"/>
                <w:sz w:val="22"/>
                <w:szCs w:val="22"/>
              </w:rPr>
            </w:pPr>
            <w:r w:rsidRPr="004841EF">
              <w:rPr>
                <w:rFonts w:eastAsia="Calibri"/>
                <w:sz w:val="22"/>
                <w:szCs w:val="22"/>
              </w:rPr>
              <w:t>€</w:t>
            </w:r>
          </w:p>
        </w:tc>
        <w:tc>
          <w:tcPr>
            <w:tcW w:w="1109" w:type="dxa"/>
            <w:tcBorders>
              <w:bottom w:val="single" w:sz="12" w:space="0" w:color="000000"/>
            </w:tcBorders>
            <w:shd w:val="clear" w:color="auto" w:fill="auto"/>
          </w:tcPr>
          <w:p w14:paraId="05E096CC" w14:textId="77777777" w:rsidR="000B7FC1" w:rsidRPr="004841EF" w:rsidRDefault="000B7FC1" w:rsidP="00C02876">
            <w:pPr>
              <w:spacing w:after="200" w:line="23" w:lineRule="atLeast"/>
              <w:jc w:val="right"/>
              <w:rPr>
                <w:rFonts w:eastAsia="Calibri"/>
                <w:sz w:val="22"/>
                <w:szCs w:val="22"/>
              </w:rPr>
            </w:pPr>
            <w:r w:rsidRPr="004841EF">
              <w:rPr>
                <w:rFonts w:eastAsia="Calibri"/>
                <w:sz w:val="22"/>
                <w:szCs w:val="22"/>
              </w:rPr>
              <w:t>2016</w:t>
            </w:r>
          </w:p>
          <w:p w14:paraId="65EE7A6D" w14:textId="20370910" w:rsidR="00A357E2" w:rsidRPr="004841EF" w:rsidRDefault="00A357E2" w:rsidP="00C02876">
            <w:pPr>
              <w:spacing w:after="200" w:line="23" w:lineRule="atLeast"/>
              <w:jc w:val="right"/>
              <w:rPr>
                <w:rFonts w:eastAsia="Calibri"/>
                <w:sz w:val="22"/>
                <w:szCs w:val="22"/>
              </w:rPr>
            </w:pPr>
            <w:r w:rsidRPr="004841EF">
              <w:rPr>
                <w:rFonts w:eastAsia="Calibri"/>
                <w:sz w:val="22"/>
                <w:szCs w:val="22"/>
              </w:rPr>
              <w:t>€</w:t>
            </w:r>
          </w:p>
        </w:tc>
        <w:tc>
          <w:tcPr>
            <w:tcW w:w="1109" w:type="dxa"/>
            <w:tcBorders>
              <w:bottom w:val="single" w:sz="12" w:space="0" w:color="000000"/>
            </w:tcBorders>
            <w:shd w:val="clear" w:color="auto" w:fill="auto"/>
          </w:tcPr>
          <w:p w14:paraId="1250487A" w14:textId="77777777" w:rsidR="000B7FC1" w:rsidRPr="004841EF" w:rsidRDefault="000B7FC1" w:rsidP="00C02876">
            <w:pPr>
              <w:spacing w:after="200" w:line="23" w:lineRule="atLeast"/>
              <w:jc w:val="right"/>
              <w:rPr>
                <w:rFonts w:eastAsia="Calibri"/>
                <w:sz w:val="22"/>
                <w:szCs w:val="22"/>
              </w:rPr>
            </w:pPr>
            <w:r w:rsidRPr="004841EF">
              <w:rPr>
                <w:rFonts w:eastAsia="Calibri"/>
                <w:sz w:val="22"/>
                <w:szCs w:val="22"/>
              </w:rPr>
              <w:t>2017</w:t>
            </w:r>
          </w:p>
          <w:p w14:paraId="08DB984B" w14:textId="24644C25" w:rsidR="00A357E2" w:rsidRPr="004841EF" w:rsidRDefault="00A357E2" w:rsidP="00C02876">
            <w:pPr>
              <w:spacing w:after="200" w:line="23" w:lineRule="atLeast"/>
              <w:jc w:val="right"/>
              <w:rPr>
                <w:rFonts w:eastAsia="Calibri"/>
                <w:sz w:val="22"/>
                <w:szCs w:val="22"/>
              </w:rPr>
            </w:pPr>
            <w:r w:rsidRPr="004841EF">
              <w:rPr>
                <w:rFonts w:eastAsia="Calibri"/>
                <w:sz w:val="22"/>
                <w:szCs w:val="22"/>
              </w:rPr>
              <w:t>€</w:t>
            </w:r>
          </w:p>
        </w:tc>
        <w:tc>
          <w:tcPr>
            <w:tcW w:w="1110" w:type="dxa"/>
            <w:tcBorders>
              <w:bottom w:val="single" w:sz="12" w:space="0" w:color="000000"/>
            </w:tcBorders>
            <w:shd w:val="clear" w:color="auto" w:fill="auto"/>
          </w:tcPr>
          <w:p w14:paraId="72504688" w14:textId="77777777" w:rsidR="00A357E2" w:rsidRPr="004841EF" w:rsidRDefault="000B7FC1" w:rsidP="00C02876">
            <w:pPr>
              <w:spacing w:after="200" w:line="23" w:lineRule="atLeast"/>
              <w:jc w:val="right"/>
              <w:rPr>
                <w:rFonts w:eastAsia="Calibri"/>
                <w:sz w:val="22"/>
                <w:szCs w:val="22"/>
              </w:rPr>
            </w:pPr>
            <w:r w:rsidRPr="004841EF">
              <w:rPr>
                <w:rFonts w:eastAsia="Calibri"/>
                <w:sz w:val="22"/>
                <w:szCs w:val="22"/>
              </w:rPr>
              <w:t>2018</w:t>
            </w:r>
          </w:p>
          <w:p w14:paraId="6B6E2FEA" w14:textId="0C793424" w:rsidR="000B7FC1" w:rsidRPr="004841EF" w:rsidRDefault="000B7FC1" w:rsidP="00C02876">
            <w:pPr>
              <w:spacing w:after="200" w:line="23" w:lineRule="atLeast"/>
              <w:jc w:val="right"/>
              <w:rPr>
                <w:rFonts w:eastAsia="Calibri"/>
                <w:sz w:val="22"/>
                <w:szCs w:val="22"/>
              </w:rPr>
            </w:pPr>
            <w:r w:rsidRPr="004841EF">
              <w:rPr>
                <w:rFonts w:eastAsia="Calibri"/>
                <w:sz w:val="22"/>
                <w:szCs w:val="22"/>
              </w:rPr>
              <w:t xml:space="preserve"> </w:t>
            </w:r>
            <w:r w:rsidR="00A357E2" w:rsidRPr="004841EF">
              <w:rPr>
                <w:rFonts w:eastAsia="Calibri"/>
                <w:sz w:val="22"/>
                <w:szCs w:val="22"/>
              </w:rPr>
              <w:t>€</w:t>
            </w:r>
          </w:p>
        </w:tc>
      </w:tr>
      <w:tr w:rsidR="000B7FC1" w:rsidRPr="004841EF" w14:paraId="1F0802EF" w14:textId="14802661" w:rsidTr="000B7FC1">
        <w:trPr>
          <w:jc w:val="center"/>
        </w:trPr>
        <w:tc>
          <w:tcPr>
            <w:tcW w:w="1261" w:type="dxa"/>
            <w:tcBorders>
              <w:top w:val="single" w:sz="12" w:space="0" w:color="000000"/>
            </w:tcBorders>
            <w:shd w:val="clear" w:color="auto" w:fill="auto"/>
          </w:tcPr>
          <w:p w14:paraId="5CD1D0C8" w14:textId="77777777" w:rsidR="000B7FC1" w:rsidRPr="004841EF" w:rsidRDefault="000B7FC1" w:rsidP="00C02876">
            <w:pPr>
              <w:spacing w:after="200" w:line="23" w:lineRule="atLeast"/>
              <w:rPr>
                <w:rFonts w:eastAsia="Calibri"/>
                <w:sz w:val="22"/>
                <w:szCs w:val="22"/>
              </w:rPr>
            </w:pPr>
            <w:r w:rsidRPr="004841EF">
              <w:rPr>
                <w:rFonts w:eastAsia="Calibri"/>
                <w:sz w:val="22"/>
                <w:szCs w:val="22"/>
              </w:rPr>
              <w:t>Workplace Equipment and Adaptation Grant</w:t>
            </w:r>
          </w:p>
        </w:tc>
        <w:tc>
          <w:tcPr>
            <w:tcW w:w="1109" w:type="dxa"/>
            <w:tcBorders>
              <w:top w:val="single" w:sz="12" w:space="0" w:color="000000"/>
            </w:tcBorders>
            <w:shd w:val="clear" w:color="auto" w:fill="auto"/>
          </w:tcPr>
          <w:p w14:paraId="7843627E" w14:textId="0A36C024" w:rsidR="000B7FC1" w:rsidRPr="004841EF" w:rsidRDefault="000B7FC1" w:rsidP="00C02876">
            <w:pPr>
              <w:spacing w:after="200" w:line="23" w:lineRule="atLeast"/>
              <w:jc w:val="right"/>
              <w:rPr>
                <w:rFonts w:eastAsia="Calibri"/>
                <w:sz w:val="22"/>
                <w:szCs w:val="22"/>
              </w:rPr>
            </w:pPr>
            <w:r w:rsidRPr="004841EF">
              <w:rPr>
                <w:rFonts w:eastAsia="Calibri"/>
                <w:sz w:val="22"/>
                <w:szCs w:val="22"/>
              </w:rPr>
              <w:t>71,176</w:t>
            </w:r>
          </w:p>
        </w:tc>
        <w:tc>
          <w:tcPr>
            <w:tcW w:w="1109" w:type="dxa"/>
            <w:tcBorders>
              <w:top w:val="single" w:sz="12" w:space="0" w:color="000000"/>
            </w:tcBorders>
            <w:shd w:val="clear" w:color="auto" w:fill="auto"/>
          </w:tcPr>
          <w:p w14:paraId="4C2673CF" w14:textId="50BCC638" w:rsidR="000B7FC1" w:rsidRPr="004841EF" w:rsidRDefault="000B7FC1" w:rsidP="00C02876">
            <w:pPr>
              <w:spacing w:after="200" w:line="23" w:lineRule="atLeast"/>
              <w:jc w:val="right"/>
              <w:rPr>
                <w:rFonts w:eastAsia="Calibri"/>
                <w:sz w:val="22"/>
                <w:szCs w:val="22"/>
              </w:rPr>
            </w:pPr>
            <w:r w:rsidRPr="004841EF">
              <w:rPr>
                <w:rFonts w:eastAsia="Calibri"/>
                <w:sz w:val="22"/>
                <w:szCs w:val="22"/>
              </w:rPr>
              <w:t>81,724</w:t>
            </w:r>
          </w:p>
        </w:tc>
        <w:tc>
          <w:tcPr>
            <w:tcW w:w="1109" w:type="dxa"/>
            <w:tcBorders>
              <w:top w:val="single" w:sz="12" w:space="0" w:color="000000"/>
            </w:tcBorders>
            <w:shd w:val="clear" w:color="auto" w:fill="auto"/>
          </w:tcPr>
          <w:p w14:paraId="7A35A5BC" w14:textId="2DE87C5F" w:rsidR="000B7FC1" w:rsidRPr="004841EF" w:rsidRDefault="000B7FC1" w:rsidP="00C02876">
            <w:pPr>
              <w:spacing w:after="200" w:line="23" w:lineRule="atLeast"/>
              <w:jc w:val="right"/>
              <w:rPr>
                <w:rFonts w:eastAsia="Calibri"/>
                <w:sz w:val="22"/>
                <w:szCs w:val="22"/>
              </w:rPr>
            </w:pPr>
            <w:r w:rsidRPr="004841EF">
              <w:rPr>
                <w:rFonts w:eastAsia="Calibri"/>
                <w:sz w:val="22"/>
                <w:szCs w:val="22"/>
              </w:rPr>
              <w:t>61,776</w:t>
            </w:r>
          </w:p>
        </w:tc>
        <w:tc>
          <w:tcPr>
            <w:tcW w:w="1110" w:type="dxa"/>
            <w:tcBorders>
              <w:top w:val="single" w:sz="12" w:space="0" w:color="000000"/>
            </w:tcBorders>
            <w:shd w:val="clear" w:color="auto" w:fill="auto"/>
          </w:tcPr>
          <w:p w14:paraId="77241FD2" w14:textId="5D2F5766" w:rsidR="000B7FC1" w:rsidRPr="004841EF" w:rsidRDefault="000B7FC1" w:rsidP="00C02876">
            <w:pPr>
              <w:spacing w:after="200" w:line="23" w:lineRule="atLeast"/>
              <w:jc w:val="right"/>
              <w:rPr>
                <w:rFonts w:eastAsia="Calibri"/>
                <w:sz w:val="22"/>
                <w:szCs w:val="22"/>
              </w:rPr>
            </w:pPr>
            <w:r w:rsidRPr="004841EF">
              <w:rPr>
                <w:rFonts w:eastAsia="Calibri"/>
                <w:sz w:val="22"/>
                <w:szCs w:val="22"/>
              </w:rPr>
              <w:t>58,108</w:t>
            </w:r>
          </w:p>
        </w:tc>
        <w:tc>
          <w:tcPr>
            <w:tcW w:w="1109" w:type="dxa"/>
            <w:tcBorders>
              <w:top w:val="single" w:sz="12" w:space="0" w:color="000000"/>
            </w:tcBorders>
            <w:shd w:val="clear" w:color="auto" w:fill="auto"/>
          </w:tcPr>
          <w:p w14:paraId="3FE5A550" w14:textId="2C345B1E" w:rsidR="000B7FC1" w:rsidRPr="004841EF" w:rsidRDefault="000B7FC1" w:rsidP="00C02876">
            <w:pPr>
              <w:spacing w:after="200" w:line="23" w:lineRule="atLeast"/>
              <w:jc w:val="right"/>
              <w:rPr>
                <w:rFonts w:eastAsia="Calibri"/>
                <w:sz w:val="22"/>
                <w:szCs w:val="22"/>
              </w:rPr>
            </w:pPr>
            <w:r w:rsidRPr="004841EF">
              <w:rPr>
                <w:rFonts w:eastAsia="Calibri"/>
                <w:sz w:val="22"/>
                <w:szCs w:val="22"/>
              </w:rPr>
              <w:t>54,041</w:t>
            </w:r>
          </w:p>
        </w:tc>
        <w:tc>
          <w:tcPr>
            <w:tcW w:w="1109" w:type="dxa"/>
            <w:tcBorders>
              <w:top w:val="single" w:sz="12" w:space="0" w:color="000000"/>
            </w:tcBorders>
            <w:shd w:val="clear" w:color="auto" w:fill="auto"/>
          </w:tcPr>
          <w:p w14:paraId="6803C8CC" w14:textId="1BA0EA98" w:rsidR="000B7FC1" w:rsidRPr="004841EF" w:rsidRDefault="000B7FC1" w:rsidP="00C02876">
            <w:pPr>
              <w:spacing w:after="200" w:line="23" w:lineRule="atLeast"/>
              <w:jc w:val="right"/>
              <w:rPr>
                <w:rFonts w:eastAsia="Calibri"/>
                <w:sz w:val="22"/>
                <w:szCs w:val="22"/>
              </w:rPr>
            </w:pPr>
            <w:r w:rsidRPr="004841EF">
              <w:rPr>
                <w:rFonts w:eastAsia="Calibri"/>
                <w:sz w:val="22"/>
                <w:szCs w:val="22"/>
              </w:rPr>
              <w:t>69,254</w:t>
            </w:r>
          </w:p>
        </w:tc>
        <w:tc>
          <w:tcPr>
            <w:tcW w:w="1110" w:type="dxa"/>
            <w:tcBorders>
              <w:top w:val="single" w:sz="12" w:space="0" w:color="000000"/>
            </w:tcBorders>
            <w:shd w:val="clear" w:color="auto" w:fill="auto"/>
          </w:tcPr>
          <w:p w14:paraId="743B3909" w14:textId="2E8AFD4F" w:rsidR="000B7FC1" w:rsidRPr="004841EF" w:rsidRDefault="000B7FC1" w:rsidP="00C02876">
            <w:pPr>
              <w:spacing w:after="200" w:line="23" w:lineRule="atLeast"/>
              <w:jc w:val="right"/>
              <w:rPr>
                <w:rFonts w:eastAsia="Calibri"/>
                <w:sz w:val="22"/>
                <w:szCs w:val="22"/>
              </w:rPr>
            </w:pPr>
            <w:r w:rsidRPr="004841EF">
              <w:rPr>
                <w:rFonts w:eastAsia="Calibri"/>
                <w:sz w:val="22"/>
                <w:szCs w:val="22"/>
              </w:rPr>
              <w:t>100,023</w:t>
            </w:r>
          </w:p>
        </w:tc>
      </w:tr>
      <w:tr w:rsidR="000B7FC1" w:rsidRPr="004841EF" w14:paraId="5722653F" w14:textId="0D088703" w:rsidTr="000B7FC1">
        <w:trPr>
          <w:jc w:val="center"/>
        </w:trPr>
        <w:tc>
          <w:tcPr>
            <w:tcW w:w="1261" w:type="dxa"/>
            <w:shd w:val="clear" w:color="auto" w:fill="auto"/>
          </w:tcPr>
          <w:p w14:paraId="11655DA0" w14:textId="77777777" w:rsidR="000B7FC1" w:rsidRPr="004841EF" w:rsidRDefault="000B7FC1" w:rsidP="00C02876">
            <w:pPr>
              <w:spacing w:after="200" w:line="23" w:lineRule="atLeast"/>
              <w:rPr>
                <w:rFonts w:eastAsia="Calibri"/>
                <w:sz w:val="22"/>
                <w:szCs w:val="22"/>
              </w:rPr>
            </w:pPr>
            <w:r w:rsidRPr="004841EF">
              <w:rPr>
                <w:rFonts w:eastAsia="Calibri"/>
                <w:sz w:val="22"/>
                <w:szCs w:val="22"/>
              </w:rPr>
              <w:t>Personal Reader Grant</w:t>
            </w:r>
          </w:p>
        </w:tc>
        <w:tc>
          <w:tcPr>
            <w:tcW w:w="1109" w:type="dxa"/>
            <w:shd w:val="clear" w:color="auto" w:fill="auto"/>
          </w:tcPr>
          <w:p w14:paraId="78C56B95" w14:textId="7E0441A7" w:rsidR="000B7FC1" w:rsidRPr="004841EF" w:rsidRDefault="000B7FC1" w:rsidP="00C02876">
            <w:pPr>
              <w:spacing w:after="200" w:line="23" w:lineRule="atLeast"/>
              <w:jc w:val="right"/>
              <w:rPr>
                <w:rFonts w:eastAsia="Calibri"/>
                <w:sz w:val="22"/>
                <w:szCs w:val="22"/>
              </w:rPr>
            </w:pPr>
            <w:r w:rsidRPr="004841EF">
              <w:rPr>
                <w:rFonts w:eastAsia="Calibri"/>
                <w:sz w:val="22"/>
                <w:szCs w:val="22"/>
              </w:rPr>
              <w:t>27,274</w:t>
            </w:r>
          </w:p>
        </w:tc>
        <w:tc>
          <w:tcPr>
            <w:tcW w:w="1109" w:type="dxa"/>
            <w:shd w:val="clear" w:color="auto" w:fill="auto"/>
          </w:tcPr>
          <w:p w14:paraId="48BD36A1" w14:textId="58567FEC" w:rsidR="000B7FC1" w:rsidRPr="004841EF" w:rsidRDefault="000B7FC1" w:rsidP="00C02876">
            <w:pPr>
              <w:spacing w:after="200" w:line="23" w:lineRule="atLeast"/>
              <w:jc w:val="right"/>
              <w:rPr>
                <w:rFonts w:eastAsia="Calibri"/>
                <w:sz w:val="22"/>
                <w:szCs w:val="22"/>
              </w:rPr>
            </w:pPr>
            <w:r w:rsidRPr="004841EF">
              <w:rPr>
                <w:rFonts w:eastAsia="Calibri"/>
                <w:sz w:val="22"/>
                <w:szCs w:val="22"/>
              </w:rPr>
              <w:t>27,526</w:t>
            </w:r>
          </w:p>
        </w:tc>
        <w:tc>
          <w:tcPr>
            <w:tcW w:w="1109" w:type="dxa"/>
            <w:shd w:val="clear" w:color="auto" w:fill="auto"/>
          </w:tcPr>
          <w:p w14:paraId="1DE58FF0" w14:textId="0652D1A9" w:rsidR="000B7FC1" w:rsidRPr="004841EF" w:rsidRDefault="000B7FC1" w:rsidP="00C02876">
            <w:pPr>
              <w:spacing w:after="200" w:line="23" w:lineRule="atLeast"/>
              <w:jc w:val="right"/>
              <w:rPr>
                <w:rFonts w:eastAsia="Calibri"/>
                <w:sz w:val="22"/>
                <w:szCs w:val="22"/>
              </w:rPr>
            </w:pPr>
            <w:r w:rsidRPr="004841EF">
              <w:rPr>
                <w:rFonts w:eastAsia="Calibri"/>
                <w:sz w:val="22"/>
                <w:szCs w:val="22"/>
              </w:rPr>
              <w:t>14,499</w:t>
            </w:r>
          </w:p>
        </w:tc>
        <w:tc>
          <w:tcPr>
            <w:tcW w:w="1110" w:type="dxa"/>
            <w:shd w:val="clear" w:color="auto" w:fill="auto"/>
          </w:tcPr>
          <w:p w14:paraId="0ACFAEAD" w14:textId="3E957475" w:rsidR="000B7FC1" w:rsidRPr="004841EF" w:rsidRDefault="000B7FC1" w:rsidP="00C02876">
            <w:pPr>
              <w:spacing w:after="200" w:line="23" w:lineRule="atLeast"/>
              <w:jc w:val="right"/>
              <w:rPr>
                <w:rFonts w:eastAsia="Calibri"/>
                <w:sz w:val="22"/>
                <w:szCs w:val="22"/>
              </w:rPr>
            </w:pPr>
            <w:r w:rsidRPr="004841EF">
              <w:rPr>
                <w:rFonts w:eastAsia="Calibri"/>
                <w:sz w:val="22"/>
                <w:szCs w:val="22"/>
              </w:rPr>
              <w:t>11,866</w:t>
            </w:r>
          </w:p>
        </w:tc>
        <w:tc>
          <w:tcPr>
            <w:tcW w:w="1109" w:type="dxa"/>
            <w:shd w:val="clear" w:color="auto" w:fill="auto"/>
          </w:tcPr>
          <w:p w14:paraId="5C6CD712" w14:textId="2517C7B5" w:rsidR="000B7FC1" w:rsidRPr="004841EF" w:rsidRDefault="000B7FC1" w:rsidP="00C02876">
            <w:pPr>
              <w:spacing w:after="200" w:line="23" w:lineRule="atLeast"/>
              <w:jc w:val="right"/>
              <w:rPr>
                <w:rFonts w:eastAsia="Calibri"/>
                <w:sz w:val="22"/>
                <w:szCs w:val="22"/>
              </w:rPr>
            </w:pPr>
            <w:r w:rsidRPr="004841EF">
              <w:rPr>
                <w:rFonts w:eastAsia="Calibri"/>
                <w:sz w:val="22"/>
                <w:szCs w:val="22"/>
              </w:rPr>
              <w:t>16,537</w:t>
            </w:r>
          </w:p>
        </w:tc>
        <w:tc>
          <w:tcPr>
            <w:tcW w:w="1109" w:type="dxa"/>
            <w:shd w:val="clear" w:color="auto" w:fill="auto"/>
          </w:tcPr>
          <w:p w14:paraId="5683BE88" w14:textId="2D2BF23C" w:rsidR="000B7FC1" w:rsidRPr="004841EF" w:rsidRDefault="000B7FC1" w:rsidP="00C02876">
            <w:pPr>
              <w:spacing w:after="200" w:line="23" w:lineRule="atLeast"/>
              <w:jc w:val="right"/>
              <w:rPr>
                <w:rFonts w:eastAsia="Calibri"/>
                <w:sz w:val="22"/>
                <w:szCs w:val="22"/>
              </w:rPr>
            </w:pPr>
            <w:r w:rsidRPr="004841EF">
              <w:rPr>
                <w:rFonts w:eastAsia="Calibri"/>
                <w:sz w:val="22"/>
                <w:szCs w:val="22"/>
              </w:rPr>
              <w:t>31,619</w:t>
            </w:r>
          </w:p>
        </w:tc>
        <w:tc>
          <w:tcPr>
            <w:tcW w:w="1110" w:type="dxa"/>
            <w:shd w:val="clear" w:color="auto" w:fill="auto"/>
          </w:tcPr>
          <w:p w14:paraId="17313DF4" w14:textId="5E92EA2F" w:rsidR="000B7FC1" w:rsidRPr="004841EF" w:rsidRDefault="000B7FC1" w:rsidP="00C02876">
            <w:pPr>
              <w:spacing w:after="200" w:line="23" w:lineRule="atLeast"/>
              <w:jc w:val="right"/>
              <w:rPr>
                <w:rFonts w:eastAsia="Calibri"/>
                <w:sz w:val="22"/>
                <w:szCs w:val="22"/>
              </w:rPr>
            </w:pPr>
            <w:r w:rsidRPr="004841EF">
              <w:rPr>
                <w:rFonts w:eastAsia="Calibri"/>
                <w:sz w:val="22"/>
                <w:szCs w:val="22"/>
              </w:rPr>
              <w:t>12,338</w:t>
            </w:r>
          </w:p>
        </w:tc>
      </w:tr>
      <w:tr w:rsidR="000B7FC1" w:rsidRPr="004841EF" w14:paraId="7961A8AE" w14:textId="2115CE6E" w:rsidTr="000B7FC1">
        <w:trPr>
          <w:jc w:val="center"/>
        </w:trPr>
        <w:tc>
          <w:tcPr>
            <w:tcW w:w="1261" w:type="dxa"/>
            <w:shd w:val="clear" w:color="auto" w:fill="auto"/>
          </w:tcPr>
          <w:p w14:paraId="5D931726" w14:textId="77777777" w:rsidR="000B7FC1" w:rsidRPr="004841EF" w:rsidRDefault="000B7FC1" w:rsidP="00C02876">
            <w:pPr>
              <w:spacing w:after="200" w:line="23" w:lineRule="atLeast"/>
              <w:rPr>
                <w:rFonts w:eastAsia="Calibri"/>
                <w:sz w:val="22"/>
                <w:szCs w:val="22"/>
              </w:rPr>
            </w:pPr>
            <w:r w:rsidRPr="004841EF">
              <w:rPr>
                <w:rFonts w:eastAsia="Calibri"/>
                <w:sz w:val="22"/>
                <w:szCs w:val="22"/>
              </w:rPr>
              <w:t>Job Interview Interpreter Grant</w:t>
            </w:r>
          </w:p>
        </w:tc>
        <w:tc>
          <w:tcPr>
            <w:tcW w:w="1109" w:type="dxa"/>
            <w:shd w:val="clear" w:color="auto" w:fill="auto"/>
          </w:tcPr>
          <w:p w14:paraId="6EEBF0E8" w14:textId="49F66C92" w:rsidR="000B7FC1" w:rsidRPr="004841EF" w:rsidRDefault="000B7FC1" w:rsidP="00C02876">
            <w:pPr>
              <w:spacing w:after="200" w:line="23" w:lineRule="atLeast"/>
              <w:jc w:val="right"/>
              <w:rPr>
                <w:rFonts w:eastAsia="Calibri"/>
                <w:sz w:val="22"/>
                <w:szCs w:val="22"/>
              </w:rPr>
            </w:pPr>
            <w:r w:rsidRPr="004841EF">
              <w:rPr>
                <w:rFonts w:eastAsia="Calibri"/>
                <w:sz w:val="22"/>
                <w:szCs w:val="22"/>
              </w:rPr>
              <w:t>6,355</w:t>
            </w:r>
          </w:p>
        </w:tc>
        <w:tc>
          <w:tcPr>
            <w:tcW w:w="1109" w:type="dxa"/>
            <w:shd w:val="clear" w:color="auto" w:fill="auto"/>
          </w:tcPr>
          <w:p w14:paraId="6C85E7E5" w14:textId="4A2A84E4" w:rsidR="000B7FC1" w:rsidRPr="004841EF" w:rsidRDefault="000B7FC1" w:rsidP="00C02876">
            <w:pPr>
              <w:spacing w:after="200" w:line="23" w:lineRule="atLeast"/>
              <w:jc w:val="right"/>
              <w:rPr>
                <w:rFonts w:eastAsia="Calibri"/>
                <w:sz w:val="22"/>
                <w:szCs w:val="22"/>
              </w:rPr>
            </w:pPr>
            <w:r w:rsidRPr="004841EF">
              <w:rPr>
                <w:rFonts w:eastAsia="Calibri"/>
                <w:sz w:val="22"/>
                <w:szCs w:val="22"/>
              </w:rPr>
              <w:t>2,767</w:t>
            </w:r>
          </w:p>
        </w:tc>
        <w:tc>
          <w:tcPr>
            <w:tcW w:w="1109" w:type="dxa"/>
            <w:shd w:val="clear" w:color="auto" w:fill="auto"/>
          </w:tcPr>
          <w:p w14:paraId="681E2085" w14:textId="0048A15C" w:rsidR="000B7FC1" w:rsidRPr="004841EF" w:rsidRDefault="000B7FC1" w:rsidP="00C02876">
            <w:pPr>
              <w:spacing w:after="200" w:line="23" w:lineRule="atLeast"/>
              <w:jc w:val="right"/>
              <w:rPr>
                <w:rFonts w:eastAsia="Calibri"/>
                <w:sz w:val="22"/>
                <w:szCs w:val="22"/>
              </w:rPr>
            </w:pPr>
            <w:r w:rsidRPr="004841EF">
              <w:rPr>
                <w:rFonts w:eastAsia="Calibri"/>
                <w:sz w:val="22"/>
                <w:szCs w:val="22"/>
              </w:rPr>
              <w:t>1,589</w:t>
            </w:r>
          </w:p>
        </w:tc>
        <w:tc>
          <w:tcPr>
            <w:tcW w:w="1110" w:type="dxa"/>
            <w:shd w:val="clear" w:color="auto" w:fill="auto"/>
          </w:tcPr>
          <w:p w14:paraId="66D2708C" w14:textId="2CF4DF78" w:rsidR="000B7FC1" w:rsidRPr="004841EF" w:rsidRDefault="000B7FC1" w:rsidP="00C02876">
            <w:pPr>
              <w:spacing w:after="200" w:line="23" w:lineRule="atLeast"/>
              <w:jc w:val="right"/>
              <w:rPr>
                <w:rFonts w:eastAsia="Calibri"/>
                <w:sz w:val="22"/>
                <w:szCs w:val="22"/>
              </w:rPr>
            </w:pPr>
            <w:r w:rsidRPr="004841EF">
              <w:rPr>
                <w:rFonts w:eastAsia="Calibri"/>
                <w:sz w:val="22"/>
                <w:szCs w:val="22"/>
              </w:rPr>
              <w:t>3,950</w:t>
            </w:r>
          </w:p>
        </w:tc>
        <w:tc>
          <w:tcPr>
            <w:tcW w:w="1109" w:type="dxa"/>
            <w:shd w:val="clear" w:color="auto" w:fill="auto"/>
          </w:tcPr>
          <w:p w14:paraId="323489B8" w14:textId="6242DA9D" w:rsidR="000B7FC1" w:rsidRPr="004841EF" w:rsidRDefault="000B7FC1" w:rsidP="00C02876">
            <w:pPr>
              <w:spacing w:after="200" w:line="23" w:lineRule="atLeast"/>
              <w:jc w:val="right"/>
              <w:rPr>
                <w:rFonts w:eastAsia="Calibri"/>
                <w:sz w:val="22"/>
                <w:szCs w:val="22"/>
              </w:rPr>
            </w:pPr>
            <w:r w:rsidRPr="004841EF">
              <w:rPr>
                <w:rFonts w:eastAsia="Calibri"/>
                <w:sz w:val="22"/>
                <w:szCs w:val="22"/>
              </w:rPr>
              <w:t>7,244</w:t>
            </w:r>
          </w:p>
        </w:tc>
        <w:tc>
          <w:tcPr>
            <w:tcW w:w="1109" w:type="dxa"/>
            <w:shd w:val="clear" w:color="auto" w:fill="auto"/>
          </w:tcPr>
          <w:p w14:paraId="24943009" w14:textId="6DF07579" w:rsidR="000B7FC1" w:rsidRPr="004841EF" w:rsidRDefault="000B7FC1" w:rsidP="00C02876">
            <w:pPr>
              <w:spacing w:after="200" w:line="23" w:lineRule="atLeast"/>
              <w:jc w:val="right"/>
              <w:rPr>
                <w:rFonts w:eastAsia="Calibri"/>
                <w:sz w:val="22"/>
                <w:szCs w:val="22"/>
              </w:rPr>
            </w:pPr>
            <w:r w:rsidRPr="004841EF">
              <w:rPr>
                <w:rFonts w:eastAsia="Calibri"/>
                <w:sz w:val="22"/>
                <w:szCs w:val="22"/>
              </w:rPr>
              <w:t>5,714</w:t>
            </w:r>
          </w:p>
        </w:tc>
        <w:tc>
          <w:tcPr>
            <w:tcW w:w="1110" w:type="dxa"/>
            <w:shd w:val="clear" w:color="auto" w:fill="auto"/>
          </w:tcPr>
          <w:p w14:paraId="64039B17" w14:textId="1C049804" w:rsidR="000B7FC1" w:rsidRPr="004841EF" w:rsidRDefault="000B7FC1" w:rsidP="00C02876">
            <w:pPr>
              <w:spacing w:after="200" w:line="23" w:lineRule="atLeast"/>
              <w:jc w:val="right"/>
              <w:rPr>
                <w:rFonts w:eastAsia="Calibri"/>
                <w:sz w:val="22"/>
                <w:szCs w:val="22"/>
              </w:rPr>
            </w:pPr>
            <w:r w:rsidRPr="004841EF">
              <w:rPr>
                <w:rFonts w:eastAsia="Calibri"/>
                <w:sz w:val="22"/>
                <w:szCs w:val="22"/>
              </w:rPr>
              <w:t>6,361</w:t>
            </w:r>
          </w:p>
        </w:tc>
      </w:tr>
      <w:tr w:rsidR="000B7FC1" w:rsidRPr="004841EF" w14:paraId="5FAD9EB7" w14:textId="11C36A62" w:rsidTr="000B7FC1">
        <w:trPr>
          <w:jc w:val="center"/>
        </w:trPr>
        <w:tc>
          <w:tcPr>
            <w:tcW w:w="1261" w:type="dxa"/>
            <w:shd w:val="clear" w:color="auto" w:fill="auto"/>
          </w:tcPr>
          <w:p w14:paraId="3291078F" w14:textId="77777777" w:rsidR="000B7FC1" w:rsidRPr="004841EF" w:rsidRDefault="000B7FC1" w:rsidP="00C02876">
            <w:pPr>
              <w:spacing w:after="200" w:line="23" w:lineRule="atLeast"/>
              <w:rPr>
                <w:rFonts w:eastAsia="Calibri"/>
                <w:sz w:val="22"/>
                <w:szCs w:val="22"/>
              </w:rPr>
            </w:pPr>
            <w:r w:rsidRPr="004841EF">
              <w:rPr>
                <w:rFonts w:eastAsia="Calibri"/>
                <w:sz w:val="22"/>
                <w:szCs w:val="22"/>
              </w:rPr>
              <w:t>Employee Retention Grant</w:t>
            </w:r>
          </w:p>
        </w:tc>
        <w:tc>
          <w:tcPr>
            <w:tcW w:w="1109" w:type="dxa"/>
            <w:shd w:val="clear" w:color="auto" w:fill="auto"/>
          </w:tcPr>
          <w:p w14:paraId="00DBC59B" w14:textId="523EBC9E" w:rsidR="000B7FC1" w:rsidRPr="004841EF" w:rsidRDefault="000B7FC1" w:rsidP="00C02876">
            <w:pPr>
              <w:spacing w:after="200" w:line="23" w:lineRule="atLeast"/>
              <w:jc w:val="right"/>
              <w:rPr>
                <w:rFonts w:eastAsia="Calibri"/>
                <w:sz w:val="22"/>
                <w:szCs w:val="22"/>
              </w:rPr>
            </w:pPr>
            <w:r w:rsidRPr="004841EF">
              <w:rPr>
                <w:rFonts w:eastAsia="Calibri"/>
                <w:sz w:val="22"/>
                <w:szCs w:val="22"/>
              </w:rPr>
              <w:t>4,320</w:t>
            </w:r>
          </w:p>
        </w:tc>
        <w:tc>
          <w:tcPr>
            <w:tcW w:w="1109" w:type="dxa"/>
            <w:shd w:val="clear" w:color="auto" w:fill="auto"/>
          </w:tcPr>
          <w:p w14:paraId="0A3877D2" w14:textId="00324C5D" w:rsidR="000B7FC1" w:rsidRPr="004841EF" w:rsidRDefault="000B7FC1" w:rsidP="00C02876">
            <w:pPr>
              <w:spacing w:after="200" w:line="23" w:lineRule="atLeast"/>
              <w:jc w:val="right"/>
              <w:rPr>
                <w:rFonts w:eastAsia="Calibri"/>
                <w:sz w:val="22"/>
                <w:szCs w:val="22"/>
              </w:rPr>
            </w:pPr>
            <w:r w:rsidRPr="004841EF">
              <w:rPr>
                <w:rFonts w:eastAsia="Calibri"/>
                <w:sz w:val="22"/>
                <w:szCs w:val="22"/>
              </w:rPr>
              <w:t>0</w:t>
            </w:r>
          </w:p>
        </w:tc>
        <w:tc>
          <w:tcPr>
            <w:tcW w:w="1109" w:type="dxa"/>
            <w:shd w:val="clear" w:color="auto" w:fill="auto"/>
          </w:tcPr>
          <w:p w14:paraId="335962B9" w14:textId="38BCB10A" w:rsidR="000B7FC1" w:rsidRPr="004841EF" w:rsidRDefault="00A357E2" w:rsidP="00C02876">
            <w:pPr>
              <w:spacing w:after="200" w:line="23" w:lineRule="atLeast"/>
              <w:jc w:val="right"/>
              <w:rPr>
                <w:rFonts w:eastAsia="Calibri"/>
                <w:sz w:val="22"/>
                <w:szCs w:val="22"/>
              </w:rPr>
            </w:pPr>
            <w:r w:rsidRPr="004841EF">
              <w:rPr>
                <w:rFonts w:eastAsia="Calibri"/>
                <w:sz w:val="22"/>
                <w:szCs w:val="22"/>
              </w:rPr>
              <w:t>0</w:t>
            </w:r>
          </w:p>
        </w:tc>
        <w:tc>
          <w:tcPr>
            <w:tcW w:w="1110" w:type="dxa"/>
            <w:shd w:val="clear" w:color="auto" w:fill="auto"/>
          </w:tcPr>
          <w:p w14:paraId="072D115D" w14:textId="0DB20914" w:rsidR="000B7FC1" w:rsidRPr="004841EF" w:rsidRDefault="000B7FC1" w:rsidP="00C02876">
            <w:pPr>
              <w:spacing w:after="200" w:line="23" w:lineRule="atLeast"/>
              <w:jc w:val="right"/>
              <w:rPr>
                <w:rFonts w:eastAsia="Calibri"/>
                <w:sz w:val="22"/>
                <w:szCs w:val="22"/>
              </w:rPr>
            </w:pPr>
            <w:r w:rsidRPr="004841EF">
              <w:rPr>
                <w:rFonts w:eastAsia="Calibri"/>
                <w:sz w:val="22"/>
                <w:szCs w:val="22"/>
              </w:rPr>
              <w:t>0</w:t>
            </w:r>
          </w:p>
        </w:tc>
        <w:tc>
          <w:tcPr>
            <w:tcW w:w="1109" w:type="dxa"/>
            <w:shd w:val="clear" w:color="auto" w:fill="auto"/>
          </w:tcPr>
          <w:p w14:paraId="66FFD6D1" w14:textId="42D4D81F" w:rsidR="000B7FC1" w:rsidRPr="004841EF" w:rsidRDefault="000B7FC1" w:rsidP="00C02876">
            <w:pPr>
              <w:spacing w:after="200" w:line="23" w:lineRule="atLeast"/>
              <w:jc w:val="right"/>
              <w:rPr>
                <w:rFonts w:eastAsia="Calibri"/>
                <w:sz w:val="22"/>
                <w:szCs w:val="22"/>
              </w:rPr>
            </w:pPr>
            <w:r w:rsidRPr="004841EF">
              <w:rPr>
                <w:rFonts w:eastAsia="Calibri"/>
                <w:sz w:val="22"/>
                <w:szCs w:val="22"/>
              </w:rPr>
              <w:t>0</w:t>
            </w:r>
          </w:p>
        </w:tc>
        <w:tc>
          <w:tcPr>
            <w:tcW w:w="1109" w:type="dxa"/>
            <w:shd w:val="clear" w:color="auto" w:fill="auto"/>
          </w:tcPr>
          <w:p w14:paraId="7FE0F0B1" w14:textId="2470B371" w:rsidR="000B7FC1" w:rsidRPr="004841EF" w:rsidRDefault="000B7FC1" w:rsidP="00C02876">
            <w:pPr>
              <w:spacing w:after="200" w:line="23" w:lineRule="atLeast"/>
              <w:jc w:val="right"/>
              <w:rPr>
                <w:rFonts w:eastAsia="Calibri"/>
                <w:sz w:val="22"/>
                <w:szCs w:val="22"/>
              </w:rPr>
            </w:pPr>
            <w:r w:rsidRPr="004841EF">
              <w:rPr>
                <w:rFonts w:eastAsia="Calibri"/>
                <w:sz w:val="22"/>
                <w:szCs w:val="22"/>
              </w:rPr>
              <w:t>0</w:t>
            </w:r>
          </w:p>
        </w:tc>
        <w:tc>
          <w:tcPr>
            <w:tcW w:w="1110" w:type="dxa"/>
            <w:shd w:val="clear" w:color="auto" w:fill="auto"/>
          </w:tcPr>
          <w:p w14:paraId="737EB9DF" w14:textId="74E124D1" w:rsidR="000B7FC1" w:rsidRPr="004841EF" w:rsidRDefault="000B7FC1" w:rsidP="00C02876">
            <w:pPr>
              <w:spacing w:after="200" w:line="23" w:lineRule="atLeast"/>
              <w:jc w:val="right"/>
              <w:rPr>
                <w:rFonts w:eastAsia="Calibri"/>
                <w:sz w:val="22"/>
                <w:szCs w:val="22"/>
              </w:rPr>
            </w:pPr>
            <w:r w:rsidRPr="004841EF">
              <w:rPr>
                <w:rFonts w:eastAsia="Calibri"/>
                <w:sz w:val="22"/>
                <w:szCs w:val="22"/>
              </w:rPr>
              <w:t>1,900</w:t>
            </w:r>
          </w:p>
        </w:tc>
      </w:tr>
      <w:tr w:rsidR="000B7FC1" w:rsidRPr="004841EF" w14:paraId="12D423D3" w14:textId="55D1BA7E" w:rsidTr="000B7FC1">
        <w:trPr>
          <w:jc w:val="center"/>
        </w:trPr>
        <w:tc>
          <w:tcPr>
            <w:tcW w:w="1261" w:type="dxa"/>
            <w:shd w:val="clear" w:color="auto" w:fill="auto"/>
          </w:tcPr>
          <w:p w14:paraId="22AEB251" w14:textId="77777777" w:rsidR="000B7FC1" w:rsidRPr="004841EF" w:rsidRDefault="000B7FC1" w:rsidP="00C02876">
            <w:pPr>
              <w:spacing w:after="200" w:line="23" w:lineRule="atLeast"/>
              <w:rPr>
                <w:rFonts w:eastAsia="Calibri"/>
                <w:sz w:val="22"/>
                <w:szCs w:val="22"/>
              </w:rPr>
            </w:pPr>
            <w:r w:rsidRPr="004841EF">
              <w:rPr>
                <w:rFonts w:eastAsia="Calibri"/>
                <w:sz w:val="22"/>
                <w:szCs w:val="22"/>
              </w:rPr>
              <w:t>Total</w:t>
            </w:r>
          </w:p>
        </w:tc>
        <w:tc>
          <w:tcPr>
            <w:tcW w:w="1109" w:type="dxa"/>
            <w:shd w:val="clear" w:color="auto" w:fill="auto"/>
          </w:tcPr>
          <w:p w14:paraId="22FB8D1E" w14:textId="0906C18F" w:rsidR="000B7FC1" w:rsidRPr="004841EF" w:rsidRDefault="000B7FC1" w:rsidP="00C02876">
            <w:pPr>
              <w:spacing w:after="200" w:line="23" w:lineRule="atLeast"/>
              <w:jc w:val="right"/>
              <w:rPr>
                <w:rFonts w:eastAsia="Calibri"/>
                <w:sz w:val="22"/>
                <w:szCs w:val="22"/>
              </w:rPr>
            </w:pPr>
            <w:r w:rsidRPr="004841EF">
              <w:rPr>
                <w:rFonts w:eastAsia="Calibri"/>
                <w:sz w:val="22"/>
                <w:szCs w:val="22"/>
              </w:rPr>
              <w:t>109,125</w:t>
            </w:r>
          </w:p>
        </w:tc>
        <w:tc>
          <w:tcPr>
            <w:tcW w:w="1109" w:type="dxa"/>
            <w:shd w:val="clear" w:color="auto" w:fill="auto"/>
          </w:tcPr>
          <w:p w14:paraId="27617A83" w14:textId="7A68527C" w:rsidR="000B7FC1" w:rsidRPr="004841EF" w:rsidRDefault="000B7FC1" w:rsidP="00C02876">
            <w:pPr>
              <w:spacing w:after="200" w:line="23" w:lineRule="atLeast"/>
              <w:jc w:val="right"/>
              <w:rPr>
                <w:rFonts w:eastAsia="Calibri"/>
                <w:sz w:val="22"/>
                <w:szCs w:val="22"/>
              </w:rPr>
            </w:pPr>
            <w:r w:rsidRPr="004841EF">
              <w:rPr>
                <w:rFonts w:eastAsia="Calibri"/>
                <w:sz w:val="22"/>
                <w:szCs w:val="22"/>
              </w:rPr>
              <w:t>112,017</w:t>
            </w:r>
          </w:p>
        </w:tc>
        <w:tc>
          <w:tcPr>
            <w:tcW w:w="1109" w:type="dxa"/>
            <w:shd w:val="clear" w:color="auto" w:fill="auto"/>
          </w:tcPr>
          <w:p w14:paraId="61A5B96C" w14:textId="649CE333" w:rsidR="000B7FC1" w:rsidRPr="004841EF" w:rsidRDefault="000B7FC1" w:rsidP="00C02876">
            <w:pPr>
              <w:spacing w:after="200" w:line="23" w:lineRule="atLeast"/>
              <w:jc w:val="right"/>
              <w:rPr>
                <w:rFonts w:eastAsia="Calibri"/>
                <w:sz w:val="22"/>
                <w:szCs w:val="22"/>
              </w:rPr>
            </w:pPr>
            <w:r w:rsidRPr="004841EF">
              <w:rPr>
                <w:rFonts w:eastAsia="Calibri"/>
                <w:sz w:val="22"/>
                <w:szCs w:val="22"/>
              </w:rPr>
              <w:t>77,864</w:t>
            </w:r>
          </w:p>
        </w:tc>
        <w:tc>
          <w:tcPr>
            <w:tcW w:w="1110" w:type="dxa"/>
            <w:shd w:val="clear" w:color="auto" w:fill="auto"/>
          </w:tcPr>
          <w:p w14:paraId="2DC7492A" w14:textId="3CD02837" w:rsidR="000B7FC1" w:rsidRPr="004841EF" w:rsidRDefault="000B7FC1" w:rsidP="00C02876">
            <w:pPr>
              <w:spacing w:after="200" w:line="23" w:lineRule="atLeast"/>
              <w:jc w:val="right"/>
              <w:rPr>
                <w:rFonts w:eastAsia="Calibri"/>
                <w:sz w:val="22"/>
                <w:szCs w:val="22"/>
              </w:rPr>
            </w:pPr>
            <w:r w:rsidRPr="004841EF">
              <w:rPr>
                <w:rFonts w:eastAsia="Calibri"/>
                <w:sz w:val="22"/>
                <w:szCs w:val="22"/>
              </w:rPr>
              <w:t>73,925</w:t>
            </w:r>
          </w:p>
        </w:tc>
        <w:tc>
          <w:tcPr>
            <w:tcW w:w="1109" w:type="dxa"/>
            <w:shd w:val="clear" w:color="auto" w:fill="auto"/>
          </w:tcPr>
          <w:p w14:paraId="514E9D6F" w14:textId="7E6651E9" w:rsidR="000B7FC1" w:rsidRPr="004841EF" w:rsidRDefault="000B7FC1" w:rsidP="00C02876">
            <w:pPr>
              <w:spacing w:after="200" w:line="23" w:lineRule="atLeast"/>
              <w:jc w:val="right"/>
              <w:rPr>
                <w:rFonts w:eastAsia="Calibri"/>
                <w:sz w:val="22"/>
                <w:szCs w:val="22"/>
              </w:rPr>
            </w:pPr>
            <w:r w:rsidRPr="004841EF">
              <w:rPr>
                <w:rFonts w:eastAsia="Calibri"/>
                <w:sz w:val="22"/>
                <w:szCs w:val="22"/>
              </w:rPr>
              <w:t>77,822</w:t>
            </w:r>
          </w:p>
        </w:tc>
        <w:tc>
          <w:tcPr>
            <w:tcW w:w="1109" w:type="dxa"/>
            <w:shd w:val="clear" w:color="auto" w:fill="auto"/>
          </w:tcPr>
          <w:p w14:paraId="4FFA889C" w14:textId="1BE1C2A0" w:rsidR="000B7FC1" w:rsidRPr="004841EF" w:rsidRDefault="000B7FC1" w:rsidP="00C02876">
            <w:pPr>
              <w:spacing w:after="200" w:line="23" w:lineRule="atLeast"/>
              <w:jc w:val="right"/>
              <w:rPr>
                <w:rFonts w:eastAsia="Calibri"/>
                <w:sz w:val="22"/>
                <w:szCs w:val="22"/>
              </w:rPr>
            </w:pPr>
            <w:r w:rsidRPr="004841EF">
              <w:rPr>
                <w:rFonts w:eastAsia="Calibri"/>
                <w:sz w:val="22"/>
                <w:szCs w:val="22"/>
              </w:rPr>
              <w:t>106,587</w:t>
            </w:r>
          </w:p>
        </w:tc>
        <w:tc>
          <w:tcPr>
            <w:tcW w:w="1110" w:type="dxa"/>
            <w:shd w:val="clear" w:color="auto" w:fill="auto"/>
          </w:tcPr>
          <w:p w14:paraId="5957A7FB" w14:textId="6901DD03" w:rsidR="000B7FC1" w:rsidRPr="004841EF" w:rsidRDefault="000B7FC1" w:rsidP="00C02876">
            <w:pPr>
              <w:spacing w:after="200" w:line="23" w:lineRule="atLeast"/>
              <w:jc w:val="right"/>
              <w:rPr>
                <w:rFonts w:eastAsia="Calibri"/>
                <w:sz w:val="22"/>
                <w:szCs w:val="22"/>
              </w:rPr>
            </w:pPr>
            <w:r w:rsidRPr="004841EF">
              <w:rPr>
                <w:rFonts w:eastAsia="Calibri"/>
                <w:sz w:val="22"/>
                <w:szCs w:val="22"/>
              </w:rPr>
              <w:t>120,622</w:t>
            </w:r>
          </w:p>
        </w:tc>
      </w:tr>
    </w:tbl>
    <w:p w14:paraId="76B6B25C" w14:textId="77777777" w:rsidR="00440AB1" w:rsidRPr="004841EF" w:rsidRDefault="00440AB1" w:rsidP="00440AB1">
      <w:pPr>
        <w:spacing w:after="200" w:line="23" w:lineRule="atLeast"/>
        <w:rPr>
          <w:rFonts w:eastAsia="Calibri"/>
          <w:sz w:val="22"/>
          <w:szCs w:val="22"/>
        </w:rPr>
      </w:pPr>
    </w:p>
    <w:p w14:paraId="2F2C7DA0" w14:textId="4BAE3F14" w:rsidR="00B4738F" w:rsidRPr="004841EF" w:rsidRDefault="00536B99" w:rsidP="00440AB1">
      <w:pPr>
        <w:spacing w:after="200" w:line="23" w:lineRule="atLeast"/>
        <w:rPr>
          <w:rFonts w:eastAsia="Calibri"/>
          <w:sz w:val="22"/>
          <w:szCs w:val="22"/>
        </w:rPr>
      </w:pPr>
      <w:r w:rsidRPr="004841EF">
        <w:rPr>
          <w:rFonts w:eastAsia="Calibri"/>
          <w:sz w:val="22"/>
          <w:szCs w:val="22"/>
        </w:rPr>
        <w:t>Source:</w:t>
      </w:r>
      <w:r w:rsidR="00E51619" w:rsidRPr="004841EF">
        <w:rPr>
          <w:rFonts w:eastAsia="Calibri"/>
          <w:sz w:val="22"/>
          <w:szCs w:val="22"/>
        </w:rPr>
        <w:t xml:space="preserve"> Minister of State at the Department of Employment Affairs and Social Protection, the Department of Justice and Equality and the Department of Health with special responsibility for Disability Issues,</w:t>
      </w:r>
      <w:r w:rsidRPr="004841EF">
        <w:rPr>
          <w:rFonts w:eastAsia="Calibri"/>
          <w:sz w:val="22"/>
          <w:szCs w:val="22"/>
        </w:rPr>
        <w:t xml:space="preserve"> Finian McGrath TD, </w:t>
      </w:r>
      <w:r w:rsidRPr="004A4265">
        <w:rPr>
          <w:rFonts w:eastAsia="Calibri"/>
          <w:b/>
          <w:sz w:val="22"/>
          <w:szCs w:val="22"/>
        </w:rPr>
        <w:t>Parliamentary Question, 4 December 2018, 50434/18 and Finian McGrath TD, Parliamentary Question, 15 January 2019, 1167/19</w:t>
      </w:r>
      <w:r w:rsidRPr="004841EF">
        <w:rPr>
          <w:rFonts w:eastAsia="Calibri"/>
          <w:sz w:val="22"/>
          <w:szCs w:val="22"/>
        </w:rPr>
        <w:t>.</w:t>
      </w:r>
      <w:r w:rsidR="00B4738F" w:rsidRPr="004841EF">
        <w:rPr>
          <w:rFonts w:eastAsia="Calibri"/>
          <w:sz w:val="22"/>
          <w:szCs w:val="22"/>
        </w:rPr>
        <w:br w:type="page"/>
      </w:r>
    </w:p>
    <w:p w14:paraId="12959EF7" w14:textId="65C0297A" w:rsidR="00536B99" w:rsidRPr="004841EF" w:rsidRDefault="00536B99" w:rsidP="00536B99">
      <w:pPr>
        <w:spacing w:after="200" w:line="23" w:lineRule="atLeast"/>
        <w:rPr>
          <w:rFonts w:eastAsia="Calibri"/>
          <w:b/>
          <w:sz w:val="24"/>
          <w:szCs w:val="26"/>
        </w:rPr>
      </w:pPr>
      <w:r w:rsidRPr="004841EF">
        <w:rPr>
          <w:rFonts w:eastAsia="Calibri"/>
          <w:b/>
          <w:sz w:val="24"/>
          <w:szCs w:val="26"/>
        </w:rPr>
        <w:t xml:space="preserve">Table 10: Total applications </w:t>
      </w:r>
      <w:r w:rsidR="000B7FC1" w:rsidRPr="004841EF">
        <w:rPr>
          <w:rFonts w:eastAsia="Calibri"/>
          <w:b/>
          <w:sz w:val="24"/>
          <w:szCs w:val="26"/>
        </w:rPr>
        <w:t xml:space="preserve">granted </w:t>
      </w:r>
      <w:r w:rsidRPr="004841EF">
        <w:rPr>
          <w:rFonts w:eastAsia="Calibri"/>
          <w:b/>
          <w:sz w:val="24"/>
          <w:szCs w:val="26"/>
        </w:rPr>
        <w:t>under the Reasonable Accommodation Fund for People with Disabilities, 2012-2018</w:t>
      </w:r>
    </w:p>
    <w:tbl>
      <w:tblPr>
        <w:tblW w:w="902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261"/>
        <w:gridCol w:w="1109"/>
        <w:gridCol w:w="1109"/>
        <w:gridCol w:w="1109"/>
        <w:gridCol w:w="1110"/>
        <w:gridCol w:w="1109"/>
        <w:gridCol w:w="1109"/>
        <w:gridCol w:w="1110"/>
      </w:tblGrid>
      <w:tr w:rsidR="000808EA" w:rsidRPr="004841EF" w14:paraId="1B1A045F" w14:textId="3CDECAAB" w:rsidTr="000808EA">
        <w:trPr>
          <w:tblHeader/>
          <w:jc w:val="center"/>
        </w:trPr>
        <w:tc>
          <w:tcPr>
            <w:tcW w:w="1261" w:type="dxa"/>
            <w:tcBorders>
              <w:bottom w:val="single" w:sz="12" w:space="0" w:color="000000"/>
            </w:tcBorders>
            <w:shd w:val="clear" w:color="auto" w:fill="auto"/>
          </w:tcPr>
          <w:p w14:paraId="11001AA9" w14:textId="77777777" w:rsidR="000808EA" w:rsidRPr="004841EF" w:rsidRDefault="000808EA" w:rsidP="00C02876">
            <w:pPr>
              <w:spacing w:after="200" w:line="23" w:lineRule="atLeast"/>
              <w:rPr>
                <w:rFonts w:eastAsia="Calibri"/>
                <w:sz w:val="22"/>
                <w:szCs w:val="22"/>
              </w:rPr>
            </w:pPr>
            <w:r w:rsidRPr="004841EF">
              <w:rPr>
                <w:rFonts w:eastAsia="Calibri"/>
                <w:sz w:val="22"/>
                <w:szCs w:val="22"/>
              </w:rPr>
              <w:t>Year</w:t>
            </w:r>
          </w:p>
        </w:tc>
        <w:tc>
          <w:tcPr>
            <w:tcW w:w="1109" w:type="dxa"/>
            <w:tcBorders>
              <w:bottom w:val="single" w:sz="12" w:space="0" w:color="000000"/>
            </w:tcBorders>
            <w:shd w:val="clear" w:color="auto" w:fill="auto"/>
          </w:tcPr>
          <w:p w14:paraId="4C0B9053" w14:textId="77777777" w:rsidR="000808EA" w:rsidRPr="004841EF" w:rsidRDefault="000808EA" w:rsidP="00A867A5">
            <w:pPr>
              <w:spacing w:after="200" w:line="23" w:lineRule="atLeast"/>
              <w:jc w:val="right"/>
              <w:rPr>
                <w:rFonts w:eastAsia="Calibri"/>
                <w:sz w:val="22"/>
                <w:szCs w:val="22"/>
              </w:rPr>
            </w:pPr>
            <w:r w:rsidRPr="004841EF">
              <w:rPr>
                <w:rFonts w:eastAsia="Calibri"/>
                <w:sz w:val="22"/>
                <w:szCs w:val="22"/>
              </w:rPr>
              <w:t>2012</w:t>
            </w:r>
          </w:p>
        </w:tc>
        <w:tc>
          <w:tcPr>
            <w:tcW w:w="1109" w:type="dxa"/>
            <w:tcBorders>
              <w:bottom w:val="single" w:sz="12" w:space="0" w:color="000000"/>
            </w:tcBorders>
            <w:shd w:val="clear" w:color="auto" w:fill="auto"/>
          </w:tcPr>
          <w:p w14:paraId="72AC8C34" w14:textId="77777777" w:rsidR="000808EA" w:rsidRPr="004841EF" w:rsidRDefault="000808EA" w:rsidP="00A867A5">
            <w:pPr>
              <w:spacing w:after="200" w:line="23" w:lineRule="atLeast"/>
              <w:jc w:val="right"/>
              <w:rPr>
                <w:rFonts w:eastAsia="Calibri"/>
                <w:sz w:val="22"/>
                <w:szCs w:val="22"/>
              </w:rPr>
            </w:pPr>
            <w:r w:rsidRPr="004841EF">
              <w:rPr>
                <w:rFonts w:eastAsia="Calibri"/>
                <w:sz w:val="22"/>
                <w:szCs w:val="22"/>
              </w:rPr>
              <w:t>2013</w:t>
            </w:r>
          </w:p>
        </w:tc>
        <w:tc>
          <w:tcPr>
            <w:tcW w:w="1109" w:type="dxa"/>
            <w:tcBorders>
              <w:bottom w:val="single" w:sz="12" w:space="0" w:color="000000"/>
            </w:tcBorders>
            <w:shd w:val="clear" w:color="auto" w:fill="auto"/>
          </w:tcPr>
          <w:p w14:paraId="608B8EBD" w14:textId="77777777" w:rsidR="000808EA" w:rsidRPr="004841EF" w:rsidRDefault="000808EA" w:rsidP="00A867A5">
            <w:pPr>
              <w:spacing w:after="200" w:line="23" w:lineRule="atLeast"/>
              <w:jc w:val="right"/>
              <w:rPr>
                <w:rFonts w:eastAsia="Calibri"/>
                <w:sz w:val="22"/>
                <w:szCs w:val="22"/>
              </w:rPr>
            </w:pPr>
            <w:r w:rsidRPr="004841EF">
              <w:rPr>
                <w:rFonts w:eastAsia="Calibri"/>
                <w:sz w:val="22"/>
                <w:szCs w:val="22"/>
              </w:rPr>
              <w:t>2014</w:t>
            </w:r>
          </w:p>
        </w:tc>
        <w:tc>
          <w:tcPr>
            <w:tcW w:w="1110" w:type="dxa"/>
            <w:tcBorders>
              <w:bottom w:val="single" w:sz="12" w:space="0" w:color="000000"/>
            </w:tcBorders>
            <w:shd w:val="clear" w:color="auto" w:fill="auto"/>
          </w:tcPr>
          <w:p w14:paraId="64EFDF92" w14:textId="77777777" w:rsidR="000808EA" w:rsidRPr="004841EF" w:rsidRDefault="000808EA" w:rsidP="00A867A5">
            <w:pPr>
              <w:spacing w:after="200" w:line="23" w:lineRule="atLeast"/>
              <w:jc w:val="right"/>
              <w:rPr>
                <w:rFonts w:eastAsia="Calibri"/>
                <w:sz w:val="22"/>
                <w:szCs w:val="22"/>
              </w:rPr>
            </w:pPr>
            <w:r w:rsidRPr="004841EF">
              <w:rPr>
                <w:rFonts w:eastAsia="Calibri"/>
                <w:sz w:val="22"/>
                <w:szCs w:val="22"/>
              </w:rPr>
              <w:t>2015</w:t>
            </w:r>
          </w:p>
        </w:tc>
        <w:tc>
          <w:tcPr>
            <w:tcW w:w="1109" w:type="dxa"/>
            <w:tcBorders>
              <w:bottom w:val="single" w:sz="12" w:space="0" w:color="000000"/>
            </w:tcBorders>
            <w:shd w:val="clear" w:color="auto" w:fill="auto"/>
          </w:tcPr>
          <w:p w14:paraId="6160C7FE" w14:textId="77777777" w:rsidR="000808EA" w:rsidRPr="004841EF" w:rsidRDefault="000808EA" w:rsidP="00A867A5">
            <w:pPr>
              <w:spacing w:after="200" w:line="23" w:lineRule="atLeast"/>
              <w:jc w:val="right"/>
              <w:rPr>
                <w:rFonts w:eastAsia="Calibri"/>
                <w:sz w:val="22"/>
                <w:szCs w:val="22"/>
              </w:rPr>
            </w:pPr>
            <w:r w:rsidRPr="004841EF">
              <w:rPr>
                <w:rFonts w:eastAsia="Calibri"/>
                <w:sz w:val="22"/>
                <w:szCs w:val="22"/>
              </w:rPr>
              <w:t>2016</w:t>
            </w:r>
          </w:p>
        </w:tc>
        <w:tc>
          <w:tcPr>
            <w:tcW w:w="1109" w:type="dxa"/>
            <w:tcBorders>
              <w:bottom w:val="single" w:sz="12" w:space="0" w:color="000000"/>
            </w:tcBorders>
            <w:shd w:val="clear" w:color="auto" w:fill="auto"/>
          </w:tcPr>
          <w:p w14:paraId="58E540F3" w14:textId="77777777" w:rsidR="000808EA" w:rsidRPr="004841EF" w:rsidRDefault="000808EA" w:rsidP="00A867A5">
            <w:pPr>
              <w:spacing w:after="200" w:line="23" w:lineRule="atLeast"/>
              <w:jc w:val="right"/>
              <w:rPr>
                <w:rFonts w:eastAsia="Calibri"/>
                <w:sz w:val="22"/>
                <w:szCs w:val="22"/>
              </w:rPr>
            </w:pPr>
            <w:r w:rsidRPr="004841EF">
              <w:rPr>
                <w:rFonts w:eastAsia="Calibri"/>
                <w:sz w:val="22"/>
                <w:szCs w:val="22"/>
              </w:rPr>
              <w:t>2017</w:t>
            </w:r>
          </w:p>
        </w:tc>
        <w:tc>
          <w:tcPr>
            <w:tcW w:w="1110" w:type="dxa"/>
            <w:tcBorders>
              <w:bottom w:val="single" w:sz="12" w:space="0" w:color="000000"/>
            </w:tcBorders>
            <w:shd w:val="clear" w:color="auto" w:fill="auto"/>
          </w:tcPr>
          <w:p w14:paraId="6DF996C5" w14:textId="10FA98B2" w:rsidR="000808EA" w:rsidRPr="004841EF" w:rsidRDefault="000808EA" w:rsidP="00A867A5">
            <w:pPr>
              <w:spacing w:after="200" w:line="23" w:lineRule="atLeast"/>
              <w:jc w:val="right"/>
              <w:rPr>
                <w:rFonts w:eastAsia="Calibri"/>
                <w:sz w:val="22"/>
                <w:szCs w:val="22"/>
              </w:rPr>
            </w:pPr>
            <w:r w:rsidRPr="004841EF">
              <w:rPr>
                <w:rFonts w:eastAsia="Calibri"/>
                <w:sz w:val="22"/>
                <w:szCs w:val="22"/>
              </w:rPr>
              <w:t>2018 (to Oct.)</w:t>
            </w:r>
          </w:p>
        </w:tc>
      </w:tr>
      <w:tr w:rsidR="000808EA" w:rsidRPr="004841EF" w14:paraId="2430FA23" w14:textId="27EE7809" w:rsidTr="000808EA">
        <w:trPr>
          <w:jc w:val="center"/>
        </w:trPr>
        <w:tc>
          <w:tcPr>
            <w:tcW w:w="1261" w:type="dxa"/>
            <w:tcBorders>
              <w:top w:val="single" w:sz="12" w:space="0" w:color="000000"/>
            </w:tcBorders>
            <w:shd w:val="clear" w:color="auto" w:fill="auto"/>
          </w:tcPr>
          <w:p w14:paraId="50266D47" w14:textId="77777777" w:rsidR="000808EA" w:rsidRPr="004841EF" w:rsidRDefault="000808EA" w:rsidP="00C02876">
            <w:pPr>
              <w:spacing w:after="200" w:line="23" w:lineRule="atLeast"/>
              <w:rPr>
                <w:rFonts w:eastAsia="Calibri"/>
                <w:sz w:val="22"/>
                <w:szCs w:val="22"/>
              </w:rPr>
            </w:pPr>
            <w:r w:rsidRPr="004841EF">
              <w:rPr>
                <w:rFonts w:eastAsia="Calibri"/>
                <w:sz w:val="22"/>
                <w:szCs w:val="22"/>
              </w:rPr>
              <w:t>Workplace Equipment and Adaptation Grant</w:t>
            </w:r>
          </w:p>
        </w:tc>
        <w:tc>
          <w:tcPr>
            <w:tcW w:w="1109" w:type="dxa"/>
            <w:tcBorders>
              <w:top w:val="single" w:sz="12" w:space="0" w:color="000000"/>
            </w:tcBorders>
            <w:shd w:val="clear" w:color="auto" w:fill="auto"/>
          </w:tcPr>
          <w:p w14:paraId="6D3B228B" w14:textId="77777777" w:rsidR="000808EA" w:rsidRPr="004841EF" w:rsidRDefault="000808EA" w:rsidP="00A357E2">
            <w:pPr>
              <w:spacing w:after="200" w:line="23" w:lineRule="atLeast"/>
              <w:jc w:val="right"/>
              <w:rPr>
                <w:rFonts w:eastAsia="Calibri"/>
                <w:sz w:val="22"/>
                <w:szCs w:val="22"/>
              </w:rPr>
            </w:pPr>
            <w:r w:rsidRPr="004841EF">
              <w:rPr>
                <w:rFonts w:eastAsia="Calibri"/>
                <w:sz w:val="22"/>
                <w:szCs w:val="22"/>
              </w:rPr>
              <w:t>33</w:t>
            </w:r>
          </w:p>
        </w:tc>
        <w:tc>
          <w:tcPr>
            <w:tcW w:w="1109" w:type="dxa"/>
            <w:tcBorders>
              <w:top w:val="single" w:sz="12" w:space="0" w:color="000000"/>
            </w:tcBorders>
            <w:shd w:val="clear" w:color="auto" w:fill="auto"/>
          </w:tcPr>
          <w:p w14:paraId="10A921F7" w14:textId="77777777" w:rsidR="000808EA" w:rsidRPr="004841EF" w:rsidRDefault="000808EA" w:rsidP="00A357E2">
            <w:pPr>
              <w:spacing w:after="200" w:line="23" w:lineRule="atLeast"/>
              <w:jc w:val="right"/>
              <w:rPr>
                <w:rFonts w:eastAsia="Calibri"/>
                <w:sz w:val="22"/>
                <w:szCs w:val="22"/>
              </w:rPr>
            </w:pPr>
            <w:r w:rsidRPr="004841EF">
              <w:rPr>
                <w:rFonts w:eastAsia="Calibri"/>
                <w:sz w:val="22"/>
                <w:szCs w:val="22"/>
              </w:rPr>
              <w:t>44</w:t>
            </w:r>
          </w:p>
        </w:tc>
        <w:tc>
          <w:tcPr>
            <w:tcW w:w="1109" w:type="dxa"/>
            <w:tcBorders>
              <w:top w:val="single" w:sz="12" w:space="0" w:color="000000"/>
            </w:tcBorders>
            <w:shd w:val="clear" w:color="auto" w:fill="auto"/>
          </w:tcPr>
          <w:p w14:paraId="4388B0C2" w14:textId="77777777" w:rsidR="000808EA" w:rsidRPr="004841EF" w:rsidRDefault="000808EA" w:rsidP="00A357E2">
            <w:pPr>
              <w:spacing w:after="200" w:line="23" w:lineRule="atLeast"/>
              <w:jc w:val="right"/>
              <w:rPr>
                <w:rFonts w:eastAsia="Calibri"/>
                <w:sz w:val="22"/>
                <w:szCs w:val="22"/>
              </w:rPr>
            </w:pPr>
            <w:r w:rsidRPr="004841EF">
              <w:rPr>
                <w:rFonts w:eastAsia="Calibri"/>
                <w:sz w:val="22"/>
                <w:szCs w:val="22"/>
              </w:rPr>
              <w:t>36</w:t>
            </w:r>
          </w:p>
        </w:tc>
        <w:tc>
          <w:tcPr>
            <w:tcW w:w="1110" w:type="dxa"/>
            <w:tcBorders>
              <w:top w:val="single" w:sz="12" w:space="0" w:color="000000"/>
            </w:tcBorders>
            <w:shd w:val="clear" w:color="auto" w:fill="auto"/>
          </w:tcPr>
          <w:p w14:paraId="6DF1ECDF" w14:textId="77777777" w:rsidR="000808EA" w:rsidRPr="004841EF" w:rsidRDefault="000808EA" w:rsidP="00A357E2">
            <w:pPr>
              <w:spacing w:after="200" w:line="23" w:lineRule="atLeast"/>
              <w:jc w:val="right"/>
              <w:rPr>
                <w:rFonts w:eastAsia="Calibri"/>
                <w:sz w:val="22"/>
                <w:szCs w:val="22"/>
              </w:rPr>
            </w:pPr>
            <w:r w:rsidRPr="004841EF">
              <w:rPr>
                <w:rFonts w:eastAsia="Calibri"/>
                <w:sz w:val="22"/>
                <w:szCs w:val="22"/>
              </w:rPr>
              <w:t>64</w:t>
            </w:r>
          </w:p>
        </w:tc>
        <w:tc>
          <w:tcPr>
            <w:tcW w:w="1109" w:type="dxa"/>
            <w:tcBorders>
              <w:top w:val="single" w:sz="12" w:space="0" w:color="000000"/>
            </w:tcBorders>
            <w:shd w:val="clear" w:color="auto" w:fill="auto"/>
          </w:tcPr>
          <w:p w14:paraId="75192484" w14:textId="77777777" w:rsidR="000808EA" w:rsidRPr="004841EF" w:rsidRDefault="000808EA" w:rsidP="00A357E2">
            <w:pPr>
              <w:spacing w:after="200" w:line="23" w:lineRule="atLeast"/>
              <w:jc w:val="right"/>
              <w:rPr>
                <w:rFonts w:eastAsia="Calibri"/>
                <w:sz w:val="22"/>
                <w:szCs w:val="22"/>
              </w:rPr>
            </w:pPr>
            <w:r w:rsidRPr="004841EF">
              <w:rPr>
                <w:rFonts w:eastAsia="Calibri"/>
                <w:sz w:val="22"/>
                <w:szCs w:val="22"/>
              </w:rPr>
              <w:t>39</w:t>
            </w:r>
          </w:p>
        </w:tc>
        <w:tc>
          <w:tcPr>
            <w:tcW w:w="1109" w:type="dxa"/>
            <w:tcBorders>
              <w:top w:val="single" w:sz="12" w:space="0" w:color="000000"/>
            </w:tcBorders>
            <w:shd w:val="clear" w:color="auto" w:fill="auto"/>
          </w:tcPr>
          <w:p w14:paraId="609ABF62" w14:textId="77777777" w:rsidR="000808EA" w:rsidRPr="004841EF" w:rsidRDefault="000808EA" w:rsidP="00A357E2">
            <w:pPr>
              <w:spacing w:after="200" w:line="23" w:lineRule="atLeast"/>
              <w:jc w:val="right"/>
              <w:rPr>
                <w:rFonts w:eastAsia="Calibri"/>
                <w:sz w:val="22"/>
                <w:szCs w:val="22"/>
              </w:rPr>
            </w:pPr>
            <w:r w:rsidRPr="004841EF">
              <w:rPr>
                <w:rFonts w:eastAsia="Calibri"/>
                <w:sz w:val="22"/>
                <w:szCs w:val="22"/>
              </w:rPr>
              <w:t>39</w:t>
            </w:r>
          </w:p>
        </w:tc>
        <w:tc>
          <w:tcPr>
            <w:tcW w:w="1110" w:type="dxa"/>
            <w:tcBorders>
              <w:top w:val="single" w:sz="12" w:space="0" w:color="000000"/>
            </w:tcBorders>
            <w:shd w:val="clear" w:color="auto" w:fill="auto"/>
          </w:tcPr>
          <w:p w14:paraId="2BACEDF1" w14:textId="452BB600" w:rsidR="000808EA" w:rsidRPr="004841EF" w:rsidRDefault="000808EA" w:rsidP="00A357E2">
            <w:pPr>
              <w:spacing w:after="200" w:line="23" w:lineRule="atLeast"/>
              <w:jc w:val="right"/>
              <w:rPr>
                <w:rFonts w:eastAsia="Calibri"/>
                <w:sz w:val="22"/>
                <w:szCs w:val="22"/>
              </w:rPr>
            </w:pPr>
            <w:r w:rsidRPr="004841EF">
              <w:rPr>
                <w:rFonts w:eastAsia="Calibri"/>
                <w:sz w:val="22"/>
                <w:szCs w:val="22"/>
              </w:rPr>
              <w:t>39</w:t>
            </w:r>
          </w:p>
        </w:tc>
      </w:tr>
      <w:tr w:rsidR="000808EA" w:rsidRPr="004841EF" w14:paraId="251D5C2E" w14:textId="7935BEA5" w:rsidTr="00BC068E">
        <w:trPr>
          <w:jc w:val="center"/>
        </w:trPr>
        <w:tc>
          <w:tcPr>
            <w:tcW w:w="1261" w:type="dxa"/>
            <w:shd w:val="clear" w:color="auto" w:fill="auto"/>
          </w:tcPr>
          <w:p w14:paraId="05F8E46A" w14:textId="77777777" w:rsidR="000808EA" w:rsidRPr="004841EF" w:rsidRDefault="000808EA" w:rsidP="00C02876">
            <w:pPr>
              <w:spacing w:after="200" w:line="23" w:lineRule="atLeast"/>
              <w:rPr>
                <w:rFonts w:eastAsia="Calibri"/>
                <w:sz w:val="22"/>
                <w:szCs w:val="22"/>
              </w:rPr>
            </w:pPr>
            <w:r w:rsidRPr="004841EF">
              <w:rPr>
                <w:rFonts w:eastAsia="Calibri"/>
                <w:sz w:val="22"/>
                <w:szCs w:val="22"/>
              </w:rPr>
              <w:t>Personal Reader Grant</w:t>
            </w:r>
          </w:p>
        </w:tc>
        <w:tc>
          <w:tcPr>
            <w:tcW w:w="1109" w:type="dxa"/>
            <w:shd w:val="clear" w:color="auto" w:fill="auto"/>
          </w:tcPr>
          <w:p w14:paraId="385F65DD" w14:textId="77777777" w:rsidR="000808EA" w:rsidRPr="004841EF" w:rsidRDefault="000808EA" w:rsidP="00A357E2">
            <w:pPr>
              <w:spacing w:after="200" w:line="23" w:lineRule="atLeast"/>
              <w:jc w:val="right"/>
              <w:rPr>
                <w:rFonts w:eastAsia="Calibri"/>
                <w:sz w:val="22"/>
                <w:szCs w:val="22"/>
              </w:rPr>
            </w:pPr>
            <w:r w:rsidRPr="004841EF">
              <w:rPr>
                <w:rFonts w:eastAsia="Calibri"/>
                <w:sz w:val="22"/>
                <w:szCs w:val="22"/>
              </w:rPr>
              <w:t>49</w:t>
            </w:r>
          </w:p>
        </w:tc>
        <w:tc>
          <w:tcPr>
            <w:tcW w:w="1109" w:type="dxa"/>
            <w:shd w:val="clear" w:color="auto" w:fill="auto"/>
          </w:tcPr>
          <w:p w14:paraId="3ED3A155" w14:textId="77777777" w:rsidR="000808EA" w:rsidRPr="004841EF" w:rsidRDefault="000808EA" w:rsidP="00A357E2">
            <w:pPr>
              <w:spacing w:after="200" w:line="23" w:lineRule="atLeast"/>
              <w:jc w:val="right"/>
              <w:rPr>
                <w:rFonts w:eastAsia="Calibri"/>
                <w:sz w:val="22"/>
                <w:szCs w:val="22"/>
              </w:rPr>
            </w:pPr>
            <w:r w:rsidRPr="004841EF">
              <w:rPr>
                <w:rFonts w:eastAsia="Calibri"/>
                <w:sz w:val="22"/>
                <w:szCs w:val="22"/>
              </w:rPr>
              <w:t>71</w:t>
            </w:r>
          </w:p>
        </w:tc>
        <w:tc>
          <w:tcPr>
            <w:tcW w:w="1109" w:type="dxa"/>
            <w:shd w:val="clear" w:color="auto" w:fill="auto"/>
          </w:tcPr>
          <w:p w14:paraId="57E10FBF" w14:textId="77777777" w:rsidR="000808EA" w:rsidRPr="004841EF" w:rsidRDefault="000808EA" w:rsidP="00A357E2">
            <w:pPr>
              <w:spacing w:after="200" w:line="23" w:lineRule="atLeast"/>
              <w:jc w:val="right"/>
              <w:rPr>
                <w:rFonts w:eastAsia="Calibri"/>
                <w:sz w:val="22"/>
                <w:szCs w:val="22"/>
              </w:rPr>
            </w:pPr>
            <w:r w:rsidRPr="004841EF">
              <w:rPr>
                <w:rFonts w:eastAsia="Calibri"/>
                <w:sz w:val="22"/>
                <w:szCs w:val="22"/>
              </w:rPr>
              <w:t>49</w:t>
            </w:r>
          </w:p>
        </w:tc>
        <w:tc>
          <w:tcPr>
            <w:tcW w:w="1110" w:type="dxa"/>
            <w:shd w:val="clear" w:color="auto" w:fill="auto"/>
          </w:tcPr>
          <w:p w14:paraId="7025F25E" w14:textId="77777777" w:rsidR="000808EA" w:rsidRPr="004841EF" w:rsidRDefault="000808EA" w:rsidP="00A357E2">
            <w:pPr>
              <w:spacing w:after="200" w:line="23" w:lineRule="atLeast"/>
              <w:jc w:val="right"/>
              <w:rPr>
                <w:rFonts w:eastAsia="Calibri"/>
                <w:sz w:val="22"/>
                <w:szCs w:val="22"/>
              </w:rPr>
            </w:pPr>
            <w:r w:rsidRPr="004841EF">
              <w:rPr>
                <w:rFonts w:eastAsia="Calibri"/>
                <w:sz w:val="22"/>
                <w:szCs w:val="22"/>
              </w:rPr>
              <w:t>71</w:t>
            </w:r>
          </w:p>
        </w:tc>
        <w:tc>
          <w:tcPr>
            <w:tcW w:w="1109" w:type="dxa"/>
            <w:shd w:val="clear" w:color="auto" w:fill="auto"/>
          </w:tcPr>
          <w:p w14:paraId="7ACFF422" w14:textId="77777777" w:rsidR="000808EA" w:rsidRPr="004841EF" w:rsidRDefault="000808EA" w:rsidP="00A357E2">
            <w:pPr>
              <w:spacing w:after="200" w:line="23" w:lineRule="atLeast"/>
              <w:jc w:val="right"/>
              <w:rPr>
                <w:rFonts w:eastAsia="Calibri"/>
                <w:sz w:val="22"/>
                <w:szCs w:val="22"/>
              </w:rPr>
            </w:pPr>
            <w:r w:rsidRPr="004841EF">
              <w:rPr>
                <w:rFonts w:eastAsia="Calibri"/>
                <w:sz w:val="22"/>
                <w:szCs w:val="22"/>
              </w:rPr>
              <w:t>49</w:t>
            </w:r>
          </w:p>
        </w:tc>
        <w:tc>
          <w:tcPr>
            <w:tcW w:w="1109" w:type="dxa"/>
            <w:shd w:val="clear" w:color="auto" w:fill="auto"/>
          </w:tcPr>
          <w:p w14:paraId="16D5C373" w14:textId="77777777" w:rsidR="000808EA" w:rsidRPr="004841EF" w:rsidRDefault="000808EA" w:rsidP="00A357E2">
            <w:pPr>
              <w:spacing w:after="200" w:line="23" w:lineRule="atLeast"/>
              <w:jc w:val="right"/>
              <w:rPr>
                <w:rFonts w:eastAsia="Calibri"/>
                <w:sz w:val="22"/>
                <w:szCs w:val="22"/>
              </w:rPr>
            </w:pPr>
            <w:r w:rsidRPr="004841EF">
              <w:rPr>
                <w:rFonts w:eastAsia="Calibri"/>
                <w:sz w:val="22"/>
                <w:szCs w:val="22"/>
              </w:rPr>
              <w:t>56</w:t>
            </w:r>
          </w:p>
        </w:tc>
        <w:tc>
          <w:tcPr>
            <w:tcW w:w="1110" w:type="dxa"/>
            <w:shd w:val="clear" w:color="auto" w:fill="auto"/>
          </w:tcPr>
          <w:p w14:paraId="21B7D970" w14:textId="77777777" w:rsidR="000808EA" w:rsidRPr="004841EF" w:rsidRDefault="000808EA" w:rsidP="00A357E2">
            <w:pPr>
              <w:spacing w:after="200" w:line="23" w:lineRule="atLeast"/>
              <w:jc w:val="right"/>
              <w:rPr>
                <w:rFonts w:eastAsia="Calibri"/>
                <w:sz w:val="22"/>
                <w:szCs w:val="22"/>
              </w:rPr>
            </w:pPr>
            <w:r w:rsidRPr="004841EF">
              <w:rPr>
                <w:rFonts w:eastAsia="Calibri"/>
                <w:sz w:val="22"/>
                <w:szCs w:val="22"/>
              </w:rPr>
              <w:t>32</w:t>
            </w:r>
          </w:p>
        </w:tc>
      </w:tr>
      <w:tr w:rsidR="000808EA" w:rsidRPr="004841EF" w14:paraId="03272FF2" w14:textId="2C56CEA2" w:rsidTr="00BC068E">
        <w:trPr>
          <w:jc w:val="center"/>
        </w:trPr>
        <w:tc>
          <w:tcPr>
            <w:tcW w:w="1261" w:type="dxa"/>
            <w:shd w:val="clear" w:color="auto" w:fill="auto"/>
          </w:tcPr>
          <w:p w14:paraId="726616EA" w14:textId="77777777" w:rsidR="000808EA" w:rsidRPr="004841EF" w:rsidRDefault="000808EA" w:rsidP="00C02876">
            <w:pPr>
              <w:spacing w:after="200" w:line="23" w:lineRule="atLeast"/>
              <w:rPr>
                <w:rFonts w:eastAsia="Calibri"/>
                <w:sz w:val="22"/>
                <w:szCs w:val="22"/>
              </w:rPr>
            </w:pPr>
            <w:r w:rsidRPr="004841EF">
              <w:rPr>
                <w:rFonts w:eastAsia="Calibri"/>
                <w:sz w:val="22"/>
                <w:szCs w:val="22"/>
              </w:rPr>
              <w:t>Job Interview Interpreter Grant</w:t>
            </w:r>
          </w:p>
        </w:tc>
        <w:tc>
          <w:tcPr>
            <w:tcW w:w="1109" w:type="dxa"/>
            <w:shd w:val="clear" w:color="auto" w:fill="auto"/>
          </w:tcPr>
          <w:p w14:paraId="518A16C7" w14:textId="77777777" w:rsidR="000808EA" w:rsidRPr="004841EF" w:rsidRDefault="000808EA" w:rsidP="00A357E2">
            <w:pPr>
              <w:spacing w:after="200" w:line="23" w:lineRule="atLeast"/>
              <w:jc w:val="right"/>
              <w:rPr>
                <w:rFonts w:eastAsia="Calibri"/>
                <w:sz w:val="22"/>
                <w:szCs w:val="22"/>
              </w:rPr>
            </w:pPr>
            <w:r w:rsidRPr="004841EF">
              <w:rPr>
                <w:rFonts w:eastAsia="Calibri"/>
                <w:sz w:val="22"/>
                <w:szCs w:val="22"/>
              </w:rPr>
              <w:t>42</w:t>
            </w:r>
          </w:p>
        </w:tc>
        <w:tc>
          <w:tcPr>
            <w:tcW w:w="1109" w:type="dxa"/>
            <w:shd w:val="clear" w:color="auto" w:fill="auto"/>
          </w:tcPr>
          <w:p w14:paraId="3998AF3A" w14:textId="77777777" w:rsidR="000808EA" w:rsidRPr="004841EF" w:rsidRDefault="000808EA" w:rsidP="00A357E2">
            <w:pPr>
              <w:spacing w:after="200" w:line="23" w:lineRule="atLeast"/>
              <w:jc w:val="right"/>
              <w:rPr>
                <w:rFonts w:eastAsia="Calibri"/>
                <w:sz w:val="22"/>
                <w:szCs w:val="22"/>
              </w:rPr>
            </w:pPr>
            <w:r w:rsidRPr="004841EF">
              <w:rPr>
                <w:rFonts w:eastAsia="Calibri"/>
                <w:sz w:val="22"/>
                <w:szCs w:val="22"/>
              </w:rPr>
              <w:t>29</w:t>
            </w:r>
          </w:p>
        </w:tc>
        <w:tc>
          <w:tcPr>
            <w:tcW w:w="1109" w:type="dxa"/>
            <w:shd w:val="clear" w:color="auto" w:fill="auto"/>
          </w:tcPr>
          <w:p w14:paraId="3187233B" w14:textId="77777777" w:rsidR="000808EA" w:rsidRPr="004841EF" w:rsidRDefault="000808EA" w:rsidP="00A357E2">
            <w:pPr>
              <w:spacing w:after="200" w:line="23" w:lineRule="atLeast"/>
              <w:jc w:val="right"/>
              <w:rPr>
                <w:rFonts w:eastAsia="Calibri"/>
                <w:sz w:val="22"/>
                <w:szCs w:val="22"/>
              </w:rPr>
            </w:pPr>
            <w:r w:rsidRPr="004841EF">
              <w:rPr>
                <w:rFonts w:eastAsia="Calibri"/>
                <w:sz w:val="22"/>
                <w:szCs w:val="22"/>
              </w:rPr>
              <w:t>18</w:t>
            </w:r>
          </w:p>
        </w:tc>
        <w:tc>
          <w:tcPr>
            <w:tcW w:w="1110" w:type="dxa"/>
            <w:shd w:val="clear" w:color="auto" w:fill="auto"/>
          </w:tcPr>
          <w:p w14:paraId="285F5C23" w14:textId="77777777" w:rsidR="000808EA" w:rsidRPr="004841EF" w:rsidRDefault="000808EA" w:rsidP="00A357E2">
            <w:pPr>
              <w:spacing w:after="200" w:line="23" w:lineRule="atLeast"/>
              <w:jc w:val="right"/>
              <w:rPr>
                <w:rFonts w:eastAsia="Calibri"/>
                <w:sz w:val="22"/>
                <w:szCs w:val="22"/>
              </w:rPr>
            </w:pPr>
            <w:r w:rsidRPr="004841EF">
              <w:rPr>
                <w:rFonts w:eastAsia="Calibri"/>
                <w:sz w:val="22"/>
                <w:szCs w:val="22"/>
              </w:rPr>
              <w:t>63</w:t>
            </w:r>
          </w:p>
        </w:tc>
        <w:tc>
          <w:tcPr>
            <w:tcW w:w="1109" w:type="dxa"/>
            <w:shd w:val="clear" w:color="auto" w:fill="auto"/>
          </w:tcPr>
          <w:p w14:paraId="6D5E6C0D" w14:textId="77777777" w:rsidR="000808EA" w:rsidRPr="004841EF" w:rsidRDefault="000808EA" w:rsidP="00A357E2">
            <w:pPr>
              <w:spacing w:after="200" w:line="23" w:lineRule="atLeast"/>
              <w:jc w:val="right"/>
              <w:rPr>
                <w:rFonts w:eastAsia="Calibri"/>
                <w:sz w:val="22"/>
                <w:szCs w:val="22"/>
              </w:rPr>
            </w:pPr>
            <w:r w:rsidRPr="004841EF">
              <w:rPr>
                <w:rFonts w:eastAsia="Calibri"/>
                <w:sz w:val="22"/>
                <w:szCs w:val="22"/>
              </w:rPr>
              <w:t>26</w:t>
            </w:r>
          </w:p>
        </w:tc>
        <w:tc>
          <w:tcPr>
            <w:tcW w:w="1109" w:type="dxa"/>
            <w:shd w:val="clear" w:color="auto" w:fill="auto"/>
          </w:tcPr>
          <w:p w14:paraId="5A64178C" w14:textId="77777777" w:rsidR="000808EA" w:rsidRPr="004841EF" w:rsidRDefault="000808EA" w:rsidP="00A357E2">
            <w:pPr>
              <w:spacing w:after="200" w:line="23" w:lineRule="atLeast"/>
              <w:jc w:val="right"/>
              <w:rPr>
                <w:rFonts w:eastAsia="Calibri"/>
                <w:sz w:val="22"/>
                <w:szCs w:val="22"/>
              </w:rPr>
            </w:pPr>
            <w:r w:rsidRPr="004841EF">
              <w:rPr>
                <w:rFonts w:eastAsia="Calibri"/>
                <w:sz w:val="22"/>
                <w:szCs w:val="22"/>
              </w:rPr>
              <w:t>28</w:t>
            </w:r>
          </w:p>
        </w:tc>
        <w:tc>
          <w:tcPr>
            <w:tcW w:w="1110" w:type="dxa"/>
            <w:shd w:val="clear" w:color="auto" w:fill="auto"/>
          </w:tcPr>
          <w:p w14:paraId="4CE83432" w14:textId="77777777" w:rsidR="000808EA" w:rsidRPr="004841EF" w:rsidRDefault="000808EA" w:rsidP="00A357E2">
            <w:pPr>
              <w:spacing w:after="200" w:line="23" w:lineRule="atLeast"/>
              <w:jc w:val="right"/>
              <w:rPr>
                <w:rFonts w:eastAsia="Calibri"/>
                <w:sz w:val="22"/>
                <w:szCs w:val="22"/>
              </w:rPr>
            </w:pPr>
            <w:r w:rsidRPr="004841EF">
              <w:rPr>
                <w:rFonts w:eastAsia="Calibri"/>
                <w:sz w:val="22"/>
                <w:szCs w:val="22"/>
              </w:rPr>
              <w:t>34</w:t>
            </w:r>
          </w:p>
        </w:tc>
      </w:tr>
      <w:tr w:rsidR="000808EA" w:rsidRPr="004841EF" w14:paraId="6846379C" w14:textId="0EB0C35F" w:rsidTr="00BC068E">
        <w:trPr>
          <w:jc w:val="center"/>
        </w:trPr>
        <w:tc>
          <w:tcPr>
            <w:tcW w:w="1261" w:type="dxa"/>
            <w:shd w:val="clear" w:color="auto" w:fill="auto"/>
          </w:tcPr>
          <w:p w14:paraId="1166F8DC" w14:textId="77777777" w:rsidR="000808EA" w:rsidRPr="004841EF" w:rsidRDefault="000808EA" w:rsidP="00C02876">
            <w:pPr>
              <w:spacing w:after="200" w:line="23" w:lineRule="atLeast"/>
              <w:rPr>
                <w:rFonts w:eastAsia="Calibri"/>
                <w:sz w:val="22"/>
                <w:szCs w:val="22"/>
              </w:rPr>
            </w:pPr>
            <w:r w:rsidRPr="004841EF">
              <w:rPr>
                <w:rFonts w:eastAsia="Calibri"/>
                <w:sz w:val="22"/>
                <w:szCs w:val="22"/>
              </w:rPr>
              <w:t>Employee Retention Grant</w:t>
            </w:r>
          </w:p>
        </w:tc>
        <w:tc>
          <w:tcPr>
            <w:tcW w:w="1109" w:type="dxa"/>
            <w:shd w:val="clear" w:color="auto" w:fill="auto"/>
          </w:tcPr>
          <w:p w14:paraId="3665CE44" w14:textId="77777777" w:rsidR="000808EA" w:rsidRPr="004841EF" w:rsidRDefault="000808EA" w:rsidP="00A357E2">
            <w:pPr>
              <w:spacing w:after="200" w:line="23" w:lineRule="atLeast"/>
              <w:jc w:val="right"/>
              <w:rPr>
                <w:rFonts w:eastAsia="Calibri"/>
                <w:sz w:val="22"/>
                <w:szCs w:val="22"/>
              </w:rPr>
            </w:pPr>
            <w:r w:rsidRPr="004841EF">
              <w:rPr>
                <w:rFonts w:eastAsia="Calibri"/>
                <w:sz w:val="22"/>
                <w:szCs w:val="22"/>
              </w:rPr>
              <w:t>2</w:t>
            </w:r>
          </w:p>
        </w:tc>
        <w:tc>
          <w:tcPr>
            <w:tcW w:w="1109" w:type="dxa"/>
            <w:shd w:val="clear" w:color="auto" w:fill="auto"/>
          </w:tcPr>
          <w:p w14:paraId="7AA6D5F9" w14:textId="77777777" w:rsidR="000808EA" w:rsidRPr="004841EF" w:rsidRDefault="000808EA" w:rsidP="00A357E2">
            <w:pPr>
              <w:spacing w:after="200" w:line="23" w:lineRule="atLeast"/>
              <w:jc w:val="right"/>
              <w:rPr>
                <w:rFonts w:eastAsia="Calibri"/>
                <w:sz w:val="22"/>
                <w:szCs w:val="22"/>
              </w:rPr>
            </w:pPr>
            <w:r w:rsidRPr="004841EF">
              <w:rPr>
                <w:rFonts w:eastAsia="Calibri"/>
                <w:sz w:val="22"/>
                <w:szCs w:val="22"/>
              </w:rPr>
              <w:t>6</w:t>
            </w:r>
          </w:p>
        </w:tc>
        <w:tc>
          <w:tcPr>
            <w:tcW w:w="1109" w:type="dxa"/>
            <w:shd w:val="clear" w:color="auto" w:fill="auto"/>
          </w:tcPr>
          <w:p w14:paraId="6D6BB867" w14:textId="77777777" w:rsidR="000808EA" w:rsidRPr="004841EF" w:rsidRDefault="000808EA" w:rsidP="00A357E2">
            <w:pPr>
              <w:spacing w:after="200" w:line="23" w:lineRule="atLeast"/>
              <w:jc w:val="right"/>
              <w:rPr>
                <w:rFonts w:eastAsia="Calibri"/>
                <w:sz w:val="22"/>
                <w:szCs w:val="22"/>
              </w:rPr>
            </w:pPr>
            <w:r w:rsidRPr="004841EF">
              <w:rPr>
                <w:rFonts w:eastAsia="Calibri"/>
                <w:sz w:val="22"/>
                <w:szCs w:val="22"/>
              </w:rPr>
              <w:t>8</w:t>
            </w:r>
          </w:p>
        </w:tc>
        <w:tc>
          <w:tcPr>
            <w:tcW w:w="1110" w:type="dxa"/>
            <w:shd w:val="clear" w:color="auto" w:fill="auto"/>
          </w:tcPr>
          <w:p w14:paraId="588E2680" w14:textId="77777777" w:rsidR="000808EA" w:rsidRPr="004841EF" w:rsidRDefault="000808EA" w:rsidP="00A357E2">
            <w:pPr>
              <w:spacing w:after="200" w:line="23" w:lineRule="atLeast"/>
              <w:jc w:val="right"/>
              <w:rPr>
                <w:rFonts w:eastAsia="Calibri"/>
                <w:sz w:val="22"/>
                <w:szCs w:val="22"/>
              </w:rPr>
            </w:pPr>
            <w:r w:rsidRPr="004841EF">
              <w:rPr>
                <w:rFonts w:eastAsia="Calibri"/>
                <w:sz w:val="22"/>
                <w:szCs w:val="22"/>
              </w:rPr>
              <w:t>0</w:t>
            </w:r>
          </w:p>
        </w:tc>
        <w:tc>
          <w:tcPr>
            <w:tcW w:w="1109" w:type="dxa"/>
            <w:shd w:val="clear" w:color="auto" w:fill="auto"/>
          </w:tcPr>
          <w:p w14:paraId="6067E9AB" w14:textId="77777777" w:rsidR="000808EA" w:rsidRPr="004841EF" w:rsidRDefault="000808EA" w:rsidP="00A357E2">
            <w:pPr>
              <w:spacing w:after="200" w:line="23" w:lineRule="atLeast"/>
              <w:jc w:val="right"/>
              <w:rPr>
                <w:rFonts w:eastAsia="Calibri"/>
                <w:sz w:val="22"/>
                <w:szCs w:val="22"/>
              </w:rPr>
            </w:pPr>
            <w:r w:rsidRPr="004841EF">
              <w:rPr>
                <w:rFonts w:eastAsia="Calibri"/>
                <w:sz w:val="22"/>
                <w:szCs w:val="22"/>
              </w:rPr>
              <w:t>0</w:t>
            </w:r>
          </w:p>
        </w:tc>
        <w:tc>
          <w:tcPr>
            <w:tcW w:w="1109" w:type="dxa"/>
            <w:shd w:val="clear" w:color="auto" w:fill="auto"/>
          </w:tcPr>
          <w:p w14:paraId="0D7C37EA" w14:textId="77777777" w:rsidR="000808EA" w:rsidRPr="004841EF" w:rsidRDefault="000808EA" w:rsidP="00A357E2">
            <w:pPr>
              <w:spacing w:after="200" w:line="23" w:lineRule="atLeast"/>
              <w:jc w:val="right"/>
              <w:rPr>
                <w:rFonts w:eastAsia="Calibri"/>
                <w:sz w:val="22"/>
                <w:szCs w:val="22"/>
              </w:rPr>
            </w:pPr>
            <w:r w:rsidRPr="004841EF">
              <w:rPr>
                <w:rFonts w:eastAsia="Calibri"/>
                <w:sz w:val="22"/>
                <w:szCs w:val="22"/>
              </w:rPr>
              <w:t>0</w:t>
            </w:r>
          </w:p>
        </w:tc>
        <w:tc>
          <w:tcPr>
            <w:tcW w:w="1110" w:type="dxa"/>
            <w:shd w:val="clear" w:color="auto" w:fill="auto"/>
          </w:tcPr>
          <w:p w14:paraId="7179C9F9" w14:textId="77777777" w:rsidR="000808EA" w:rsidRPr="004841EF" w:rsidRDefault="000808EA" w:rsidP="00A357E2">
            <w:pPr>
              <w:spacing w:after="200" w:line="23" w:lineRule="atLeast"/>
              <w:jc w:val="right"/>
              <w:rPr>
                <w:rFonts w:eastAsia="Calibri"/>
                <w:sz w:val="22"/>
                <w:szCs w:val="22"/>
              </w:rPr>
            </w:pPr>
            <w:r w:rsidRPr="004841EF">
              <w:rPr>
                <w:rFonts w:eastAsia="Calibri"/>
                <w:sz w:val="22"/>
                <w:szCs w:val="22"/>
              </w:rPr>
              <w:t>1</w:t>
            </w:r>
          </w:p>
        </w:tc>
      </w:tr>
      <w:tr w:rsidR="000808EA" w:rsidRPr="004841EF" w14:paraId="6EC6E105" w14:textId="77725DE2" w:rsidTr="00BC068E">
        <w:trPr>
          <w:jc w:val="center"/>
        </w:trPr>
        <w:tc>
          <w:tcPr>
            <w:tcW w:w="1261" w:type="dxa"/>
            <w:shd w:val="clear" w:color="auto" w:fill="auto"/>
          </w:tcPr>
          <w:p w14:paraId="68D05A13" w14:textId="77777777" w:rsidR="000808EA" w:rsidRPr="004841EF" w:rsidRDefault="000808EA" w:rsidP="00C02876">
            <w:pPr>
              <w:spacing w:after="200" w:line="23" w:lineRule="atLeast"/>
              <w:rPr>
                <w:rFonts w:eastAsia="Calibri"/>
                <w:sz w:val="22"/>
                <w:szCs w:val="22"/>
              </w:rPr>
            </w:pPr>
            <w:r w:rsidRPr="004841EF">
              <w:rPr>
                <w:rFonts w:eastAsia="Calibri"/>
                <w:sz w:val="22"/>
                <w:szCs w:val="22"/>
              </w:rPr>
              <w:t>Total</w:t>
            </w:r>
          </w:p>
        </w:tc>
        <w:tc>
          <w:tcPr>
            <w:tcW w:w="1109" w:type="dxa"/>
            <w:shd w:val="clear" w:color="auto" w:fill="auto"/>
          </w:tcPr>
          <w:p w14:paraId="1C1C7527" w14:textId="77777777" w:rsidR="000808EA" w:rsidRPr="004841EF" w:rsidRDefault="000808EA" w:rsidP="00A357E2">
            <w:pPr>
              <w:spacing w:after="200" w:line="23" w:lineRule="atLeast"/>
              <w:jc w:val="right"/>
              <w:rPr>
                <w:rFonts w:eastAsia="Calibri"/>
                <w:sz w:val="22"/>
                <w:szCs w:val="22"/>
              </w:rPr>
            </w:pPr>
            <w:r w:rsidRPr="004841EF">
              <w:rPr>
                <w:rFonts w:eastAsia="Calibri"/>
                <w:sz w:val="22"/>
                <w:szCs w:val="22"/>
              </w:rPr>
              <w:t>126</w:t>
            </w:r>
          </w:p>
        </w:tc>
        <w:tc>
          <w:tcPr>
            <w:tcW w:w="1109" w:type="dxa"/>
            <w:shd w:val="clear" w:color="auto" w:fill="auto"/>
          </w:tcPr>
          <w:p w14:paraId="0AC72260" w14:textId="77777777" w:rsidR="000808EA" w:rsidRPr="004841EF" w:rsidRDefault="000808EA" w:rsidP="00A357E2">
            <w:pPr>
              <w:spacing w:after="200" w:line="23" w:lineRule="atLeast"/>
              <w:jc w:val="right"/>
              <w:rPr>
                <w:rFonts w:eastAsia="Calibri"/>
                <w:sz w:val="22"/>
                <w:szCs w:val="22"/>
              </w:rPr>
            </w:pPr>
            <w:r w:rsidRPr="004841EF">
              <w:rPr>
                <w:rFonts w:eastAsia="Calibri"/>
                <w:sz w:val="22"/>
                <w:szCs w:val="22"/>
              </w:rPr>
              <w:t>150</w:t>
            </w:r>
          </w:p>
        </w:tc>
        <w:tc>
          <w:tcPr>
            <w:tcW w:w="1109" w:type="dxa"/>
            <w:shd w:val="clear" w:color="auto" w:fill="auto"/>
          </w:tcPr>
          <w:p w14:paraId="147E821D" w14:textId="77777777" w:rsidR="000808EA" w:rsidRPr="004841EF" w:rsidRDefault="000808EA" w:rsidP="00A357E2">
            <w:pPr>
              <w:spacing w:after="200" w:line="23" w:lineRule="atLeast"/>
              <w:jc w:val="right"/>
              <w:rPr>
                <w:rFonts w:eastAsia="Calibri"/>
                <w:sz w:val="22"/>
                <w:szCs w:val="22"/>
              </w:rPr>
            </w:pPr>
            <w:r w:rsidRPr="004841EF">
              <w:rPr>
                <w:rFonts w:eastAsia="Calibri"/>
                <w:sz w:val="22"/>
                <w:szCs w:val="22"/>
              </w:rPr>
              <w:t>111</w:t>
            </w:r>
          </w:p>
        </w:tc>
        <w:tc>
          <w:tcPr>
            <w:tcW w:w="1110" w:type="dxa"/>
            <w:shd w:val="clear" w:color="auto" w:fill="auto"/>
          </w:tcPr>
          <w:p w14:paraId="54523FB7" w14:textId="77777777" w:rsidR="000808EA" w:rsidRPr="004841EF" w:rsidRDefault="000808EA" w:rsidP="00A357E2">
            <w:pPr>
              <w:spacing w:after="200" w:line="23" w:lineRule="atLeast"/>
              <w:jc w:val="right"/>
              <w:rPr>
                <w:rFonts w:eastAsia="Calibri"/>
                <w:sz w:val="22"/>
                <w:szCs w:val="22"/>
              </w:rPr>
            </w:pPr>
            <w:r w:rsidRPr="004841EF">
              <w:rPr>
                <w:rFonts w:eastAsia="Calibri"/>
                <w:sz w:val="22"/>
                <w:szCs w:val="22"/>
              </w:rPr>
              <w:t>198</w:t>
            </w:r>
          </w:p>
        </w:tc>
        <w:tc>
          <w:tcPr>
            <w:tcW w:w="1109" w:type="dxa"/>
            <w:shd w:val="clear" w:color="auto" w:fill="auto"/>
          </w:tcPr>
          <w:p w14:paraId="72633D9F" w14:textId="77777777" w:rsidR="000808EA" w:rsidRPr="004841EF" w:rsidRDefault="000808EA" w:rsidP="00A357E2">
            <w:pPr>
              <w:spacing w:after="200" w:line="23" w:lineRule="atLeast"/>
              <w:jc w:val="right"/>
              <w:rPr>
                <w:rFonts w:eastAsia="Calibri"/>
                <w:sz w:val="22"/>
                <w:szCs w:val="22"/>
              </w:rPr>
            </w:pPr>
            <w:r w:rsidRPr="004841EF">
              <w:rPr>
                <w:rFonts w:eastAsia="Calibri"/>
                <w:sz w:val="22"/>
                <w:szCs w:val="22"/>
              </w:rPr>
              <w:t>114</w:t>
            </w:r>
          </w:p>
        </w:tc>
        <w:tc>
          <w:tcPr>
            <w:tcW w:w="1109" w:type="dxa"/>
            <w:shd w:val="clear" w:color="auto" w:fill="auto"/>
          </w:tcPr>
          <w:p w14:paraId="643FFD69" w14:textId="77777777" w:rsidR="000808EA" w:rsidRPr="004841EF" w:rsidRDefault="000808EA" w:rsidP="00A357E2">
            <w:pPr>
              <w:spacing w:after="200" w:line="23" w:lineRule="atLeast"/>
              <w:jc w:val="right"/>
              <w:rPr>
                <w:rFonts w:eastAsia="Calibri"/>
                <w:sz w:val="22"/>
                <w:szCs w:val="22"/>
              </w:rPr>
            </w:pPr>
            <w:r w:rsidRPr="004841EF">
              <w:rPr>
                <w:rFonts w:eastAsia="Calibri"/>
                <w:sz w:val="22"/>
                <w:szCs w:val="22"/>
              </w:rPr>
              <w:t>123</w:t>
            </w:r>
          </w:p>
        </w:tc>
        <w:tc>
          <w:tcPr>
            <w:tcW w:w="1110" w:type="dxa"/>
            <w:shd w:val="clear" w:color="auto" w:fill="auto"/>
          </w:tcPr>
          <w:p w14:paraId="05E9A0B5" w14:textId="77777777" w:rsidR="000808EA" w:rsidRPr="004841EF" w:rsidRDefault="000808EA" w:rsidP="00A357E2">
            <w:pPr>
              <w:spacing w:after="200" w:line="23" w:lineRule="atLeast"/>
              <w:jc w:val="right"/>
              <w:rPr>
                <w:rFonts w:eastAsia="Calibri"/>
                <w:sz w:val="22"/>
                <w:szCs w:val="22"/>
              </w:rPr>
            </w:pPr>
            <w:r w:rsidRPr="004841EF">
              <w:rPr>
                <w:rFonts w:eastAsia="Calibri"/>
                <w:sz w:val="22"/>
                <w:szCs w:val="22"/>
              </w:rPr>
              <w:t>106</w:t>
            </w:r>
          </w:p>
        </w:tc>
      </w:tr>
    </w:tbl>
    <w:p w14:paraId="5EB36F88" w14:textId="32862E0D" w:rsidR="00536B99" w:rsidRPr="004841EF" w:rsidRDefault="00536B99" w:rsidP="00F623F4">
      <w:pPr>
        <w:spacing w:before="120" w:line="23" w:lineRule="atLeast"/>
        <w:rPr>
          <w:rFonts w:eastAsia="Calibri"/>
          <w:b/>
          <w:sz w:val="22"/>
          <w:szCs w:val="22"/>
        </w:rPr>
      </w:pPr>
      <w:r w:rsidRPr="004841EF">
        <w:rPr>
          <w:rFonts w:eastAsia="Calibri"/>
          <w:sz w:val="22"/>
          <w:szCs w:val="22"/>
        </w:rPr>
        <w:t>Source:</w:t>
      </w:r>
      <w:r w:rsidR="00E51619" w:rsidRPr="004841EF">
        <w:rPr>
          <w:rFonts w:cs="Arial"/>
          <w:color w:val="444444"/>
          <w:shd w:val="clear" w:color="auto" w:fill="F4F2EA"/>
        </w:rPr>
        <w:t xml:space="preserve"> </w:t>
      </w:r>
      <w:r w:rsidR="00E51619" w:rsidRPr="004841EF">
        <w:rPr>
          <w:rFonts w:eastAsia="Calibri"/>
          <w:sz w:val="22"/>
          <w:szCs w:val="22"/>
        </w:rPr>
        <w:t>Minister of State at the Department of Employment Affairs and Social Protection, the Department of Justice and Equality and the Department of Health with special responsibility for Disability Issues,</w:t>
      </w:r>
      <w:r w:rsidRPr="004841EF">
        <w:rPr>
          <w:rFonts w:eastAsia="Calibri"/>
          <w:sz w:val="22"/>
          <w:szCs w:val="22"/>
        </w:rPr>
        <w:t xml:space="preserve"> Finian McGrath TD, </w:t>
      </w:r>
      <w:r w:rsidRPr="004841EF">
        <w:rPr>
          <w:rFonts w:eastAsia="Calibri"/>
          <w:b/>
          <w:sz w:val="22"/>
          <w:szCs w:val="22"/>
        </w:rPr>
        <w:t>Parliamentary Question, 4 December 2018, 50434/18.</w:t>
      </w:r>
    </w:p>
    <w:p w14:paraId="24CA91D8" w14:textId="124216CD" w:rsidR="00536B99" w:rsidRPr="004841EF" w:rsidRDefault="00536B99" w:rsidP="00536B99">
      <w:r w:rsidRPr="004841EF">
        <w:t xml:space="preserve">The relatively small number of applications </w:t>
      </w:r>
      <w:r w:rsidR="000B7FC1" w:rsidRPr="004841EF">
        <w:t xml:space="preserve">granted </w:t>
      </w:r>
      <w:r w:rsidRPr="004841EF">
        <w:t xml:space="preserve">across all of the grant schemes appear to </w:t>
      </w:r>
      <w:r w:rsidR="00D82EDF" w:rsidRPr="004841EF">
        <w:t>reinfor</w:t>
      </w:r>
      <w:r w:rsidR="0089491A" w:rsidRPr="004841EF">
        <w:t>ce</w:t>
      </w:r>
      <w:r w:rsidRPr="004841EF">
        <w:t xml:space="preserve"> the findings of the Employer Disability Information</w:t>
      </w:r>
      <w:r w:rsidRPr="004841EF">
        <w:rPr>
          <w:bCs/>
        </w:rPr>
        <w:t xml:space="preserve"> service</w:t>
      </w:r>
      <w:r w:rsidRPr="004841EF">
        <w:t xml:space="preserve"> that awareness of the available financial supports amongst employers is low. For instance, over the course of 2015-2017, no applications for the </w:t>
      </w:r>
      <w:r w:rsidRPr="004841EF">
        <w:rPr>
          <w:b/>
        </w:rPr>
        <w:t>Employee Retention Grant</w:t>
      </w:r>
      <w:r w:rsidRPr="004841EF">
        <w:t xml:space="preserve"> were </w:t>
      </w:r>
      <w:r w:rsidR="000B7FC1" w:rsidRPr="004841EF">
        <w:t xml:space="preserve">granted </w:t>
      </w:r>
      <w:r w:rsidRPr="004841EF">
        <w:t xml:space="preserve">and there was no expenditure on the scheme from 2013 until 2017. Additionally, while annual expenditure on the </w:t>
      </w:r>
      <w:r w:rsidRPr="004841EF">
        <w:rPr>
          <w:b/>
        </w:rPr>
        <w:t>Workplace Equipment and Adaptation Grant</w:t>
      </w:r>
      <w:r w:rsidRPr="004841EF">
        <w:t xml:space="preserve"> is comparatively high, the number of applications </w:t>
      </w:r>
      <w:r w:rsidR="000B7FC1" w:rsidRPr="004841EF">
        <w:t xml:space="preserve">granted </w:t>
      </w:r>
      <w:r w:rsidRPr="004841EF">
        <w:t>has never risen above 64 per annum.</w:t>
      </w:r>
    </w:p>
    <w:p w14:paraId="0A49D25B" w14:textId="066C56E3" w:rsidR="00536B99" w:rsidRPr="004841EF" w:rsidRDefault="00536B99" w:rsidP="00536B99">
      <w:pPr>
        <w:rPr>
          <w:lang w:val="en-GB"/>
        </w:rPr>
      </w:pPr>
      <w:r w:rsidRPr="004841EF">
        <w:rPr>
          <w:lang w:val="en-GB"/>
        </w:rPr>
        <w:t xml:space="preserve">Research commissioned by the NDA and undertaken by the Work Research Centre in 2012 also found that levels of expenditure and levels of uptake of the </w:t>
      </w:r>
      <w:r w:rsidRPr="004841EF">
        <w:rPr>
          <w:b/>
          <w:lang w:val="en-GB"/>
        </w:rPr>
        <w:t xml:space="preserve">Workplace Equipment and Adaptation Grant </w:t>
      </w:r>
      <w:r w:rsidR="00CA6E62" w:rsidRPr="004841EF">
        <w:rPr>
          <w:lang w:val="en-GB"/>
        </w:rPr>
        <w:t>we</w:t>
      </w:r>
      <w:r w:rsidRPr="004841EF">
        <w:rPr>
          <w:lang w:val="en-GB"/>
        </w:rPr>
        <w:t>re very low in Ireland in comparison to the Access to Work scheme in the UK.</w:t>
      </w:r>
      <w:r w:rsidRPr="004841EF">
        <w:rPr>
          <w:sz w:val="22"/>
          <w:szCs w:val="22"/>
          <w:vertAlign w:val="superscript"/>
          <w:lang w:val="en-GB"/>
        </w:rPr>
        <w:footnoteReference w:id="192"/>
      </w:r>
      <w:r w:rsidRPr="004841EF">
        <w:rPr>
          <w:lang w:val="en-GB"/>
        </w:rPr>
        <w:t xml:space="preserve"> </w:t>
      </w:r>
      <w:r w:rsidR="0089491A" w:rsidRPr="004841EF">
        <w:rPr>
          <w:lang w:val="en-GB"/>
        </w:rPr>
        <w:t>A</w:t>
      </w:r>
      <w:r w:rsidRPr="004841EF">
        <w:rPr>
          <w:lang w:val="en-GB"/>
        </w:rPr>
        <w:t xml:space="preserve"> more proactive approach in promoting and publicising the </w:t>
      </w:r>
      <w:r w:rsidRPr="004841EF">
        <w:t>different forms of grant assistance available to employers</w:t>
      </w:r>
      <w:r w:rsidR="0089491A" w:rsidRPr="004841EF">
        <w:t xml:space="preserve"> was recommended</w:t>
      </w:r>
      <w:r w:rsidRPr="004841EF">
        <w:t>.</w:t>
      </w:r>
      <w:r w:rsidRPr="004841EF">
        <w:rPr>
          <w:sz w:val="22"/>
          <w:szCs w:val="22"/>
          <w:vertAlign w:val="superscript"/>
        </w:rPr>
        <w:footnoteReference w:id="193"/>
      </w:r>
      <w:r w:rsidR="00C43A4C" w:rsidRPr="004841EF">
        <w:t xml:space="preserve"> A previous NDA publication also indicated that there is scope for more active promotion of these</w:t>
      </w:r>
      <w:r w:rsidR="00856100" w:rsidRPr="004841EF">
        <w:t xml:space="preserve"> grant</w:t>
      </w:r>
      <w:r w:rsidR="00C43A4C" w:rsidRPr="004841EF">
        <w:t xml:space="preserve"> support schemes.</w:t>
      </w:r>
      <w:r w:rsidR="00C43A4C" w:rsidRPr="004841EF">
        <w:rPr>
          <w:rStyle w:val="FootnoteReference"/>
          <w:rFonts w:ascii="Gill Sans MT" w:hAnsi="Gill Sans MT"/>
        </w:rPr>
        <w:footnoteReference w:id="194"/>
      </w:r>
    </w:p>
    <w:p w14:paraId="4D179A17" w14:textId="47E32359" w:rsidR="00AB2C62" w:rsidRPr="004841EF" w:rsidRDefault="00490E18" w:rsidP="00AB2C62">
      <w:r w:rsidRPr="004841EF">
        <w:t>By contrast, t</w:t>
      </w:r>
      <w:r w:rsidR="00AB2C62" w:rsidRPr="004841EF">
        <w:t xml:space="preserve">here appears to be considerably more awareness of the </w:t>
      </w:r>
      <w:r w:rsidR="00AB2C62" w:rsidRPr="004841EF">
        <w:rPr>
          <w:b/>
        </w:rPr>
        <w:t>Wage Subsidy Scheme</w:t>
      </w:r>
      <w:r w:rsidR="00AB2C62" w:rsidRPr="004841EF">
        <w:t xml:space="preserve">. Under the </w:t>
      </w:r>
      <w:r w:rsidR="00AB2C62" w:rsidRPr="004841EF">
        <w:rPr>
          <w:b/>
        </w:rPr>
        <w:t>Wage Subsidy Scheme</w:t>
      </w:r>
      <w:r w:rsidR="00AB2C62" w:rsidRPr="004841EF">
        <w:t>, an employer is provided with a general subsidy for any perceived productivity shortfall in excess of 20% for a person with a disability, in comparison to a colleague without a disability.</w:t>
      </w:r>
      <w:r w:rsidR="000F5A33" w:rsidRPr="004841EF">
        <w:rPr>
          <w:rStyle w:val="FootnoteReference"/>
          <w:rFonts w:ascii="Gill Sans MT" w:hAnsi="Gill Sans MT"/>
        </w:rPr>
        <w:footnoteReference w:id="195"/>
      </w:r>
      <w:r w:rsidR="00AB2C62" w:rsidRPr="004841EF">
        <w:t xml:space="preserve"> The rate of subsidy is €5.30 per hour and the amount of the subsidy is based on the number of hours worked. The maximum annual subsidy payable is €10,748 per year based on a 39 hour week.</w:t>
      </w:r>
    </w:p>
    <w:p w14:paraId="1D7F4491" w14:textId="77777777" w:rsidR="00AB2C62" w:rsidRPr="004841EF" w:rsidRDefault="00AB2C62" w:rsidP="00536B99">
      <w:r w:rsidRPr="004841EF">
        <w:t>In 2017, €20.83 million was spent on the scheme and</w:t>
      </w:r>
      <w:r w:rsidR="0089491A" w:rsidRPr="004841EF">
        <w:t xml:space="preserve"> expenditure totalled</w:t>
      </w:r>
      <w:r w:rsidRPr="004841EF">
        <w:t xml:space="preserve"> €18.55</w:t>
      </w:r>
      <w:r w:rsidR="00490E18" w:rsidRPr="004841EF">
        <w:t xml:space="preserve"> million</w:t>
      </w:r>
      <w:r w:rsidRPr="004841EF">
        <w:t xml:space="preserve"> over the January-October 2018 period.</w:t>
      </w:r>
      <w:r w:rsidRPr="004841EF">
        <w:rPr>
          <w:rStyle w:val="FootnoteReference"/>
          <w:rFonts w:ascii="Gill Sans MT" w:hAnsi="Gill Sans MT"/>
        </w:rPr>
        <w:footnoteReference w:id="196"/>
      </w:r>
      <w:r w:rsidRPr="004841EF">
        <w:t xml:space="preserve"> In October 2018, </w:t>
      </w:r>
      <w:r w:rsidR="00BC1215" w:rsidRPr="004841EF">
        <w:t xml:space="preserve">1,663 </w:t>
      </w:r>
      <w:r w:rsidRPr="004841EF">
        <w:t>employers were claiming subsidies under the scheme in respect of 2,606 employees with disabilities.</w:t>
      </w:r>
      <w:r w:rsidR="0089491A" w:rsidRPr="004841EF">
        <w:rPr>
          <w:rStyle w:val="FootnoteReference"/>
          <w:rFonts w:ascii="Gill Sans MT" w:hAnsi="Gill Sans MT"/>
        </w:rPr>
        <w:footnoteReference w:id="197"/>
      </w:r>
    </w:p>
    <w:p w14:paraId="36762AD8" w14:textId="7DDBFF73" w:rsidR="00536B99" w:rsidRPr="004841EF" w:rsidRDefault="0013421A" w:rsidP="00037C18">
      <w:pPr>
        <w:pStyle w:val="Heading3"/>
      </w:pPr>
      <w:bookmarkStart w:id="242" w:name="_Toc26192128"/>
      <w:r w:rsidRPr="004841EF">
        <w:t>4.2</w:t>
      </w:r>
      <w:r w:rsidR="00037C18" w:rsidRPr="004841EF">
        <w:t>.</w:t>
      </w:r>
      <w:r w:rsidR="00153A2A" w:rsidRPr="004841EF">
        <w:t>7</w:t>
      </w:r>
      <w:r w:rsidR="004A7E2D" w:rsidRPr="004841EF">
        <w:t>.</w:t>
      </w:r>
      <w:r w:rsidR="0089491A" w:rsidRPr="004841EF">
        <w:t xml:space="preserve"> The limitations</w:t>
      </w:r>
      <w:r w:rsidR="00536B99" w:rsidRPr="004841EF">
        <w:t xml:space="preserve"> of existing financial supports available to employers to provide reasonable accommodations</w:t>
      </w:r>
      <w:bookmarkEnd w:id="242"/>
    </w:p>
    <w:p w14:paraId="6E5674D6" w14:textId="532E596E" w:rsidR="0017406A" w:rsidRPr="004841EF" w:rsidRDefault="00536B99" w:rsidP="00A202A9">
      <w:pPr>
        <w:rPr>
          <w:bCs/>
        </w:rPr>
      </w:pPr>
      <w:r w:rsidRPr="004841EF">
        <w:rPr>
          <w:bCs/>
        </w:rPr>
        <w:t xml:space="preserve">As noted, the potential cost implications of accommodating the needs of </w:t>
      </w:r>
      <w:r w:rsidR="000F7C06" w:rsidRPr="004841EF">
        <w:rPr>
          <w:bCs/>
        </w:rPr>
        <w:t xml:space="preserve">persons </w:t>
      </w:r>
      <w:r w:rsidRPr="004841EF">
        <w:rPr>
          <w:bCs/>
        </w:rPr>
        <w:t xml:space="preserve">with disabilities </w:t>
      </w:r>
      <w:r w:rsidR="00A93916" w:rsidRPr="004841EF">
        <w:rPr>
          <w:bCs/>
        </w:rPr>
        <w:t>can</w:t>
      </w:r>
      <w:r w:rsidRPr="004841EF">
        <w:rPr>
          <w:bCs/>
        </w:rPr>
        <w:t xml:space="preserve"> act as a deterrent to employing </w:t>
      </w:r>
      <w:r w:rsidR="000F7C06" w:rsidRPr="004841EF">
        <w:rPr>
          <w:bCs/>
        </w:rPr>
        <w:t xml:space="preserve">persons </w:t>
      </w:r>
      <w:r w:rsidRPr="004841EF">
        <w:rPr>
          <w:bCs/>
        </w:rPr>
        <w:t xml:space="preserve">with disabilities and providing them with workplace accommodations. </w:t>
      </w:r>
      <w:r w:rsidR="00A202A9" w:rsidRPr="004841EF">
        <w:rPr>
          <w:bCs/>
        </w:rPr>
        <w:t xml:space="preserve">The availability of funding </w:t>
      </w:r>
      <w:r w:rsidR="0089491A" w:rsidRPr="004841EF">
        <w:rPr>
          <w:bCs/>
        </w:rPr>
        <w:t>or compensation</w:t>
      </w:r>
      <w:r w:rsidR="00A202A9" w:rsidRPr="004841EF">
        <w:rPr>
          <w:bCs/>
        </w:rPr>
        <w:t xml:space="preserve"> for reasonable accommodation measures represents an incentive to organisations and debilitates the cost argument of </w:t>
      </w:r>
      <w:r w:rsidR="0089491A" w:rsidRPr="004841EF">
        <w:rPr>
          <w:bCs/>
        </w:rPr>
        <w:t>employers</w:t>
      </w:r>
      <w:r w:rsidR="00A202A9" w:rsidRPr="004841EF">
        <w:rPr>
          <w:bCs/>
        </w:rPr>
        <w:t xml:space="preserve"> when refusing the provision of reasonable accommodation.</w:t>
      </w:r>
      <w:r w:rsidR="00A202A9" w:rsidRPr="004841EF">
        <w:rPr>
          <w:rStyle w:val="FootnoteReference"/>
          <w:rFonts w:ascii="Gill Sans MT" w:hAnsi="Gill Sans MT"/>
          <w:bCs/>
        </w:rPr>
        <w:footnoteReference w:id="198"/>
      </w:r>
      <w:r w:rsidR="0017406A" w:rsidRPr="004841EF">
        <w:rPr>
          <w:bCs/>
        </w:rPr>
        <w:t xml:space="preserve"> The need for specific incentives and supports for reasonable accommodation measures has been recognised by the UN Committee on the Rights of Persons with Disabilities.</w:t>
      </w:r>
      <w:r w:rsidR="0017406A" w:rsidRPr="004841EF">
        <w:rPr>
          <w:rStyle w:val="FootnoteReference"/>
          <w:rFonts w:ascii="Gill Sans MT" w:hAnsi="Gill Sans MT"/>
          <w:bCs/>
        </w:rPr>
        <w:footnoteReference w:id="199"/>
      </w:r>
    </w:p>
    <w:p w14:paraId="05CD23D1" w14:textId="41FF2280" w:rsidR="00536B99" w:rsidRPr="004841EF" w:rsidRDefault="00536B99" w:rsidP="00536B99">
      <w:pPr>
        <w:rPr>
          <w:bCs/>
        </w:rPr>
      </w:pPr>
      <w:r w:rsidRPr="004841EF">
        <w:rPr>
          <w:bCs/>
        </w:rPr>
        <w:t xml:space="preserve">In </w:t>
      </w:r>
      <w:r w:rsidR="0089491A" w:rsidRPr="004841EF">
        <w:rPr>
          <w:bCs/>
        </w:rPr>
        <w:t>the 2018 survey conducted by</w:t>
      </w:r>
      <w:r w:rsidRPr="004841EF">
        <w:rPr>
          <w:bCs/>
        </w:rPr>
        <w:t xml:space="preserve"> the </w:t>
      </w:r>
      <w:r w:rsidRPr="004841EF">
        <w:t>Employer Disability Information</w:t>
      </w:r>
      <w:r w:rsidR="0089491A" w:rsidRPr="004841EF">
        <w:rPr>
          <w:bCs/>
        </w:rPr>
        <w:t xml:space="preserve"> service,</w:t>
      </w:r>
      <w:r w:rsidR="000C295E" w:rsidRPr="004841EF">
        <w:rPr>
          <w:bCs/>
        </w:rPr>
        <w:t xml:space="preserve"> which had 250 respondents,</w:t>
      </w:r>
      <w:r w:rsidR="0089491A" w:rsidRPr="004841EF">
        <w:rPr>
          <w:bCs/>
        </w:rPr>
        <w:t xml:space="preserve"> employer</w:t>
      </w:r>
      <w:r w:rsidRPr="004841EF">
        <w:rPr>
          <w:bCs/>
        </w:rPr>
        <w:t>s were asked to nominate their main reasons for not employing a person with a disability. The reasons cited included the cost of new equipment, software and furniture, and that the workplace environment was not suitable.</w:t>
      </w:r>
      <w:r w:rsidR="00135E9B" w:rsidRPr="004841EF">
        <w:t xml:space="preserve"> </w:t>
      </w:r>
      <w:r w:rsidR="00135E9B" w:rsidRPr="004841EF">
        <w:rPr>
          <w:bCs/>
        </w:rPr>
        <w:t>The financial cost of any reasonable accommodation measure to employers was also raised as a concern during one of the focus groups.</w:t>
      </w:r>
    </w:p>
    <w:p w14:paraId="29E3B5F6" w14:textId="0D7F0DB1" w:rsidR="00536B99" w:rsidRPr="004841EF" w:rsidRDefault="00536B99" w:rsidP="00F623F4">
      <w:pPr>
        <w:spacing w:after="120"/>
        <w:rPr>
          <w:bCs/>
        </w:rPr>
      </w:pPr>
      <w:r w:rsidRPr="004841EF">
        <w:rPr>
          <w:bCs/>
        </w:rPr>
        <w:t xml:space="preserve">Whilst the </w:t>
      </w:r>
      <w:r w:rsidR="005960C7" w:rsidRPr="004841EF">
        <w:rPr>
          <w:bCs/>
        </w:rPr>
        <w:t xml:space="preserve">relatively small </w:t>
      </w:r>
      <w:r w:rsidR="00120838" w:rsidRPr="004841EF">
        <w:rPr>
          <w:bCs/>
        </w:rPr>
        <w:t>number</w:t>
      </w:r>
      <w:r w:rsidRPr="004841EF">
        <w:rPr>
          <w:bCs/>
        </w:rPr>
        <w:t xml:space="preserve"> of employers applying for financial support from </w:t>
      </w:r>
      <w:r w:rsidRPr="004841EF">
        <w:t xml:space="preserve">the Department of Employment Affairs and Social Protection </w:t>
      </w:r>
      <w:r w:rsidR="00211D80" w:rsidRPr="004841EF">
        <w:rPr>
          <w:bCs/>
        </w:rPr>
        <w:t>highlights</w:t>
      </w:r>
      <w:r w:rsidRPr="004841EF">
        <w:rPr>
          <w:bCs/>
        </w:rPr>
        <w:t xml:space="preserve"> </w:t>
      </w:r>
      <w:r w:rsidR="00CA6E62" w:rsidRPr="004841EF">
        <w:rPr>
          <w:bCs/>
        </w:rPr>
        <w:t>low</w:t>
      </w:r>
      <w:r w:rsidRPr="004841EF">
        <w:rPr>
          <w:bCs/>
        </w:rPr>
        <w:t xml:space="preserve"> awareness of the scheme, it also raises concerns regarding potential </w:t>
      </w:r>
      <w:r w:rsidR="0089491A" w:rsidRPr="004841EF">
        <w:rPr>
          <w:bCs/>
        </w:rPr>
        <w:t xml:space="preserve">limitations or </w:t>
      </w:r>
      <w:r w:rsidRPr="004841EF">
        <w:rPr>
          <w:bCs/>
        </w:rPr>
        <w:t xml:space="preserve">inadequacies with the existing supports. The </w:t>
      </w:r>
      <w:r w:rsidRPr="004841EF">
        <w:t>Employer Disability Information</w:t>
      </w:r>
      <w:r w:rsidRPr="004841EF">
        <w:rPr>
          <w:bCs/>
        </w:rPr>
        <w:t xml:space="preserve"> service </w:t>
      </w:r>
      <w:r w:rsidRPr="004841EF">
        <w:t>have identified a number of specific issues with the individual financial supports available through the Department of Employment Affairs and Social Protection, and have</w:t>
      </w:r>
      <w:r w:rsidR="0089491A" w:rsidRPr="004841EF">
        <w:t xml:space="preserve"> also</w:t>
      </w:r>
      <w:r w:rsidRPr="004841EF">
        <w:t xml:space="preserve"> raised concerns about the overall structure of the supports. These include:</w:t>
      </w:r>
    </w:p>
    <w:p w14:paraId="1FC85837" w14:textId="716507C6" w:rsidR="00536B99" w:rsidRPr="004841EF" w:rsidRDefault="00536B99" w:rsidP="00F4753F">
      <w:pPr>
        <w:pStyle w:val="ListBullet"/>
      </w:pPr>
      <w:r w:rsidRPr="004841EF">
        <w:t xml:space="preserve">The </w:t>
      </w:r>
      <w:r w:rsidRPr="004841EF">
        <w:rPr>
          <w:b/>
        </w:rPr>
        <w:t>Workplace Equipment and Adaptation Grant</w:t>
      </w:r>
      <w:r w:rsidRPr="004841EF">
        <w:t xml:space="preserve"> works on a refund basis</w:t>
      </w:r>
      <w:r w:rsidR="0089491A" w:rsidRPr="004841EF">
        <w:t>,</w:t>
      </w:r>
      <w:r w:rsidRPr="004841EF">
        <w:t xml:space="preserve"> therefore employers must invest in the equipment prior to receiving the money. This financial outlay can present difficulties for employers, especially smaller and medium sized private enterprises</w:t>
      </w:r>
    </w:p>
    <w:p w14:paraId="63ECF225" w14:textId="3B26AF83" w:rsidR="00536B99" w:rsidRPr="004841EF" w:rsidRDefault="00536B99" w:rsidP="00F4753F">
      <w:pPr>
        <w:pStyle w:val="ListBullet"/>
      </w:pPr>
      <w:r w:rsidRPr="004841EF">
        <w:t xml:space="preserve">The </w:t>
      </w:r>
      <w:r w:rsidRPr="004841EF">
        <w:rPr>
          <w:b/>
        </w:rPr>
        <w:t>Job Interview Interpreter Grant</w:t>
      </w:r>
      <w:r w:rsidR="00F52819" w:rsidRPr="004841EF">
        <w:t xml:space="preserve"> </w:t>
      </w:r>
      <w:r w:rsidRPr="004841EF">
        <w:t>provides funding for an Irish Sign Language (ISL) interpreter at interview and induction stages and at no other time dur</w:t>
      </w:r>
      <w:r w:rsidR="0089491A" w:rsidRPr="004841EF">
        <w:t>ing the employment relationship</w:t>
      </w:r>
      <w:r w:rsidR="00D66093" w:rsidRPr="004841EF">
        <w:rPr>
          <w:rStyle w:val="FootnoteReference"/>
          <w:rFonts w:ascii="Gill Sans MT" w:hAnsi="Gill Sans MT"/>
        </w:rPr>
        <w:footnoteReference w:id="200"/>
      </w:r>
    </w:p>
    <w:p w14:paraId="1412702D" w14:textId="4CB14A1A" w:rsidR="00536B99" w:rsidRPr="004841EF" w:rsidRDefault="00536B99" w:rsidP="00F52819">
      <w:pPr>
        <w:pStyle w:val="ListBullet"/>
      </w:pPr>
      <w:r w:rsidRPr="004841EF">
        <w:t xml:space="preserve">The </w:t>
      </w:r>
      <w:r w:rsidRPr="004841EF">
        <w:rPr>
          <w:b/>
        </w:rPr>
        <w:t>Disability Awareness Support Scheme</w:t>
      </w:r>
      <w:r w:rsidRPr="004841EF">
        <w:t xml:space="preserve"> </w:t>
      </w:r>
      <w:r w:rsidR="00E74AE7" w:rsidRPr="004841EF">
        <w:t>is advertised as offering</w:t>
      </w:r>
      <w:r w:rsidR="00F52819" w:rsidRPr="004841EF">
        <w:t xml:space="preserve"> funding to private sector employers to provide Disability Awareness Training for staff who work with a colleague who has a disability.</w:t>
      </w:r>
      <w:r w:rsidR="00E74AE7" w:rsidRPr="004841EF">
        <w:rPr>
          <w:rStyle w:val="FootnoteReference"/>
          <w:rFonts w:ascii="Gill Sans MT" w:hAnsi="Gill Sans MT"/>
        </w:rPr>
        <w:footnoteReference w:id="201"/>
      </w:r>
      <w:r w:rsidR="00F52819" w:rsidRPr="004841EF">
        <w:t> However, such training is beneficial for all staff whether they</w:t>
      </w:r>
      <w:r w:rsidR="005960C7" w:rsidRPr="004841EF">
        <w:t xml:space="preserve"> have</w:t>
      </w:r>
      <w:r w:rsidR="00F52819" w:rsidRPr="004841EF">
        <w:t xml:space="preserve"> a colleague </w:t>
      </w:r>
      <w:r w:rsidR="005960C7" w:rsidRPr="004841EF">
        <w:t xml:space="preserve">who </w:t>
      </w:r>
      <w:r w:rsidR="00F52819" w:rsidRPr="004841EF">
        <w:t>has disclosed a disability or not</w:t>
      </w:r>
    </w:p>
    <w:p w14:paraId="2266360E" w14:textId="4C581CF5" w:rsidR="00536B99" w:rsidRPr="004841EF" w:rsidRDefault="00536B99" w:rsidP="00F623F4">
      <w:pPr>
        <w:pStyle w:val="ListBullet"/>
        <w:spacing w:after="240"/>
        <w:ind w:left="357" w:hanging="357"/>
      </w:pPr>
      <w:r w:rsidRPr="004841EF">
        <w:t xml:space="preserve">The </w:t>
      </w:r>
      <w:r w:rsidRPr="004841EF">
        <w:rPr>
          <w:b/>
        </w:rPr>
        <w:t>Employee Retention Grant</w:t>
      </w:r>
      <w:r w:rsidR="00F52819" w:rsidRPr="004841EF">
        <w:t xml:space="preserve"> scheme </w:t>
      </w:r>
      <w:r w:rsidRPr="004841EF">
        <w:t xml:space="preserve">assists employers to </w:t>
      </w:r>
      <w:r w:rsidR="00F52819" w:rsidRPr="004841EF">
        <w:t>support</w:t>
      </w:r>
      <w:r w:rsidRPr="004841EF">
        <w:t xml:space="preserve"> </w:t>
      </w:r>
      <w:r w:rsidR="00F52819" w:rsidRPr="004841EF">
        <w:t>the re-training of an employee</w:t>
      </w:r>
      <w:r w:rsidRPr="004841EF">
        <w:t xml:space="preserve"> </w:t>
      </w:r>
      <w:r w:rsidR="00F52819" w:rsidRPr="004841EF">
        <w:t xml:space="preserve">who has acquired a disability </w:t>
      </w:r>
      <w:r w:rsidRPr="004841EF">
        <w:t>but doesn’t support productivity shortfalls</w:t>
      </w:r>
      <w:r w:rsidRPr="004841EF">
        <w:rPr>
          <w:sz w:val="22"/>
          <w:szCs w:val="22"/>
          <w:vertAlign w:val="superscript"/>
        </w:rPr>
        <w:footnoteReference w:id="202"/>
      </w:r>
    </w:p>
    <w:p w14:paraId="46348A68" w14:textId="54DDB029" w:rsidR="00A6113B" w:rsidRPr="004841EF" w:rsidRDefault="00A6113B" w:rsidP="00536B99">
      <w:r w:rsidRPr="004841EF">
        <w:t>Issues have also been identified with</w:t>
      </w:r>
      <w:r w:rsidR="0089491A" w:rsidRPr="004841EF">
        <w:t xml:space="preserve"> certain conditions pertaining to</w:t>
      </w:r>
      <w:r w:rsidRPr="004841EF">
        <w:t xml:space="preserve"> the </w:t>
      </w:r>
      <w:r w:rsidRPr="004841EF">
        <w:rPr>
          <w:b/>
        </w:rPr>
        <w:t>Wage Subsidy Scheme</w:t>
      </w:r>
      <w:r w:rsidR="00DC6B0C" w:rsidRPr="004841EF">
        <w:t>,</w:t>
      </w:r>
      <w:r w:rsidR="00AE3C49" w:rsidRPr="004841EF">
        <w:t xml:space="preserve"> </w:t>
      </w:r>
      <w:r w:rsidRPr="004841EF">
        <w:t>which may disincentivise employers from providing certain forms of reasonable accommodations, such as part-time or reduced working hours. T</w:t>
      </w:r>
      <w:r w:rsidR="00F804B3" w:rsidRPr="004841EF">
        <w:t>o avail</w:t>
      </w:r>
      <w:r w:rsidR="00D82EDF" w:rsidRPr="004841EF">
        <w:t xml:space="preserve"> of the Wage Subsidy Scheme, an</w:t>
      </w:r>
      <w:r w:rsidR="00F804B3" w:rsidRPr="004841EF">
        <w:t xml:space="preserve"> employee must work for at least 21 hours per week.</w:t>
      </w:r>
      <w:r w:rsidR="00070194" w:rsidRPr="004841EF">
        <w:rPr>
          <w:rStyle w:val="FootnoteReference"/>
          <w:rFonts w:ascii="Gill Sans MT" w:hAnsi="Gill Sans MT"/>
        </w:rPr>
        <w:footnoteReference w:id="203"/>
      </w:r>
      <w:r w:rsidR="00F804B3" w:rsidRPr="004841EF">
        <w:t xml:space="preserve"> Concerns </w:t>
      </w:r>
      <w:r w:rsidR="00907F54" w:rsidRPr="004841EF">
        <w:t>were voice</w:t>
      </w:r>
      <w:r w:rsidR="00F804B3" w:rsidRPr="004841EF">
        <w:t xml:space="preserve">d </w:t>
      </w:r>
      <w:r w:rsidR="00907F54" w:rsidRPr="004841EF">
        <w:t>in one of the focus group</w:t>
      </w:r>
      <w:r w:rsidR="00135E9B" w:rsidRPr="004841EF">
        <w:t>s</w:t>
      </w:r>
      <w:r w:rsidR="00907F54" w:rsidRPr="004841EF">
        <w:t xml:space="preserve"> </w:t>
      </w:r>
      <w:r w:rsidR="00F804B3" w:rsidRPr="004841EF">
        <w:t xml:space="preserve">that </w:t>
      </w:r>
      <w:r w:rsidR="00A93916" w:rsidRPr="004841EF">
        <w:t>this</w:t>
      </w:r>
      <w:r w:rsidR="00CA77ED" w:rsidRPr="004841EF">
        <w:t xml:space="preserve"> threshold</w:t>
      </w:r>
      <w:r w:rsidR="00E113D9" w:rsidRPr="004841EF">
        <w:t xml:space="preserve"> </w:t>
      </w:r>
      <w:r w:rsidR="00CA77ED" w:rsidRPr="004841EF">
        <w:t>is too high</w:t>
      </w:r>
      <w:r w:rsidR="00135E9B" w:rsidRPr="004841EF">
        <w:t xml:space="preserve"> and employers cannot access the scheme in respect of employees who are working part-time</w:t>
      </w:r>
      <w:r w:rsidR="00A93916" w:rsidRPr="004841EF">
        <w:t xml:space="preserve"> below 21</w:t>
      </w:r>
      <w:r w:rsidR="00135E9B" w:rsidRPr="004841EF">
        <w:t xml:space="preserve"> hours</w:t>
      </w:r>
      <w:r w:rsidR="00E113D9" w:rsidRPr="004841EF">
        <w:t xml:space="preserve">. </w:t>
      </w:r>
      <w:r w:rsidR="00C30373" w:rsidRPr="004841EF">
        <w:t>Additionally, e</w:t>
      </w:r>
      <w:r w:rsidR="00F12A99" w:rsidRPr="004841EF">
        <w:t xml:space="preserve">mployers are </w:t>
      </w:r>
      <w:r w:rsidRPr="004841EF">
        <w:t>only</w:t>
      </w:r>
      <w:r w:rsidR="00F12A99" w:rsidRPr="004841EF">
        <w:t xml:space="preserve"> provided with assistance</w:t>
      </w:r>
      <w:r w:rsidR="00C30373" w:rsidRPr="004841EF">
        <w:t xml:space="preserve"> under the Wage Subsidy Scheme</w:t>
      </w:r>
      <w:r w:rsidR="00F12A99" w:rsidRPr="004841EF">
        <w:t xml:space="preserve"> where the employee is </w:t>
      </w:r>
      <w:r w:rsidR="00E113D9" w:rsidRPr="004841EF">
        <w:t>less than 12 months in</w:t>
      </w:r>
      <w:r w:rsidR="002B48CE" w:rsidRPr="004841EF">
        <w:t xml:space="preserve"> that</w:t>
      </w:r>
      <w:r w:rsidR="00E113D9" w:rsidRPr="004841EF">
        <w:t xml:space="preserve"> employment</w:t>
      </w:r>
      <w:r w:rsidR="00F12A99" w:rsidRPr="004841EF">
        <w:t xml:space="preserve">. </w:t>
      </w:r>
      <w:r w:rsidR="00907F54" w:rsidRPr="004841EF">
        <w:t xml:space="preserve">Participants in one focus group expressed the view that the scheme should be available for those who acquire a disability after 12 months in order to provide </w:t>
      </w:r>
      <w:r w:rsidR="00D82EDF" w:rsidRPr="004841EF">
        <w:t xml:space="preserve">the employer with </w:t>
      </w:r>
      <w:r w:rsidR="00907F54" w:rsidRPr="004841EF">
        <w:t xml:space="preserve">a financial incentive to </w:t>
      </w:r>
      <w:r w:rsidR="00D82EDF" w:rsidRPr="004841EF">
        <w:t>retain the employee</w:t>
      </w:r>
      <w:r w:rsidR="00907F54" w:rsidRPr="004841EF">
        <w:t>.</w:t>
      </w:r>
      <w:r w:rsidR="00D172E2" w:rsidRPr="004841EF">
        <w:t xml:space="preserve"> </w:t>
      </w:r>
      <w:r w:rsidR="007537D8" w:rsidRPr="004841EF">
        <w:t>The</w:t>
      </w:r>
      <w:r w:rsidR="00043BB7" w:rsidRPr="004841EF">
        <w:t xml:space="preserve"> NDA is concerned that the</w:t>
      </w:r>
      <w:r w:rsidR="00D172E2" w:rsidRPr="004841EF">
        <w:t xml:space="preserve"> scheme</w:t>
      </w:r>
      <w:r w:rsidR="007537D8" w:rsidRPr="004841EF">
        <w:t>, in its current form,</w:t>
      </w:r>
      <w:r w:rsidR="00D172E2" w:rsidRPr="004841EF">
        <w:t xml:space="preserve"> </w:t>
      </w:r>
      <w:r w:rsidR="00043BB7" w:rsidRPr="004841EF">
        <w:t>may</w:t>
      </w:r>
      <w:r w:rsidR="004F1DBE" w:rsidRPr="004841EF">
        <w:t xml:space="preserve"> </w:t>
      </w:r>
      <w:r w:rsidR="00D172E2" w:rsidRPr="004841EF">
        <w:t>mitigate against</w:t>
      </w:r>
      <w:r w:rsidR="004F1DBE" w:rsidRPr="004841EF">
        <w:t xml:space="preserve"> employers</w:t>
      </w:r>
      <w:r w:rsidR="00D172E2" w:rsidRPr="004841EF">
        <w:t xml:space="preserve"> retaining employees who have acquired </w:t>
      </w:r>
      <w:r w:rsidR="004F1DBE" w:rsidRPr="004841EF">
        <w:t>a</w:t>
      </w:r>
      <w:r w:rsidR="00D172E2" w:rsidRPr="004841EF">
        <w:t xml:space="preserve"> disability</w:t>
      </w:r>
      <w:r w:rsidR="004F1DBE" w:rsidRPr="004841EF">
        <w:t xml:space="preserve"> after one year of employment.</w:t>
      </w:r>
    </w:p>
    <w:p w14:paraId="6CB4D340" w14:textId="5ECAA57D" w:rsidR="00583F45" w:rsidRPr="004841EF" w:rsidRDefault="003C5A15" w:rsidP="00536B99">
      <w:r w:rsidRPr="004841EF">
        <w:t>Participants in one focus group also highlighted a</w:t>
      </w:r>
      <w:r w:rsidR="008F5D10" w:rsidRPr="004841EF">
        <w:t xml:space="preserve"> perceived</w:t>
      </w:r>
      <w:r w:rsidRPr="004841EF">
        <w:t xml:space="preserve"> recent change of practice</w:t>
      </w:r>
      <w:r w:rsidR="004F3A73" w:rsidRPr="004841EF">
        <w:t>,</w:t>
      </w:r>
      <w:r w:rsidRPr="004841EF">
        <w:t xml:space="preserve"> which means that employers </w:t>
      </w:r>
      <w:r w:rsidR="006010F2" w:rsidRPr="004841EF">
        <w:t xml:space="preserve">now </w:t>
      </w:r>
      <w:r w:rsidRPr="004841EF">
        <w:t xml:space="preserve">only receive a backdated </w:t>
      </w:r>
      <w:r w:rsidRPr="004841EF">
        <w:rPr>
          <w:b/>
        </w:rPr>
        <w:t>W</w:t>
      </w:r>
      <w:r w:rsidR="00135E9B" w:rsidRPr="004841EF">
        <w:rPr>
          <w:b/>
        </w:rPr>
        <w:t xml:space="preserve">age </w:t>
      </w:r>
      <w:r w:rsidRPr="004841EF">
        <w:rPr>
          <w:b/>
        </w:rPr>
        <w:t>S</w:t>
      </w:r>
      <w:r w:rsidR="00135E9B" w:rsidRPr="004841EF">
        <w:rPr>
          <w:b/>
        </w:rPr>
        <w:t xml:space="preserve">ubsidy </w:t>
      </w:r>
      <w:r w:rsidRPr="004841EF">
        <w:rPr>
          <w:b/>
        </w:rPr>
        <w:t>S</w:t>
      </w:r>
      <w:r w:rsidR="00135E9B" w:rsidRPr="004841EF">
        <w:rPr>
          <w:b/>
        </w:rPr>
        <w:t>cheme</w:t>
      </w:r>
      <w:r w:rsidRPr="004841EF">
        <w:t xml:space="preserve"> payment from the date of application </w:t>
      </w:r>
      <w:r w:rsidR="00F52819" w:rsidRPr="004841EF">
        <w:t xml:space="preserve">for the scheme </w:t>
      </w:r>
      <w:r w:rsidRPr="004841EF">
        <w:t>as opposed to the date of commencement of employment.</w:t>
      </w:r>
      <w:r w:rsidR="00A419AD" w:rsidRPr="004841EF">
        <w:t xml:space="preserve"> However, </w:t>
      </w:r>
      <w:r w:rsidR="007A4FE7" w:rsidRPr="004841EF">
        <w:t xml:space="preserve">information received from </w:t>
      </w:r>
      <w:r w:rsidR="00A419AD" w:rsidRPr="004841EF">
        <w:t xml:space="preserve">the Department </w:t>
      </w:r>
      <w:r w:rsidR="007A4FE7" w:rsidRPr="004841EF">
        <w:t>indicates</w:t>
      </w:r>
      <w:r w:rsidR="00A419AD" w:rsidRPr="004841EF">
        <w:t xml:space="preserve"> that</w:t>
      </w:r>
      <w:r w:rsidR="007A4FE7" w:rsidRPr="004841EF">
        <w:t xml:space="preserve"> the</w:t>
      </w:r>
      <w:r w:rsidR="00665951" w:rsidRPr="004841EF">
        <w:t>re has not been a change of practice; the</w:t>
      </w:r>
      <w:r w:rsidR="00A419AD" w:rsidRPr="004841EF">
        <w:t xml:space="preserve"> </w:t>
      </w:r>
      <w:r w:rsidR="00A419AD" w:rsidRPr="004841EF">
        <w:rPr>
          <w:b/>
        </w:rPr>
        <w:t>Wage Subsidy Scheme Guidelines</w:t>
      </w:r>
      <w:r w:rsidR="00A419AD" w:rsidRPr="004841EF">
        <w:t xml:space="preserve"> were updated in April 2019 </w:t>
      </w:r>
      <w:r w:rsidR="006010F2" w:rsidRPr="004841EF">
        <w:t>to correct an ambiguity in the previous guidelines</w:t>
      </w:r>
      <w:r w:rsidR="004F3A73" w:rsidRPr="004841EF">
        <w:t>,</w:t>
      </w:r>
      <w:r w:rsidR="008F5D10" w:rsidRPr="004841EF">
        <w:t xml:space="preserve"> which had resulted in differing local interpretations on </w:t>
      </w:r>
      <w:r w:rsidR="00583F45" w:rsidRPr="004841EF">
        <w:t>the</w:t>
      </w:r>
      <w:r w:rsidR="007337B6" w:rsidRPr="004841EF">
        <w:t xml:space="preserve"> matter</w:t>
      </w:r>
      <w:r w:rsidR="00583F45" w:rsidRPr="004841EF">
        <w:t xml:space="preserve"> of backdating payments to the date of commencement of employment</w:t>
      </w:r>
      <w:r w:rsidR="00C02876" w:rsidRPr="004841EF">
        <w:t>.</w:t>
      </w:r>
    </w:p>
    <w:p w14:paraId="68AE9105" w14:textId="6A382A56" w:rsidR="003C5A15" w:rsidRPr="004841EF" w:rsidRDefault="006010F2" w:rsidP="00536B99">
      <w:r w:rsidRPr="004841EF">
        <w:t>In</w:t>
      </w:r>
      <w:r w:rsidR="007A4FE7" w:rsidRPr="004841EF">
        <w:t xml:space="preserve"> particular, </w:t>
      </w:r>
      <w:r w:rsidRPr="004841EF">
        <w:t xml:space="preserve">the Department </w:t>
      </w:r>
      <w:r w:rsidR="007A4FE7" w:rsidRPr="004841EF">
        <w:t>advised</w:t>
      </w:r>
      <w:r w:rsidRPr="004841EF">
        <w:t xml:space="preserve"> that some employers mistakenly believed that they could employ a person with a disability on a ‘trial’ basis for a few </w:t>
      </w:r>
      <w:r w:rsidR="008F5D10" w:rsidRPr="004841EF">
        <w:t xml:space="preserve">months, and subsequently, if they decided to retain the employee, retrospectively apply for the </w:t>
      </w:r>
      <w:r w:rsidR="008F5D10" w:rsidRPr="004841EF">
        <w:rPr>
          <w:b/>
        </w:rPr>
        <w:t>Wage Subsidy Scheme</w:t>
      </w:r>
      <w:r w:rsidR="008F5D10" w:rsidRPr="004841EF">
        <w:t>,</w:t>
      </w:r>
      <w:r w:rsidRPr="004841EF">
        <w:t xml:space="preserve"> and backdate their subsidy to the date at which the employee started working for them. </w:t>
      </w:r>
      <w:r w:rsidR="007A4FE7" w:rsidRPr="004841EF">
        <w:t xml:space="preserve">There had been local interpretations allowing this practice under the previous guidelines but the updated guidelines </w:t>
      </w:r>
      <w:r w:rsidR="00665951" w:rsidRPr="004841EF">
        <w:t>ensure</w:t>
      </w:r>
      <w:r w:rsidR="007A4FE7" w:rsidRPr="004841EF">
        <w:t xml:space="preserve"> that this is not permissible. </w:t>
      </w:r>
      <w:r w:rsidRPr="004841EF">
        <w:t>According to the Department, this was never the intention of the scheme and the Department’s policy position has</w:t>
      </w:r>
      <w:r w:rsidR="007A4FE7" w:rsidRPr="004841EF">
        <w:t xml:space="preserve"> no</w:t>
      </w:r>
      <w:r w:rsidR="005F6301" w:rsidRPr="004841EF">
        <w:t>t changed.</w:t>
      </w:r>
    </w:p>
    <w:p w14:paraId="0BFE5379" w14:textId="601B6164" w:rsidR="003E7316" w:rsidRPr="004841EF" w:rsidRDefault="00536B99" w:rsidP="00536B99">
      <w:r w:rsidRPr="004841EF">
        <w:t xml:space="preserve">More generally, </w:t>
      </w:r>
      <w:r w:rsidR="003E7316" w:rsidRPr="004841EF">
        <w:t xml:space="preserve">the financial and training supports are only available to private sector employers. As a result, </w:t>
      </w:r>
      <w:r w:rsidR="00A419AD" w:rsidRPr="004841EF">
        <w:t xml:space="preserve">public sector employers, as well as </w:t>
      </w:r>
      <w:r w:rsidR="003E7316" w:rsidRPr="004841EF">
        <w:t>state-funded community and voluntary organisations</w:t>
      </w:r>
      <w:r w:rsidR="00A419AD" w:rsidRPr="004841EF">
        <w:t>,</w:t>
      </w:r>
      <w:r w:rsidR="003E7316" w:rsidRPr="004841EF">
        <w:t xml:space="preserve"> are ineli</w:t>
      </w:r>
      <w:r w:rsidR="00D13D44" w:rsidRPr="004841EF">
        <w:t xml:space="preserve">gible for </w:t>
      </w:r>
      <w:r w:rsidR="005960C7" w:rsidRPr="004841EF">
        <w:t>such grant assistance</w:t>
      </w:r>
      <w:r w:rsidR="00D13D44" w:rsidRPr="004841EF">
        <w:t xml:space="preserve">. Concerns were also raised in one focus group that state-funded schools are not eligible for </w:t>
      </w:r>
      <w:r w:rsidR="005960C7" w:rsidRPr="004841EF">
        <w:t>these supports</w:t>
      </w:r>
      <w:r w:rsidR="00D13D44" w:rsidRPr="004841EF">
        <w:t>.</w:t>
      </w:r>
    </w:p>
    <w:p w14:paraId="36D4F697" w14:textId="6FA88901" w:rsidR="00536B99" w:rsidRPr="004841EF" w:rsidRDefault="003E7316" w:rsidP="00AE0266">
      <w:pPr>
        <w:spacing w:after="120"/>
      </w:pPr>
      <w:r w:rsidRPr="004841EF">
        <w:t xml:space="preserve">Additionally, </w:t>
      </w:r>
      <w:r w:rsidR="00536B99" w:rsidRPr="004841EF">
        <w:t xml:space="preserve">the financial supports available to </w:t>
      </w:r>
      <w:r w:rsidR="00A419AD" w:rsidRPr="004841EF">
        <w:t xml:space="preserve">private sector </w:t>
      </w:r>
      <w:r w:rsidR="00536B99" w:rsidRPr="004841EF">
        <w:t>employers are dependent on the needs of a particular employee or employment candidate. There is no separate financial assistance for workplace supports and access grants</w:t>
      </w:r>
      <w:r w:rsidR="00DC6B0C" w:rsidRPr="004841EF">
        <w:t>,</w:t>
      </w:r>
      <w:r w:rsidR="00536B99" w:rsidRPr="004841EF">
        <w:t xml:space="preserve"> which would enable an employer to prepare themselves for the employment of </w:t>
      </w:r>
      <w:r w:rsidR="000F7C06" w:rsidRPr="004841EF">
        <w:t xml:space="preserve">persons </w:t>
      </w:r>
      <w:r w:rsidR="00536B99" w:rsidRPr="004841EF">
        <w:t xml:space="preserve">with disabilities. For example, access supports could assist an employer to ensure their workplace is accessible prior to advertising their vacancy. Unless the employer is confident that they are ready to accommodate a variety of physical disabilities, </w:t>
      </w:r>
      <w:r w:rsidR="00C211BD" w:rsidRPr="004841EF">
        <w:t>they may be</w:t>
      </w:r>
      <w:r w:rsidR="00536B99" w:rsidRPr="004841EF">
        <w:t xml:space="preserve"> fearful of the potential litigious reprisal when </w:t>
      </w:r>
      <w:r w:rsidR="003468BC" w:rsidRPr="004841EF">
        <w:t>they are interviewing a candidate.</w:t>
      </w:r>
      <w:r w:rsidR="003468BC" w:rsidRPr="004841EF">
        <w:rPr>
          <w:rStyle w:val="FootnoteReference"/>
          <w:rFonts w:ascii="Gill Sans MT" w:hAnsi="Gill Sans MT"/>
        </w:rPr>
        <w:footnoteReference w:id="204"/>
      </w:r>
    </w:p>
    <w:p w14:paraId="2304CA16" w14:textId="77777777" w:rsidR="00135E9B" w:rsidRPr="004841EF" w:rsidRDefault="00536B99" w:rsidP="00536B99">
      <w:r w:rsidRPr="004841EF">
        <w:t>In addition to the foregoing, the amount of grant assistance funding provided to employers has remained unchanged since 2004.</w:t>
      </w:r>
      <w:r w:rsidRPr="004841EF">
        <w:rPr>
          <w:sz w:val="22"/>
          <w:szCs w:val="22"/>
          <w:vertAlign w:val="superscript"/>
        </w:rPr>
        <w:footnoteReference w:id="205"/>
      </w:r>
      <w:r w:rsidRPr="004841EF">
        <w:t xml:space="preserve"> </w:t>
      </w:r>
      <w:r w:rsidR="00135E9B" w:rsidRPr="004841EF">
        <w:t>A participant in one of the focus groups noted that while the minimum wage has increased in recent years, the rate of subsidy for the Wage Subsidy Scheme has not.</w:t>
      </w:r>
    </w:p>
    <w:p w14:paraId="09C96F8F" w14:textId="0522474B" w:rsidR="00536B99" w:rsidRPr="004841EF" w:rsidRDefault="00536B99" w:rsidP="00536B99">
      <w:r w:rsidRPr="004841EF">
        <w:t xml:space="preserve">OECD research also found that employers in many countries indicated their willingness to try to employ a person with reduced work capacity and productivity </w:t>
      </w:r>
      <w:r w:rsidR="007E4BD1" w:rsidRPr="004841EF">
        <w:t>where financial support is easy</w:t>
      </w:r>
      <w:r w:rsidRPr="004841EF">
        <w:t xml:space="preserve"> to apply for and </w:t>
      </w:r>
      <w:r w:rsidR="007E4BD1" w:rsidRPr="004841EF">
        <w:t xml:space="preserve">does </w:t>
      </w:r>
      <w:r w:rsidRPr="004841EF">
        <w:t>not require much time investment.</w:t>
      </w:r>
      <w:r w:rsidRPr="004841EF">
        <w:rPr>
          <w:sz w:val="22"/>
          <w:vertAlign w:val="superscript"/>
        </w:rPr>
        <w:footnoteReference w:id="206"/>
      </w:r>
      <w:r w:rsidR="00135E9B" w:rsidRPr="004841EF">
        <w:t xml:space="preserve"> However, </w:t>
      </w:r>
      <w:r w:rsidR="00CA6E62" w:rsidRPr="004841EF">
        <w:t xml:space="preserve">in Ireland, </w:t>
      </w:r>
      <w:r w:rsidR="00135E9B" w:rsidRPr="004841EF">
        <w:t xml:space="preserve">application forms for grant supports and financial incentives must be downloaded and sent </w:t>
      </w:r>
      <w:r w:rsidR="00DC6B0C" w:rsidRPr="004841EF">
        <w:t xml:space="preserve">by </w:t>
      </w:r>
      <w:r w:rsidR="00135E9B" w:rsidRPr="004841EF">
        <w:t xml:space="preserve">post to the employer’s local Department of Employment Affairs and Social Protection’s INTREO Centre. There is no online application system for the </w:t>
      </w:r>
      <w:r w:rsidR="00135E9B" w:rsidRPr="004841EF">
        <w:rPr>
          <w:b/>
        </w:rPr>
        <w:t>Reasonable Accommodation Fund</w:t>
      </w:r>
      <w:r w:rsidR="00135E9B" w:rsidRPr="004841EF">
        <w:t>.</w:t>
      </w:r>
    </w:p>
    <w:p w14:paraId="0FC971F5" w14:textId="346DDE18" w:rsidR="00536B99" w:rsidRPr="004841EF" w:rsidRDefault="00536B99" w:rsidP="00536B99">
      <w:r w:rsidRPr="004841EF">
        <w:t>The Department intends to undertake a review of the </w:t>
      </w:r>
      <w:r w:rsidR="00F623F4">
        <w:rPr>
          <w:b/>
        </w:rPr>
        <w:t xml:space="preserve">Reasonable Accommodation Fund </w:t>
      </w:r>
      <w:r w:rsidRPr="004841EF">
        <w:t>in 2019 with a view to assessing how its operations could be more effective.</w:t>
      </w:r>
      <w:r w:rsidRPr="004841EF">
        <w:rPr>
          <w:sz w:val="22"/>
          <w:szCs w:val="22"/>
          <w:vertAlign w:val="superscript"/>
        </w:rPr>
        <w:footnoteReference w:id="207"/>
      </w:r>
      <w:r w:rsidRPr="004841EF">
        <w:t xml:space="preserve"> </w:t>
      </w:r>
      <w:r w:rsidR="002803D7" w:rsidRPr="004841EF">
        <w:t xml:space="preserve">The NDA advises that the above considerations could be helpful in this </w:t>
      </w:r>
      <w:r w:rsidR="00BC068E" w:rsidRPr="004841EF">
        <w:t xml:space="preserve">review </w:t>
      </w:r>
      <w:r w:rsidR="002803D7" w:rsidRPr="004841EF">
        <w:t>process.</w:t>
      </w:r>
    </w:p>
    <w:p w14:paraId="3E256F8A" w14:textId="1E74F2F9" w:rsidR="00536B99" w:rsidRPr="004841EF" w:rsidRDefault="0013421A" w:rsidP="00037C18">
      <w:pPr>
        <w:pStyle w:val="Heading3"/>
      </w:pPr>
      <w:bookmarkStart w:id="243" w:name="_Toc26192129"/>
      <w:r w:rsidRPr="004841EF">
        <w:t>4.2</w:t>
      </w:r>
      <w:r w:rsidR="00037C18" w:rsidRPr="004841EF">
        <w:t>.</w:t>
      </w:r>
      <w:r w:rsidR="00153A2A" w:rsidRPr="004841EF">
        <w:t>8</w:t>
      </w:r>
      <w:r w:rsidR="004A7E2D" w:rsidRPr="004841EF">
        <w:t>.</w:t>
      </w:r>
      <w:r w:rsidR="00536B99" w:rsidRPr="004841EF">
        <w:t xml:space="preserve"> The lack of provision for monitoring and reviewing reasonable accommodations</w:t>
      </w:r>
      <w:bookmarkEnd w:id="243"/>
    </w:p>
    <w:p w14:paraId="3D34C911" w14:textId="671F2C06" w:rsidR="00D34632" w:rsidRPr="004841EF" w:rsidRDefault="00F527C0" w:rsidP="00536B99">
      <w:r w:rsidRPr="004841EF">
        <w:t xml:space="preserve">The </w:t>
      </w:r>
      <w:r w:rsidR="00AF2CA1" w:rsidRPr="004841EF">
        <w:t>provision of reasonable accommodations should be viewed as an ongoing process, not a onetime event.</w:t>
      </w:r>
      <w:r w:rsidR="00AF2CA1" w:rsidRPr="004841EF">
        <w:rPr>
          <w:rStyle w:val="FootnoteReference"/>
          <w:rFonts w:ascii="Gill Sans MT" w:hAnsi="Gill Sans MT"/>
        </w:rPr>
        <w:footnoteReference w:id="208"/>
      </w:r>
      <w:r w:rsidR="00AD76B9" w:rsidRPr="004841EF">
        <w:t xml:space="preserve"> </w:t>
      </w:r>
      <w:r w:rsidRPr="004841EF">
        <w:t>Accordingly, all implemented reasonable accommodations should be monitored and reviewed</w:t>
      </w:r>
      <w:r w:rsidR="002803D7" w:rsidRPr="004841EF">
        <w:t xml:space="preserve"> on a regular basis</w:t>
      </w:r>
      <w:r w:rsidR="00D34632" w:rsidRPr="004841EF">
        <w:t xml:space="preserve"> and such monitoring and review systems should be incorporated into formal processes supporting the provision of reasonable accommodations</w:t>
      </w:r>
      <w:r w:rsidRPr="004841EF">
        <w:t>.</w:t>
      </w:r>
    </w:p>
    <w:p w14:paraId="2D12530A" w14:textId="77777777" w:rsidR="00F527C0" w:rsidRPr="004841EF" w:rsidRDefault="00D34632" w:rsidP="00536B99">
      <w:r w:rsidRPr="004841EF">
        <w:t xml:space="preserve">By periodically consulting </w:t>
      </w:r>
      <w:r w:rsidR="005B13BD" w:rsidRPr="004841EF">
        <w:t>with employees receiving accommodations</w:t>
      </w:r>
      <w:r w:rsidRPr="004841EF">
        <w:t xml:space="preserve">, employers will </w:t>
      </w:r>
      <w:r w:rsidR="005B13BD" w:rsidRPr="004841EF">
        <w:t>understand how the adjustments are being received, whether they are effective and whether further adjustments are necessary.</w:t>
      </w:r>
      <w:r w:rsidR="00F527C0" w:rsidRPr="004841EF">
        <w:rPr>
          <w:rStyle w:val="FootnoteReference"/>
          <w:rFonts w:ascii="Gill Sans MT" w:hAnsi="Gill Sans MT"/>
        </w:rPr>
        <w:footnoteReference w:id="209"/>
      </w:r>
      <w:r w:rsidRPr="004841EF">
        <w:t xml:space="preserve"> </w:t>
      </w:r>
      <w:r w:rsidR="002F2D45" w:rsidRPr="004841EF">
        <w:t>In particular, employers may need to review accommodations if there is a change in the employee’s circumstances, disability or job role</w:t>
      </w:r>
      <w:r w:rsidR="003E1D4A" w:rsidRPr="004841EF">
        <w:t xml:space="preserve"> and the question of reasonable accommodations may need to be revisited</w:t>
      </w:r>
      <w:r w:rsidR="002F2D45" w:rsidRPr="004841EF">
        <w:t xml:space="preserve">. </w:t>
      </w:r>
      <w:r w:rsidR="00F527C0" w:rsidRPr="004841EF">
        <w:t>A formal feedback process may also provide employees who are hesitant to raise issues with an opportunity to tweak their accommodations.</w:t>
      </w:r>
      <w:r w:rsidR="00F527C0" w:rsidRPr="004841EF">
        <w:rPr>
          <w:sz w:val="22"/>
          <w:szCs w:val="22"/>
          <w:vertAlign w:val="superscript"/>
        </w:rPr>
        <w:footnoteReference w:id="210"/>
      </w:r>
    </w:p>
    <w:p w14:paraId="33087383" w14:textId="4C20C4B3" w:rsidR="0079057E" w:rsidRPr="004841EF" w:rsidRDefault="0079057E" w:rsidP="00536B99">
      <w:pPr>
        <w:rPr>
          <w:bCs/>
        </w:rPr>
      </w:pPr>
      <w:r w:rsidRPr="004841EF">
        <w:t>Research commissioned by the NDA underscored the importance of regularly reviewing reasonable accommodations as the employee’s needs, their environment, or their work duties can change.</w:t>
      </w:r>
      <w:r w:rsidRPr="004841EF">
        <w:rPr>
          <w:sz w:val="22"/>
          <w:szCs w:val="22"/>
          <w:vertAlign w:val="superscript"/>
        </w:rPr>
        <w:footnoteReference w:id="211"/>
      </w:r>
      <w:r w:rsidRPr="004841EF">
        <w:t xml:space="preserve"> The UK’s Civil Service </w:t>
      </w:r>
      <w:r w:rsidRPr="004841EF">
        <w:rPr>
          <w:b/>
        </w:rPr>
        <w:t>Workplace </w:t>
      </w:r>
      <w:r w:rsidRPr="004841EF">
        <w:rPr>
          <w:b/>
          <w:bCs/>
        </w:rPr>
        <w:t>Adjustments Line Manager's Best Practice Guide</w:t>
      </w:r>
      <w:r w:rsidRPr="004841EF">
        <w:rPr>
          <w:bCs/>
        </w:rPr>
        <w:t xml:space="preserve"> also stresses that adjustments should be reviewed regularly to ensure that they remain effective.</w:t>
      </w:r>
      <w:r w:rsidR="0060454C" w:rsidRPr="004841EF">
        <w:rPr>
          <w:rStyle w:val="FootnoteReference"/>
          <w:rFonts w:ascii="Gill Sans MT" w:hAnsi="Gill Sans MT"/>
          <w:bCs/>
        </w:rPr>
        <w:footnoteReference w:id="212"/>
      </w:r>
      <w:r w:rsidRPr="004841EF">
        <w:rPr>
          <w:bCs/>
        </w:rPr>
        <w:t xml:space="preserve"> </w:t>
      </w:r>
      <w:r w:rsidR="00D700B7" w:rsidRPr="004841EF">
        <w:rPr>
          <w:bCs/>
        </w:rPr>
        <w:t xml:space="preserve">Furthermore, the International Labour Organisation advises </w:t>
      </w:r>
      <w:r w:rsidR="00DC6B0C" w:rsidRPr="004841EF">
        <w:rPr>
          <w:bCs/>
        </w:rPr>
        <w:t xml:space="preserve">undertaking </w:t>
      </w:r>
      <w:r w:rsidR="00D700B7" w:rsidRPr="004841EF">
        <w:rPr>
          <w:bCs/>
        </w:rPr>
        <w:t>periodic reviews to determine how a reasonable accommodation is functioning in practice.</w:t>
      </w:r>
      <w:r w:rsidR="00D700B7" w:rsidRPr="004841EF">
        <w:rPr>
          <w:rStyle w:val="FootnoteReference"/>
          <w:rFonts w:ascii="Gill Sans MT" w:hAnsi="Gill Sans MT"/>
          <w:bCs/>
        </w:rPr>
        <w:footnoteReference w:id="213"/>
      </w:r>
    </w:p>
    <w:p w14:paraId="66442A00" w14:textId="52848F08" w:rsidR="00CE7B77" w:rsidRPr="004841EF" w:rsidRDefault="00CE7B77" w:rsidP="00536B99">
      <w:r w:rsidRPr="004841EF">
        <w:rPr>
          <w:bCs/>
        </w:rPr>
        <w:t xml:space="preserve">The UN Committee on the Rights of Persons with Disabilities has also raised concerns regarding the lack of monitoring of the provision of reasonable accommodation in the workplace </w:t>
      </w:r>
      <w:r w:rsidR="00135B87" w:rsidRPr="004841EF">
        <w:rPr>
          <w:bCs/>
        </w:rPr>
        <w:t xml:space="preserve">in other jurisdictions </w:t>
      </w:r>
      <w:r w:rsidRPr="004841EF">
        <w:rPr>
          <w:bCs/>
        </w:rPr>
        <w:t>and called for measures to ensure the effective monitoring of the provision of reasonable accommodation</w:t>
      </w:r>
      <w:r w:rsidR="00C32E98" w:rsidRPr="004841EF">
        <w:rPr>
          <w:bCs/>
        </w:rPr>
        <w:t>s.</w:t>
      </w:r>
      <w:r w:rsidR="00C32E98" w:rsidRPr="004841EF">
        <w:rPr>
          <w:rStyle w:val="FootnoteReference"/>
          <w:rFonts w:ascii="Gill Sans MT" w:hAnsi="Gill Sans MT"/>
          <w:bCs/>
        </w:rPr>
        <w:footnoteReference w:id="214"/>
      </w:r>
    </w:p>
    <w:p w14:paraId="600C31CB" w14:textId="4C7FF9FD" w:rsidR="00D05820" w:rsidRPr="004841EF" w:rsidRDefault="001F7EB9" w:rsidP="00536B99">
      <w:r w:rsidRPr="004841EF">
        <w:t>The extent to which</w:t>
      </w:r>
      <w:r w:rsidR="00DC6B0C" w:rsidRPr="004841EF">
        <w:t xml:space="preserve"> </w:t>
      </w:r>
      <w:r w:rsidR="00CD0C66" w:rsidRPr="004841EF">
        <w:t xml:space="preserve">reviews are formally integrated into the reasonable accommodation process is unclear. </w:t>
      </w:r>
      <w:r w:rsidR="009F2FEA" w:rsidRPr="004841EF">
        <w:t xml:space="preserve">Participants in </w:t>
      </w:r>
      <w:r w:rsidR="00290EA2" w:rsidRPr="004841EF">
        <w:t>three</w:t>
      </w:r>
      <w:r w:rsidR="009F2FEA" w:rsidRPr="004841EF">
        <w:t xml:space="preserve"> focus group</w:t>
      </w:r>
      <w:r w:rsidR="00290EA2" w:rsidRPr="004841EF">
        <w:t>s</w:t>
      </w:r>
      <w:r w:rsidR="004A7E2D" w:rsidRPr="004841EF">
        <w:t xml:space="preserve"> </w:t>
      </w:r>
      <w:r w:rsidR="00F1124B" w:rsidRPr="004841EF">
        <w:t>reported that</w:t>
      </w:r>
      <w:r w:rsidR="00CD74E3" w:rsidRPr="004841EF">
        <w:t xml:space="preserve"> there was an absence of formalised structures for monitoring and reviewing</w:t>
      </w:r>
      <w:r w:rsidR="00F1124B" w:rsidRPr="004841EF">
        <w:t xml:space="preserve"> reasonable accommodations </w:t>
      </w:r>
      <w:r w:rsidR="00E473FF" w:rsidRPr="004841EF">
        <w:t xml:space="preserve">in the workplace. </w:t>
      </w:r>
      <w:r w:rsidR="00D05820" w:rsidRPr="004841EF">
        <w:t>Feedback received indicates that</w:t>
      </w:r>
      <w:r w:rsidR="00E473FF" w:rsidRPr="004841EF">
        <w:t xml:space="preserve"> </w:t>
      </w:r>
      <w:r w:rsidR="00CD74E3" w:rsidRPr="004841EF">
        <w:t>it is incumbent on the person who has been provided with reasonable accommodation to report any diffic</w:t>
      </w:r>
      <w:r w:rsidR="00E473FF" w:rsidRPr="004841EF">
        <w:t>ulties they may be experiencing</w:t>
      </w:r>
      <w:r w:rsidR="002F2D45" w:rsidRPr="004841EF">
        <w:t xml:space="preserve"> with an implemented accommodation</w:t>
      </w:r>
      <w:r w:rsidR="00E473FF" w:rsidRPr="004841EF">
        <w:t>.</w:t>
      </w:r>
    </w:p>
    <w:p w14:paraId="4EDF12E2" w14:textId="5FCC533C" w:rsidR="004A7E2D" w:rsidRPr="004841EF" w:rsidRDefault="00D05820" w:rsidP="00536B99">
      <w:r w:rsidRPr="004841EF">
        <w:t xml:space="preserve">Participants in </w:t>
      </w:r>
      <w:r w:rsidR="00290EA2" w:rsidRPr="004841EF">
        <w:t>one</w:t>
      </w:r>
      <w:r w:rsidRPr="004841EF">
        <w:t xml:space="preserve"> focus group stated that reviews do occur</w:t>
      </w:r>
      <w:r w:rsidR="001F7EB9" w:rsidRPr="004841EF">
        <w:t xml:space="preserve"> in organisations</w:t>
      </w:r>
      <w:r w:rsidRPr="004841EF">
        <w:t xml:space="preserve">, at least for the first period after a person commences employment. However, </w:t>
      </w:r>
      <w:r w:rsidR="00836C9C" w:rsidRPr="004841EF">
        <w:t>participants were</w:t>
      </w:r>
      <w:r w:rsidRPr="004841EF">
        <w:t xml:space="preserve"> unclear</w:t>
      </w:r>
      <w:r w:rsidR="00836C9C" w:rsidRPr="004841EF">
        <w:t xml:space="preserve"> as to</w:t>
      </w:r>
      <w:r w:rsidRPr="004841EF">
        <w:t xml:space="preserve"> h</w:t>
      </w:r>
      <w:r w:rsidR="00836C9C" w:rsidRPr="004841EF">
        <w:t>ow formalised these structures we</w:t>
      </w:r>
      <w:r w:rsidRPr="004841EF">
        <w:t>re.</w:t>
      </w:r>
    </w:p>
    <w:p w14:paraId="1F742C92" w14:textId="5051DE31" w:rsidR="00B4738F" w:rsidRPr="004841EF" w:rsidRDefault="00290EA2" w:rsidP="00536B99">
      <w:r w:rsidRPr="004841EF">
        <w:t xml:space="preserve">There was mixed views expressed in some of the focus groups about the need to monitor or review reasonable accommodations. Some participants </w:t>
      </w:r>
      <w:r w:rsidR="00204CDC" w:rsidRPr="004841EF">
        <w:t xml:space="preserve">favoured the idea, while others </w:t>
      </w:r>
      <w:r w:rsidRPr="004841EF">
        <w:t>expressed the view that employees are comfortable following up with their line manager about any potential need to alter their reasonable accommodation.</w:t>
      </w:r>
      <w:r w:rsidR="00204CDC" w:rsidRPr="004841EF">
        <w:t xml:space="preserve"> </w:t>
      </w:r>
      <w:r w:rsidRPr="004841EF">
        <w:t>Participants in one focus group expressed some reservations about the workload associated with monitoring or reviewing accommodations within larger organisations or bodies and the appropriateness of same.</w:t>
      </w:r>
    </w:p>
    <w:p w14:paraId="6FC5DDB5" w14:textId="77777777" w:rsidR="00B4738F" w:rsidRPr="004841EF" w:rsidRDefault="00B4738F">
      <w:pPr>
        <w:spacing w:after="0"/>
      </w:pPr>
      <w:r w:rsidRPr="004841EF">
        <w:br w:type="page"/>
      </w:r>
    </w:p>
    <w:p w14:paraId="46DE9709" w14:textId="54F371A7" w:rsidR="00EC74E9" w:rsidRPr="004841EF" w:rsidRDefault="00264811" w:rsidP="00EC74E9">
      <w:pPr>
        <w:pStyle w:val="Heading1"/>
      </w:pPr>
      <w:bookmarkStart w:id="244" w:name="_Toc26192130"/>
      <w:bookmarkStart w:id="245" w:name="_Toc42172547"/>
      <w:r w:rsidRPr="004841EF">
        <w:t>Chapter 5</w:t>
      </w:r>
      <w:r w:rsidR="004C5B86" w:rsidRPr="004841EF">
        <w:t xml:space="preserve"> - </w:t>
      </w:r>
      <w:r w:rsidR="001B3342" w:rsidRPr="004841EF">
        <w:t>Good p</w:t>
      </w:r>
      <w:r w:rsidR="00EC74E9" w:rsidRPr="004841EF">
        <w:t>ractice</w:t>
      </w:r>
      <w:r w:rsidR="004F74CE" w:rsidRPr="004841EF">
        <w:t xml:space="preserve"> for employers</w:t>
      </w:r>
      <w:r w:rsidR="00135B87" w:rsidRPr="004841EF">
        <w:t xml:space="preserve"> in the provision of Reasonable A</w:t>
      </w:r>
      <w:r w:rsidR="004C5B86" w:rsidRPr="004841EF">
        <w:t>ccommodations</w:t>
      </w:r>
      <w:bookmarkEnd w:id="244"/>
      <w:bookmarkEnd w:id="245"/>
    </w:p>
    <w:p w14:paraId="6454FE5F" w14:textId="2BF051A3" w:rsidR="00EC74E9" w:rsidRPr="004841EF" w:rsidRDefault="00037C18" w:rsidP="00EC74E9">
      <w:pPr>
        <w:pStyle w:val="Heading2"/>
      </w:pPr>
      <w:bookmarkStart w:id="246" w:name="_Toc26192131"/>
      <w:bookmarkStart w:id="247" w:name="_Toc42172548"/>
      <w:r w:rsidRPr="004841EF">
        <w:t xml:space="preserve">5.1. </w:t>
      </w:r>
      <w:r w:rsidR="00EC74E9" w:rsidRPr="004841EF">
        <w:t>Introduction</w:t>
      </w:r>
      <w:bookmarkEnd w:id="246"/>
      <w:bookmarkEnd w:id="247"/>
    </w:p>
    <w:p w14:paraId="2BAF7501" w14:textId="751026DE" w:rsidR="00DD4938" w:rsidRPr="004841EF" w:rsidRDefault="00EC74E9" w:rsidP="00EC1F09">
      <w:r w:rsidRPr="004841EF">
        <w:t>Employers are legally obliged to provide reasonable accommodations to employees and employment candidates with disabilities</w:t>
      </w:r>
      <w:r w:rsidR="00DD4938" w:rsidRPr="004841EF">
        <w:t xml:space="preserve">, so long </w:t>
      </w:r>
      <w:r w:rsidR="005F6301" w:rsidRPr="004841EF">
        <w:t xml:space="preserve">as the measures do not impose a </w:t>
      </w:r>
      <w:r w:rsidR="00DD4938" w:rsidRPr="004841EF">
        <w:rPr>
          <w:bCs/>
        </w:rPr>
        <w:t>disproportionate burden</w:t>
      </w:r>
      <w:r w:rsidR="005F6301" w:rsidRPr="004841EF">
        <w:t xml:space="preserve"> </w:t>
      </w:r>
      <w:r w:rsidR="00DD4938" w:rsidRPr="004841EF">
        <w:t>on the employer</w:t>
      </w:r>
      <w:r w:rsidRPr="004841EF">
        <w:t xml:space="preserve">. </w:t>
      </w:r>
      <w:r w:rsidR="00DD4938" w:rsidRPr="004841EF">
        <w:t>Reasonable accommodations vary in form, but are always an individually tailored solution</w:t>
      </w:r>
      <w:r w:rsidR="000D0423" w:rsidRPr="004841EF">
        <w:t>, as per the requirements of employment equality legislation</w:t>
      </w:r>
      <w:r w:rsidR="00DD4938" w:rsidRPr="004841EF">
        <w:t>. A</w:t>
      </w:r>
      <w:r w:rsidR="005221FA" w:rsidRPr="004841EF">
        <w:t>ccordingly, a</w:t>
      </w:r>
      <w:r w:rsidR="00DD4938" w:rsidRPr="004841EF">
        <w:t>n</w:t>
      </w:r>
      <w:r w:rsidR="00EC1F09" w:rsidRPr="004841EF">
        <w:t xml:space="preserve"> assessment of a request for reasonable accommodations must involve an individual analysis of the in</w:t>
      </w:r>
      <w:r w:rsidR="000A6D0E" w:rsidRPr="004841EF">
        <w:t>dividual needs of the person,</w:t>
      </w:r>
      <w:r w:rsidR="00EC1F09" w:rsidRPr="004841EF">
        <w:t xml:space="preserve"> the specific w</w:t>
      </w:r>
      <w:r w:rsidR="000D0423" w:rsidRPr="004841EF">
        <w:t>orking conditions</w:t>
      </w:r>
      <w:r w:rsidR="000A6D0E" w:rsidRPr="004841EF">
        <w:t xml:space="preserve"> and the resources of the employer</w:t>
      </w:r>
      <w:r w:rsidR="000D0423" w:rsidRPr="004841EF">
        <w:t xml:space="preserve">, </w:t>
      </w:r>
      <w:r w:rsidR="000F4162" w:rsidRPr="004841EF">
        <w:t>and result in</w:t>
      </w:r>
      <w:r w:rsidR="000D0423" w:rsidRPr="004841EF">
        <w:t xml:space="preserve"> an</w:t>
      </w:r>
      <w:r w:rsidR="0053635F" w:rsidRPr="004841EF">
        <w:t xml:space="preserve"> accommodation that </w:t>
      </w:r>
      <w:r w:rsidR="00F72095" w:rsidRPr="004841EF">
        <w:t>meet</w:t>
      </w:r>
      <w:r w:rsidR="000D0423" w:rsidRPr="004841EF">
        <w:t>s those specific needs</w:t>
      </w:r>
      <w:r w:rsidR="00911193" w:rsidRPr="004841EF">
        <w:t>; generalised or blanket measures are not acceptable</w:t>
      </w:r>
      <w:r w:rsidR="00F72095" w:rsidRPr="004841EF">
        <w:t>.</w:t>
      </w:r>
    </w:p>
    <w:p w14:paraId="05286FD3" w14:textId="2734646A" w:rsidR="00EC1F09" w:rsidRPr="004841EF" w:rsidRDefault="00F72095" w:rsidP="00EC74E9">
      <w:r w:rsidRPr="004841EF">
        <w:t>It</w:t>
      </w:r>
      <w:r w:rsidR="00EC1F09" w:rsidRPr="004841EF">
        <w:t xml:space="preserve"> is not possible to compile a</w:t>
      </w:r>
      <w:r w:rsidR="001642F6" w:rsidRPr="004841EF">
        <w:t xml:space="preserve"> definitive</w:t>
      </w:r>
      <w:r w:rsidR="00EC1F09" w:rsidRPr="004841EF">
        <w:t xml:space="preserve"> list determining what kind of accommodation</w:t>
      </w:r>
      <w:r w:rsidR="00AB57F5" w:rsidRPr="004841EF">
        <w:t>s</w:t>
      </w:r>
      <w:r w:rsidR="00365371" w:rsidRPr="004841EF">
        <w:t xml:space="preserve"> are</w:t>
      </w:r>
      <w:r w:rsidR="00EC1F09" w:rsidRPr="004841EF">
        <w:t xml:space="preserve"> required for certain disabilities</w:t>
      </w:r>
      <w:r w:rsidR="00365371" w:rsidRPr="004841EF">
        <w:t xml:space="preserve"> or </w:t>
      </w:r>
      <w:r w:rsidR="00964A15" w:rsidRPr="004841EF">
        <w:t>particular</w:t>
      </w:r>
      <w:r w:rsidR="00365371" w:rsidRPr="004841EF">
        <w:t xml:space="preserve"> workplace situations</w:t>
      </w:r>
      <w:r w:rsidR="00EC1F09" w:rsidRPr="004841EF">
        <w:t xml:space="preserve">, as this would </w:t>
      </w:r>
      <w:r w:rsidR="002803D7" w:rsidRPr="004841EF">
        <w:t>not be in keeping with the aim of</w:t>
      </w:r>
      <w:r w:rsidR="00EC1F09" w:rsidRPr="004841EF">
        <w:t xml:space="preserve"> individual solutions.</w:t>
      </w:r>
      <w:r w:rsidR="00EC1F09" w:rsidRPr="004841EF">
        <w:rPr>
          <w:sz w:val="22"/>
          <w:szCs w:val="22"/>
          <w:vertAlign w:val="superscript"/>
        </w:rPr>
        <w:footnoteReference w:id="215"/>
      </w:r>
      <w:r w:rsidR="00DD4938" w:rsidRPr="004841EF">
        <w:t xml:space="preserve"> However, there are certain general, evidence-based good practices</w:t>
      </w:r>
      <w:r w:rsidR="0053635F" w:rsidRPr="004841EF">
        <w:t xml:space="preserve"> regarding</w:t>
      </w:r>
      <w:r w:rsidR="002A366C" w:rsidRPr="004841EF">
        <w:t xml:space="preserve"> the provision of reasonable accommodations</w:t>
      </w:r>
      <w:r w:rsidR="00DD4938" w:rsidRPr="004841EF">
        <w:t xml:space="preserve"> </w:t>
      </w:r>
      <w:r w:rsidR="00302224" w:rsidRPr="004841EF">
        <w:t xml:space="preserve">which </w:t>
      </w:r>
      <w:r w:rsidR="001C3C66" w:rsidRPr="004841EF">
        <w:t>can support employers in making</w:t>
      </w:r>
      <w:r w:rsidRPr="004841EF">
        <w:t xml:space="preserve"> an individual analysis</w:t>
      </w:r>
      <w:r w:rsidR="00DD48D2" w:rsidRPr="004841EF">
        <w:t xml:space="preserve"> of an accommodation request</w:t>
      </w:r>
      <w:r w:rsidRPr="004841EF">
        <w:t xml:space="preserve"> and </w:t>
      </w:r>
      <w:r w:rsidR="001C3C66" w:rsidRPr="004841EF">
        <w:t>tailoring an</w:t>
      </w:r>
      <w:r w:rsidR="005F6301" w:rsidRPr="004841EF">
        <w:t xml:space="preserve"> </w:t>
      </w:r>
      <w:r w:rsidRPr="004841EF">
        <w:rPr>
          <w:bCs/>
        </w:rPr>
        <w:t>individual solution</w:t>
      </w:r>
      <w:r w:rsidR="007A44AD" w:rsidRPr="004841EF">
        <w:rPr>
          <w:bCs/>
        </w:rPr>
        <w:t xml:space="preserve"> to meet a person’s</w:t>
      </w:r>
      <w:r w:rsidR="00AC46B0" w:rsidRPr="004841EF">
        <w:rPr>
          <w:bCs/>
        </w:rPr>
        <w:t xml:space="preserve"> needs</w:t>
      </w:r>
      <w:r w:rsidRPr="004841EF">
        <w:rPr>
          <w:bCs/>
        </w:rPr>
        <w:t>.</w:t>
      </w:r>
      <w:r w:rsidR="002A366C" w:rsidRPr="004841EF">
        <w:t xml:space="preserve"> </w:t>
      </w:r>
      <w:r w:rsidR="00D770D8" w:rsidRPr="004841EF">
        <w:t>As such</w:t>
      </w:r>
      <w:r w:rsidR="000D0423" w:rsidRPr="004841EF">
        <w:t>, b</w:t>
      </w:r>
      <w:r w:rsidR="00EC1F09" w:rsidRPr="004841EF">
        <w:t xml:space="preserve">y </w:t>
      </w:r>
      <w:r w:rsidR="002803D7" w:rsidRPr="004841EF">
        <w:t>recognising</w:t>
      </w:r>
      <w:r w:rsidR="00EC1F09" w:rsidRPr="004841EF">
        <w:t xml:space="preserve"> </w:t>
      </w:r>
      <w:r w:rsidR="00D770D8" w:rsidRPr="004841EF">
        <w:t xml:space="preserve">the following </w:t>
      </w:r>
      <w:r w:rsidR="00EC1F09" w:rsidRPr="004841EF">
        <w:t>good practice</w:t>
      </w:r>
      <w:r w:rsidR="00D770D8" w:rsidRPr="004841EF">
        <w:t>s</w:t>
      </w:r>
      <w:r w:rsidR="00EC1F09" w:rsidRPr="004841EF">
        <w:t>, employees and employment candidates with disabilities will be more likely to request reasonable accommodations, and employers will be less likely to breach the reason</w:t>
      </w:r>
      <w:r w:rsidR="005F6301" w:rsidRPr="004841EF">
        <w:t>able accommodation requirement.</w:t>
      </w:r>
    </w:p>
    <w:p w14:paraId="7B569790" w14:textId="2CC283E7" w:rsidR="00545001" w:rsidRPr="004841EF" w:rsidRDefault="00302224" w:rsidP="00545001">
      <w:r w:rsidRPr="004841EF">
        <w:t xml:space="preserve">In addition to </w:t>
      </w:r>
      <w:r w:rsidR="000D0423" w:rsidRPr="004841EF">
        <w:t xml:space="preserve">reducing the risk of litigation, </w:t>
      </w:r>
      <w:r w:rsidR="0053635F" w:rsidRPr="004841EF">
        <w:t xml:space="preserve">the provision of </w:t>
      </w:r>
      <w:r w:rsidR="000D0423" w:rsidRPr="004841EF">
        <w:t>r</w:t>
      </w:r>
      <w:r w:rsidR="00EC74E9" w:rsidRPr="004841EF">
        <w:t>easonable accommodations also make</w:t>
      </w:r>
      <w:r w:rsidR="002803D7" w:rsidRPr="004841EF">
        <w:t>s</w:t>
      </w:r>
      <w:r w:rsidR="00EC74E9" w:rsidRPr="004841EF">
        <w:t xml:space="preserve"> business</w:t>
      </w:r>
      <w:r w:rsidR="002108FA" w:rsidRPr="004841EF">
        <w:t xml:space="preserve"> sense by helping employers to e</w:t>
      </w:r>
      <w:r w:rsidR="00EC74E9" w:rsidRPr="004841EF">
        <w:t>nhance business outcomes by maximising the engagement and skills of employees in the workplace</w:t>
      </w:r>
      <w:r w:rsidR="002108FA" w:rsidRPr="004841EF">
        <w:t xml:space="preserve">, </w:t>
      </w:r>
      <w:r w:rsidR="0044406A" w:rsidRPr="004841EF">
        <w:t xml:space="preserve">increasing productivity, </w:t>
      </w:r>
      <w:r w:rsidR="002108FA" w:rsidRPr="004841EF">
        <w:t>c</w:t>
      </w:r>
      <w:r w:rsidR="000A6D0E" w:rsidRPr="004841EF">
        <w:t>reating</w:t>
      </w:r>
      <w:r w:rsidR="00EC74E9" w:rsidRPr="004841EF">
        <w:t xml:space="preserve"> a positive working environment that is free from discrimination</w:t>
      </w:r>
      <w:r w:rsidR="002108FA" w:rsidRPr="004841EF">
        <w:t>, r</w:t>
      </w:r>
      <w:r w:rsidR="00EC74E9" w:rsidRPr="004841EF">
        <w:t>etain</w:t>
      </w:r>
      <w:r w:rsidR="000A6D0E" w:rsidRPr="004841EF">
        <w:t>ing</w:t>
      </w:r>
      <w:r w:rsidR="00EC74E9" w:rsidRPr="004841EF">
        <w:t xml:space="preserve"> skilled staff</w:t>
      </w:r>
      <w:r w:rsidR="000A6D0E" w:rsidRPr="004841EF">
        <w:t>, eliminating</w:t>
      </w:r>
      <w:r w:rsidR="005F14BA" w:rsidRPr="004841EF">
        <w:t xml:space="preserve"> the cost of training new employees</w:t>
      </w:r>
      <w:r w:rsidR="002108FA" w:rsidRPr="004841EF">
        <w:t xml:space="preserve"> and p</w:t>
      </w:r>
      <w:r w:rsidR="002803D7" w:rsidRPr="004841EF">
        <w:t>romoting</w:t>
      </w:r>
      <w:r w:rsidR="00EC74E9" w:rsidRPr="004841EF">
        <w:t xml:space="preserve"> equality</w:t>
      </w:r>
      <w:r w:rsidR="002108FA" w:rsidRPr="004841EF">
        <w:t>.</w:t>
      </w:r>
      <w:r w:rsidR="00A57D6E" w:rsidRPr="004841EF">
        <w:rPr>
          <w:rStyle w:val="FootnoteReference"/>
          <w:rFonts w:ascii="Gill Sans MT" w:hAnsi="Gill Sans MT"/>
          <w:szCs w:val="22"/>
        </w:rPr>
        <w:footnoteReference w:id="216"/>
      </w:r>
    </w:p>
    <w:p w14:paraId="44016C11" w14:textId="361192D3" w:rsidR="00EC74E9" w:rsidRPr="004841EF" w:rsidRDefault="00545001" w:rsidP="00545001">
      <w:r w:rsidRPr="004841EF">
        <w:t xml:space="preserve">At the individual level, the provision of reasonable accommodations ensures that a person with a disability has equal opportunities when applying for work, when in employment or when seeking promotion. Reasonable accommodations can </w:t>
      </w:r>
      <w:r w:rsidR="002803D7" w:rsidRPr="004841EF">
        <w:t xml:space="preserve">help to </w:t>
      </w:r>
      <w:r w:rsidRPr="004841EF">
        <w:t xml:space="preserve">ensure that a person with a disability takes up employment, </w:t>
      </w:r>
      <w:r w:rsidR="006E2E21" w:rsidRPr="004841EF">
        <w:t xml:space="preserve">progresses in employment, </w:t>
      </w:r>
      <w:r w:rsidRPr="004841EF">
        <w:t>retains employment, or return</w:t>
      </w:r>
      <w:r w:rsidR="009221B0" w:rsidRPr="004841EF">
        <w:t>s</w:t>
      </w:r>
      <w:r w:rsidRPr="004841EF">
        <w:t xml:space="preserve"> to employment following a period of absence.</w:t>
      </w:r>
      <w:r w:rsidR="009221B0" w:rsidRPr="004841EF">
        <w:t xml:space="preserve"> Employees who feel appreciated and supported in the workplace tend to be more productive and are more likely to return to work after acquiring a disability.</w:t>
      </w:r>
      <w:r w:rsidR="009221B0" w:rsidRPr="004841EF">
        <w:rPr>
          <w:rStyle w:val="FootnoteReference"/>
          <w:rFonts w:ascii="Gill Sans MT" w:hAnsi="Gill Sans MT"/>
          <w:szCs w:val="22"/>
        </w:rPr>
        <w:footnoteReference w:id="217"/>
      </w:r>
    </w:p>
    <w:p w14:paraId="059BB2A7" w14:textId="28DE12C6" w:rsidR="00B77B10" w:rsidRPr="004841EF" w:rsidRDefault="00B77B10" w:rsidP="002108FA">
      <w:r w:rsidRPr="004841EF">
        <w:t>While there is some</w:t>
      </w:r>
      <w:r w:rsidR="001C3C66" w:rsidRPr="004841EF">
        <w:t xml:space="preserve"> degree of</w:t>
      </w:r>
      <w:r w:rsidRPr="004841EF">
        <w:t xml:space="preserve"> overl</w:t>
      </w:r>
      <w:r w:rsidR="001C3C66" w:rsidRPr="004841EF">
        <w:t>ap, particularly</w:t>
      </w:r>
      <w:r w:rsidR="00DC6B0C" w:rsidRPr="004841EF">
        <w:t>,</w:t>
      </w:r>
      <w:r w:rsidR="001C3C66" w:rsidRPr="004841EF">
        <w:t xml:space="preserve"> with regard</w:t>
      </w:r>
      <w:r w:rsidR="00A30732" w:rsidRPr="004841EF">
        <w:t>s</w:t>
      </w:r>
      <w:r w:rsidR="001C3C66" w:rsidRPr="004841EF">
        <w:t xml:space="preserve"> to encouraging disability disclosure in the workplace, the following good practices </w:t>
      </w:r>
      <w:r w:rsidR="00A30732" w:rsidRPr="004841EF">
        <w:t>primarily focus</w:t>
      </w:r>
      <w:r w:rsidR="001C3C66" w:rsidRPr="004841EF">
        <w:t xml:space="preserve"> on the provision of reasonable accommodations</w:t>
      </w:r>
      <w:r w:rsidR="00A30732" w:rsidRPr="004841EF">
        <w:t xml:space="preserve"> in the employment context, as opposed to the broader area of good</w:t>
      </w:r>
      <w:r w:rsidR="001C3C66" w:rsidRPr="004841EF">
        <w:t xml:space="preserve"> practice</w:t>
      </w:r>
      <w:r w:rsidR="00A30732" w:rsidRPr="004841EF">
        <w:t>s</w:t>
      </w:r>
      <w:r w:rsidR="001C3C66" w:rsidRPr="004841EF">
        <w:t xml:space="preserve"> in the employment of </w:t>
      </w:r>
      <w:r w:rsidR="000F7C06" w:rsidRPr="004841EF">
        <w:t xml:space="preserve">persons </w:t>
      </w:r>
      <w:r w:rsidR="001C3C66" w:rsidRPr="004841EF">
        <w:t>with disabilities.</w:t>
      </w:r>
      <w:r w:rsidR="00264EA5" w:rsidRPr="004841EF">
        <w:rPr>
          <w:rStyle w:val="FootnoteReference"/>
          <w:rFonts w:ascii="Gill Sans MT" w:hAnsi="Gill Sans MT"/>
        </w:rPr>
        <w:footnoteReference w:id="218"/>
      </w:r>
      <w:r w:rsidR="00F128EA" w:rsidRPr="004841EF">
        <w:t xml:space="preserve"> The following good practices are drawn from the literature review, consultations and review of Workplace Relations Commission and Labour Court decisions.</w:t>
      </w:r>
    </w:p>
    <w:p w14:paraId="4121686A" w14:textId="602DDB86" w:rsidR="00110594" w:rsidRPr="004841EF" w:rsidRDefault="00037C18" w:rsidP="00110594">
      <w:pPr>
        <w:pStyle w:val="Heading2"/>
      </w:pPr>
      <w:bookmarkStart w:id="248" w:name="_Toc26192132"/>
      <w:bookmarkStart w:id="249" w:name="_Toc42172549"/>
      <w:r w:rsidRPr="004841EF">
        <w:t xml:space="preserve">5.2. </w:t>
      </w:r>
      <w:r w:rsidR="00F2229C" w:rsidRPr="004841EF">
        <w:t xml:space="preserve">Promoting Disability </w:t>
      </w:r>
      <w:r w:rsidR="00110594" w:rsidRPr="004841EF">
        <w:t>Disclosure</w:t>
      </w:r>
      <w:r w:rsidR="00F2229C" w:rsidRPr="004841EF">
        <w:t xml:space="preserve"> and a Disability Inclusive Work Environment</w:t>
      </w:r>
      <w:bookmarkEnd w:id="248"/>
      <w:bookmarkEnd w:id="249"/>
    </w:p>
    <w:p w14:paraId="39AF89BE" w14:textId="70F448E9" w:rsidR="00264811" w:rsidRPr="004841EF" w:rsidRDefault="00365371" w:rsidP="00110594">
      <w:r w:rsidRPr="004841EF">
        <w:t>As discussed</w:t>
      </w:r>
      <w:r w:rsidR="009629CD" w:rsidRPr="004841EF">
        <w:t xml:space="preserve">, </w:t>
      </w:r>
      <w:r w:rsidRPr="004841EF">
        <w:t>failure</w:t>
      </w:r>
      <w:r w:rsidR="009629CD" w:rsidRPr="004841EF">
        <w:t xml:space="preserve"> to disclose a disability can act as a barrier to initiating the reasonable accommodation process.</w:t>
      </w:r>
      <w:r w:rsidR="00F567A7" w:rsidRPr="004841EF">
        <w:rPr>
          <w:rStyle w:val="FootnoteReference"/>
          <w:rFonts w:ascii="Gill Sans MT" w:hAnsi="Gill Sans MT"/>
          <w:szCs w:val="22"/>
        </w:rPr>
        <w:footnoteReference w:id="219"/>
      </w:r>
      <w:r w:rsidR="00264811" w:rsidRPr="004841EF">
        <w:t xml:space="preserve"> Disclosure of a disability allows the employer to provide various supports to the employee that can assist them in the work environment</w:t>
      </w:r>
      <w:r w:rsidR="001642F6" w:rsidRPr="004841EF">
        <w:t xml:space="preserve"> or in accessing employment</w:t>
      </w:r>
      <w:r w:rsidR="00264811" w:rsidRPr="004841EF">
        <w:t>. The employer should therefore strive to</w:t>
      </w:r>
      <w:r w:rsidR="00AC46B0" w:rsidRPr="004841EF">
        <w:t xml:space="preserve"> provide a safe and</w:t>
      </w:r>
      <w:r w:rsidR="00264811" w:rsidRPr="004841EF">
        <w:t xml:space="preserve"> </w:t>
      </w:r>
      <w:r w:rsidR="00AC46B0" w:rsidRPr="004841EF">
        <w:t xml:space="preserve">inclusive </w:t>
      </w:r>
      <w:r w:rsidR="00264811" w:rsidRPr="004841EF">
        <w:t xml:space="preserve">environment, where an employee feels comfortable in disclosing their disability, feels able to ask for any supports needed, and is assured that such disclosure will not have a negative impact on </w:t>
      </w:r>
      <w:r w:rsidR="00DC6B0C" w:rsidRPr="004841EF">
        <w:t xml:space="preserve">her/his </w:t>
      </w:r>
      <w:r w:rsidR="00264811" w:rsidRPr="004841EF">
        <w:t>career.</w:t>
      </w:r>
      <w:r w:rsidR="00A644AF" w:rsidRPr="004841EF">
        <w:rPr>
          <w:rStyle w:val="FootnoteReference"/>
          <w:rFonts w:ascii="Gill Sans MT" w:hAnsi="Gill Sans MT"/>
          <w:szCs w:val="22"/>
        </w:rPr>
        <w:footnoteReference w:id="220"/>
      </w:r>
      <w:r w:rsidR="00264811" w:rsidRPr="004841EF">
        <w:t xml:space="preserve"> Trust plays a vital role in creating an environment for disclosure.</w:t>
      </w:r>
    </w:p>
    <w:p w14:paraId="1E4412B2" w14:textId="34E66696" w:rsidR="00110594" w:rsidRPr="004841EF" w:rsidRDefault="00110594" w:rsidP="00110594">
      <w:r w:rsidRPr="004841EF">
        <w:t xml:space="preserve">In the NDA’s research </w:t>
      </w:r>
      <w:r w:rsidRPr="004841EF">
        <w:rPr>
          <w:b/>
          <w:bCs/>
        </w:rPr>
        <w:t>Disclosing Disability in the Workplace a Review of Literature and Practice in the Irish Public Sector</w:t>
      </w:r>
      <w:r w:rsidRPr="004841EF">
        <w:rPr>
          <w:bCs/>
        </w:rPr>
        <w:t>,</w:t>
      </w:r>
      <w:r w:rsidRPr="004841EF">
        <w:rPr>
          <w:b/>
          <w:bCs/>
        </w:rPr>
        <w:t xml:space="preserve"> </w:t>
      </w:r>
      <w:r w:rsidRPr="004841EF">
        <w:t>participants were asked to comment on what they felt would help facilitate disclosure. Suggestions included ensuring support was available for those who disclosed</w:t>
      </w:r>
      <w:r w:rsidR="00DC6B0C" w:rsidRPr="004841EF">
        <w:t xml:space="preserve">; </w:t>
      </w:r>
      <w:r w:rsidRPr="004841EF">
        <w:t>increased disability awareness training, which would in turn impact on attitude</w:t>
      </w:r>
      <w:r w:rsidR="002803D7" w:rsidRPr="004841EF">
        <w:t>s</w:t>
      </w:r>
      <w:r w:rsidRPr="004841EF">
        <w:t xml:space="preserve"> towards disability</w:t>
      </w:r>
      <w:r w:rsidR="00DC6B0C" w:rsidRPr="004841EF">
        <w:t>;</w:t>
      </w:r>
      <w:r w:rsidRPr="004841EF">
        <w:t xml:space="preserve"> having role models with disabilities working in their work environment</w:t>
      </w:r>
      <w:r w:rsidR="00DC6B0C" w:rsidRPr="004841EF">
        <w:t>;</w:t>
      </w:r>
      <w:r w:rsidRPr="004841EF">
        <w:t xml:space="preserve"> and ensuring accommodations were put in place for those who disclosed a disability.</w:t>
      </w:r>
      <w:r w:rsidR="002D6100" w:rsidRPr="004841EF">
        <w:rPr>
          <w:rStyle w:val="FootnoteReference"/>
          <w:rFonts w:ascii="Gill Sans MT" w:hAnsi="Gill Sans MT"/>
          <w:szCs w:val="22"/>
        </w:rPr>
        <w:footnoteReference w:id="221"/>
      </w:r>
    </w:p>
    <w:p w14:paraId="348DF3E2" w14:textId="77777777" w:rsidR="00E630E8" w:rsidRPr="004841EF" w:rsidRDefault="00E630E8" w:rsidP="00F623F4">
      <w:pPr>
        <w:spacing w:after="120"/>
      </w:pPr>
      <w:r w:rsidRPr="004841EF">
        <w:t>The following measures constitute good practice in building a disability inclusive work environment:</w:t>
      </w:r>
    </w:p>
    <w:p w14:paraId="44D1E7F0" w14:textId="5746A9CE" w:rsidR="00652C24" w:rsidRPr="004841EF" w:rsidRDefault="00652C24" w:rsidP="00652C24">
      <w:pPr>
        <w:pStyle w:val="ListBullet"/>
      </w:pPr>
      <w:r w:rsidRPr="004841EF">
        <w:t>Directors, C</w:t>
      </w:r>
      <w:r w:rsidR="0050483C" w:rsidRPr="004841EF">
        <w:t xml:space="preserve">hief </w:t>
      </w:r>
      <w:r w:rsidRPr="004841EF">
        <w:t>E</w:t>
      </w:r>
      <w:r w:rsidR="0050483C" w:rsidRPr="004841EF">
        <w:t xml:space="preserve">xecutive </w:t>
      </w:r>
      <w:r w:rsidRPr="004841EF">
        <w:t>O</w:t>
      </w:r>
      <w:r w:rsidR="0050483C" w:rsidRPr="004841EF">
        <w:t>fficer</w:t>
      </w:r>
      <w:r w:rsidRPr="004841EF">
        <w:t>s and Senior Management across the public and private sectors should demonstrate leadership by producing written commitments and action plans to creating inclusive work environments that promote and support the recruitment and retention of persons with disabilities and environments where employees feel comfortable and supported disclosing a disability</w:t>
      </w:r>
    </w:p>
    <w:p w14:paraId="43BBBCED" w14:textId="4A23CDB4" w:rsidR="00E630E8" w:rsidRPr="004841EF" w:rsidRDefault="00E630E8" w:rsidP="00E630E8">
      <w:pPr>
        <w:pStyle w:val="ListBullet"/>
      </w:pPr>
      <w:r w:rsidRPr="004841EF">
        <w:t xml:space="preserve">Employers should consider taking positive action measures and recruiting </w:t>
      </w:r>
      <w:r w:rsidR="000F7C06" w:rsidRPr="004841EF">
        <w:t xml:space="preserve">persons </w:t>
      </w:r>
      <w:r w:rsidRPr="004841EF">
        <w:t>with disabilities.</w:t>
      </w:r>
      <w:r w:rsidR="006E2E21" w:rsidRPr="004841EF">
        <w:rPr>
          <w:rStyle w:val="FootnoteReference"/>
          <w:rFonts w:ascii="Gill Sans MT" w:hAnsi="Gill Sans MT"/>
        </w:rPr>
        <w:footnoteReference w:id="222"/>
      </w:r>
      <w:r w:rsidRPr="004841EF">
        <w:t xml:space="preserve"> Such action may contribute to ensuring greater diversity and promoting an open and supportive work environment</w:t>
      </w:r>
      <w:r w:rsidR="00DC6B0C" w:rsidRPr="004841EF">
        <w:t>,</w:t>
      </w:r>
      <w:r w:rsidRPr="004841EF">
        <w:t xml:space="preserve"> which can assist employees in deciding whether to disclose that they have a disability.</w:t>
      </w:r>
      <w:r w:rsidRPr="004841EF">
        <w:rPr>
          <w:rStyle w:val="FootnoteReference"/>
          <w:rFonts w:ascii="Gill Sans MT" w:hAnsi="Gill Sans MT"/>
        </w:rPr>
        <w:footnoteReference w:id="223"/>
      </w:r>
      <w:r w:rsidRPr="004841EF">
        <w:t xml:space="preserve"> Employers should consider advertising vacant positions through a variety of ways, such as through the internet and radio, as a means of reaching out to </w:t>
      </w:r>
      <w:r w:rsidR="000F7C06" w:rsidRPr="004841EF">
        <w:t xml:space="preserve">persons </w:t>
      </w:r>
      <w:r w:rsidRPr="004841EF">
        <w:t>with disabilities and encouraging them to apply for vacancies</w:t>
      </w:r>
    </w:p>
    <w:p w14:paraId="144BA8AA" w14:textId="5D5D592A" w:rsidR="00E630E8" w:rsidRPr="004841EF" w:rsidRDefault="00E630E8" w:rsidP="00E630E8">
      <w:pPr>
        <w:pStyle w:val="ListBullet"/>
      </w:pPr>
      <w:r w:rsidRPr="004841EF">
        <w:t xml:space="preserve">Employers should consider ways of encouraging </w:t>
      </w:r>
      <w:r w:rsidR="000F7C06" w:rsidRPr="004841EF">
        <w:t xml:space="preserve">persons </w:t>
      </w:r>
      <w:r w:rsidRPr="004841EF">
        <w:t xml:space="preserve">with disabilities to apply for promotional opportunities as a way of ensuring that </w:t>
      </w:r>
      <w:r w:rsidR="000F7C06" w:rsidRPr="004841EF">
        <w:t xml:space="preserve">persons </w:t>
      </w:r>
      <w:r w:rsidRPr="004841EF">
        <w:t>with disabilities are represented in senior positions. The importance of having role models with a disability within an organisation, particularly in senior level positions, was highlighted in previous NDA research on disability disclosure</w:t>
      </w:r>
      <w:r w:rsidRPr="004841EF">
        <w:rPr>
          <w:rStyle w:val="FootnoteReference"/>
          <w:rFonts w:ascii="Gill Sans MT" w:hAnsi="Gill Sans MT"/>
        </w:rPr>
        <w:footnoteReference w:id="224"/>
      </w:r>
    </w:p>
    <w:p w14:paraId="3592500F" w14:textId="4530FDC0" w:rsidR="004D5E8D" w:rsidRPr="004841EF" w:rsidRDefault="00A76448" w:rsidP="00110594">
      <w:pPr>
        <w:pStyle w:val="ListBullet"/>
      </w:pPr>
      <w:r w:rsidRPr="004841EF">
        <w:rPr>
          <w:lang w:val="en-GB"/>
        </w:rPr>
        <w:t>Employers</w:t>
      </w:r>
      <w:r w:rsidR="00B7772F" w:rsidRPr="004841EF">
        <w:t xml:space="preserve"> should provide </w:t>
      </w:r>
      <w:r w:rsidRPr="004841EF">
        <w:t>management and</w:t>
      </w:r>
      <w:r w:rsidR="00B7772F" w:rsidRPr="004841EF">
        <w:t xml:space="preserve"> employees with disability awareness training</w:t>
      </w:r>
      <w:r w:rsidR="002D44E1" w:rsidRPr="004841EF">
        <w:t xml:space="preserve"> and employment equality training</w:t>
      </w:r>
      <w:r w:rsidR="00B7772F" w:rsidRPr="004841EF">
        <w:t xml:space="preserve"> to ensure that the culture of the organisation supports a work environment where everyone, </w:t>
      </w:r>
      <w:r w:rsidR="00A939F9" w:rsidRPr="004841EF">
        <w:t>including</w:t>
      </w:r>
      <w:r w:rsidR="00B7772F" w:rsidRPr="004841EF">
        <w:t xml:space="preserve"> </w:t>
      </w:r>
      <w:r w:rsidR="000F7C06" w:rsidRPr="004841EF">
        <w:t xml:space="preserve">persons </w:t>
      </w:r>
      <w:r w:rsidR="00B7772F" w:rsidRPr="004841EF">
        <w:t>with disabilities, feels included and supported. Such training should</w:t>
      </w:r>
      <w:r w:rsidRPr="004841EF">
        <w:t xml:space="preserve"> encompass the various types of disability and</w:t>
      </w:r>
      <w:r w:rsidR="00B7772F" w:rsidRPr="004841EF">
        <w:t xml:space="preserve"> i</w:t>
      </w:r>
      <w:r w:rsidR="003301BE" w:rsidRPr="004841EF">
        <w:t>ncorporate</w:t>
      </w:r>
      <w:r w:rsidR="00B7772F" w:rsidRPr="004841EF">
        <w:t xml:space="preserve"> the </w:t>
      </w:r>
      <w:r w:rsidR="00AC46B0" w:rsidRPr="004841EF">
        <w:t xml:space="preserve">need for the </w:t>
      </w:r>
      <w:r w:rsidR="00B7772F" w:rsidRPr="004841EF">
        <w:t>provision of reasonable accommodation</w:t>
      </w:r>
      <w:r w:rsidR="00E630E8" w:rsidRPr="004841EF">
        <w:t>s</w:t>
      </w:r>
      <w:r w:rsidR="00B7772F" w:rsidRPr="004841EF">
        <w:t xml:space="preserve"> to employees with disabilities </w:t>
      </w:r>
    </w:p>
    <w:p w14:paraId="4916222B" w14:textId="4CD62DBB" w:rsidR="002D44E1" w:rsidRPr="004841EF" w:rsidRDefault="00A76448" w:rsidP="002D44E1">
      <w:pPr>
        <w:pStyle w:val="ListBullet"/>
        <w:numPr>
          <w:ilvl w:val="0"/>
          <w:numId w:val="0"/>
        </w:numPr>
        <w:ind w:left="360"/>
      </w:pPr>
      <w:r w:rsidRPr="004841EF">
        <w:t>Disability awareness training</w:t>
      </w:r>
      <w:r w:rsidR="002D44E1" w:rsidRPr="004841EF">
        <w:t xml:space="preserve"> provides an opportunity for new ideas and information; it allows people to explore and reflect on information and ideas that they may be hearing for the first time, and to reflect on their own experiences and beliefs.</w:t>
      </w:r>
      <w:r w:rsidR="002D44E1" w:rsidRPr="004841EF">
        <w:rPr>
          <w:rStyle w:val="FootnoteReference"/>
          <w:rFonts w:ascii="Gill Sans MT" w:hAnsi="Gill Sans MT"/>
          <w:szCs w:val="22"/>
        </w:rPr>
        <w:footnoteReference w:id="225"/>
      </w:r>
      <w:r w:rsidR="002D44E1" w:rsidRPr="004841EF">
        <w:t xml:space="preserve"> </w:t>
      </w:r>
      <w:r w:rsidR="00851C34" w:rsidRPr="004841EF">
        <w:t xml:space="preserve">It also alerts </w:t>
      </w:r>
      <w:r w:rsidRPr="004841EF">
        <w:t>employees</w:t>
      </w:r>
      <w:r w:rsidR="00851C34" w:rsidRPr="004841EF">
        <w:t xml:space="preserve"> to an employer’s legislative responsibilities as r</w:t>
      </w:r>
      <w:r w:rsidRPr="004841EF">
        <w:t>egards reasonable accommodation and can increase discussion around disability in general</w:t>
      </w:r>
      <w:r w:rsidRPr="004841EF">
        <w:rPr>
          <w:rStyle w:val="FootnoteReference"/>
          <w:rFonts w:ascii="Gill Sans MT" w:hAnsi="Gill Sans MT"/>
          <w:szCs w:val="22"/>
        </w:rPr>
        <w:footnoteReference w:id="226"/>
      </w:r>
    </w:p>
    <w:p w14:paraId="7129B9D7" w14:textId="14EC76BE" w:rsidR="00110594" w:rsidRPr="004841EF" w:rsidRDefault="00CB4796" w:rsidP="0035402D">
      <w:pPr>
        <w:pStyle w:val="ListBullet"/>
      </w:pPr>
      <w:r w:rsidRPr="004841EF">
        <w:t>While recognising that it is a personal decision, e</w:t>
      </w:r>
      <w:r w:rsidR="0035402D" w:rsidRPr="004841EF">
        <w:t>mployers</w:t>
      </w:r>
      <w:r w:rsidR="00110594" w:rsidRPr="004841EF">
        <w:t xml:space="preserve"> should encourage employees to disclose disabilities and request reasonable accommodations. Within the public service, some public bodies have published articles in staff newsletters and on the intranet and </w:t>
      </w:r>
      <w:r w:rsidR="00307A93" w:rsidRPr="004841EF">
        <w:t>undertook</w:t>
      </w:r>
      <w:r w:rsidR="00110594" w:rsidRPr="004841EF">
        <w:t xml:space="preserve"> campaigns to raise awareness of disability or to promote the positive bene</w:t>
      </w:r>
      <w:r w:rsidR="00F567A7" w:rsidRPr="004841EF">
        <w:t>fits of disclosing a disability</w:t>
      </w:r>
      <w:r w:rsidR="00346617" w:rsidRPr="004841EF">
        <w:rPr>
          <w:rStyle w:val="FootnoteReference"/>
          <w:rFonts w:ascii="Gill Sans MT" w:hAnsi="Gill Sans MT"/>
          <w:szCs w:val="22"/>
        </w:rPr>
        <w:footnoteReference w:id="227"/>
      </w:r>
    </w:p>
    <w:p w14:paraId="68CB4E5C" w14:textId="0FAE608E" w:rsidR="00A76448" w:rsidRPr="004841EF" w:rsidRDefault="00A76448" w:rsidP="0035402D">
      <w:pPr>
        <w:pStyle w:val="ListBullet"/>
      </w:pPr>
      <w:r w:rsidRPr="004841EF">
        <w:t>Employers should clearly communicate to employees the supports that are available for persons with existing and acquired disabilities so that employees feel comfortable disclosing their disability</w:t>
      </w:r>
      <w:r w:rsidRPr="004841EF">
        <w:rPr>
          <w:rStyle w:val="FootnoteReference"/>
          <w:rFonts w:ascii="Gill Sans MT" w:hAnsi="Gill Sans MT"/>
          <w:szCs w:val="22"/>
        </w:rPr>
        <w:footnoteReference w:id="228"/>
      </w:r>
    </w:p>
    <w:p w14:paraId="5A8A16EE" w14:textId="796723DC" w:rsidR="00B769D1" w:rsidRPr="004841EF" w:rsidRDefault="00AA66F2" w:rsidP="0035402D">
      <w:pPr>
        <w:pStyle w:val="ListBullet"/>
      </w:pPr>
      <w:r w:rsidRPr="004841EF">
        <w:t>Both public and private sector employers should consider designating</w:t>
      </w:r>
      <w:r w:rsidR="00B769D1" w:rsidRPr="004841EF">
        <w:t xml:space="preserve"> Disability Liaison Officer</w:t>
      </w:r>
      <w:r w:rsidRPr="004841EF">
        <w:t>s</w:t>
      </w:r>
      <w:r w:rsidR="00B769D1" w:rsidRPr="004841EF">
        <w:t xml:space="preserve"> to assist their respective Senior Management teams and HR Departments to create and maintain an inclusive working environment and to provide supports f</w:t>
      </w:r>
      <w:r w:rsidR="00321CDE" w:rsidRPr="004841EF">
        <w:t>or employees with disabilities</w:t>
      </w:r>
      <w:r w:rsidR="00D90599" w:rsidRPr="004841EF">
        <w:rPr>
          <w:rStyle w:val="FootnoteReference"/>
          <w:rFonts w:ascii="Gill Sans MT" w:hAnsi="Gill Sans MT"/>
          <w:szCs w:val="22"/>
        </w:rPr>
        <w:footnoteReference w:id="229"/>
      </w:r>
    </w:p>
    <w:p w14:paraId="7E9E9DCC" w14:textId="796F4BA4" w:rsidR="00321CDE" w:rsidRPr="004841EF" w:rsidRDefault="00321CDE" w:rsidP="00321CDE">
      <w:pPr>
        <w:pStyle w:val="ListBullet"/>
      </w:pPr>
      <w:r w:rsidRPr="004841EF">
        <w:t>Employers and managers should be willing to have conversations with employees and should utilise neutral and non-stigmatising opportunities to talk about any issues an employee may be having in the workplace. Such opportunities may include regular work planning sessions, appraisals or informal chats about progress. If an employer demonstrates an ability to open up and be empathetic, an employee will be more likely to disclose sensitive information honestly</w:t>
      </w:r>
      <w:r w:rsidRPr="004841EF">
        <w:rPr>
          <w:sz w:val="22"/>
          <w:szCs w:val="22"/>
          <w:vertAlign w:val="superscript"/>
        </w:rPr>
        <w:footnoteReference w:id="230"/>
      </w:r>
    </w:p>
    <w:p w14:paraId="2618862F" w14:textId="6DB46676" w:rsidR="0035402D" w:rsidRPr="004841EF" w:rsidRDefault="00110594" w:rsidP="00F623F4">
      <w:pPr>
        <w:spacing w:after="120"/>
      </w:pPr>
      <w:r w:rsidRPr="004841EF">
        <w:t>Research undertaken by the NDA</w:t>
      </w:r>
      <w:r w:rsidR="005C1775" w:rsidRPr="004841EF">
        <w:t xml:space="preserve"> on disclosure in the workplace</w:t>
      </w:r>
      <w:r w:rsidR="00AC46B0" w:rsidRPr="004841EF">
        <w:t xml:space="preserve"> indicates</w:t>
      </w:r>
      <w:r w:rsidRPr="004841EF">
        <w:t xml:space="preserve"> that </w:t>
      </w:r>
      <w:r w:rsidR="005C1775" w:rsidRPr="004841EF">
        <w:t>there was a general perception among employees that invisible disabiliti</w:t>
      </w:r>
      <w:r w:rsidR="00F567A7" w:rsidRPr="004841EF">
        <w:t>es</w:t>
      </w:r>
      <w:r w:rsidR="0006639F" w:rsidRPr="004841EF">
        <w:t>,</w:t>
      </w:r>
      <w:r w:rsidR="00F567A7" w:rsidRPr="004841EF">
        <w:t xml:space="preserve"> such as</w:t>
      </w:r>
      <w:r w:rsidR="0006639F" w:rsidRPr="004841EF">
        <w:t>,</w:t>
      </w:r>
      <w:r w:rsidR="00F567A7" w:rsidRPr="004841EF">
        <w:t xml:space="preserve"> mental health issue</w:t>
      </w:r>
      <w:r w:rsidR="005C1775" w:rsidRPr="004841EF">
        <w:t>s were viewed more negatively or even stigmatised</w:t>
      </w:r>
      <w:r w:rsidRPr="004841EF">
        <w:t>.</w:t>
      </w:r>
      <w:r w:rsidR="00E90A1A" w:rsidRPr="004841EF">
        <w:rPr>
          <w:rStyle w:val="FootnoteReference"/>
          <w:rFonts w:ascii="Gill Sans MT" w:hAnsi="Gill Sans MT"/>
          <w:szCs w:val="22"/>
        </w:rPr>
        <w:footnoteReference w:id="231"/>
      </w:r>
      <w:r w:rsidRPr="004841EF">
        <w:t xml:space="preserve"> </w:t>
      </w:r>
      <w:r w:rsidR="00F567A7" w:rsidRPr="004841EF">
        <w:t xml:space="preserve">Feedback from </w:t>
      </w:r>
      <w:r w:rsidR="007332A6" w:rsidRPr="004841EF">
        <w:t>a number of</w:t>
      </w:r>
      <w:r w:rsidR="008264BE" w:rsidRPr="004841EF">
        <w:t xml:space="preserve"> </w:t>
      </w:r>
      <w:r w:rsidR="00F567A7" w:rsidRPr="004841EF">
        <w:t xml:space="preserve">focus groups </w:t>
      </w:r>
      <w:r w:rsidR="008264BE" w:rsidRPr="004841EF">
        <w:t>echoed</w:t>
      </w:r>
      <w:r w:rsidR="00E21474" w:rsidRPr="004841EF">
        <w:t xml:space="preserve"> the</w:t>
      </w:r>
      <w:r w:rsidR="00F567A7" w:rsidRPr="004841EF">
        <w:t xml:space="preserve"> point</w:t>
      </w:r>
      <w:r w:rsidR="00E21474" w:rsidRPr="004841EF">
        <w:t xml:space="preserve"> that </w:t>
      </w:r>
      <w:r w:rsidR="000F7C06" w:rsidRPr="004841EF">
        <w:t xml:space="preserve">persons </w:t>
      </w:r>
      <w:r w:rsidR="00E21474" w:rsidRPr="004841EF">
        <w:t xml:space="preserve">with </w:t>
      </w:r>
      <w:r w:rsidR="007332A6" w:rsidRPr="004841EF">
        <w:t xml:space="preserve">hidden disabilities, particularly </w:t>
      </w:r>
      <w:r w:rsidR="00E21474" w:rsidRPr="004841EF">
        <w:t>mental health related issues</w:t>
      </w:r>
      <w:r w:rsidR="007332A6" w:rsidRPr="004841EF">
        <w:t>,</w:t>
      </w:r>
      <w:r w:rsidR="00E21474" w:rsidRPr="004841EF">
        <w:t xml:space="preserve"> may be more reluctant to disclose</w:t>
      </w:r>
      <w:r w:rsidR="00F567A7" w:rsidRPr="004841EF">
        <w:t>. The following are some good practices in this regard</w:t>
      </w:r>
      <w:r w:rsidR="00A0224C" w:rsidRPr="004841EF">
        <w:t>:</w:t>
      </w:r>
    </w:p>
    <w:p w14:paraId="15E08248" w14:textId="6A7B01C7" w:rsidR="00110594" w:rsidRPr="004841EF" w:rsidRDefault="002926CC" w:rsidP="0035402D">
      <w:pPr>
        <w:pStyle w:val="ListBullet"/>
      </w:pPr>
      <w:r w:rsidRPr="004841EF">
        <w:t xml:space="preserve">Employers could provide appropriate staff with Mental Health First Aid Training. </w:t>
      </w:r>
      <w:r w:rsidR="00110594" w:rsidRPr="004841EF">
        <w:t xml:space="preserve">In the </w:t>
      </w:r>
      <w:r w:rsidR="00E90A1A" w:rsidRPr="004841EF">
        <w:t xml:space="preserve">UK Civil Service, </w:t>
      </w:r>
      <w:r w:rsidR="008E43E7" w:rsidRPr="004841EF">
        <w:t xml:space="preserve">over 1,000 </w:t>
      </w:r>
      <w:r w:rsidR="00110594" w:rsidRPr="004841EF">
        <w:t>people have been trained as Mental Health First Responders.</w:t>
      </w:r>
      <w:r w:rsidR="00E90A1A" w:rsidRPr="004841EF">
        <w:rPr>
          <w:rStyle w:val="FootnoteReference"/>
          <w:rFonts w:ascii="Gill Sans MT" w:hAnsi="Gill Sans MT"/>
          <w:szCs w:val="22"/>
        </w:rPr>
        <w:footnoteReference w:id="232"/>
      </w:r>
      <w:r w:rsidR="00110594" w:rsidRPr="004841EF">
        <w:t xml:space="preserve"> The Responders are trained to spot the signs of mental health issues, offer initial help and guide a person towards support. The programme is also designed to build employees’ confidence to have open conversations around mental health and break the stigma.</w:t>
      </w:r>
      <w:r w:rsidR="00E21474" w:rsidRPr="004841EF">
        <w:t xml:space="preserve"> In April 2017, t</w:t>
      </w:r>
      <w:r w:rsidR="000E56FF" w:rsidRPr="004841EF">
        <w:t>he Health Service Executive announced a project partnership with Mental Health First Aid Ireland to make such training more widely available in Ireland</w:t>
      </w:r>
      <w:r w:rsidR="000E56FF" w:rsidRPr="004841EF">
        <w:rPr>
          <w:rStyle w:val="FootnoteReference"/>
          <w:rFonts w:ascii="Gill Sans MT" w:hAnsi="Gill Sans MT"/>
          <w:szCs w:val="22"/>
        </w:rPr>
        <w:footnoteReference w:id="233"/>
      </w:r>
    </w:p>
    <w:p w14:paraId="11A08A4C" w14:textId="683EF547" w:rsidR="00896176" w:rsidRPr="004841EF" w:rsidRDefault="007A6399" w:rsidP="00A0224C">
      <w:pPr>
        <w:pStyle w:val="ListBullet"/>
      </w:pPr>
      <w:r w:rsidRPr="004841EF">
        <w:t>Employers could participate in workplace campaigns which aim to start positive conversations around mental health and break the silence of stigma, such as See Change’s month long national </w:t>
      </w:r>
      <w:r w:rsidRPr="004841EF">
        <w:rPr>
          <w:b/>
          <w:bCs/>
        </w:rPr>
        <w:t>Green Ribbon Campaign</w:t>
      </w:r>
      <w:r w:rsidR="00A0224C" w:rsidRPr="004841EF">
        <w:rPr>
          <w:bCs/>
        </w:rPr>
        <w:t>.</w:t>
      </w:r>
      <w:r w:rsidR="00896176" w:rsidRPr="004841EF">
        <w:rPr>
          <w:rStyle w:val="FootnoteReference"/>
          <w:rFonts w:ascii="Gill Sans MT" w:hAnsi="Gill Sans MT"/>
          <w:bCs/>
        </w:rPr>
        <w:footnoteReference w:id="234"/>
      </w:r>
      <w:r w:rsidR="00896176" w:rsidRPr="004841EF">
        <w:rPr>
          <w:b/>
          <w:bCs/>
        </w:rPr>
        <w:t xml:space="preserve"> </w:t>
      </w:r>
      <w:r w:rsidR="00896176" w:rsidRPr="004841EF">
        <w:rPr>
          <w:bCs/>
        </w:rPr>
        <w:t xml:space="preserve">Such campaigns can assist in creating a workplace environment </w:t>
      </w:r>
      <w:r w:rsidR="00896176" w:rsidRPr="004841EF">
        <w:rPr>
          <w:bCs/>
          <w:iCs/>
        </w:rPr>
        <w:t>where people can be open about their mental health issues and promote a greater understanding and acceptance of mental health</w:t>
      </w:r>
      <w:r w:rsidR="00A0224C" w:rsidRPr="004841EF">
        <w:rPr>
          <w:bCs/>
          <w:iCs/>
        </w:rPr>
        <w:t xml:space="preserve"> related issues</w:t>
      </w:r>
    </w:p>
    <w:p w14:paraId="533C8A3D" w14:textId="7541D8C5" w:rsidR="007A6399" w:rsidRPr="004841EF" w:rsidRDefault="007A6399" w:rsidP="007A6399">
      <w:pPr>
        <w:pStyle w:val="ListBullet"/>
      </w:pPr>
      <w:r w:rsidRPr="004841EF">
        <w:t>Employers should encourage line managers to take a proactive interest in the wellbeing of staff and to recognise when there is a need for external support</w:t>
      </w:r>
      <w:r w:rsidR="00C45D16" w:rsidRPr="004841EF">
        <w:t>.</w:t>
      </w:r>
      <w:r w:rsidR="002926CC" w:rsidRPr="004841EF">
        <w:rPr>
          <w:rStyle w:val="FootnoteReference"/>
          <w:rFonts w:ascii="Gill Sans MT" w:hAnsi="Gill Sans MT"/>
        </w:rPr>
        <w:footnoteReference w:id="235"/>
      </w:r>
      <w:r w:rsidR="00C45D16" w:rsidRPr="004841EF">
        <w:t xml:space="preserve"> Reducing stress, promoting work-life balance</w:t>
      </w:r>
      <w:r w:rsidR="00D361EE" w:rsidRPr="004841EF">
        <w:t xml:space="preserve"> and</w:t>
      </w:r>
      <w:r w:rsidR="00C45D16" w:rsidRPr="004841EF">
        <w:t xml:space="preserve"> developing </w:t>
      </w:r>
      <w:r w:rsidR="00D361EE" w:rsidRPr="004841EF">
        <w:t>a culture of workplace support can help to reduce the likelihood of work</w:t>
      </w:r>
      <w:r w:rsidR="00FF1BC8" w:rsidRPr="004841EF">
        <w:t>-</w:t>
      </w:r>
      <w:r w:rsidR="00D361EE" w:rsidRPr="004841EF">
        <w:t xml:space="preserve"> related mental health issues and promote mental wellbeing</w:t>
      </w:r>
      <w:r w:rsidR="003420F3" w:rsidRPr="004841EF">
        <w:t>.</w:t>
      </w:r>
      <w:r w:rsidR="00D361EE" w:rsidRPr="004841EF">
        <w:rPr>
          <w:rStyle w:val="FootnoteReference"/>
          <w:rFonts w:ascii="Gill Sans MT" w:hAnsi="Gill Sans MT"/>
        </w:rPr>
        <w:footnoteReference w:id="236"/>
      </w:r>
      <w:r w:rsidR="003420F3" w:rsidRPr="004841EF">
        <w:t xml:space="preserve"> Additionally, employees with mental health issues can sometimes be reluctant to seek help initially, therefore line managers may benefit from greater awareness as they may be more likely to notice a change in manner from individuals experiencing such issues</w:t>
      </w:r>
      <w:r w:rsidR="003420F3" w:rsidRPr="004841EF">
        <w:rPr>
          <w:rStyle w:val="FootnoteReference"/>
          <w:rFonts w:ascii="Gill Sans MT" w:hAnsi="Gill Sans MT"/>
        </w:rPr>
        <w:footnoteReference w:id="237"/>
      </w:r>
    </w:p>
    <w:p w14:paraId="1F6D8D77" w14:textId="3030E6D6" w:rsidR="007A6399" w:rsidRPr="004841EF" w:rsidRDefault="007A6399" w:rsidP="00CC2894">
      <w:pPr>
        <w:pStyle w:val="ListBullet"/>
      </w:pPr>
      <w:r w:rsidRPr="004841EF">
        <w:t>Employers should support managers and staff through proactive coaching, training and advice to be confident in engaging with staff experiencing mental health issues</w:t>
      </w:r>
      <w:r w:rsidR="00CC2894" w:rsidRPr="004841EF">
        <w:t xml:space="preserve">, </w:t>
      </w:r>
      <w:r w:rsidR="001C40A9" w:rsidRPr="004841EF">
        <w:t>and explain</w:t>
      </w:r>
      <w:r w:rsidR="00CC2894" w:rsidRPr="004841EF">
        <w:t xml:space="preserve"> how the obligation to provide reasonable accommodations applies to </w:t>
      </w:r>
      <w:r w:rsidR="00EB4927" w:rsidRPr="004841EF">
        <w:t>persons</w:t>
      </w:r>
      <w:r w:rsidR="00CC2894" w:rsidRPr="004841EF">
        <w:t xml:space="preserve"> with mental health related issues</w:t>
      </w:r>
      <w:r w:rsidR="001C40A9" w:rsidRPr="004841EF">
        <w:t>.</w:t>
      </w:r>
      <w:r w:rsidR="002926CC" w:rsidRPr="004841EF">
        <w:rPr>
          <w:rStyle w:val="FootnoteReference"/>
          <w:rFonts w:ascii="Gill Sans MT" w:hAnsi="Gill Sans MT"/>
        </w:rPr>
        <w:footnoteReference w:id="238"/>
      </w:r>
      <w:r w:rsidR="001C40A9" w:rsidRPr="004841EF">
        <w:t xml:space="preserve"> This can assist in </w:t>
      </w:r>
      <w:r w:rsidR="00FF1BC8" w:rsidRPr="004841EF">
        <w:t>developing a workplace culture which is sensitive to and inclusive of the needs of those with mental health related issues</w:t>
      </w:r>
    </w:p>
    <w:p w14:paraId="5D518633" w14:textId="7E9DFE2B" w:rsidR="002926CC" w:rsidRPr="004841EF" w:rsidRDefault="002926CC" w:rsidP="002926CC">
      <w:pPr>
        <w:pStyle w:val="ListBullet"/>
      </w:pPr>
      <w:r w:rsidRPr="004841EF">
        <w:t>Employers should positively engage employees who have disclosed a mental health issue and their representatives in the development, monitoring and review of all relevant employment policies</w:t>
      </w:r>
      <w:r w:rsidR="00460D81" w:rsidRPr="004841EF">
        <w:t>.</w:t>
      </w:r>
      <w:r w:rsidR="00A0224C" w:rsidRPr="004841EF">
        <w:rPr>
          <w:rStyle w:val="FootnoteReference"/>
          <w:rFonts w:ascii="Gill Sans MT" w:hAnsi="Gill Sans MT"/>
        </w:rPr>
        <w:footnoteReference w:id="239"/>
      </w:r>
      <w:r w:rsidR="00460D81" w:rsidRPr="004841EF">
        <w:t xml:space="preserve"> The expertise of those with lived experience can assist in ensuring that employment policies are responsive to</w:t>
      </w:r>
      <w:r w:rsidR="00FF1BC8" w:rsidRPr="004841EF">
        <w:t xml:space="preserve"> those with </w:t>
      </w:r>
      <w:r w:rsidR="00460D81" w:rsidRPr="004841EF">
        <w:t>mental health issues</w:t>
      </w:r>
    </w:p>
    <w:p w14:paraId="5D24D4DF" w14:textId="276172A3" w:rsidR="00EC74E9" w:rsidRPr="004841EF" w:rsidRDefault="00037C18" w:rsidP="00E05912">
      <w:pPr>
        <w:pStyle w:val="Heading2"/>
      </w:pPr>
      <w:bookmarkStart w:id="250" w:name="_Toc26192133"/>
      <w:bookmarkStart w:id="251" w:name="_Toc42172550"/>
      <w:r w:rsidRPr="004841EF">
        <w:t xml:space="preserve">5.3. </w:t>
      </w:r>
      <w:r w:rsidR="00EC74E9" w:rsidRPr="004841EF">
        <w:t>General</w:t>
      </w:r>
      <w:r w:rsidR="00AD1515" w:rsidRPr="004841EF">
        <w:t xml:space="preserve"> Considerations</w:t>
      </w:r>
      <w:bookmarkEnd w:id="250"/>
      <w:bookmarkEnd w:id="251"/>
    </w:p>
    <w:p w14:paraId="38E2E85E" w14:textId="77777777" w:rsidR="00A75A14" w:rsidRPr="004841EF" w:rsidRDefault="00E6414D" w:rsidP="001F56D1">
      <w:pPr>
        <w:pStyle w:val="ListBullet"/>
      </w:pPr>
      <w:r w:rsidRPr="004841EF">
        <w:t>The duties placed by employment equality legislation on employers are owed to individuals with disabilities with whom they have dealings.</w:t>
      </w:r>
      <w:r w:rsidRPr="004841EF">
        <w:rPr>
          <w:rStyle w:val="FootnoteReference"/>
          <w:rFonts w:ascii="Gill Sans MT" w:hAnsi="Gill Sans MT"/>
        </w:rPr>
        <w:footnoteReference w:id="240"/>
      </w:r>
      <w:r w:rsidRPr="004841EF">
        <w:t xml:space="preserve"> There is no duty owed to </w:t>
      </w:r>
      <w:r w:rsidR="00EB4927" w:rsidRPr="004841EF">
        <w:t xml:space="preserve">persons </w:t>
      </w:r>
      <w:r w:rsidRPr="004841EF">
        <w:t xml:space="preserve">with disabilities in general. Nevertheless, it is good practice for </w:t>
      </w:r>
      <w:r w:rsidR="0032638E" w:rsidRPr="004841EF">
        <w:t>employ</w:t>
      </w:r>
      <w:r w:rsidRPr="004841EF">
        <w:t>ers, insofar as is possible,</w:t>
      </w:r>
      <w:r w:rsidR="0032638E" w:rsidRPr="004841EF">
        <w:t xml:space="preserve"> to pre-empt requests</w:t>
      </w:r>
      <w:r w:rsidR="0035402D" w:rsidRPr="004841EF">
        <w:t xml:space="preserve"> for accommodations</w:t>
      </w:r>
      <w:r w:rsidR="0032638E" w:rsidRPr="004841EF">
        <w:t>.</w:t>
      </w:r>
      <w:r w:rsidR="002D5E57" w:rsidRPr="004841EF">
        <w:t xml:space="preserve"> One good practice tip from the Equality and Human Rights Commission</w:t>
      </w:r>
      <w:r w:rsidR="00BF75A9" w:rsidRPr="004841EF">
        <w:t xml:space="preserve"> </w:t>
      </w:r>
      <w:r w:rsidR="008905CC" w:rsidRPr="004841EF">
        <w:t xml:space="preserve">(EHRC) </w:t>
      </w:r>
      <w:r w:rsidR="002D5E57" w:rsidRPr="004841EF">
        <w:t>is to be prepared for making reasonable accommodations.</w:t>
      </w:r>
      <w:r w:rsidR="002D5E57" w:rsidRPr="004841EF">
        <w:rPr>
          <w:rStyle w:val="FootnoteReference"/>
          <w:rFonts w:ascii="Gill Sans MT" w:hAnsi="Gill Sans MT"/>
        </w:rPr>
        <w:footnoteReference w:id="241"/>
      </w:r>
      <w:r w:rsidR="003301BE" w:rsidRPr="004841EF">
        <w:t xml:space="preserve"> </w:t>
      </w:r>
      <w:r w:rsidR="00A939F9" w:rsidRPr="004841EF">
        <w:t>For example</w:t>
      </w:r>
      <w:r w:rsidR="003301BE" w:rsidRPr="004841EF">
        <w:t>, employers c</w:t>
      </w:r>
      <w:r w:rsidR="0032638E" w:rsidRPr="004841EF">
        <w:t>ould</w:t>
      </w:r>
      <w:r w:rsidR="006C2D67" w:rsidRPr="004841EF">
        <w:t xml:space="preserve"> carry out an accessibility audit of their workplace and identify any improvements which may be necessary to accommodate </w:t>
      </w:r>
      <w:r w:rsidR="00EB4927" w:rsidRPr="004841EF">
        <w:t xml:space="preserve">persons </w:t>
      </w:r>
      <w:r w:rsidR="006C2D67" w:rsidRPr="004841EF">
        <w:t>with disabilities</w:t>
      </w:r>
    </w:p>
    <w:p w14:paraId="6FF38EFF" w14:textId="0491C954" w:rsidR="00A95A4F" w:rsidRPr="004841EF" w:rsidRDefault="00A75A14" w:rsidP="001F56D1">
      <w:pPr>
        <w:pStyle w:val="ListBullet"/>
      </w:pPr>
      <w:r w:rsidRPr="004841EF">
        <w:t xml:space="preserve">Employers should ensure that their workplaces are universally designed. </w:t>
      </w:r>
      <w:r w:rsidR="00F44109" w:rsidRPr="004841EF">
        <w:t>In doing so</w:t>
      </w:r>
      <w:r w:rsidR="00A95A4F" w:rsidRPr="004841EF">
        <w:t>, the work environment becomes more accessible and inclusive</w:t>
      </w:r>
      <w:r w:rsidR="00F44109" w:rsidRPr="004841EF">
        <w:t>,</w:t>
      </w:r>
      <w:r w:rsidR="00A95A4F" w:rsidRPr="004841EF">
        <w:t xml:space="preserve"> and the need for reasonable accommodations is reduced</w:t>
      </w:r>
      <w:r w:rsidRPr="004841EF">
        <w:t>.</w:t>
      </w:r>
      <w:r w:rsidR="00A95A4F" w:rsidRPr="004841EF">
        <w:rPr>
          <w:rStyle w:val="FootnoteReference"/>
          <w:rFonts w:ascii="Gill Sans MT" w:hAnsi="Gill Sans MT"/>
        </w:rPr>
        <w:footnoteReference w:id="242"/>
      </w:r>
      <w:r w:rsidRPr="004841EF">
        <w:t xml:space="preserve"> The </w:t>
      </w:r>
      <w:r w:rsidRPr="004841EF">
        <w:rPr>
          <w:b/>
        </w:rPr>
        <w:t>Centre for Excellence in Universal Design at the NDA</w:t>
      </w:r>
      <w:r w:rsidRPr="004841EF">
        <w:t xml:space="preserve"> has developed a range of resources on universal design in the workplace covering areas such as communications, the built environment and technology</w:t>
      </w:r>
      <w:r w:rsidRPr="004841EF">
        <w:rPr>
          <w:rStyle w:val="FootnoteReference"/>
          <w:rFonts w:ascii="Gill Sans MT" w:hAnsi="Gill Sans MT"/>
        </w:rPr>
        <w:footnoteReference w:id="243"/>
      </w:r>
    </w:p>
    <w:p w14:paraId="5A8DA1D2" w14:textId="436AFE33" w:rsidR="006C2D67" w:rsidRPr="004841EF" w:rsidRDefault="006C2D67" w:rsidP="000E110C">
      <w:pPr>
        <w:pStyle w:val="ListBullet"/>
      </w:pPr>
      <w:r w:rsidRPr="004841EF">
        <w:t xml:space="preserve">Employers should provide information concerning accessibility, including the accessibility of buildings and equipment, on their website. </w:t>
      </w:r>
      <w:r w:rsidR="000E110C" w:rsidRPr="004841EF">
        <w:t xml:space="preserve">Such information </w:t>
      </w:r>
      <w:r w:rsidR="002108FA" w:rsidRPr="004841EF">
        <w:t>could</w:t>
      </w:r>
      <w:r w:rsidR="000E110C" w:rsidRPr="004841EF">
        <w:t xml:space="preserve"> include facilities such as wheelchair accessible seating, loop systems, elevators to all floors, double door access to meeting rooms, parking bays for </w:t>
      </w:r>
      <w:r w:rsidR="00EB4927" w:rsidRPr="004841EF">
        <w:t xml:space="preserve">persons </w:t>
      </w:r>
      <w:r w:rsidR="000E110C" w:rsidRPr="004841EF">
        <w:t xml:space="preserve">with disabilities etc. </w:t>
      </w:r>
      <w:r w:rsidRPr="004841EF">
        <w:t>The provision of such publicly accessible information may obviate the need for an employment candidate to request a reasonable accommodation</w:t>
      </w:r>
    </w:p>
    <w:p w14:paraId="7AA6D260" w14:textId="3A1E855B" w:rsidR="00DC2466" w:rsidRPr="004841EF" w:rsidRDefault="00DC2466" w:rsidP="000A7AA2">
      <w:pPr>
        <w:pStyle w:val="ListBullet"/>
        <w:spacing w:after="240"/>
        <w:ind w:left="357" w:hanging="357"/>
      </w:pPr>
      <w:r w:rsidRPr="004841EF">
        <w:t>Employers should be proactive about their obligations to provide reasonable accommodations and be alert for indications or signs to enquire about the need for reasonable accommodation</w:t>
      </w:r>
      <w:r w:rsidR="00264EA5" w:rsidRPr="004841EF">
        <w:rPr>
          <w:rStyle w:val="FootnoteReference"/>
          <w:rFonts w:ascii="Gill Sans MT" w:hAnsi="Gill Sans MT"/>
        </w:rPr>
        <w:footnoteReference w:id="244"/>
      </w:r>
    </w:p>
    <w:p w14:paraId="0685CA69" w14:textId="40CCB027" w:rsidR="004D5E8D" w:rsidRPr="004841EF" w:rsidRDefault="00037C18" w:rsidP="004D5E8D">
      <w:pPr>
        <w:pStyle w:val="Heading2"/>
        <w:rPr>
          <w:lang w:val="en-GB"/>
        </w:rPr>
      </w:pPr>
      <w:bookmarkStart w:id="252" w:name="_Toc26192134"/>
      <w:bookmarkStart w:id="253" w:name="_Toc42172551"/>
      <w:r w:rsidRPr="004841EF">
        <w:rPr>
          <w:lang w:val="en-GB"/>
        </w:rPr>
        <w:t xml:space="preserve">5.4. </w:t>
      </w:r>
      <w:r w:rsidR="004D5E8D" w:rsidRPr="004841EF">
        <w:rPr>
          <w:lang w:val="en-GB"/>
        </w:rPr>
        <w:t>Policies and Procedures</w:t>
      </w:r>
      <w:bookmarkEnd w:id="252"/>
      <w:bookmarkEnd w:id="253"/>
    </w:p>
    <w:p w14:paraId="55B2DECF" w14:textId="4ED82652" w:rsidR="0032638E" w:rsidRPr="004841EF" w:rsidRDefault="00EC74E9" w:rsidP="0032638E">
      <w:pPr>
        <w:pStyle w:val="ListBullet"/>
        <w:rPr>
          <w:lang w:val="en-GB"/>
        </w:rPr>
      </w:pPr>
      <w:r w:rsidRPr="004841EF">
        <w:rPr>
          <w:lang w:val="en-GB"/>
        </w:rPr>
        <w:t>Employers should develop</w:t>
      </w:r>
      <w:r w:rsidR="00A01331" w:rsidRPr="004841EF">
        <w:rPr>
          <w:lang w:val="en-GB"/>
        </w:rPr>
        <w:t xml:space="preserve"> </w:t>
      </w:r>
      <w:r w:rsidR="007971DA" w:rsidRPr="004841EF">
        <w:rPr>
          <w:lang w:val="en-GB"/>
        </w:rPr>
        <w:t xml:space="preserve">formal, </w:t>
      </w:r>
      <w:r w:rsidR="00A01331" w:rsidRPr="004841EF">
        <w:rPr>
          <w:lang w:val="en-GB"/>
        </w:rPr>
        <w:t>written</w:t>
      </w:r>
      <w:r w:rsidRPr="004841EF">
        <w:rPr>
          <w:lang w:val="en-GB"/>
        </w:rPr>
        <w:t xml:space="preserve"> policies and procedures on the provision of reasonable accommodations.</w:t>
      </w:r>
      <w:r w:rsidR="00A01331" w:rsidRPr="004841EF">
        <w:rPr>
          <w:rStyle w:val="FootnoteReference"/>
          <w:rFonts w:ascii="Gill Sans MT" w:hAnsi="Gill Sans MT"/>
          <w:lang w:val="en-GB"/>
        </w:rPr>
        <w:footnoteReference w:id="245"/>
      </w:r>
      <w:r w:rsidRPr="004841EF">
        <w:rPr>
          <w:lang w:val="en-GB"/>
        </w:rPr>
        <w:t xml:space="preserve"> Such policies and procedures should detail the steps involved in </w:t>
      </w:r>
      <w:r w:rsidR="004D5E8D" w:rsidRPr="004841EF">
        <w:rPr>
          <w:lang w:val="en-GB"/>
        </w:rPr>
        <w:t>dealing with</w:t>
      </w:r>
      <w:r w:rsidRPr="004841EF">
        <w:rPr>
          <w:lang w:val="en-GB"/>
        </w:rPr>
        <w:t xml:space="preserve"> request</w:t>
      </w:r>
      <w:r w:rsidR="004D5E8D" w:rsidRPr="004841EF">
        <w:rPr>
          <w:lang w:val="en-GB"/>
        </w:rPr>
        <w:t>s</w:t>
      </w:r>
      <w:r w:rsidRPr="004841EF">
        <w:rPr>
          <w:lang w:val="en-GB"/>
        </w:rPr>
        <w:t xml:space="preserve"> for </w:t>
      </w:r>
      <w:r w:rsidR="0032638E" w:rsidRPr="004841EF">
        <w:rPr>
          <w:lang w:val="en-GB"/>
        </w:rPr>
        <w:t>an</w:t>
      </w:r>
      <w:r w:rsidRPr="004841EF">
        <w:rPr>
          <w:lang w:val="en-GB"/>
        </w:rPr>
        <w:t xml:space="preserve"> acc</w:t>
      </w:r>
      <w:r w:rsidR="00352784" w:rsidRPr="004841EF">
        <w:rPr>
          <w:lang w:val="en-GB"/>
        </w:rPr>
        <w:t>ommodation, including engaging and consulting</w:t>
      </w:r>
      <w:r w:rsidRPr="004841EF">
        <w:rPr>
          <w:lang w:val="en-GB"/>
        </w:rPr>
        <w:t xml:space="preserve"> with the employee</w:t>
      </w:r>
      <w:r w:rsidR="004D5E8D" w:rsidRPr="004841EF">
        <w:rPr>
          <w:lang w:val="en-GB"/>
        </w:rPr>
        <w:t xml:space="preserve"> at all levels of the process,</w:t>
      </w:r>
      <w:r w:rsidR="004D5E8D" w:rsidRPr="004841EF">
        <w:t xml:space="preserve"> undertaking enquiries to determine the extent of the employee’s disability and </w:t>
      </w:r>
      <w:r w:rsidR="00352784" w:rsidRPr="004841EF">
        <w:t>affording sufficient consideration to</w:t>
      </w:r>
      <w:r w:rsidR="004D5E8D" w:rsidRPr="004841EF">
        <w:t xml:space="preserve"> the request.</w:t>
      </w:r>
      <w:r w:rsidRPr="004841EF">
        <w:rPr>
          <w:lang w:val="en-GB"/>
        </w:rPr>
        <w:t xml:space="preserve"> </w:t>
      </w:r>
      <w:r w:rsidR="00BD1878" w:rsidRPr="004841EF">
        <w:rPr>
          <w:lang w:val="en-GB"/>
        </w:rPr>
        <w:t>The relevant</w:t>
      </w:r>
      <w:r w:rsidR="0032638E" w:rsidRPr="004841EF">
        <w:rPr>
          <w:lang w:val="en-GB"/>
        </w:rPr>
        <w:t xml:space="preserve"> policies and procedures should cover both employment candidates and employees with disabilities.</w:t>
      </w:r>
      <w:r w:rsidR="00235DD2" w:rsidRPr="004841EF">
        <w:rPr>
          <w:rFonts w:cs="Arial"/>
        </w:rPr>
        <w:t xml:space="preserve"> </w:t>
      </w:r>
      <w:r w:rsidR="00235DD2" w:rsidRPr="004841EF">
        <w:t>Written policies and procedures can help make sure that all employees are aware of the</w:t>
      </w:r>
      <w:r w:rsidR="007971DA" w:rsidRPr="004841EF">
        <w:t xml:space="preserve"> policies and procedures, help e</w:t>
      </w:r>
      <w:r w:rsidR="00235DD2" w:rsidRPr="004841EF">
        <w:t>nsure consistency when processing accommodation requests, and help document employers’ efforts to provide effective accommodations.</w:t>
      </w:r>
      <w:r w:rsidR="00235DD2" w:rsidRPr="004841EF">
        <w:rPr>
          <w:rStyle w:val="FootnoteReference"/>
          <w:rFonts w:ascii="Gill Sans MT" w:hAnsi="Gill Sans MT"/>
        </w:rPr>
        <w:footnoteReference w:id="246"/>
      </w:r>
      <w:r w:rsidR="002A119D" w:rsidRPr="004841EF">
        <w:t xml:space="preserve"> For instance, the Equality Commission for Northern Ireland have developed a model policy and procedure on handling requests for flexible working</w:t>
      </w:r>
      <w:r w:rsidR="002A119D" w:rsidRPr="004841EF">
        <w:rPr>
          <w:rStyle w:val="FootnoteReference"/>
          <w:rFonts w:ascii="Gill Sans MT" w:hAnsi="Gill Sans MT"/>
        </w:rPr>
        <w:footnoteReference w:id="247"/>
      </w:r>
    </w:p>
    <w:p w14:paraId="4A1A7BAC" w14:textId="76FFDA06" w:rsidR="00A01331" w:rsidRPr="004841EF" w:rsidRDefault="00A01331" w:rsidP="00400842">
      <w:pPr>
        <w:pStyle w:val="ListBullet"/>
        <w:rPr>
          <w:lang w:val="en-GB"/>
        </w:rPr>
      </w:pPr>
      <w:r w:rsidRPr="004841EF">
        <w:t>Employers should</w:t>
      </w:r>
      <w:r w:rsidR="007971DA" w:rsidRPr="004841EF">
        <w:t xml:space="preserve"> designate someone to be</w:t>
      </w:r>
      <w:r w:rsidRPr="004841EF">
        <w:t xml:space="preserve"> responsible for implementing and overseeing </w:t>
      </w:r>
      <w:r w:rsidR="00A939F9" w:rsidRPr="004841EF">
        <w:t xml:space="preserve">reasonable </w:t>
      </w:r>
      <w:r w:rsidRPr="004841EF">
        <w:t xml:space="preserve">accommodation policies and procedures and </w:t>
      </w:r>
      <w:r w:rsidR="007971DA" w:rsidRPr="004841EF">
        <w:t xml:space="preserve">for </w:t>
      </w:r>
      <w:r w:rsidRPr="004841EF">
        <w:t>dealing with accommodations requests</w:t>
      </w:r>
      <w:r w:rsidR="00550358" w:rsidRPr="004841EF">
        <w:t>.</w:t>
      </w:r>
      <w:r w:rsidR="00A939F9" w:rsidRPr="004841EF">
        <w:rPr>
          <w:rStyle w:val="FootnoteReference"/>
          <w:rFonts w:ascii="Gill Sans MT" w:hAnsi="Gill Sans MT"/>
        </w:rPr>
        <w:footnoteReference w:id="248"/>
      </w:r>
      <w:r w:rsidR="00A939F9" w:rsidRPr="004841EF">
        <w:t xml:space="preserve"> Employees should be made aware of t</w:t>
      </w:r>
      <w:r w:rsidR="00550358" w:rsidRPr="004841EF">
        <w:t xml:space="preserve">he </w:t>
      </w:r>
      <w:r w:rsidR="00A939F9" w:rsidRPr="004841EF">
        <w:t xml:space="preserve">relevant </w:t>
      </w:r>
      <w:r w:rsidR="00550358" w:rsidRPr="004841EF">
        <w:t>contact point</w:t>
      </w:r>
      <w:r w:rsidRPr="004841EF">
        <w:t xml:space="preserve"> </w:t>
      </w:r>
    </w:p>
    <w:p w14:paraId="75075278" w14:textId="29751CBE" w:rsidR="0032638E" w:rsidRPr="004841EF" w:rsidRDefault="00EC74E9" w:rsidP="001F1BD5">
      <w:pPr>
        <w:pStyle w:val="ListBullet"/>
        <w:rPr>
          <w:lang w:val="en-GB"/>
        </w:rPr>
      </w:pPr>
      <w:r w:rsidRPr="004841EF">
        <w:rPr>
          <w:lang w:val="en-GB"/>
        </w:rPr>
        <w:t>Employers should ensure that</w:t>
      </w:r>
      <w:r w:rsidR="00A01331" w:rsidRPr="004841EF">
        <w:rPr>
          <w:lang w:val="en-GB"/>
        </w:rPr>
        <w:t xml:space="preserve"> all employees, including supervisors, managers and staff, are aware</w:t>
      </w:r>
      <w:r w:rsidRPr="004841EF">
        <w:rPr>
          <w:lang w:val="en-GB"/>
        </w:rPr>
        <w:t xml:space="preserve"> of policies and procedures </w:t>
      </w:r>
      <w:r w:rsidR="001642F6" w:rsidRPr="004841EF">
        <w:rPr>
          <w:lang w:val="en-GB"/>
        </w:rPr>
        <w:t>concerning reasonable accommodation</w:t>
      </w:r>
      <w:r w:rsidR="00A01331" w:rsidRPr="004841EF">
        <w:rPr>
          <w:lang w:val="en-GB"/>
        </w:rPr>
        <w:t>.</w:t>
      </w:r>
      <w:r w:rsidR="00D119D3" w:rsidRPr="004841EF">
        <w:rPr>
          <w:rStyle w:val="FootnoteReference"/>
          <w:rFonts w:ascii="Gill Sans MT" w:hAnsi="Gill Sans MT"/>
          <w:lang w:val="en-GB"/>
        </w:rPr>
        <w:footnoteReference w:id="249"/>
      </w:r>
      <w:r w:rsidR="001642F6" w:rsidRPr="004841EF">
        <w:rPr>
          <w:lang w:val="en-GB"/>
        </w:rPr>
        <w:t xml:space="preserve"> </w:t>
      </w:r>
      <w:r w:rsidR="00652C24" w:rsidRPr="004841EF">
        <w:rPr>
          <w:lang w:val="en-GB"/>
        </w:rPr>
        <w:t xml:space="preserve">Employers should explain </w:t>
      </w:r>
      <w:r w:rsidR="002803D7" w:rsidRPr="004841EF">
        <w:rPr>
          <w:lang w:val="en-GB"/>
        </w:rPr>
        <w:t xml:space="preserve">in general terms </w:t>
      </w:r>
      <w:r w:rsidR="00652C24" w:rsidRPr="004841EF">
        <w:rPr>
          <w:lang w:val="en-GB"/>
        </w:rPr>
        <w:t xml:space="preserve">why the policy is in place and who the policy impacts on. </w:t>
      </w:r>
      <w:r w:rsidR="00A01331" w:rsidRPr="004841EF">
        <w:t>Policies and procedures will not be effective u</w:t>
      </w:r>
      <w:r w:rsidR="001F1BD5" w:rsidRPr="004841EF">
        <w:t>nless everyone knows about them.</w:t>
      </w:r>
      <w:r w:rsidR="00A01331" w:rsidRPr="004841EF">
        <w:t xml:space="preserve"> </w:t>
      </w:r>
      <w:r w:rsidR="00E6414D" w:rsidRPr="004841EF">
        <w:t>This could be done, for example, through staff briefings, contracts of employment, staff handbooks, notice boards, circulars, written notifications to individual employees, equal opportunities training, induction training, management training, training manuals, etc</w:t>
      </w:r>
      <w:r w:rsidR="00E6414D" w:rsidRPr="004841EF">
        <w:rPr>
          <w:rStyle w:val="FootnoteReference"/>
          <w:rFonts w:ascii="Gill Sans MT" w:hAnsi="Gill Sans MT"/>
        </w:rPr>
        <w:footnoteReference w:id="250"/>
      </w:r>
    </w:p>
    <w:p w14:paraId="34F3AF65" w14:textId="683A0D72" w:rsidR="0032638E" w:rsidRPr="004841EF" w:rsidRDefault="0032638E" w:rsidP="00EC74E9">
      <w:pPr>
        <w:pStyle w:val="ListBullet"/>
        <w:rPr>
          <w:lang w:val="en-GB"/>
        </w:rPr>
      </w:pPr>
      <w:r w:rsidRPr="004841EF">
        <w:rPr>
          <w:lang w:val="en-GB"/>
        </w:rPr>
        <w:t>Employers</w:t>
      </w:r>
      <w:r w:rsidR="004356EC" w:rsidRPr="004841EF">
        <w:rPr>
          <w:lang w:val="en-GB"/>
        </w:rPr>
        <w:t xml:space="preserve"> should provide</w:t>
      </w:r>
      <w:r w:rsidR="00255085" w:rsidRPr="004841EF">
        <w:rPr>
          <w:lang w:val="en-GB"/>
        </w:rPr>
        <w:t xml:space="preserve"> publicly accessible</w:t>
      </w:r>
      <w:r w:rsidR="004356EC" w:rsidRPr="004841EF">
        <w:rPr>
          <w:lang w:val="en-GB"/>
        </w:rPr>
        <w:t xml:space="preserve"> information on procedures for dealing with requests for reasonable accommodation</w:t>
      </w:r>
      <w:r w:rsidRPr="004841EF">
        <w:rPr>
          <w:lang w:val="en-GB"/>
        </w:rPr>
        <w:t xml:space="preserve"> from employment candidates with </w:t>
      </w:r>
      <w:r w:rsidR="001642F6" w:rsidRPr="004841EF">
        <w:rPr>
          <w:lang w:val="en-GB"/>
        </w:rPr>
        <w:t>disabilities</w:t>
      </w:r>
      <w:r w:rsidR="004356EC" w:rsidRPr="004841EF">
        <w:rPr>
          <w:lang w:val="en-GB"/>
        </w:rPr>
        <w:t xml:space="preserve">. The Public Appointments Service have </w:t>
      </w:r>
      <w:r w:rsidR="00255085" w:rsidRPr="004841EF">
        <w:rPr>
          <w:lang w:val="en-GB"/>
        </w:rPr>
        <w:t>publishe</w:t>
      </w:r>
      <w:r w:rsidR="004356EC" w:rsidRPr="004841EF">
        <w:rPr>
          <w:lang w:val="en-GB"/>
        </w:rPr>
        <w:t xml:space="preserve">d a “Reasonable Accommodations Requests – Process Flowchart” </w:t>
      </w:r>
      <w:r w:rsidR="00255085" w:rsidRPr="004841EF">
        <w:rPr>
          <w:lang w:val="en-GB"/>
        </w:rPr>
        <w:t xml:space="preserve">on their website </w:t>
      </w:r>
      <w:r w:rsidR="004356EC" w:rsidRPr="004841EF">
        <w:rPr>
          <w:lang w:val="en-GB"/>
        </w:rPr>
        <w:t>which details the steps involved in evaluating a request for reasonable accommodations</w:t>
      </w:r>
      <w:r w:rsidR="004D5E8D" w:rsidRPr="004841EF">
        <w:rPr>
          <w:lang w:val="en-GB"/>
        </w:rPr>
        <w:t xml:space="preserve"> and the type of information which job applicants are expected to provide</w:t>
      </w:r>
      <w:r w:rsidR="001642F6" w:rsidRPr="004841EF">
        <w:rPr>
          <w:lang w:val="en-GB"/>
        </w:rPr>
        <w:t xml:space="preserve"> in support of same</w:t>
      </w:r>
      <w:r w:rsidR="00A24939" w:rsidRPr="004841EF">
        <w:rPr>
          <w:rStyle w:val="FootnoteReference"/>
          <w:rFonts w:ascii="Gill Sans MT" w:hAnsi="Gill Sans MT"/>
          <w:lang w:val="en-GB"/>
        </w:rPr>
        <w:footnoteReference w:id="251"/>
      </w:r>
    </w:p>
    <w:p w14:paraId="039C7B74" w14:textId="736E5005" w:rsidR="00F27A56" w:rsidRPr="004841EF" w:rsidRDefault="00F27A56" w:rsidP="00EC74E9">
      <w:pPr>
        <w:pStyle w:val="ListBullet"/>
        <w:rPr>
          <w:lang w:val="en-GB"/>
        </w:rPr>
      </w:pPr>
      <w:r w:rsidRPr="004841EF">
        <w:rPr>
          <w:lang w:val="en-GB"/>
        </w:rPr>
        <w:t xml:space="preserve">Employers should engage with employees, including employees with disabilities, </w:t>
      </w:r>
      <w:r w:rsidR="00DE7603" w:rsidRPr="004841EF">
        <w:rPr>
          <w:lang w:val="en-GB"/>
        </w:rPr>
        <w:t xml:space="preserve">and other relevant stakeholders, such as trade union representatives, </w:t>
      </w:r>
      <w:r w:rsidRPr="004841EF">
        <w:rPr>
          <w:lang w:val="en-GB"/>
        </w:rPr>
        <w:t>in the development of policies and proce</w:t>
      </w:r>
      <w:r w:rsidR="00B9748A" w:rsidRPr="004841EF">
        <w:rPr>
          <w:lang w:val="en-GB"/>
        </w:rPr>
        <w:t>dures relating to reasonable accommodations.</w:t>
      </w:r>
      <w:r w:rsidR="00DE7603" w:rsidRPr="004841EF">
        <w:rPr>
          <w:rStyle w:val="FootnoteReference"/>
          <w:rFonts w:ascii="Gill Sans MT" w:hAnsi="Gill Sans MT"/>
          <w:lang w:val="en-GB"/>
        </w:rPr>
        <w:footnoteReference w:id="252"/>
      </w:r>
      <w:r w:rsidR="00B9748A" w:rsidRPr="004841EF">
        <w:rPr>
          <w:lang w:val="en-GB"/>
        </w:rPr>
        <w:t xml:space="preserve"> Such engagement can provide an opportunity to </w:t>
      </w:r>
      <w:r w:rsidR="00CC2894" w:rsidRPr="004841EF">
        <w:rPr>
          <w:lang w:val="en-GB"/>
        </w:rPr>
        <w:t xml:space="preserve">identify and address barriers to employment encountered by </w:t>
      </w:r>
      <w:r w:rsidR="00EB4927" w:rsidRPr="004841EF">
        <w:rPr>
          <w:lang w:val="en-GB"/>
        </w:rPr>
        <w:t>persons</w:t>
      </w:r>
      <w:r w:rsidR="00CC2894" w:rsidRPr="004841EF">
        <w:rPr>
          <w:lang w:val="en-GB"/>
        </w:rPr>
        <w:t xml:space="preserve"> with a disability and </w:t>
      </w:r>
      <w:r w:rsidR="000B470E" w:rsidRPr="004841EF">
        <w:rPr>
          <w:lang w:val="en-GB"/>
        </w:rPr>
        <w:t xml:space="preserve">create awareness about disabilities, disclosure and reasonable accommodations, as well as </w:t>
      </w:r>
      <w:r w:rsidR="00B9748A" w:rsidRPr="004841EF">
        <w:rPr>
          <w:lang w:val="en-GB"/>
        </w:rPr>
        <w:t xml:space="preserve">demonstrate organisational commitment to implementing </w:t>
      </w:r>
      <w:r w:rsidR="00716D53" w:rsidRPr="004841EF">
        <w:rPr>
          <w:lang w:val="en-GB"/>
        </w:rPr>
        <w:t xml:space="preserve">the </w:t>
      </w:r>
      <w:r w:rsidR="007971DA" w:rsidRPr="004841EF">
        <w:rPr>
          <w:lang w:val="en-GB"/>
        </w:rPr>
        <w:t xml:space="preserve">relevant </w:t>
      </w:r>
      <w:r w:rsidR="00716D53" w:rsidRPr="004841EF">
        <w:rPr>
          <w:lang w:val="en-GB"/>
        </w:rPr>
        <w:t>policies and procedures</w:t>
      </w:r>
    </w:p>
    <w:p w14:paraId="2538C8BD" w14:textId="4A4CB09B" w:rsidR="009E17DD" w:rsidRPr="004841EF" w:rsidRDefault="009E17DD" w:rsidP="009E17DD">
      <w:pPr>
        <w:pStyle w:val="ListBullet"/>
      </w:pPr>
      <w:r w:rsidRPr="004841EF">
        <w:t xml:space="preserve">Employers should evaluate requests for a reasonable accommodation on a case-by-case basis and adjustments should be designed to meet individual needs. Employers should also ensure that they have sufficient information at their disposal when making decisions on applications for reasonable accommodation. In this regard, case law demonstrates that </w:t>
      </w:r>
      <w:r w:rsidRPr="004841EF">
        <w:rPr>
          <w:lang w:val="en-GB"/>
        </w:rPr>
        <w:t xml:space="preserve">it may be useful, and sometimes necessary, for an employer to consult with </w:t>
      </w:r>
      <w:r w:rsidR="0048485D" w:rsidRPr="004841EF">
        <w:rPr>
          <w:lang w:val="en-GB"/>
        </w:rPr>
        <w:t>human resources personnel</w:t>
      </w:r>
      <w:r w:rsidRPr="004841EF">
        <w:rPr>
          <w:lang w:val="en-GB"/>
        </w:rPr>
        <w:t xml:space="preserve"> and </w:t>
      </w:r>
      <w:r w:rsidR="0048485D" w:rsidRPr="004841EF">
        <w:rPr>
          <w:lang w:val="en-GB"/>
        </w:rPr>
        <w:t xml:space="preserve">other relevant </w:t>
      </w:r>
      <w:r w:rsidRPr="004841EF">
        <w:rPr>
          <w:lang w:val="en-GB"/>
        </w:rPr>
        <w:t>experts where necessary, including obtaining medical advice where appropriate</w:t>
      </w:r>
      <w:r w:rsidR="00513580" w:rsidRPr="004841EF">
        <w:rPr>
          <w:rStyle w:val="FootnoteReference"/>
          <w:rFonts w:ascii="Gill Sans MT" w:hAnsi="Gill Sans MT"/>
          <w:lang w:val="en-GB"/>
        </w:rPr>
        <w:footnoteReference w:id="253"/>
      </w:r>
    </w:p>
    <w:p w14:paraId="0E79CBF6" w14:textId="06326063" w:rsidR="00550358" w:rsidRPr="004841EF" w:rsidRDefault="00550358" w:rsidP="009E17DD">
      <w:pPr>
        <w:pStyle w:val="ListBullet"/>
      </w:pPr>
      <w:r w:rsidRPr="004841EF">
        <w:rPr>
          <w:lang w:val="en-GB"/>
        </w:rPr>
        <w:t>Employers should ensure that the relevant policies and procedures cover</w:t>
      </w:r>
      <w:r w:rsidR="00E762FA" w:rsidRPr="004841EF">
        <w:rPr>
          <w:lang w:val="en-GB"/>
        </w:rPr>
        <w:t>, step-by-step,</w:t>
      </w:r>
      <w:r w:rsidRPr="004841EF">
        <w:rPr>
          <w:lang w:val="en-GB"/>
        </w:rPr>
        <w:t xml:space="preserve"> all stages of the reasonable accommodation process, </w:t>
      </w:r>
      <w:r w:rsidRPr="004841EF">
        <w:t xml:space="preserve">from the point of an enquiry/request for a reasonable accommodation through an assessment of </w:t>
      </w:r>
      <w:r w:rsidR="002803D7" w:rsidRPr="004841EF">
        <w:t>the request</w:t>
      </w:r>
      <w:r w:rsidRPr="004841EF">
        <w:t>, a decision-making process and an appeals process.</w:t>
      </w:r>
      <w:r w:rsidRPr="004841EF">
        <w:rPr>
          <w:rStyle w:val="FootnoteReference"/>
          <w:rFonts w:ascii="Gill Sans MT" w:hAnsi="Gill Sans MT"/>
        </w:rPr>
        <w:footnoteReference w:id="254"/>
      </w:r>
      <w:r w:rsidRPr="004841EF">
        <w:t xml:space="preserve"> There should be a clear allocation of responsibility, accountability and, insofar as is possible, timelines for each stag</w:t>
      </w:r>
      <w:r w:rsidR="00482934" w:rsidRPr="004841EF">
        <w:t>e of the process</w:t>
      </w:r>
    </w:p>
    <w:p w14:paraId="719252EA" w14:textId="34838ADE" w:rsidR="00837DEF" w:rsidRPr="004841EF" w:rsidRDefault="00412EA1" w:rsidP="009E17DD">
      <w:pPr>
        <w:pStyle w:val="ListBullet"/>
      </w:pPr>
      <w:r w:rsidRPr="004841EF">
        <w:t>Employers should develop</w:t>
      </w:r>
      <w:r w:rsidR="00837DEF" w:rsidRPr="004841EF">
        <w:t xml:space="preserve"> standard pro-forma documents to support a seamless reasonable accommodation process, such as a request form for reasonable accommodations, a decision-making form/checklist and appeals forms.</w:t>
      </w:r>
      <w:r w:rsidR="00837DEF" w:rsidRPr="004841EF">
        <w:rPr>
          <w:rStyle w:val="FootnoteReference"/>
          <w:rFonts w:ascii="Gill Sans MT" w:hAnsi="Gill Sans MT"/>
        </w:rPr>
        <w:footnoteReference w:id="255"/>
      </w:r>
      <w:r w:rsidR="00837DEF" w:rsidRPr="004841EF">
        <w:t xml:space="preserve"> </w:t>
      </w:r>
      <w:r w:rsidR="00837DEF" w:rsidRPr="004841EF">
        <w:rPr>
          <w:b/>
        </w:rPr>
        <w:t>See Change</w:t>
      </w:r>
      <w:r w:rsidR="002803D7" w:rsidRPr="004841EF">
        <w:t xml:space="preserve">, an organisation dedicated to ending mental health stigma, informed by people with lived experiences of mental health issues, </w:t>
      </w:r>
      <w:r w:rsidR="00837DEF" w:rsidRPr="004841EF">
        <w:t>have developed a Reasonable Accommodation Checklist for employers</w:t>
      </w:r>
      <w:r w:rsidR="00837DEF" w:rsidRPr="004841EF">
        <w:rPr>
          <w:rStyle w:val="FootnoteReference"/>
          <w:rFonts w:ascii="Gill Sans MT" w:hAnsi="Gill Sans MT"/>
        </w:rPr>
        <w:footnoteReference w:id="256"/>
      </w:r>
    </w:p>
    <w:p w14:paraId="1583BDD7" w14:textId="704FA75F" w:rsidR="0032638E" w:rsidRPr="004841EF" w:rsidRDefault="00FC706C" w:rsidP="004D5E8D">
      <w:pPr>
        <w:pStyle w:val="ListBullet"/>
        <w:rPr>
          <w:lang w:val="en-GB"/>
        </w:rPr>
      </w:pPr>
      <w:r w:rsidRPr="004841EF">
        <w:t>Employers should familiarise themselves with the training and financial supports which may be available to them</w:t>
      </w:r>
      <w:r w:rsidR="003301BE" w:rsidRPr="004841EF">
        <w:t xml:space="preserve"> both</w:t>
      </w:r>
      <w:r w:rsidRPr="004841EF">
        <w:t xml:space="preserve"> to provide reasonable accommodations and </w:t>
      </w:r>
      <w:r w:rsidR="003301BE" w:rsidRPr="004841EF">
        <w:t xml:space="preserve">to create </w:t>
      </w:r>
      <w:r w:rsidRPr="004841EF">
        <w:t>a disability inclusive workplace.</w:t>
      </w:r>
      <w:r w:rsidR="00E762FA" w:rsidRPr="004841EF">
        <w:rPr>
          <w:rStyle w:val="FootnoteReference"/>
          <w:rFonts w:ascii="Gill Sans MT" w:hAnsi="Gill Sans MT"/>
        </w:rPr>
        <w:footnoteReference w:id="257"/>
      </w:r>
      <w:r w:rsidRPr="004841EF">
        <w:t xml:space="preserve"> For instance, private </w:t>
      </w:r>
      <w:r w:rsidR="00E762FA" w:rsidRPr="004841EF">
        <w:t xml:space="preserve">sector </w:t>
      </w:r>
      <w:r w:rsidRPr="004841EF">
        <w:t>employers should acquaint themselves with the supports available through the Department of Employment Affairs and Social Protection for personal readers, workplace adaptations, disability awareness training etc.</w:t>
      </w:r>
      <w:r w:rsidR="00865CC9" w:rsidRPr="004841EF">
        <w:t xml:space="preserve"> The availability of these grants supports should be taken into account when an employer is determining whether an accommodation will impose a disproportionate burden on them</w:t>
      </w:r>
    </w:p>
    <w:p w14:paraId="7A16AB0E" w14:textId="7F0469C6" w:rsidR="004D5E8D" w:rsidRPr="004841EF" w:rsidRDefault="0032638E" w:rsidP="004D5E8D">
      <w:pPr>
        <w:pStyle w:val="ListBullet"/>
        <w:rPr>
          <w:lang w:val="en-GB"/>
        </w:rPr>
      </w:pPr>
      <w:r w:rsidRPr="004841EF">
        <w:t>Employers should ensure that a</w:t>
      </w:r>
      <w:r w:rsidR="004D5E8D" w:rsidRPr="004841EF">
        <w:t xml:space="preserve"> review or appeals mechanism </w:t>
      </w:r>
      <w:r w:rsidRPr="004841EF">
        <w:t>is</w:t>
      </w:r>
      <w:r w:rsidR="004D5E8D" w:rsidRPr="004841EF">
        <w:t xml:space="preserve"> available to an employee</w:t>
      </w:r>
      <w:r w:rsidRPr="004841EF">
        <w:t xml:space="preserve"> or an employment candidate</w:t>
      </w:r>
      <w:r w:rsidR="004D5E8D" w:rsidRPr="004841EF">
        <w:t xml:space="preserve"> where they have been denied a reasonable accommodation. The International Labour Organisation has noted that if an employee is dissatisfied with the decision made in respect of their request for an accommodation, there should be an opportunity to appeal that decision to senior management</w:t>
      </w:r>
      <w:r w:rsidR="004D5E8D" w:rsidRPr="004841EF">
        <w:rPr>
          <w:rStyle w:val="FootnoteReference"/>
          <w:rFonts w:ascii="Gill Sans MT" w:hAnsi="Gill Sans MT"/>
        </w:rPr>
        <w:footnoteReference w:id="258"/>
      </w:r>
    </w:p>
    <w:p w14:paraId="52AD4301" w14:textId="1DDDD82A" w:rsidR="006C2D67" w:rsidRPr="004841EF" w:rsidRDefault="006C2D67" w:rsidP="0032638E">
      <w:pPr>
        <w:pStyle w:val="ListBullet"/>
        <w:rPr>
          <w:lang w:val="en-GB"/>
        </w:rPr>
      </w:pPr>
      <w:r w:rsidRPr="004841EF">
        <w:rPr>
          <w:lang w:val="en-GB"/>
        </w:rPr>
        <w:t xml:space="preserve">Employers should ensure that requests for reasonable accommodation are dealt with in as expeditious a manner as possible and agreed reasonable accommodations should be implemented quickly and satisfactorily. </w:t>
      </w:r>
      <w:r w:rsidRPr="004841EF">
        <w:rPr>
          <w:bCs/>
        </w:rPr>
        <w:t xml:space="preserve">The </w:t>
      </w:r>
      <w:r w:rsidRPr="004841EF">
        <w:rPr>
          <w:b/>
          <w:bCs/>
        </w:rPr>
        <w:t>UK’s Civil Service Diversity and Inclusion Strategy, A Brilliant Civil Service</w:t>
      </w:r>
      <w:r w:rsidR="001642F6" w:rsidRPr="004841EF">
        <w:rPr>
          <w:b/>
          <w:bCs/>
        </w:rPr>
        <w:t>,</w:t>
      </w:r>
      <w:r w:rsidRPr="004841EF">
        <w:rPr>
          <w:lang w:val="en-GB"/>
        </w:rPr>
        <w:t xml:space="preserve"> states that adjustments should be put in place in a “timely manner”.</w:t>
      </w:r>
      <w:r w:rsidR="0048485D" w:rsidRPr="004841EF">
        <w:rPr>
          <w:rStyle w:val="FootnoteReference"/>
          <w:rFonts w:ascii="Gill Sans MT" w:hAnsi="Gill Sans MT"/>
          <w:lang w:val="en-GB"/>
        </w:rPr>
        <w:footnoteReference w:id="259"/>
      </w:r>
      <w:r w:rsidRPr="004841EF">
        <w:rPr>
          <w:lang w:val="en-GB"/>
        </w:rPr>
        <w:t xml:space="preserve"> Where delays are encountered in the evaluation of a</w:t>
      </w:r>
      <w:r w:rsidR="009B2D37" w:rsidRPr="004841EF">
        <w:rPr>
          <w:lang w:val="en-GB"/>
        </w:rPr>
        <w:t>n accommodation</w:t>
      </w:r>
      <w:r w:rsidRPr="004841EF">
        <w:rPr>
          <w:lang w:val="en-GB"/>
        </w:rPr>
        <w:t xml:space="preserve"> request or in the provision of </w:t>
      </w:r>
      <w:r w:rsidR="006C498E" w:rsidRPr="004841EF">
        <w:rPr>
          <w:lang w:val="en-GB"/>
        </w:rPr>
        <w:t>an agreed accommodation</w:t>
      </w:r>
      <w:r w:rsidRPr="004841EF">
        <w:rPr>
          <w:lang w:val="en-GB"/>
        </w:rPr>
        <w:t>, the employee or prospective employee should be consulted and kept abreast of the re</w:t>
      </w:r>
      <w:r w:rsidR="005F6301" w:rsidRPr="004841EF">
        <w:rPr>
          <w:lang w:val="en-GB"/>
        </w:rPr>
        <w:t>asons for any such delay</w:t>
      </w:r>
    </w:p>
    <w:p w14:paraId="5BF04E36" w14:textId="30B8C561" w:rsidR="008756B2" w:rsidRPr="004841EF" w:rsidRDefault="00FB3A2E" w:rsidP="0060454C">
      <w:pPr>
        <w:pStyle w:val="ListBullet"/>
        <w:rPr>
          <w:lang w:val="en-GB"/>
        </w:rPr>
      </w:pPr>
      <w:r w:rsidRPr="004841EF">
        <w:rPr>
          <w:lang w:val="en-GB"/>
        </w:rPr>
        <w:t xml:space="preserve">Employers should ensure that </w:t>
      </w:r>
      <w:r w:rsidR="008756B2" w:rsidRPr="004841EF">
        <w:rPr>
          <w:lang w:val="en-GB"/>
        </w:rPr>
        <w:t>policies and procedures</w:t>
      </w:r>
      <w:r w:rsidR="00A941E8" w:rsidRPr="004841EF">
        <w:rPr>
          <w:lang w:val="en-GB"/>
        </w:rPr>
        <w:t xml:space="preserve"> on reasonable accommodations</w:t>
      </w:r>
      <w:r w:rsidR="008756B2" w:rsidRPr="004841EF">
        <w:rPr>
          <w:lang w:val="en-GB"/>
        </w:rPr>
        <w:t xml:space="preserve"> contain </w:t>
      </w:r>
      <w:r w:rsidR="008756B2" w:rsidRPr="004841EF">
        <w:t xml:space="preserve">a built-in review process to </w:t>
      </w:r>
      <w:r w:rsidR="00195286" w:rsidRPr="004841EF">
        <w:t xml:space="preserve">examine </w:t>
      </w:r>
      <w:r w:rsidR="00A941E8" w:rsidRPr="004841EF">
        <w:t>the effectiveness of implemented accommodations</w:t>
      </w:r>
      <w:r w:rsidR="008756B2" w:rsidRPr="004841EF">
        <w:rPr>
          <w:lang w:val="en-GB"/>
        </w:rPr>
        <w:t>.</w:t>
      </w:r>
      <w:r w:rsidR="007C7CFC" w:rsidRPr="004841EF">
        <w:rPr>
          <w:rStyle w:val="FootnoteReference"/>
          <w:rFonts w:ascii="Gill Sans MT" w:hAnsi="Gill Sans MT"/>
          <w:lang w:val="en-GB"/>
        </w:rPr>
        <w:footnoteReference w:id="260"/>
      </w:r>
      <w:r w:rsidR="008756B2" w:rsidRPr="004841EF">
        <w:rPr>
          <w:lang w:val="en-GB"/>
        </w:rPr>
        <w:t xml:space="preserve"> Once a reasonable accommodation is implemented, the employer or another appropriate member of staff should </w:t>
      </w:r>
      <w:r w:rsidR="007C7CFC" w:rsidRPr="004841EF">
        <w:rPr>
          <w:lang w:val="en-GB"/>
        </w:rPr>
        <w:t xml:space="preserve">periodically </w:t>
      </w:r>
      <w:r w:rsidR="008756B2" w:rsidRPr="004841EF">
        <w:rPr>
          <w:lang w:val="en-GB"/>
        </w:rPr>
        <w:t xml:space="preserve">check to ensure that the adjustment </w:t>
      </w:r>
      <w:r w:rsidR="00A941E8" w:rsidRPr="004841EF">
        <w:rPr>
          <w:lang w:val="en-GB"/>
        </w:rPr>
        <w:t>is meeting</w:t>
      </w:r>
      <w:r w:rsidR="007C7CFC" w:rsidRPr="004841EF">
        <w:rPr>
          <w:lang w:val="en-GB"/>
        </w:rPr>
        <w:t xml:space="preserve"> and continues to meet,</w:t>
      </w:r>
      <w:r w:rsidR="008756B2" w:rsidRPr="004841EF">
        <w:rPr>
          <w:lang w:val="en-GB"/>
        </w:rPr>
        <w:t xml:space="preserve"> the needs of the employee. It is important to recognise that additional or altered accommodations may be required if there is a change in circumstances, condition or job role. </w:t>
      </w:r>
      <w:r w:rsidR="0050483C" w:rsidRPr="004841EF">
        <w:t>It has been recommended that r</w:t>
      </w:r>
      <w:r w:rsidR="0060454C" w:rsidRPr="004841EF">
        <w:t>easonable accommodations be reviewed every 3-6 months to allow for changes in the employee’s needs</w:t>
      </w:r>
      <w:r w:rsidR="00CF1231" w:rsidRPr="004841EF">
        <w:rPr>
          <w:rStyle w:val="FootnoteReference"/>
          <w:rFonts w:ascii="Gill Sans MT" w:hAnsi="Gill Sans MT"/>
        </w:rPr>
        <w:footnoteReference w:id="261"/>
      </w:r>
    </w:p>
    <w:p w14:paraId="2CF54715" w14:textId="6F4CDBA6" w:rsidR="00BD1878" w:rsidRPr="004841EF" w:rsidRDefault="00BD1878" w:rsidP="0060454C">
      <w:pPr>
        <w:pStyle w:val="ListBullet"/>
        <w:rPr>
          <w:lang w:val="en-GB"/>
        </w:rPr>
      </w:pPr>
      <w:r w:rsidRPr="004841EF">
        <w:t xml:space="preserve">Employers should encourage employees to communicate with them when </w:t>
      </w:r>
      <w:r w:rsidR="000B6C87" w:rsidRPr="004841EF">
        <w:t>their needs change</w:t>
      </w:r>
      <w:r w:rsidRPr="004841EF">
        <w:t xml:space="preserve"> or </w:t>
      </w:r>
      <w:r w:rsidR="000B6C87" w:rsidRPr="004841EF">
        <w:t xml:space="preserve">when issues arise </w:t>
      </w:r>
      <w:r w:rsidRPr="004841EF">
        <w:t>with an</w:t>
      </w:r>
      <w:r w:rsidR="001B06E4" w:rsidRPr="004841EF">
        <w:t xml:space="preserve"> </w:t>
      </w:r>
      <w:r w:rsidR="00A941E8" w:rsidRPr="004841EF">
        <w:t xml:space="preserve">implemented </w:t>
      </w:r>
      <w:r w:rsidR="001B06E4" w:rsidRPr="004841EF">
        <w:t xml:space="preserve">accommodation, and should provide employees with details of </w:t>
      </w:r>
      <w:r w:rsidRPr="004841EF">
        <w:t>who to contact for assistance</w:t>
      </w:r>
      <w:r w:rsidR="00AD76B9" w:rsidRPr="004841EF">
        <w:rPr>
          <w:rStyle w:val="FootnoteReference"/>
          <w:rFonts w:ascii="Gill Sans MT" w:hAnsi="Gill Sans MT"/>
        </w:rPr>
        <w:footnoteReference w:id="262"/>
      </w:r>
    </w:p>
    <w:p w14:paraId="58B4C5D2" w14:textId="0CBB97A8" w:rsidR="00B10FC5" w:rsidRPr="004841EF" w:rsidRDefault="00B10FC5" w:rsidP="00B10FC5">
      <w:pPr>
        <w:pStyle w:val="ListBullet"/>
        <w:rPr>
          <w:lang w:val="en-GB"/>
        </w:rPr>
      </w:pPr>
      <w:r w:rsidRPr="004841EF">
        <w:rPr>
          <w:lang w:val="en-GB"/>
        </w:rPr>
        <w:t>Employers should maintain appropriate records pertaining to reasonable accommodation</w:t>
      </w:r>
      <w:r w:rsidR="00976F7F" w:rsidRPr="004841EF">
        <w:rPr>
          <w:lang w:val="en-GB"/>
        </w:rPr>
        <w:t>s</w:t>
      </w:r>
      <w:r w:rsidRPr="004841EF">
        <w:rPr>
          <w:lang w:val="en-GB"/>
        </w:rPr>
        <w:t>.</w:t>
      </w:r>
      <w:r w:rsidR="0060454C" w:rsidRPr="004841EF">
        <w:rPr>
          <w:rStyle w:val="FootnoteReference"/>
          <w:rFonts w:ascii="Gill Sans MT" w:hAnsi="Gill Sans MT"/>
          <w:lang w:val="en-GB"/>
        </w:rPr>
        <w:footnoteReference w:id="263"/>
      </w:r>
      <w:r w:rsidRPr="004841EF">
        <w:rPr>
          <w:lang w:val="en-GB"/>
        </w:rPr>
        <w:t xml:space="preserve"> Details of any requests for reasonable accommodations, including the reason why a request has </w:t>
      </w:r>
      <w:r w:rsidR="00A941E8" w:rsidRPr="004841EF">
        <w:rPr>
          <w:lang w:val="en-GB"/>
        </w:rPr>
        <w:t xml:space="preserve">been granted or declined </w:t>
      </w:r>
      <w:r w:rsidRPr="004841EF">
        <w:rPr>
          <w:lang w:val="en-GB"/>
        </w:rPr>
        <w:t xml:space="preserve">should be recorded, as well as the details of any </w:t>
      </w:r>
      <w:r w:rsidR="00713293" w:rsidRPr="004841EF">
        <w:rPr>
          <w:lang w:val="en-GB"/>
        </w:rPr>
        <w:t>implemented</w:t>
      </w:r>
      <w:r w:rsidRPr="004841EF">
        <w:rPr>
          <w:lang w:val="en-GB"/>
        </w:rPr>
        <w:t xml:space="preserve"> adjustment. </w:t>
      </w:r>
      <w:r w:rsidR="00A941E8" w:rsidRPr="004841EF">
        <w:rPr>
          <w:lang w:val="en-GB"/>
        </w:rPr>
        <w:t>S</w:t>
      </w:r>
      <w:r w:rsidR="00EA092E" w:rsidRPr="004841EF">
        <w:rPr>
          <w:lang w:val="en-GB"/>
        </w:rPr>
        <w:t>uch records eliminate the need for employees to renegotiate accommodations if they move internally, gain promotion or change supervisor / manager.</w:t>
      </w:r>
      <w:r w:rsidR="00EA092E" w:rsidRPr="004841EF">
        <w:rPr>
          <w:rStyle w:val="FootnoteReference"/>
          <w:rFonts w:ascii="Gill Sans MT" w:hAnsi="Gill Sans MT"/>
          <w:lang w:val="en-GB"/>
        </w:rPr>
        <w:footnoteReference w:id="264"/>
      </w:r>
      <w:r w:rsidR="00EA092E" w:rsidRPr="004841EF">
        <w:rPr>
          <w:lang w:val="en-GB"/>
        </w:rPr>
        <w:t xml:space="preserve"> </w:t>
      </w:r>
      <w:r w:rsidRPr="004841EF">
        <w:rPr>
          <w:lang w:val="en-GB"/>
        </w:rPr>
        <w:t xml:space="preserve">All such information, including requests for reasonable accommodations, must be treated confidentially and in line with </w:t>
      </w:r>
      <w:r w:rsidR="006C498E" w:rsidRPr="004841EF">
        <w:rPr>
          <w:lang w:val="en-GB"/>
        </w:rPr>
        <w:t>data protection and privacy laws</w:t>
      </w:r>
    </w:p>
    <w:p w14:paraId="2A15F749" w14:textId="2A0A7E2A" w:rsidR="00DE7603" w:rsidRPr="004841EF" w:rsidRDefault="00DE7603" w:rsidP="00B10FC5">
      <w:pPr>
        <w:pStyle w:val="ListBullet"/>
        <w:rPr>
          <w:lang w:val="en-GB"/>
        </w:rPr>
      </w:pPr>
      <w:r w:rsidRPr="004841EF">
        <w:rPr>
          <w:lang w:val="en-GB"/>
        </w:rPr>
        <w:t>Employers should ensure that policies and procedures on reasonable accommodations are accessible to all employees, including employees with disabilities</w:t>
      </w:r>
      <w:r w:rsidRPr="004841EF">
        <w:rPr>
          <w:rStyle w:val="FootnoteReference"/>
          <w:rFonts w:ascii="Gill Sans MT" w:hAnsi="Gill Sans MT"/>
          <w:lang w:val="en-GB"/>
        </w:rPr>
        <w:footnoteReference w:id="265"/>
      </w:r>
    </w:p>
    <w:p w14:paraId="27BC77E0" w14:textId="1A29321C" w:rsidR="00EE601F" w:rsidRPr="004841EF" w:rsidRDefault="00EE601F" w:rsidP="000A7AA2">
      <w:pPr>
        <w:pStyle w:val="ListBullet"/>
        <w:spacing w:after="240"/>
        <w:ind w:left="357" w:hanging="357"/>
        <w:rPr>
          <w:lang w:val="en-GB"/>
        </w:rPr>
      </w:pPr>
      <w:r w:rsidRPr="004841EF">
        <w:t>Employers should</w:t>
      </w:r>
      <w:r w:rsidR="00CC2894" w:rsidRPr="004841EF">
        <w:t xml:space="preserve"> audit and</w:t>
      </w:r>
      <w:r w:rsidRPr="004841EF">
        <w:t xml:space="preserve"> review existing organisational policies, procedures and practices to ensure</w:t>
      </w:r>
      <w:r w:rsidR="00A2624A" w:rsidRPr="004841EF">
        <w:t xml:space="preserve"> that they are compatible with their</w:t>
      </w:r>
      <w:r w:rsidRPr="004841EF">
        <w:t xml:space="preserve"> reasonable accommodation policy</w:t>
      </w:r>
      <w:r w:rsidR="0006639F" w:rsidRPr="004841EF">
        <w:t>, for example,</w:t>
      </w:r>
      <w:r w:rsidRPr="004841EF">
        <w:t xml:space="preserve"> a </w:t>
      </w:r>
      <w:r w:rsidR="00A2624A" w:rsidRPr="004841EF">
        <w:t xml:space="preserve">HR policy which prohibits </w:t>
      </w:r>
      <w:r w:rsidRPr="004841EF">
        <w:t>part-time working hours</w:t>
      </w:r>
      <w:r w:rsidR="00DC0E1A" w:rsidRPr="004841EF">
        <w:t xml:space="preserve"> may not be compatible with the obligation to provide reasonable accommodations to employees with a disability. Additionally, disciplinary and grievance policies and procedures may need to be adjusted to accommodate persons with a disability</w:t>
      </w:r>
      <w:r w:rsidR="00DC0E1A" w:rsidRPr="004841EF">
        <w:rPr>
          <w:rStyle w:val="FootnoteReference"/>
          <w:rFonts w:ascii="Gill Sans MT" w:hAnsi="Gill Sans MT"/>
        </w:rPr>
        <w:footnoteReference w:id="266"/>
      </w:r>
    </w:p>
    <w:p w14:paraId="044F8360" w14:textId="5BBFB141" w:rsidR="00EC74E9" w:rsidRPr="004841EF" w:rsidRDefault="00037C18" w:rsidP="00EC74E9">
      <w:pPr>
        <w:pStyle w:val="Heading2"/>
      </w:pPr>
      <w:bookmarkStart w:id="254" w:name="_Toc26192135"/>
      <w:bookmarkStart w:id="255" w:name="_Toc42172552"/>
      <w:r w:rsidRPr="004841EF">
        <w:t xml:space="preserve">5.5. </w:t>
      </w:r>
      <w:r w:rsidR="00EC74E9" w:rsidRPr="004841EF">
        <w:t>Job</w:t>
      </w:r>
      <w:r w:rsidR="00DF443C" w:rsidRPr="004841EF">
        <w:t xml:space="preserve"> and Person</w:t>
      </w:r>
      <w:r w:rsidR="00EC74E9" w:rsidRPr="004841EF">
        <w:t xml:space="preserve"> Descriptions</w:t>
      </w:r>
      <w:bookmarkEnd w:id="254"/>
      <w:bookmarkEnd w:id="255"/>
    </w:p>
    <w:p w14:paraId="796FB9C9" w14:textId="6972C8CA" w:rsidR="00DF443C" w:rsidRPr="004841EF" w:rsidRDefault="00DF443C" w:rsidP="00C73920">
      <w:pPr>
        <w:pStyle w:val="ListBullet"/>
      </w:pPr>
      <w:r w:rsidRPr="004841EF">
        <w:t xml:space="preserve">As stipulated, it is good practice for employers to </w:t>
      </w:r>
      <w:r w:rsidR="005744E4" w:rsidRPr="004841EF">
        <w:t xml:space="preserve">pre-empt accommodation requests and </w:t>
      </w:r>
      <w:r w:rsidRPr="004841EF">
        <w:t>be prepared for making reasonable accommodations. Therefore, w</w:t>
      </w:r>
      <w:r w:rsidR="00B979D7" w:rsidRPr="004841EF">
        <w:t xml:space="preserve">hen devising job descriptions, employers should bear in mind that people may need an accommodation to undertake a specific role or task. </w:t>
      </w:r>
      <w:r w:rsidR="00EC74E9" w:rsidRPr="004841EF">
        <w:t>Where there are different ways of performing a task, job descriptions should not specify how the task should be done.</w:t>
      </w:r>
      <w:r w:rsidR="0023584A" w:rsidRPr="004841EF">
        <w:rPr>
          <w:rStyle w:val="FootnoteReference"/>
          <w:rFonts w:ascii="Gill Sans MT" w:hAnsi="Gill Sans MT"/>
        </w:rPr>
        <w:footnoteReference w:id="267"/>
      </w:r>
      <w:r w:rsidR="00EC74E9" w:rsidRPr="004841EF">
        <w:t xml:space="preserve"> Instead, the job description should state what outcome needs to be achieved.</w:t>
      </w:r>
      <w:r w:rsidR="00D67172" w:rsidRPr="004841EF">
        <w:t xml:space="preserve"> </w:t>
      </w:r>
      <w:r w:rsidRPr="004841EF">
        <w:t>For example, a requirement to possess a driving licence might discriminate against individuals with a visual impairment or who are not medically permitted to drive (</w:t>
      </w:r>
      <w:r w:rsidR="0006639F" w:rsidRPr="004841EF">
        <w:t>for example,</w:t>
      </w:r>
      <w:r w:rsidRPr="004841EF">
        <w:t xml:space="preserve"> due to epilepsy or arthritis)</w:t>
      </w:r>
      <w:r w:rsidR="0006639F" w:rsidRPr="004841EF">
        <w:t>,</w:t>
      </w:r>
      <w:r w:rsidRPr="004841EF">
        <w:t xml:space="preserve"> unless driving is an essential requirement of the job.</w:t>
      </w:r>
      <w:r w:rsidR="00706CC7" w:rsidRPr="004841EF">
        <w:rPr>
          <w:rStyle w:val="FootnoteReference"/>
          <w:rFonts w:ascii="Gill Sans MT" w:hAnsi="Gill Sans MT"/>
        </w:rPr>
        <w:footnoteReference w:id="268"/>
      </w:r>
      <w:r w:rsidRPr="004841EF">
        <w:t xml:space="preserve"> This can be replaced with, “required to travel throughout the region’. The candidate may be able to fulfil this requirement by using alternative forms of transport</w:t>
      </w:r>
    </w:p>
    <w:p w14:paraId="4E3751E6" w14:textId="500A83D8" w:rsidR="00DF443C" w:rsidRPr="004841EF" w:rsidRDefault="00FB3A2E" w:rsidP="00EC74E9">
      <w:pPr>
        <w:pStyle w:val="ListBullet"/>
      </w:pPr>
      <w:r w:rsidRPr="004841EF">
        <w:t xml:space="preserve">Employers should </w:t>
      </w:r>
      <w:r w:rsidR="00EC74E9" w:rsidRPr="004841EF">
        <w:t xml:space="preserve">not specify working hours or working patterns </w:t>
      </w:r>
      <w:r w:rsidRPr="004841EF">
        <w:t xml:space="preserve">in job descriptions </w:t>
      </w:r>
      <w:r w:rsidR="00EC74E9" w:rsidRPr="004841EF">
        <w:t>that are not necessary to the job in question.</w:t>
      </w:r>
      <w:r w:rsidR="0023584A" w:rsidRPr="004841EF">
        <w:rPr>
          <w:rStyle w:val="FootnoteReference"/>
          <w:rFonts w:ascii="Gill Sans MT" w:hAnsi="Gill Sans MT"/>
        </w:rPr>
        <w:footnoteReference w:id="269"/>
      </w:r>
      <w:r w:rsidR="00EC74E9" w:rsidRPr="004841EF">
        <w:t xml:space="preserve"> If a job could be done either part-time</w:t>
      </w:r>
      <w:r w:rsidR="0050483C" w:rsidRPr="004841EF">
        <w:t xml:space="preserve"> </w:t>
      </w:r>
      <w:r w:rsidR="00EC74E9" w:rsidRPr="004841EF">
        <w:t>or through job share arrangements, this should be stated in the job description</w:t>
      </w:r>
    </w:p>
    <w:p w14:paraId="3B4DC463" w14:textId="6AF9102C" w:rsidR="00DF443C" w:rsidRPr="004841EF" w:rsidRDefault="00DF443C" w:rsidP="00EC74E9">
      <w:pPr>
        <w:pStyle w:val="ListBullet"/>
      </w:pPr>
      <w:r w:rsidRPr="004841EF">
        <w:t>Employers should c</w:t>
      </w:r>
      <w:r w:rsidR="00EC74E9" w:rsidRPr="004841EF">
        <w:t xml:space="preserve">onsider whether combining job tasks in different ways could open up opportunities to work for </w:t>
      </w:r>
      <w:r w:rsidR="00EB4927" w:rsidRPr="004841EF">
        <w:t xml:space="preserve">persons </w:t>
      </w:r>
      <w:r w:rsidR="00EC74E9" w:rsidRPr="004841EF">
        <w:t xml:space="preserve">with disabilities who may </w:t>
      </w:r>
      <w:r w:rsidR="005744E4" w:rsidRPr="004841EF">
        <w:t>have difficulties</w:t>
      </w:r>
      <w:r w:rsidR="00EC74E9" w:rsidRPr="004841EF">
        <w:t xml:space="preserve"> fulfil</w:t>
      </w:r>
      <w:r w:rsidR="005744E4" w:rsidRPr="004841EF">
        <w:t>ling some of the particular task</w:t>
      </w:r>
      <w:r w:rsidR="00EC74E9" w:rsidRPr="004841EF">
        <w:t>s</w:t>
      </w:r>
      <w:r w:rsidR="005744E4" w:rsidRPr="004841EF">
        <w:t xml:space="preserve"> or duties that are </w:t>
      </w:r>
      <w:r w:rsidR="00EC74E9" w:rsidRPr="004841EF">
        <w:t>specified</w:t>
      </w:r>
    </w:p>
    <w:p w14:paraId="3173F005" w14:textId="7E3F9739" w:rsidR="00EC74E9" w:rsidRPr="004841EF" w:rsidRDefault="00037C18" w:rsidP="00EC74E9">
      <w:pPr>
        <w:pStyle w:val="Heading2"/>
      </w:pPr>
      <w:bookmarkStart w:id="256" w:name="_Toc26192136"/>
      <w:bookmarkStart w:id="257" w:name="_Toc42172553"/>
      <w:r w:rsidRPr="004841EF">
        <w:t xml:space="preserve">5.6. </w:t>
      </w:r>
      <w:r w:rsidR="00EC74E9" w:rsidRPr="004841EF">
        <w:t>Application Forms</w:t>
      </w:r>
      <w:bookmarkEnd w:id="256"/>
      <w:bookmarkEnd w:id="257"/>
    </w:p>
    <w:p w14:paraId="47CBB26D" w14:textId="6C94E028" w:rsidR="00EC74E9" w:rsidRPr="004841EF" w:rsidRDefault="00FB3A2E" w:rsidP="0035402D">
      <w:pPr>
        <w:pStyle w:val="ListBullet"/>
      </w:pPr>
      <w:r w:rsidRPr="004841EF">
        <w:t>Employers should ensure that</w:t>
      </w:r>
      <w:r w:rsidR="00E2739F" w:rsidRPr="004841EF">
        <w:t xml:space="preserve"> there is a section on the</w:t>
      </w:r>
      <w:r w:rsidR="00EC74E9" w:rsidRPr="004841EF">
        <w:t xml:space="preserve"> job application form</w:t>
      </w:r>
      <w:r w:rsidR="00E2739F" w:rsidRPr="004841EF">
        <w:t xml:space="preserve"> for the applicant to identify</w:t>
      </w:r>
      <w:r w:rsidRPr="004841EF">
        <w:t xml:space="preserve"> </w:t>
      </w:r>
      <w:r w:rsidR="00E2739F" w:rsidRPr="004841EF">
        <w:t>any</w:t>
      </w:r>
      <w:r w:rsidR="00EC74E9" w:rsidRPr="004841EF">
        <w:t xml:space="preserve"> reasonable accommodations </w:t>
      </w:r>
      <w:r w:rsidR="00E2739F" w:rsidRPr="004841EF">
        <w:t>they may require</w:t>
      </w:r>
      <w:r w:rsidR="00EC74E9" w:rsidRPr="004841EF">
        <w:t xml:space="preserve"> for </w:t>
      </w:r>
      <w:r w:rsidRPr="004841EF">
        <w:t xml:space="preserve">the pre-interview (if applicable) or interview </w:t>
      </w:r>
      <w:r w:rsidR="00EC74E9" w:rsidRPr="004841EF">
        <w:t>stage.</w:t>
      </w:r>
      <w:r w:rsidR="00E2739F" w:rsidRPr="004841EF">
        <w:rPr>
          <w:rStyle w:val="FootnoteReference"/>
          <w:rFonts w:ascii="Gill Sans MT" w:hAnsi="Gill Sans MT"/>
        </w:rPr>
        <w:footnoteReference w:id="270"/>
      </w:r>
      <w:r w:rsidR="00EC74E9" w:rsidRPr="004841EF">
        <w:t xml:space="preserve"> The text should reassure the applicant that this information is being sought in order to accommodate the needs of </w:t>
      </w:r>
      <w:r w:rsidR="00EB4927" w:rsidRPr="004841EF">
        <w:t xml:space="preserve">persons </w:t>
      </w:r>
      <w:r w:rsidR="00EC74E9" w:rsidRPr="004841EF">
        <w:t>with disabilities</w:t>
      </w:r>
      <w:r w:rsidR="00E2739F" w:rsidRPr="004841EF">
        <w:rPr>
          <w:rStyle w:val="FootnoteReference"/>
          <w:rFonts w:ascii="Gill Sans MT" w:hAnsi="Gill Sans MT"/>
        </w:rPr>
        <w:footnoteReference w:id="271"/>
      </w:r>
    </w:p>
    <w:p w14:paraId="6C88EBCB" w14:textId="203388A2" w:rsidR="00EC74E9" w:rsidRPr="004841EF" w:rsidRDefault="00FB3A2E" w:rsidP="00954B2E">
      <w:pPr>
        <w:pStyle w:val="ListBullet"/>
      </w:pPr>
      <w:r w:rsidRPr="004841EF">
        <w:t xml:space="preserve">Employers should ensure that the application form </w:t>
      </w:r>
      <w:r w:rsidR="003C29CA" w:rsidRPr="004841EF">
        <w:t>contain</w:t>
      </w:r>
      <w:r w:rsidRPr="004841EF">
        <w:t>s</w:t>
      </w:r>
      <w:r w:rsidR="003C29CA" w:rsidRPr="004841EF">
        <w:t xml:space="preserve"> clear instructions, in Plain English, that are easy to follow. </w:t>
      </w:r>
      <w:r w:rsidR="00954B2E" w:rsidRPr="004841EF">
        <w:t xml:space="preserve">The questions should focus on work-related information, for example educational attainments, skills, knowledge and abilities. </w:t>
      </w:r>
      <w:r w:rsidR="00EC74E9" w:rsidRPr="004841EF">
        <w:t xml:space="preserve">The application form and any documentation on the job should be available on request in different formats such as large print, Braille, or e-mail, so that they are accessible to </w:t>
      </w:r>
      <w:r w:rsidR="00EB4927" w:rsidRPr="004841EF">
        <w:t xml:space="preserve">persons </w:t>
      </w:r>
      <w:r w:rsidR="00EC74E9" w:rsidRPr="004841EF">
        <w:t>with disabilities</w:t>
      </w:r>
    </w:p>
    <w:p w14:paraId="5BCAAFAC" w14:textId="380E9636" w:rsidR="002D654A" w:rsidRPr="004841EF" w:rsidRDefault="002D654A" w:rsidP="000A7AA2">
      <w:pPr>
        <w:pStyle w:val="ListBullet"/>
        <w:spacing w:after="240"/>
        <w:ind w:left="357" w:hanging="357"/>
      </w:pPr>
      <w:r w:rsidRPr="004841EF">
        <w:t>Employers should ask candidates for their preferred method of contact on job application forms</w:t>
      </w:r>
      <w:r w:rsidR="0006639F" w:rsidRPr="004841EF">
        <w:t>, for example,</w:t>
      </w:r>
      <w:r w:rsidR="00AE3C49" w:rsidRPr="004841EF">
        <w:t xml:space="preserve"> </w:t>
      </w:r>
      <w:r w:rsidRPr="004841EF">
        <w:t>email, phone, Braille etc.</w:t>
      </w:r>
    </w:p>
    <w:p w14:paraId="09C24D1A" w14:textId="2C2C68C2" w:rsidR="00EC74E9" w:rsidRPr="004841EF" w:rsidRDefault="00037C18" w:rsidP="00E05912">
      <w:pPr>
        <w:pStyle w:val="Heading2"/>
      </w:pPr>
      <w:bookmarkStart w:id="258" w:name="_Toc26192137"/>
      <w:bookmarkStart w:id="259" w:name="_Toc42172554"/>
      <w:r w:rsidRPr="004841EF">
        <w:t xml:space="preserve">5.7. </w:t>
      </w:r>
      <w:r w:rsidR="00EC74E9" w:rsidRPr="004841EF">
        <w:t>Advertising Stage</w:t>
      </w:r>
      <w:bookmarkEnd w:id="258"/>
      <w:bookmarkEnd w:id="259"/>
    </w:p>
    <w:p w14:paraId="7E149C55" w14:textId="54F6F2B4" w:rsidR="003C29CA" w:rsidRPr="004841EF" w:rsidRDefault="00FB3A2E" w:rsidP="008D677E">
      <w:pPr>
        <w:pStyle w:val="ListBullet"/>
      </w:pPr>
      <w:r w:rsidRPr="004841EF">
        <w:t xml:space="preserve">Employers should ensure that job advertisements </w:t>
      </w:r>
      <w:r w:rsidR="003301BE" w:rsidRPr="004841EF">
        <w:t>contain</w:t>
      </w:r>
      <w:r w:rsidR="00EC74E9" w:rsidRPr="004841EF">
        <w:t xml:space="preserve"> inclusive</w:t>
      </w:r>
      <w:r w:rsidR="003301BE" w:rsidRPr="004841EF">
        <w:t xml:space="preserve"> messaging</w:t>
      </w:r>
      <w:r w:rsidR="00EC74E9" w:rsidRPr="004841EF">
        <w:t xml:space="preserve"> and encourage those </w:t>
      </w:r>
      <w:r w:rsidR="003301BE" w:rsidRPr="004841EF">
        <w:t>with a disability to apply for the available</w:t>
      </w:r>
      <w:r w:rsidR="00EC74E9" w:rsidRPr="004841EF">
        <w:t xml:space="preserve"> position. </w:t>
      </w:r>
      <w:r w:rsidR="003C29CA" w:rsidRPr="004841EF">
        <w:t>A job advertisement should stipulate that the employer is an equal opportunities employer and that applications are welcome from those with a disability.</w:t>
      </w:r>
      <w:r w:rsidR="008D677E" w:rsidRPr="004841EF">
        <w:t xml:space="preserve"> As noted, those in the recruitment process, particularly those with hidden disabilities, may be reluctant to request reasonable accommodations</w:t>
      </w:r>
      <w:r w:rsidR="00693223" w:rsidRPr="004841EF">
        <w:t>.</w:t>
      </w:r>
      <w:r w:rsidR="00767D85" w:rsidRPr="004841EF">
        <w:rPr>
          <w:rStyle w:val="FootnoteReference"/>
          <w:rFonts w:ascii="Gill Sans MT" w:hAnsi="Gill Sans MT"/>
        </w:rPr>
        <w:footnoteReference w:id="272"/>
      </w:r>
      <w:r w:rsidR="008D677E" w:rsidRPr="004841EF">
        <w:t xml:space="preserve"> Accordingly, employers should be proactive when advertising positions and compiling job application forms to reassure candidates with disabilities that reasonable accommodations will be provided</w:t>
      </w:r>
    </w:p>
    <w:p w14:paraId="77BE6A6D" w14:textId="49F131D2" w:rsidR="00EC74E9" w:rsidRPr="004841EF" w:rsidRDefault="00FB3A2E" w:rsidP="003C29CA">
      <w:pPr>
        <w:pStyle w:val="ListBullet"/>
      </w:pPr>
      <w:r w:rsidRPr="004841EF">
        <w:t>Employers should ensure that</w:t>
      </w:r>
      <w:r w:rsidR="00EC74E9" w:rsidRPr="004841EF">
        <w:t xml:space="preserve"> job advertisement</w:t>
      </w:r>
      <w:r w:rsidR="0050483C" w:rsidRPr="004841EF">
        <w:t>s</w:t>
      </w:r>
      <w:r w:rsidR="00EC74E9" w:rsidRPr="004841EF">
        <w:t xml:space="preserve"> explicitly state that reasonable accommodations will be provided to any candidate with a disability. By contrast, a job advertisement should not include wording that sug</w:t>
      </w:r>
      <w:r w:rsidR="008905CC" w:rsidRPr="004841EF">
        <w:t>gests that reasonable accommodation</w:t>
      </w:r>
      <w:r w:rsidR="00EC74E9" w:rsidRPr="004841EF">
        <w:t xml:space="preserve">s will not be made for </w:t>
      </w:r>
      <w:r w:rsidR="00EB4927" w:rsidRPr="004841EF">
        <w:t xml:space="preserve">persons </w:t>
      </w:r>
      <w:r w:rsidR="00EC74E9" w:rsidRPr="004841EF">
        <w:t xml:space="preserve">with disabilities, or that </w:t>
      </w:r>
      <w:r w:rsidR="00EB4927" w:rsidRPr="004841EF">
        <w:t xml:space="preserve">persons </w:t>
      </w:r>
      <w:r w:rsidR="00EC74E9" w:rsidRPr="004841EF">
        <w:t>with disabilities will be discriminated against, or that they should not apply</w:t>
      </w:r>
      <w:r w:rsidR="00F15E85" w:rsidRPr="004841EF">
        <w:rPr>
          <w:rStyle w:val="FootnoteReference"/>
          <w:rFonts w:ascii="Gill Sans MT" w:hAnsi="Gill Sans MT"/>
        </w:rPr>
        <w:footnoteReference w:id="273"/>
      </w:r>
    </w:p>
    <w:p w14:paraId="7E8AE156" w14:textId="6291EBB2" w:rsidR="00EC74E9" w:rsidRPr="004841EF" w:rsidRDefault="00FB3A2E" w:rsidP="00A80CD6">
      <w:pPr>
        <w:pStyle w:val="ListBullet"/>
      </w:pPr>
      <w:r w:rsidRPr="004841EF">
        <w:t>Employers should ensure that i</w:t>
      </w:r>
      <w:r w:rsidR="00A80CD6" w:rsidRPr="004841EF">
        <w:t xml:space="preserve">nformation concerning </w:t>
      </w:r>
      <w:r w:rsidR="002A5677" w:rsidRPr="004841EF">
        <w:t>vacancies</w:t>
      </w:r>
      <w:r w:rsidR="00A80CD6" w:rsidRPr="004841EF">
        <w:t xml:space="preserve"> </w:t>
      </w:r>
      <w:r w:rsidRPr="004841EF">
        <w:t>is</w:t>
      </w:r>
      <w:r w:rsidR="002A5677" w:rsidRPr="004841EF">
        <w:t xml:space="preserve"> available</w:t>
      </w:r>
      <w:r w:rsidR="00A80CD6" w:rsidRPr="004841EF">
        <w:t xml:space="preserve"> in accessible formats. The </w:t>
      </w:r>
      <w:r w:rsidR="00D62D31" w:rsidRPr="004841EF">
        <w:rPr>
          <w:bCs/>
        </w:rPr>
        <w:t>Equality and Human Rights Commission</w:t>
      </w:r>
      <w:r w:rsidR="00A80CD6" w:rsidRPr="004841EF">
        <w:t xml:space="preserve"> states that employer</w:t>
      </w:r>
      <w:r w:rsidR="00A83486" w:rsidRPr="004841EF">
        <w:t>s should take</w:t>
      </w:r>
      <w:r w:rsidR="00A939F9" w:rsidRPr="004841EF">
        <w:t xml:space="preserve"> steps to en</w:t>
      </w:r>
      <w:r w:rsidR="00A80CD6" w:rsidRPr="004841EF">
        <w:t>sure that information is provided in an accessible format.</w:t>
      </w:r>
      <w:r w:rsidR="00A80CD6" w:rsidRPr="004841EF">
        <w:rPr>
          <w:rStyle w:val="FootnoteReference"/>
          <w:rFonts w:ascii="Gill Sans MT" w:hAnsi="Gill Sans MT"/>
        </w:rPr>
        <w:footnoteReference w:id="274"/>
      </w:r>
      <w:r w:rsidR="00A80CD6" w:rsidRPr="004841EF">
        <w:t xml:space="preserve"> </w:t>
      </w:r>
      <w:r w:rsidR="00EC74E9" w:rsidRPr="004841EF">
        <w:t>Job advertisements should use a font that is easy and large enough to read and should be in a format that is compatible with assistive software. Where a job advertisement is in written form, the employer should consider alternative formats</w:t>
      </w:r>
    </w:p>
    <w:p w14:paraId="30F39E6C" w14:textId="65707D84" w:rsidR="00EC74E9" w:rsidRPr="004841EF" w:rsidRDefault="00FB3A2E" w:rsidP="00846DC3">
      <w:pPr>
        <w:pStyle w:val="ListBullet"/>
      </w:pPr>
      <w:r w:rsidRPr="004841EF">
        <w:t>Employers should ensure that o</w:t>
      </w:r>
      <w:r w:rsidR="00EC74E9" w:rsidRPr="004841EF">
        <w:t xml:space="preserve">nline application forms </w:t>
      </w:r>
      <w:r w:rsidRPr="004841EF">
        <w:t>are</w:t>
      </w:r>
      <w:r w:rsidR="00EC74E9" w:rsidRPr="004841EF">
        <w:t xml:space="preserve"> accessible to </w:t>
      </w:r>
      <w:r w:rsidR="00EB4927" w:rsidRPr="004841EF">
        <w:t xml:space="preserve">persons </w:t>
      </w:r>
      <w:r w:rsidR="00EC74E9" w:rsidRPr="004841EF">
        <w:t xml:space="preserve">with disabilities. If online application forms are not accessible to </w:t>
      </w:r>
      <w:r w:rsidR="00EB4927" w:rsidRPr="004841EF">
        <w:t xml:space="preserve">persons </w:t>
      </w:r>
      <w:r w:rsidR="00EC74E9" w:rsidRPr="004841EF">
        <w:t xml:space="preserve">with disabilities, the form should be </w:t>
      </w:r>
      <w:r w:rsidR="00D62D31" w:rsidRPr="004841EF">
        <w:t xml:space="preserve">available and </w:t>
      </w:r>
      <w:r w:rsidR="00EC74E9" w:rsidRPr="004841EF">
        <w:t>provided in an alternative way</w:t>
      </w:r>
    </w:p>
    <w:p w14:paraId="0D116A95" w14:textId="5BDA6A10" w:rsidR="00EC74E9" w:rsidRPr="004841EF" w:rsidRDefault="00EC74E9" w:rsidP="00846DC3">
      <w:pPr>
        <w:pStyle w:val="ListBullet"/>
      </w:pPr>
      <w:r w:rsidRPr="004841EF">
        <w:t xml:space="preserve">Where an application is submitted in an accessible format, an employer must not discriminate against </w:t>
      </w:r>
      <w:r w:rsidR="00D62D31" w:rsidRPr="004841EF">
        <w:t xml:space="preserve">an </w:t>
      </w:r>
      <w:r w:rsidRPr="004841EF">
        <w:t>applicant with a disability in the way that it deals with these applications.</w:t>
      </w:r>
      <w:r w:rsidR="002A5677" w:rsidRPr="004841EF">
        <w:rPr>
          <w:rStyle w:val="FootnoteReference"/>
          <w:rFonts w:ascii="Gill Sans MT" w:hAnsi="Gill Sans MT"/>
        </w:rPr>
        <w:footnoteReference w:id="275"/>
      </w:r>
      <w:r w:rsidRPr="004841EF">
        <w:t xml:space="preserve"> Similarly, where an employment candidate requests a reasonable accommodation, such information should not be used to treat that application in a less favourable manner</w:t>
      </w:r>
    </w:p>
    <w:p w14:paraId="70328555" w14:textId="599DEEC8" w:rsidR="00EC74E9" w:rsidRPr="004841EF" w:rsidRDefault="008905CC" w:rsidP="000A7AA2">
      <w:pPr>
        <w:pStyle w:val="ListBullet"/>
        <w:spacing w:after="240"/>
        <w:ind w:left="357" w:hanging="357"/>
      </w:pPr>
      <w:r w:rsidRPr="004841EF">
        <w:t>Employers should ensure that t</w:t>
      </w:r>
      <w:r w:rsidR="00EC74E9" w:rsidRPr="004841EF">
        <w:t xml:space="preserve">he relevant job advertisement </w:t>
      </w:r>
      <w:r w:rsidRPr="004841EF">
        <w:t>outlines</w:t>
      </w:r>
      <w:r w:rsidR="00EC74E9" w:rsidRPr="004841EF">
        <w:t xml:space="preserve"> a</w:t>
      </w:r>
      <w:r w:rsidRPr="004841EF">
        <w:t xml:space="preserve"> clear contact route or identifies</w:t>
      </w:r>
      <w:r w:rsidR="00EC74E9" w:rsidRPr="004841EF">
        <w:t xml:space="preserve"> a contact person (including email address and telephone number)</w:t>
      </w:r>
      <w:r w:rsidRPr="004841EF">
        <w:t xml:space="preserve"> within the organisation</w:t>
      </w:r>
      <w:r w:rsidR="00EC74E9" w:rsidRPr="004841EF">
        <w:t xml:space="preserve"> in order for a person with a disability to request </w:t>
      </w:r>
      <w:r w:rsidR="00A83486" w:rsidRPr="004841EF">
        <w:t>and discuss any necessary</w:t>
      </w:r>
      <w:r w:rsidR="00EC74E9" w:rsidRPr="004841EF">
        <w:t xml:space="preserve"> reasonable accommodation</w:t>
      </w:r>
    </w:p>
    <w:p w14:paraId="5D31F85A" w14:textId="318557BA" w:rsidR="00EC74E9" w:rsidRPr="004841EF" w:rsidRDefault="00037C18" w:rsidP="00E05912">
      <w:pPr>
        <w:pStyle w:val="Heading2"/>
      </w:pPr>
      <w:bookmarkStart w:id="260" w:name="_Toc26192138"/>
      <w:bookmarkStart w:id="261" w:name="_Toc42172555"/>
      <w:r w:rsidRPr="004841EF">
        <w:t xml:space="preserve">5.8. </w:t>
      </w:r>
      <w:r w:rsidR="00EC74E9" w:rsidRPr="004841EF">
        <w:t>Pre-Interview Stage</w:t>
      </w:r>
      <w:bookmarkEnd w:id="260"/>
      <w:bookmarkEnd w:id="261"/>
    </w:p>
    <w:p w14:paraId="611172E1" w14:textId="106F89EA" w:rsidR="00CF12C7" w:rsidRPr="004841EF" w:rsidRDefault="00CF12C7" w:rsidP="005F6301">
      <w:pPr>
        <w:pStyle w:val="ListBullet"/>
        <w:ind w:left="357" w:hanging="357"/>
      </w:pPr>
      <w:r w:rsidRPr="004841EF">
        <w:t xml:space="preserve">Employers should provide reasonable accommodations to an applicant with a disability where a test or assessment is involved. Examples of </w:t>
      </w:r>
      <w:r w:rsidR="006B1799" w:rsidRPr="004841EF">
        <w:t xml:space="preserve">reasonable </w:t>
      </w:r>
      <w:r w:rsidR="0050483C" w:rsidRPr="004841EF">
        <w:t>accommodations</w:t>
      </w:r>
      <w:r w:rsidRPr="004841EF">
        <w:t xml:space="preserve"> </w:t>
      </w:r>
      <w:r w:rsidR="006B1799" w:rsidRPr="004841EF">
        <w:t>may</w:t>
      </w:r>
      <w:r w:rsidR="005F6301" w:rsidRPr="004841EF">
        <w:t xml:space="preserve"> include:</w:t>
      </w:r>
    </w:p>
    <w:p w14:paraId="757107F0" w14:textId="0DB5E76B" w:rsidR="00CF12C7" w:rsidRPr="004841EF" w:rsidRDefault="00CF12C7" w:rsidP="00CF12C7">
      <w:pPr>
        <w:pStyle w:val="ListBullet2"/>
      </w:pPr>
      <w:r w:rsidRPr="004841EF">
        <w:t xml:space="preserve">providing written instructions in an accessible format, such as documents with an enlarged font </w:t>
      </w:r>
    </w:p>
    <w:p w14:paraId="0C4A791A" w14:textId="1ECCABFD" w:rsidR="00CF12C7" w:rsidRPr="004841EF" w:rsidRDefault="00CF12C7" w:rsidP="00CF12C7">
      <w:pPr>
        <w:pStyle w:val="ListBullet2"/>
      </w:pPr>
      <w:r w:rsidRPr="004841EF">
        <w:t xml:space="preserve">allowing a person with a disability extra time to complete the test </w:t>
      </w:r>
    </w:p>
    <w:p w14:paraId="2014981D" w14:textId="76D31A1F" w:rsidR="00CF12C7" w:rsidRPr="004841EF" w:rsidRDefault="00CF12C7" w:rsidP="00CF12C7">
      <w:pPr>
        <w:pStyle w:val="ListBullet2"/>
      </w:pPr>
      <w:r w:rsidRPr="004841EF">
        <w:t xml:space="preserve">permitting a person with a disability the assistance of a reader or scribe during the test </w:t>
      </w:r>
    </w:p>
    <w:p w14:paraId="511C56D1" w14:textId="5247CB30" w:rsidR="00CF12C7" w:rsidRPr="004841EF" w:rsidRDefault="00CF12C7" w:rsidP="00CF12C7">
      <w:pPr>
        <w:pStyle w:val="ListBullet2"/>
      </w:pPr>
      <w:r w:rsidRPr="004841EF">
        <w:t>allowing an applicant with a disability to take an oral test in writing or a written test orally</w:t>
      </w:r>
    </w:p>
    <w:p w14:paraId="473B784D" w14:textId="5084B3CE" w:rsidR="00CF12C7" w:rsidRPr="004841EF" w:rsidRDefault="00CF12C7" w:rsidP="00CF12C7">
      <w:pPr>
        <w:pStyle w:val="ListBullet2"/>
      </w:pPr>
      <w:r w:rsidRPr="004841EF">
        <w:t>allowing an applicant with a disability to use a laptop, with or without assistive software</w:t>
      </w:r>
    </w:p>
    <w:p w14:paraId="4F82FCC9" w14:textId="3E644640" w:rsidR="00CF12C7" w:rsidRPr="004841EF" w:rsidRDefault="00CF12C7" w:rsidP="00CF12C7">
      <w:pPr>
        <w:pStyle w:val="ListBullet2"/>
      </w:pPr>
      <w:r w:rsidRPr="004841EF">
        <w:t>permitting a person with a disability to sit the test or assessment in a separate room</w:t>
      </w:r>
    </w:p>
    <w:p w14:paraId="6F288A8D" w14:textId="7DF3AD28" w:rsidR="00CF12C7" w:rsidRPr="004841EF" w:rsidRDefault="00CF12C7" w:rsidP="000A7AA2">
      <w:pPr>
        <w:pStyle w:val="ListBullet2"/>
        <w:spacing w:after="120"/>
        <w:ind w:left="714" w:hanging="357"/>
      </w:pPr>
      <w:r w:rsidRPr="004841EF">
        <w:t>putting the test onto different coloured paper</w:t>
      </w:r>
      <w:r w:rsidR="00505E01" w:rsidRPr="004841EF">
        <w:rPr>
          <w:rStyle w:val="FootnoteReference"/>
          <w:rFonts w:ascii="Gill Sans MT" w:hAnsi="Gill Sans MT"/>
        </w:rPr>
        <w:footnoteReference w:id="276"/>
      </w:r>
    </w:p>
    <w:p w14:paraId="015833C5" w14:textId="413DF095" w:rsidR="00EC74E9" w:rsidRPr="004841EF" w:rsidRDefault="008905CC" w:rsidP="003301BE">
      <w:pPr>
        <w:pStyle w:val="ListBullet"/>
      </w:pPr>
      <w:r w:rsidRPr="004841EF">
        <w:t xml:space="preserve">Employers should pre-empt any accommodation requests at the pre-interview stage. </w:t>
      </w:r>
      <w:r w:rsidR="00FB3A2E" w:rsidRPr="004841EF">
        <w:t>For instance, a</w:t>
      </w:r>
      <w:r w:rsidR="00EC74E9" w:rsidRPr="004841EF">
        <w:t xml:space="preserve">ssessment or test centres, or any location where a test or assessment is being held, should be accessible to </w:t>
      </w:r>
      <w:r w:rsidR="00EB4927" w:rsidRPr="004841EF">
        <w:t xml:space="preserve">persons </w:t>
      </w:r>
      <w:r w:rsidR="00EC74E9" w:rsidRPr="004841EF">
        <w:t>with disabilities</w:t>
      </w:r>
    </w:p>
    <w:p w14:paraId="2FC6B973" w14:textId="4395575E" w:rsidR="006E1B42" w:rsidRPr="004841EF" w:rsidRDefault="00FB3A2E" w:rsidP="00697ACA">
      <w:pPr>
        <w:pStyle w:val="ListBullet"/>
      </w:pPr>
      <w:r w:rsidRPr="004841EF">
        <w:t xml:space="preserve">Employers </w:t>
      </w:r>
      <w:r w:rsidR="00846BD8" w:rsidRPr="004841EF">
        <w:t xml:space="preserve">should ask employment candidates whether reasonable </w:t>
      </w:r>
      <w:r w:rsidR="00C055FB" w:rsidRPr="004841EF">
        <w:t>accommodation</w:t>
      </w:r>
      <w:r w:rsidR="00846BD8" w:rsidRPr="004841EF">
        <w:t xml:space="preserve">s are </w:t>
      </w:r>
      <w:r w:rsidR="00C055FB" w:rsidRPr="004841EF">
        <w:t>required</w:t>
      </w:r>
      <w:r w:rsidR="00846BD8" w:rsidRPr="004841EF">
        <w:t xml:space="preserve"> for the pre-interview stage. </w:t>
      </w:r>
      <w:r w:rsidR="006E1B42" w:rsidRPr="004841EF">
        <w:t>Adequate</w:t>
      </w:r>
      <w:r w:rsidR="00846BD8" w:rsidRPr="004841EF">
        <w:t xml:space="preserve"> notice </w:t>
      </w:r>
      <w:r w:rsidR="00C055FB" w:rsidRPr="004841EF">
        <w:t xml:space="preserve">of a test or assessment </w:t>
      </w:r>
      <w:r w:rsidR="00846BD8" w:rsidRPr="004841EF">
        <w:t>should be afforded to candidates</w:t>
      </w:r>
      <w:r w:rsidR="006E1B42" w:rsidRPr="004841EF">
        <w:t xml:space="preserve"> in order to ensure that there is sufficient time for an accommodation to be requested, considered and implemented</w:t>
      </w:r>
    </w:p>
    <w:p w14:paraId="75C5430C" w14:textId="2C270F21" w:rsidR="00EC74E9" w:rsidRPr="004841EF" w:rsidRDefault="002D2A02" w:rsidP="00697ACA">
      <w:pPr>
        <w:pStyle w:val="ListBullet"/>
      </w:pPr>
      <w:r w:rsidRPr="004841EF">
        <w:t>E</w:t>
      </w:r>
      <w:r w:rsidR="00EC74E9" w:rsidRPr="004841EF">
        <w:t xml:space="preserve">mployers should provide information about the interview process to candidates in advance of the interview. Research shows that for some </w:t>
      </w:r>
      <w:r w:rsidR="00EB4927" w:rsidRPr="004841EF">
        <w:t xml:space="preserve">persons </w:t>
      </w:r>
      <w:r w:rsidR="00EC74E9" w:rsidRPr="004841EF">
        <w:t>with autism spectrum disorders providing them with information prior to the interview about the interviewers and the types of questions candidates would be asked can alleviate their anxiety about the event.</w:t>
      </w:r>
      <w:r w:rsidR="004655A7" w:rsidRPr="004841EF">
        <w:rPr>
          <w:rStyle w:val="FootnoteReference"/>
          <w:rFonts w:ascii="Gill Sans MT" w:hAnsi="Gill Sans MT"/>
        </w:rPr>
        <w:footnoteReference w:id="277"/>
      </w:r>
      <w:r w:rsidR="00EC74E9" w:rsidRPr="004841EF">
        <w:t xml:space="preserve"> It also helps them to prepare for the interview</w:t>
      </w:r>
      <w:r w:rsidR="004615BA" w:rsidRPr="004841EF">
        <w:t xml:space="preserve">. The NDA has published </w:t>
      </w:r>
      <w:r w:rsidR="0050483C" w:rsidRPr="004841EF">
        <w:t xml:space="preserve">a guide </w:t>
      </w:r>
      <w:r w:rsidR="004615BA" w:rsidRPr="004841EF">
        <w:t>to assist those who are working as line managers, or in a HR role, to better understand autism and to effectively recruit, work with and support staff with autism in the workplace</w:t>
      </w:r>
      <w:r w:rsidR="004615BA" w:rsidRPr="004841EF">
        <w:rPr>
          <w:rStyle w:val="FootnoteReference"/>
          <w:rFonts w:ascii="Gill Sans MT" w:hAnsi="Gill Sans MT"/>
        </w:rPr>
        <w:footnoteReference w:id="278"/>
      </w:r>
    </w:p>
    <w:p w14:paraId="2BAA19A3" w14:textId="2F52F950" w:rsidR="00EC74E9" w:rsidRPr="004841EF" w:rsidRDefault="004356EC" w:rsidP="003301BE">
      <w:pPr>
        <w:pStyle w:val="ListBullet"/>
      </w:pPr>
      <w:r w:rsidRPr="004841EF">
        <w:t xml:space="preserve">Employers should consider using alternative selection processes to assessments or </w:t>
      </w:r>
      <w:r w:rsidR="00CC4516" w:rsidRPr="004841EF">
        <w:t>psychometric testing</w:t>
      </w:r>
      <w:r w:rsidRPr="004841EF">
        <w:t xml:space="preserve"> e.g. </w:t>
      </w:r>
      <w:r w:rsidR="003301BE" w:rsidRPr="004841EF">
        <w:t xml:space="preserve">psychometric testing could be dispensed with or </w:t>
      </w:r>
      <w:r w:rsidRPr="004841EF">
        <w:t xml:space="preserve">a job trial may give an employer a better idea of the skills and capacities of some job applicants with disabilities </w:t>
      </w:r>
    </w:p>
    <w:p w14:paraId="1D3336ED" w14:textId="272D2718" w:rsidR="008556C5" w:rsidRPr="004841EF" w:rsidRDefault="008556C5" w:rsidP="003301BE">
      <w:pPr>
        <w:pStyle w:val="ListBullet"/>
      </w:pPr>
      <w:r w:rsidRPr="004841EF">
        <w:t>A reasonable accommodation for an applicant may include making reasonable modifications to the pre-employment screening process. Screening checks should not discriminate against persons with a disability</w:t>
      </w:r>
    </w:p>
    <w:p w14:paraId="0A4188F5" w14:textId="73587C44" w:rsidR="009213B2" w:rsidRPr="004841EF" w:rsidRDefault="009213B2" w:rsidP="000A7AA2">
      <w:pPr>
        <w:pStyle w:val="ListBullet"/>
        <w:spacing w:after="240"/>
        <w:ind w:left="357" w:hanging="357"/>
      </w:pPr>
      <w:r w:rsidRPr="004841EF">
        <w:t xml:space="preserve">Employers should instruct </w:t>
      </w:r>
      <w:r w:rsidR="00175EA1" w:rsidRPr="004841EF">
        <w:t>agents making recruitment decisions of their practical responsibilities, including as regards the provision of reasonable accommodations to employment candidates</w:t>
      </w:r>
      <w:r w:rsidR="00175EA1" w:rsidRPr="004841EF">
        <w:rPr>
          <w:rStyle w:val="FootnoteReference"/>
          <w:rFonts w:ascii="Gill Sans MT" w:hAnsi="Gill Sans MT"/>
        </w:rPr>
        <w:footnoteReference w:id="279"/>
      </w:r>
    </w:p>
    <w:p w14:paraId="37A63E3C" w14:textId="3669FAC2" w:rsidR="00EC74E9" w:rsidRPr="004841EF" w:rsidRDefault="00037C18" w:rsidP="00E05912">
      <w:pPr>
        <w:pStyle w:val="Heading2"/>
      </w:pPr>
      <w:bookmarkStart w:id="262" w:name="_Toc26192139"/>
      <w:bookmarkStart w:id="263" w:name="_Toc42172556"/>
      <w:r w:rsidRPr="004841EF">
        <w:t xml:space="preserve">5.9. </w:t>
      </w:r>
      <w:r w:rsidR="00EC74E9" w:rsidRPr="004841EF">
        <w:t>Interview Stage</w:t>
      </w:r>
      <w:bookmarkEnd w:id="262"/>
      <w:bookmarkEnd w:id="263"/>
    </w:p>
    <w:p w14:paraId="7FAE4A3A" w14:textId="77777777" w:rsidR="00CF12C7" w:rsidRPr="004841EF" w:rsidRDefault="00EC74E9" w:rsidP="005F6301">
      <w:pPr>
        <w:pStyle w:val="ListBullet"/>
        <w:ind w:left="357" w:hanging="357"/>
        <w:rPr>
          <w:lang w:val="en-GB"/>
        </w:rPr>
      </w:pPr>
      <w:r w:rsidRPr="004841EF">
        <w:rPr>
          <w:lang w:val="en-GB"/>
        </w:rPr>
        <w:t xml:space="preserve">Reasonable accommodations should be provided to employment candidates at the interview stage. Reasonable accommodations at the access </w:t>
      </w:r>
      <w:r w:rsidR="00CF12C7" w:rsidRPr="004841EF">
        <w:rPr>
          <w:lang w:val="en-GB"/>
        </w:rPr>
        <w:t>to employment stage can include:</w:t>
      </w:r>
    </w:p>
    <w:p w14:paraId="5C628961" w14:textId="77777777" w:rsidR="00CF12C7" w:rsidRPr="004841EF" w:rsidRDefault="00EC74E9" w:rsidP="00CF12C7">
      <w:pPr>
        <w:pStyle w:val="ListBullet2"/>
        <w:rPr>
          <w:lang w:val="en-GB"/>
        </w:rPr>
      </w:pPr>
      <w:r w:rsidRPr="004841EF">
        <w:rPr>
          <w:lang w:val="en-GB"/>
        </w:rPr>
        <w:t>organis</w:t>
      </w:r>
      <w:r w:rsidR="00CF12C7" w:rsidRPr="004841EF">
        <w:rPr>
          <w:lang w:val="en-GB"/>
        </w:rPr>
        <w:t>ing sign-language interpreters</w:t>
      </w:r>
    </w:p>
    <w:p w14:paraId="4B3D473F" w14:textId="77777777" w:rsidR="00CF12C7" w:rsidRPr="004841EF" w:rsidRDefault="00EC74E9" w:rsidP="00CF12C7">
      <w:pPr>
        <w:pStyle w:val="ListBullet2"/>
        <w:rPr>
          <w:lang w:val="en-GB"/>
        </w:rPr>
      </w:pPr>
      <w:r w:rsidRPr="004841EF">
        <w:rPr>
          <w:lang w:val="en-GB"/>
        </w:rPr>
        <w:t>allocati</w:t>
      </w:r>
      <w:r w:rsidR="00CF12C7" w:rsidRPr="004841EF">
        <w:rPr>
          <w:lang w:val="en-GB"/>
        </w:rPr>
        <w:t>ng suitable car parking spaces</w:t>
      </w:r>
    </w:p>
    <w:p w14:paraId="08E32324" w14:textId="41E0FBDA" w:rsidR="00CF12C7" w:rsidRPr="004841EF" w:rsidRDefault="00EC74E9" w:rsidP="00CF12C7">
      <w:pPr>
        <w:pStyle w:val="ListBullet2"/>
        <w:rPr>
          <w:lang w:val="en-GB"/>
        </w:rPr>
      </w:pPr>
      <w:r w:rsidRPr="004841EF">
        <w:rPr>
          <w:lang w:val="en-GB"/>
        </w:rPr>
        <w:t>ensuring that the interview room and t</w:t>
      </w:r>
      <w:r w:rsidR="00C074D0" w:rsidRPr="004841EF">
        <w:rPr>
          <w:lang w:val="en-GB"/>
        </w:rPr>
        <w:t>oilet facilities are accessible</w:t>
      </w:r>
      <w:r w:rsidR="00F2243D" w:rsidRPr="004841EF">
        <w:rPr>
          <w:rStyle w:val="FootnoteReference"/>
          <w:rFonts w:ascii="Gill Sans MT" w:hAnsi="Gill Sans MT"/>
          <w:lang w:val="en-GB"/>
        </w:rPr>
        <w:footnoteReference w:id="280"/>
      </w:r>
      <w:r w:rsidRPr="004841EF">
        <w:rPr>
          <w:lang w:val="en-GB"/>
        </w:rPr>
        <w:t xml:space="preserve"> </w:t>
      </w:r>
    </w:p>
    <w:p w14:paraId="0CC7DB19" w14:textId="77777777" w:rsidR="00F33F50" w:rsidRPr="004841EF" w:rsidRDefault="00EC74E9" w:rsidP="00CF12C7">
      <w:pPr>
        <w:pStyle w:val="ListBullet2"/>
        <w:rPr>
          <w:lang w:val="en-GB"/>
        </w:rPr>
      </w:pPr>
      <w:r w:rsidRPr="004841EF">
        <w:rPr>
          <w:lang w:val="en-GB"/>
        </w:rPr>
        <w:t>providing additiona</w:t>
      </w:r>
      <w:r w:rsidR="00C074D0" w:rsidRPr="004841EF">
        <w:rPr>
          <w:lang w:val="en-GB"/>
        </w:rPr>
        <w:t>l interview time to a candidate</w:t>
      </w:r>
    </w:p>
    <w:p w14:paraId="6A2CF857" w14:textId="4324960A" w:rsidR="00CF12C7" w:rsidRPr="004841EF" w:rsidRDefault="00F33F50" w:rsidP="005F6301">
      <w:pPr>
        <w:pStyle w:val="ListBullet2"/>
        <w:spacing w:after="240"/>
        <w:ind w:left="714" w:hanging="357"/>
        <w:rPr>
          <w:lang w:val="en-GB"/>
        </w:rPr>
      </w:pPr>
      <w:r w:rsidRPr="004841EF">
        <w:rPr>
          <w:lang w:val="en-GB"/>
        </w:rPr>
        <w:t xml:space="preserve">adjusting the lighting in the interview room </w:t>
      </w:r>
      <w:r w:rsidR="00EC74E9" w:rsidRPr="004841EF">
        <w:rPr>
          <w:lang w:val="en-GB"/>
        </w:rPr>
        <w:t>etc</w:t>
      </w:r>
      <w:r w:rsidR="005F6301" w:rsidRPr="004841EF">
        <w:rPr>
          <w:lang w:val="en-GB"/>
        </w:rPr>
        <w:t>.</w:t>
      </w:r>
    </w:p>
    <w:p w14:paraId="5A400C87" w14:textId="220CEC58" w:rsidR="00EC74E9" w:rsidRPr="004841EF" w:rsidRDefault="00EC74E9" w:rsidP="00846DC3">
      <w:pPr>
        <w:pStyle w:val="ListBullet"/>
      </w:pPr>
      <w:r w:rsidRPr="004841EF">
        <w:t xml:space="preserve">By the interview stage, an employer should already have asked a prospective employee whether reasonable adjustments are needed for the interview itself. However, the interviewer should </w:t>
      </w:r>
      <w:r w:rsidR="00F33F50" w:rsidRPr="004841EF">
        <w:t xml:space="preserve">double-check and </w:t>
      </w:r>
      <w:r w:rsidRPr="004841EF">
        <w:t>ask</w:t>
      </w:r>
      <w:r w:rsidR="00F33F50" w:rsidRPr="004841EF">
        <w:t xml:space="preserve"> again</w:t>
      </w:r>
      <w:r w:rsidR="00F53F25" w:rsidRPr="004841EF">
        <w:t xml:space="preserve"> on the day if any accommodation</w:t>
      </w:r>
      <w:r w:rsidRPr="004841EF">
        <w:t>s are needed for the interview</w:t>
      </w:r>
      <w:r w:rsidR="00F53F25" w:rsidRPr="004841EF">
        <w:rPr>
          <w:rStyle w:val="FootnoteReference"/>
          <w:rFonts w:ascii="Gill Sans MT" w:hAnsi="Gill Sans MT"/>
        </w:rPr>
        <w:footnoteReference w:id="281"/>
      </w:r>
    </w:p>
    <w:p w14:paraId="662D7899" w14:textId="4B5EDD32" w:rsidR="00EC74E9" w:rsidRPr="004841EF" w:rsidRDefault="00BE4D22" w:rsidP="00B72D5A">
      <w:pPr>
        <w:pStyle w:val="ListBullet"/>
      </w:pPr>
      <w:r w:rsidRPr="004841EF">
        <w:t>Employers should ensure that i</w:t>
      </w:r>
      <w:r w:rsidR="00EC74E9" w:rsidRPr="004841EF">
        <w:t xml:space="preserve">nterviewers </w:t>
      </w:r>
      <w:r w:rsidRPr="004841EF">
        <w:t>are</w:t>
      </w:r>
      <w:r w:rsidR="00EC74E9" w:rsidRPr="004841EF">
        <w:t xml:space="preserve"> properly trained on requirements under employment equality legislat</w:t>
      </w:r>
      <w:r w:rsidRPr="004841EF">
        <w:t>ion</w:t>
      </w:r>
      <w:r w:rsidR="00A83486" w:rsidRPr="004841EF">
        <w:t>, including as regards reasonable accommodation,</w:t>
      </w:r>
      <w:r w:rsidRPr="004841EF">
        <w:t xml:space="preserve"> and are</w:t>
      </w:r>
      <w:r w:rsidR="00EC74E9" w:rsidRPr="004841EF">
        <w:t xml:space="preserve"> well aware of the particular s</w:t>
      </w:r>
      <w:r w:rsidR="00A83486" w:rsidRPr="004841EF">
        <w:t>kill</w:t>
      </w:r>
      <w:r w:rsidR="00DC3E7C" w:rsidRPr="004841EF">
        <w:t>s required for the position.</w:t>
      </w:r>
      <w:r w:rsidR="00F53F25" w:rsidRPr="004841EF">
        <w:rPr>
          <w:rStyle w:val="FootnoteReference"/>
          <w:rFonts w:ascii="Gill Sans MT" w:hAnsi="Gill Sans MT"/>
        </w:rPr>
        <w:footnoteReference w:id="282"/>
      </w:r>
      <w:r w:rsidR="00DC3E7C" w:rsidRPr="004841EF">
        <w:t xml:space="preserve"> For instance,</w:t>
      </w:r>
      <w:r w:rsidR="00A83486" w:rsidRPr="004841EF">
        <w:t xml:space="preserve"> where a person with autism discloses a disability before an interview, the relevant interviewers, as a reasonable accommodation,</w:t>
      </w:r>
      <w:r w:rsidR="0006639F" w:rsidRPr="004841EF">
        <w:t xml:space="preserve"> may</w:t>
      </w:r>
      <w:r w:rsidR="00A83486" w:rsidRPr="004841EF">
        <w:t xml:space="preserve"> need to allow for lack of eye contact and minimise the use of facial expressions and body language.</w:t>
      </w:r>
      <w:r w:rsidR="00A83486" w:rsidRPr="004841EF">
        <w:rPr>
          <w:rStyle w:val="FootnoteReference"/>
          <w:rFonts w:ascii="Gill Sans MT" w:hAnsi="Gill Sans MT"/>
        </w:rPr>
        <w:footnoteReference w:id="283"/>
      </w:r>
      <w:r w:rsidR="00E64296" w:rsidRPr="004841EF">
        <w:t xml:space="preserve"> The Public Appointments Service is developing e-learning </w:t>
      </w:r>
      <w:r w:rsidR="007368A7" w:rsidRPr="004841EF">
        <w:t>module</w:t>
      </w:r>
      <w:r w:rsidR="00E64296" w:rsidRPr="004841EF">
        <w:t>s for interviewers on the avoidance of unconscious bias</w:t>
      </w:r>
    </w:p>
    <w:p w14:paraId="79787273" w14:textId="799BCFCF" w:rsidR="00EC74E9" w:rsidRPr="004841EF" w:rsidRDefault="006E1B42" w:rsidP="00846DC3">
      <w:pPr>
        <w:pStyle w:val="ListBullet"/>
        <w:rPr>
          <w:lang w:val="en-GB"/>
        </w:rPr>
      </w:pPr>
      <w:r w:rsidRPr="004841EF">
        <w:t>Employers should ensure that the</w:t>
      </w:r>
      <w:r w:rsidR="00EC74E9" w:rsidRPr="004841EF">
        <w:t xml:space="preserve"> interview location </w:t>
      </w:r>
      <w:r w:rsidRPr="004841EF">
        <w:t>is</w:t>
      </w:r>
      <w:r w:rsidR="00EC74E9" w:rsidRPr="004841EF">
        <w:t xml:space="preserve"> physically accessible and</w:t>
      </w:r>
      <w:r w:rsidRPr="004841EF">
        <w:t xml:space="preserve"> that</w:t>
      </w:r>
      <w:r w:rsidR="00EC74E9" w:rsidRPr="004841EF">
        <w:t xml:space="preserve"> the interview room itself </w:t>
      </w:r>
      <w:r w:rsidRPr="004841EF">
        <w:t>is</w:t>
      </w:r>
      <w:r w:rsidR="00EC74E9" w:rsidRPr="004841EF">
        <w:t xml:space="preserve"> sensitive to the needs of </w:t>
      </w:r>
      <w:r w:rsidR="00EB4927" w:rsidRPr="004841EF">
        <w:t xml:space="preserve">persons </w:t>
      </w:r>
      <w:r w:rsidR="00EC74E9" w:rsidRPr="004841EF">
        <w:t xml:space="preserve">with disabilities. For instance, </w:t>
      </w:r>
      <w:r w:rsidR="00EC74E9" w:rsidRPr="004841EF">
        <w:rPr>
          <w:lang w:val="en-GB"/>
        </w:rPr>
        <w:t>employers should consider whether the physical environment is suitable for different types of disability, avoiding difficult sensory impacts such as noise or lighting where possible</w:t>
      </w:r>
    </w:p>
    <w:p w14:paraId="1CCBA30F" w14:textId="32F6ED44" w:rsidR="00EC74E9" w:rsidRPr="004841EF" w:rsidRDefault="00E46CDC" w:rsidP="00846DC3">
      <w:pPr>
        <w:pStyle w:val="ListBullet"/>
      </w:pPr>
      <w:r w:rsidRPr="004841EF">
        <w:t>Employers should be flexible</w:t>
      </w:r>
      <w:r w:rsidR="00EC74E9" w:rsidRPr="004841EF">
        <w:t xml:space="preserve"> regarding the timing and scheduling of an interview </w:t>
      </w:r>
      <w:r w:rsidR="00482934" w:rsidRPr="004841EF">
        <w:t>to</w:t>
      </w:r>
      <w:r w:rsidR="00EC74E9" w:rsidRPr="004841EF">
        <w:t xml:space="preserve"> facilitate the needs o</w:t>
      </w:r>
      <w:r w:rsidR="00CD4D33" w:rsidRPr="004841EF">
        <w:t xml:space="preserve">f certain </w:t>
      </w:r>
      <w:r w:rsidR="00EB4927" w:rsidRPr="004841EF">
        <w:t>persons</w:t>
      </w:r>
      <w:r w:rsidR="00CD4D33" w:rsidRPr="004841EF">
        <w:t xml:space="preserve"> with disabilities</w:t>
      </w:r>
      <w:r w:rsidR="00EC74E9" w:rsidRPr="004841EF">
        <w:t xml:space="preserve">, such as the need to take medication at a certain time of the day. Furthermore, employers should consider providing alternative methods of interview other than face-to-face interviews, </w:t>
      </w:r>
      <w:r w:rsidR="00EC74E9" w:rsidRPr="004841EF">
        <w:rPr>
          <w:lang w:val="en-GB"/>
        </w:rPr>
        <w:t xml:space="preserve">such as by video conference. </w:t>
      </w:r>
      <w:r w:rsidR="00EC74E9" w:rsidRPr="004841EF">
        <w:t xml:space="preserve">In some instances, </w:t>
      </w:r>
      <w:r w:rsidR="00EB4927" w:rsidRPr="004841EF">
        <w:t xml:space="preserve">persons </w:t>
      </w:r>
      <w:r w:rsidR="00EC74E9" w:rsidRPr="004841EF">
        <w:t>with disabilities may be unable to drive</w:t>
      </w:r>
      <w:r w:rsidR="00706CC7" w:rsidRPr="004841EF">
        <w:t xml:space="preserve"> to an interview location</w:t>
      </w:r>
      <w:r w:rsidR="00EC74E9" w:rsidRPr="004841EF">
        <w:t xml:space="preserve"> or may have difficulty accessing public transport</w:t>
      </w:r>
    </w:p>
    <w:p w14:paraId="4B3B44E6" w14:textId="24E65912" w:rsidR="00805952" w:rsidRPr="004841EF" w:rsidRDefault="00805952" w:rsidP="000A7AA2">
      <w:pPr>
        <w:pStyle w:val="ListBullet"/>
        <w:spacing w:after="240"/>
        <w:ind w:left="357" w:hanging="357"/>
      </w:pPr>
      <w:r w:rsidRPr="004841EF">
        <w:t>Employers should consider using alternative selection processes to the traditional job interview</w:t>
      </w:r>
      <w:r w:rsidR="0006639F" w:rsidRPr="004841EF">
        <w:t>, for example,</w:t>
      </w:r>
      <w:r w:rsidR="00685E04" w:rsidRPr="004841EF">
        <w:t xml:space="preserve"> </w:t>
      </w:r>
      <w:r w:rsidRPr="004841EF">
        <w:t>a job trial may give an employer a better idea of the skills and capacities of some job applicants with disabilities</w:t>
      </w:r>
    </w:p>
    <w:p w14:paraId="3BCF0C36" w14:textId="78E4911E" w:rsidR="00EC74E9" w:rsidRPr="004841EF" w:rsidRDefault="00F3565F" w:rsidP="00E05912">
      <w:pPr>
        <w:pStyle w:val="Heading2"/>
      </w:pPr>
      <w:bookmarkStart w:id="264" w:name="_Toc26192140"/>
      <w:bookmarkStart w:id="265" w:name="_Toc42172557"/>
      <w:r w:rsidRPr="004841EF">
        <w:t>5.10</w:t>
      </w:r>
      <w:r w:rsidR="00037C18" w:rsidRPr="004841EF">
        <w:t xml:space="preserve">. </w:t>
      </w:r>
      <w:r w:rsidR="00EC74E9" w:rsidRPr="004841EF">
        <w:t>New Employees</w:t>
      </w:r>
      <w:bookmarkEnd w:id="264"/>
      <w:bookmarkEnd w:id="265"/>
    </w:p>
    <w:p w14:paraId="11145999" w14:textId="1E526BD0" w:rsidR="00EC74E9" w:rsidRPr="004841EF" w:rsidRDefault="00EC74E9" w:rsidP="00846DC3">
      <w:pPr>
        <w:pStyle w:val="ListBullet"/>
      </w:pPr>
      <w:r w:rsidRPr="004841EF">
        <w:t xml:space="preserve">Where possible prior to commencement, </w:t>
      </w:r>
      <w:r w:rsidR="00697ACA" w:rsidRPr="004841EF">
        <w:t xml:space="preserve">and where a new employee has disclosed their disability, </w:t>
      </w:r>
      <w:r w:rsidRPr="004841EF">
        <w:t xml:space="preserve">employers should discuss accommodation needs with an employee for the purposes of ensuring that the workplace is safe and accessible and any supports which may be </w:t>
      </w:r>
      <w:r w:rsidR="000B6C87" w:rsidRPr="004841EF">
        <w:t xml:space="preserve">required </w:t>
      </w:r>
      <w:r w:rsidR="005F6301" w:rsidRPr="004841EF">
        <w:t>are already in place</w:t>
      </w:r>
    </w:p>
    <w:p w14:paraId="54BDFE39" w14:textId="635403EB" w:rsidR="00D83F99" w:rsidRPr="004841EF" w:rsidRDefault="00D83F99" w:rsidP="003A2CE3">
      <w:pPr>
        <w:pStyle w:val="ListBullet"/>
      </w:pPr>
      <w:r w:rsidRPr="004841EF">
        <w:t xml:space="preserve">Employers should </w:t>
      </w:r>
      <w:r w:rsidR="009A26C0" w:rsidRPr="004841EF">
        <w:t>consider creat</w:t>
      </w:r>
      <w:r w:rsidR="000F08D5" w:rsidRPr="004841EF">
        <w:t>ing a “buddy system” which may</w:t>
      </w:r>
      <w:r w:rsidR="009A26C0" w:rsidRPr="004841EF">
        <w:t xml:space="preserve"> assist in integrating the employee into the social aspects of the work environment.</w:t>
      </w:r>
      <w:r w:rsidR="00E46CDC" w:rsidRPr="004841EF">
        <w:t xml:space="preserve"> A number of different </w:t>
      </w:r>
      <w:r w:rsidR="004F2D96" w:rsidRPr="004841EF">
        <w:t xml:space="preserve">workplace </w:t>
      </w:r>
      <w:r w:rsidR="00E46CDC" w:rsidRPr="004841EF">
        <w:t xml:space="preserve">programmes currently utilise the “buddy system”, including those accessing the </w:t>
      </w:r>
      <w:r w:rsidR="00E46CDC" w:rsidRPr="004841EF">
        <w:rPr>
          <w:b/>
        </w:rPr>
        <w:t>Willing Able Mentoring</w:t>
      </w:r>
      <w:r w:rsidR="00E46CDC" w:rsidRPr="004841EF">
        <w:t xml:space="preserve"> programme (WAM)</w:t>
      </w:r>
    </w:p>
    <w:p w14:paraId="17CEC107" w14:textId="39D8BA3F" w:rsidR="00697ACA" w:rsidRPr="004841EF" w:rsidRDefault="00697ACA" w:rsidP="003A2CE3">
      <w:pPr>
        <w:pStyle w:val="ListBullet"/>
      </w:pPr>
      <w:r w:rsidRPr="004841EF">
        <w:t>Employers should invite employees to disclose their disability and request a reasonable accommodation</w:t>
      </w:r>
      <w:r w:rsidR="0081620C" w:rsidRPr="004841EF">
        <w:t>,</w:t>
      </w:r>
      <w:r w:rsidRPr="004841EF">
        <w:t xml:space="preserve"> through a standardised process</w:t>
      </w:r>
      <w:r w:rsidR="0081620C" w:rsidRPr="004841EF">
        <w:t>,</w:t>
      </w:r>
      <w:r w:rsidRPr="004841EF">
        <w:t xml:space="preserve"> which involves asking all new hires</w:t>
      </w:r>
      <w:r w:rsidR="007F77B0" w:rsidRPr="004841EF">
        <w:t xml:space="preserve"> to complete a form for disclosure of needs.</w:t>
      </w:r>
      <w:r w:rsidR="007F77B0" w:rsidRPr="004841EF">
        <w:rPr>
          <w:rStyle w:val="FootnoteReference"/>
          <w:rFonts w:ascii="Gill Sans MT" w:hAnsi="Gill Sans MT"/>
        </w:rPr>
        <w:footnoteReference w:id="284"/>
      </w:r>
      <w:r w:rsidR="000B6C87" w:rsidRPr="004841EF">
        <w:t xml:space="preserve"> A census of all public sector employees, where each employee is invited to identify themselves as having a disability or not, is undertaken as part of the Part 5 monitoring process</w:t>
      </w:r>
      <w:r w:rsidR="0081620C" w:rsidRPr="004841EF">
        <w:t xml:space="preserve"> (</w:t>
      </w:r>
      <w:r w:rsidR="0081620C" w:rsidRPr="004841EF">
        <w:rPr>
          <w:b/>
        </w:rPr>
        <w:t>Disability Act 2005</w:t>
      </w:r>
      <w:r w:rsidR="0081620C" w:rsidRPr="004841EF">
        <w:t>)</w:t>
      </w:r>
    </w:p>
    <w:p w14:paraId="71CFE7BB" w14:textId="24931B6D" w:rsidR="00932FC9" w:rsidRPr="004841EF" w:rsidRDefault="004F2D96" w:rsidP="00932FC9">
      <w:pPr>
        <w:pStyle w:val="ListBullet"/>
      </w:pPr>
      <w:r w:rsidRPr="004841EF">
        <w:t>Employers should invite n</w:t>
      </w:r>
      <w:r w:rsidR="00EC74E9" w:rsidRPr="004841EF">
        <w:t>ewly recruited employees with a disability, particularly those with sensory or mobility disabilities, to do a walkthrough of the workplace before they commence their first day of employment.</w:t>
      </w:r>
      <w:r w:rsidR="003A2CE3" w:rsidRPr="004841EF">
        <w:t xml:space="preserve"> </w:t>
      </w:r>
      <w:r w:rsidR="000F08D5" w:rsidRPr="004841EF">
        <w:t>This walk</w:t>
      </w:r>
      <w:r w:rsidR="00CD0C66" w:rsidRPr="004841EF">
        <w:t>through may provide the employee with the opportunity to</w:t>
      </w:r>
      <w:r w:rsidR="00AA2C29" w:rsidRPr="004841EF">
        <w:t xml:space="preserve"> familiarise themselves with their new environment and</w:t>
      </w:r>
      <w:r w:rsidR="00CD0C66" w:rsidRPr="004841EF">
        <w:t xml:space="preserve"> identify the reasonable accommodations they would need to have in place before they commence employment. </w:t>
      </w:r>
      <w:r w:rsidR="003A2CE3" w:rsidRPr="004841EF">
        <w:t xml:space="preserve">Such invitations must </w:t>
      </w:r>
      <w:r w:rsidR="00E46CDC" w:rsidRPr="004841EF">
        <w:t xml:space="preserve">always </w:t>
      </w:r>
      <w:r w:rsidR="003A2CE3" w:rsidRPr="004841EF">
        <w:t>be optional</w:t>
      </w:r>
    </w:p>
    <w:p w14:paraId="4FF9E7FE" w14:textId="7F9A5139" w:rsidR="00EC74E9" w:rsidRPr="004841EF" w:rsidRDefault="00EC74E9" w:rsidP="000A7AA2">
      <w:pPr>
        <w:pStyle w:val="ListBullet"/>
        <w:spacing w:after="240"/>
        <w:ind w:left="357" w:hanging="357"/>
      </w:pPr>
      <w:r w:rsidRPr="004841EF">
        <w:t xml:space="preserve">Employers should check to ensure that all induction processes are accessible to </w:t>
      </w:r>
      <w:r w:rsidR="00EB4927" w:rsidRPr="004841EF">
        <w:t xml:space="preserve">persons </w:t>
      </w:r>
      <w:r w:rsidRPr="004841EF">
        <w:rPr>
          <w:szCs w:val="26"/>
        </w:rPr>
        <w:t>with disab</w:t>
      </w:r>
      <w:r w:rsidRPr="004841EF">
        <w:rPr>
          <w:rFonts w:eastAsia="SimSun" w:cs="Trebuchet MS"/>
          <w:color w:val="000000"/>
          <w:szCs w:val="26"/>
          <w:lang w:eastAsia="en-IE"/>
        </w:rPr>
        <w:t xml:space="preserve">ilities. </w:t>
      </w:r>
      <w:r w:rsidRPr="004841EF">
        <w:rPr>
          <w:szCs w:val="26"/>
        </w:rPr>
        <w:t>During</w:t>
      </w:r>
      <w:r w:rsidRPr="004841EF">
        <w:t xml:space="preserve"> the induction process, all employees, including employees with disabilities, should be made aware of the supports that are available to them (</w:t>
      </w:r>
      <w:r w:rsidR="0081620C" w:rsidRPr="004841EF">
        <w:t>for example,</w:t>
      </w:r>
      <w:r w:rsidRPr="004841EF">
        <w:t xml:space="preserve"> wellbeing programmes, mental health supports, access to a Disability Liaison Officer in the public service etc.) and provided with contact details for same.</w:t>
      </w:r>
      <w:r w:rsidR="00CD4D33" w:rsidRPr="004841EF">
        <w:rPr>
          <w:rStyle w:val="FootnoteReference"/>
          <w:rFonts w:ascii="Gill Sans MT" w:hAnsi="Gill Sans MT"/>
        </w:rPr>
        <w:footnoteReference w:id="285"/>
      </w:r>
      <w:r w:rsidRPr="004841EF">
        <w:t xml:space="preserve"> Employees should also be informed of the availabili</w:t>
      </w:r>
      <w:r w:rsidR="005F6301" w:rsidRPr="004841EF">
        <w:t>ty of reasonable accommodations</w:t>
      </w:r>
    </w:p>
    <w:p w14:paraId="4145ED3D" w14:textId="4994C166" w:rsidR="00EC74E9" w:rsidRPr="004841EF" w:rsidRDefault="00F3565F" w:rsidP="00E05912">
      <w:pPr>
        <w:pStyle w:val="Heading2"/>
      </w:pPr>
      <w:bookmarkStart w:id="266" w:name="_Toc26192141"/>
      <w:bookmarkStart w:id="267" w:name="_Toc42172558"/>
      <w:r w:rsidRPr="004841EF">
        <w:t>5.11</w:t>
      </w:r>
      <w:r w:rsidR="00037C18" w:rsidRPr="004841EF">
        <w:t xml:space="preserve">. </w:t>
      </w:r>
      <w:r w:rsidR="00EC74E9" w:rsidRPr="004841EF">
        <w:t>Current Employees</w:t>
      </w:r>
      <w:bookmarkEnd w:id="266"/>
      <w:bookmarkEnd w:id="267"/>
    </w:p>
    <w:p w14:paraId="32AB2191" w14:textId="77777777" w:rsidR="006A5ED7" w:rsidRPr="004841EF" w:rsidRDefault="003E1548" w:rsidP="005F6301">
      <w:pPr>
        <w:pStyle w:val="ListBullet"/>
        <w:ind w:left="357" w:hanging="357"/>
      </w:pPr>
      <w:r w:rsidRPr="004841EF">
        <w:t>Employer</w:t>
      </w:r>
      <w:r w:rsidR="003E63DA" w:rsidRPr="004841EF">
        <w:t>s</w:t>
      </w:r>
      <w:r w:rsidRPr="004841EF">
        <w:t xml:space="preserve"> should provide employees</w:t>
      </w:r>
      <w:r w:rsidR="003E63DA" w:rsidRPr="004841EF">
        <w:t xml:space="preserve"> with disabilities, including those who acquire a disability whilst in employment, with reasonable accommodations. </w:t>
      </w:r>
      <w:r w:rsidR="006A5ED7" w:rsidRPr="004841EF">
        <w:t>Reasonable accommodations for existing employees may include:</w:t>
      </w:r>
    </w:p>
    <w:p w14:paraId="6A337A6F" w14:textId="77777777" w:rsidR="006A5ED7" w:rsidRPr="004841EF" w:rsidRDefault="006A5ED7" w:rsidP="006A5ED7">
      <w:pPr>
        <w:pStyle w:val="ListBullet2"/>
      </w:pPr>
      <w:r w:rsidRPr="004841EF">
        <w:t>Time off to attend medical appointments</w:t>
      </w:r>
    </w:p>
    <w:p w14:paraId="53ECEE75" w14:textId="77777777" w:rsidR="006A5ED7" w:rsidRPr="004841EF" w:rsidRDefault="006A5ED7" w:rsidP="006A5ED7">
      <w:pPr>
        <w:pStyle w:val="ListBullet2"/>
      </w:pPr>
      <w:r w:rsidRPr="004841EF">
        <w:t>Mentoring and peer support within the workplace</w:t>
      </w:r>
    </w:p>
    <w:p w14:paraId="4384DB31" w14:textId="77777777" w:rsidR="006A5ED7" w:rsidRPr="004841EF" w:rsidRDefault="006A5ED7" w:rsidP="006A5ED7">
      <w:pPr>
        <w:pStyle w:val="ListBullet2"/>
      </w:pPr>
      <w:r w:rsidRPr="004841EF">
        <w:t>Adjusting an employee’s attendance hours or allowing them to work at home</w:t>
      </w:r>
    </w:p>
    <w:p w14:paraId="5AD9B4BA" w14:textId="77777777" w:rsidR="006A5ED7" w:rsidRPr="004841EF" w:rsidRDefault="006A5ED7" w:rsidP="006A5ED7">
      <w:pPr>
        <w:pStyle w:val="ListBullet2"/>
      </w:pPr>
      <w:r w:rsidRPr="004841EF">
        <w:t>Relieving an employee of certain tasks, and substituting other equivalent duties, in consultation with the employee</w:t>
      </w:r>
    </w:p>
    <w:p w14:paraId="6CF719CF" w14:textId="77777777" w:rsidR="008E59FD" w:rsidRPr="004841EF" w:rsidRDefault="008E59FD" w:rsidP="006A5ED7">
      <w:pPr>
        <w:pStyle w:val="ListBullet2"/>
      </w:pPr>
      <w:r w:rsidRPr="004841EF">
        <w:t>Provision of assistive technology</w:t>
      </w:r>
    </w:p>
    <w:p w14:paraId="5EA61D06" w14:textId="77777777" w:rsidR="008E59FD" w:rsidRPr="004841EF" w:rsidRDefault="008E59FD" w:rsidP="006A5ED7">
      <w:pPr>
        <w:pStyle w:val="ListBullet2"/>
      </w:pPr>
      <w:r w:rsidRPr="004841EF">
        <w:t xml:space="preserve">Modifying the </w:t>
      </w:r>
      <w:r w:rsidR="005131D3" w:rsidRPr="004841EF">
        <w:t>physical environment to allow for wheelchair access</w:t>
      </w:r>
    </w:p>
    <w:p w14:paraId="25B44EB7" w14:textId="72BADDAE" w:rsidR="006A5ED7" w:rsidRPr="004841EF" w:rsidRDefault="006A5ED7" w:rsidP="005F6301">
      <w:pPr>
        <w:pStyle w:val="ListBullet2"/>
        <w:spacing w:after="240"/>
        <w:ind w:left="714" w:hanging="357"/>
      </w:pPr>
      <w:r w:rsidRPr="004841EF">
        <w:t>Provision of relevant training to support the employee to carry out their duties</w:t>
      </w:r>
      <w:r w:rsidR="00706CC7" w:rsidRPr="004841EF">
        <w:t xml:space="preserve"> etc</w:t>
      </w:r>
      <w:r w:rsidR="005F6301" w:rsidRPr="004841EF">
        <w:t>.</w:t>
      </w:r>
    </w:p>
    <w:p w14:paraId="113C8CAA" w14:textId="5EA2AFA7" w:rsidR="005A121E" w:rsidRPr="004841EF" w:rsidRDefault="00D205DB" w:rsidP="00567C19">
      <w:pPr>
        <w:pStyle w:val="ListBullet"/>
      </w:pPr>
      <w:r w:rsidRPr="004841EF">
        <w:rPr>
          <w:bCs/>
        </w:rPr>
        <w:t>Employers should appoint a</w:t>
      </w:r>
      <w:r w:rsidR="005A121E" w:rsidRPr="004841EF">
        <w:rPr>
          <w:bCs/>
        </w:rPr>
        <w:t xml:space="preserve"> Disability Liaison Officer</w:t>
      </w:r>
      <w:r w:rsidR="005A121E" w:rsidRPr="004841EF">
        <w:rPr>
          <w:b/>
          <w:bCs/>
        </w:rPr>
        <w:t xml:space="preserve"> </w:t>
      </w:r>
      <w:r w:rsidR="005A121E" w:rsidRPr="004841EF">
        <w:rPr>
          <w:bCs/>
        </w:rPr>
        <w:t xml:space="preserve">or Disability Champion </w:t>
      </w:r>
      <w:r w:rsidRPr="004841EF">
        <w:t xml:space="preserve">within an organisation. This person should be given </w:t>
      </w:r>
      <w:r w:rsidR="005A121E" w:rsidRPr="004841EF">
        <w:t xml:space="preserve">appropriate training to enable </w:t>
      </w:r>
      <w:r w:rsidR="00A939F9" w:rsidRPr="004841EF">
        <w:t xml:space="preserve">him/her to provide </w:t>
      </w:r>
      <w:r w:rsidR="005A121E" w:rsidRPr="004841EF">
        <w:t>informatio</w:t>
      </w:r>
      <w:r w:rsidR="00A939F9" w:rsidRPr="004841EF">
        <w:t>n, advice and support to</w:t>
      </w:r>
      <w:r w:rsidR="005A121E" w:rsidRPr="004841EF">
        <w:t xml:space="preserve"> employees with disabilities, including as regards the provision of reasonable accommodations.</w:t>
      </w:r>
      <w:r w:rsidR="00706CC7" w:rsidRPr="004841EF">
        <w:t xml:space="preserve"> Within the public service, </w:t>
      </w:r>
      <w:r w:rsidR="00567C19" w:rsidRPr="004841EF">
        <w:t>Disability Liaison Officers have been appointed in each government department. Their role is to</w:t>
      </w:r>
      <w:r w:rsidR="004615BA" w:rsidRPr="004841EF">
        <w:t xml:space="preserve"> </w:t>
      </w:r>
      <w:r w:rsidR="00567C19" w:rsidRPr="004841EF">
        <w:t>act as a point of contact for staff with disabilities, their managers and Human Resource Section, facilitate increased awareness of disability throughout the organisation and promote self-disclosure</w:t>
      </w:r>
      <w:r w:rsidR="00DF2DE8" w:rsidRPr="004841EF">
        <w:rPr>
          <w:rStyle w:val="FootnoteReference"/>
          <w:rFonts w:ascii="Gill Sans MT" w:hAnsi="Gill Sans MT"/>
        </w:rPr>
        <w:footnoteReference w:id="286"/>
      </w:r>
    </w:p>
    <w:p w14:paraId="5AED027D" w14:textId="4494B1A3" w:rsidR="00CF12C7" w:rsidRPr="004841EF" w:rsidRDefault="00D205DB" w:rsidP="000B6C87">
      <w:pPr>
        <w:pStyle w:val="ListBullet"/>
      </w:pPr>
      <w:r w:rsidRPr="004841EF">
        <w:t xml:space="preserve">Employers should make efforts to ensure that employees are supportive of colleagues who are receiving reasonable accommodations. </w:t>
      </w:r>
      <w:r w:rsidR="00CF12C7" w:rsidRPr="004841EF">
        <w:t xml:space="preserve">Employers should provide disability awareness training </w:t>
      </w:r>
      <w:r w:rsidR="003A2CE3" w:rsidRPr="004841EF">
        <w:t>to</w:t>
      </w:r>
      <w:r w:rsidR="00CF12C7" w:rsidRPr="004841EF">
        <w:t xml:space="preserve"> managers and staff which can help to promote good communications, challenge preconceived ideas and stereotypes and foster a positive working environment in which the employee can realise their potential. Good quality training and information is likely to yield benefits by defusing any tensions that may arise at the workplace over situations where accommodations are provided and, where necessary, ensuring staff are sensitive to the needs of a person with a disability</w:t>
      </w:r>
      <w:r w:rsidR="00CF12C7" w:rsidRPr="004841EF">
        <w:rPr>
          <w:rStyle w:val="FootnoteReference"/>
          <w:rFonts w:ascii="Gill Sans MT" w:hAnsi="Gill Sans MT"/>
        </w:rPr>
        <w:footnoteReference w:id="287"/>
      </w:r>
    </w:p>
    <w:p w14:paraId="5185601B" w14:textId="1D92CF97" w:rsidR="00EC74E9" w:rsidRPr="004841EF" w:rsidRDefault="00EC74E9" w:rsidP="009E17DD">
      <w:pPr>
        <w:pStyle w:val="ListBullet"/>
      </w:pPr>
      <w:r w:rsidRPr="004841EF">
        <w:t xml:space="preserve">Where a person is </w:t>
      </w:r>
      <w:r w:rsidR="004615BA" w:rsidRPr="004841EF">
        <w:t xml:space="preserve">exhibiting </w:t>
      </w:r>
      <w:r w:rsidRPr="004841EF">
        <w:t>difficulties in work, such as poor attendance and/or a change in work performance or interaction with colleagues, an employer or manager should ask them whether they require a reasonable accommodation.</w:t>
      </w:r>
      <w:r w:rsidR="00E01CBD" w:rsidRPr="004841EF">
        <w:t xml:space="preserve"> Sometimes, poor performance or difficult behaviours at work may </w:t>
      </w:r>
      <w:r w:rsidR="00A818DB" w:rsidRPr="004841EF">
        <w:t>relate</w:t>
      </w:r>
      <w:r w:rsidR="00E01CBD" w:rsidRPr="004841EF">
        <w:t xml:space="preserve"> to the onset of a disability or a mental health </w:t>
      </w:r>
      <w:r w:rsidR="00035DCD" w:rsidRPr="004841EF">
        <w:t>issue</w:t>
      </w:r>
      <w:r w:rsidR="00E01CBD" w:rsidRPr="004841EF">
        <w:t>, which the person may not have acknowledged themselves, nor have disclosed at work</w:t>
      </w:r>
      <w:r w:rsidR="00E01CBD" w:rsidRPr="004841EF">
        <w:rPr>
          <w:rStyle w:val="FootnoteReference"/>
          <w:rFonts w:ascii="Gill Sans MT" w:hAnsi="Gill Sans MT"/>
        </w:rPr>
        <w:footnoteReference w:id="288"/>
      </w:r>
    </w:p>
    <w:p w14:paraId="04C4DED4" w14:textId="6249955B" w:rsidR="00932FC9" w:rsidRPr="004841EF" w:rsidRDefault="00932FC9" w:rsidP="000A7AA2">
      <w:pPr>
        <w:pStyle w:val="ListBullet"/>
        <w:spacing w:after="240"/>
        <w:ind w:left="357" w:hanging="357"/>
      </w:pPr>
      <w:r w:rsidRPr="004841EF">
        <w:t>Employers should be flexible</w:t>
      </w:r>
      <w:r w:rsidR="002777EA" w:rsidRPr="004841EF">
        <w:t xml:space="preserve"> </w:t>
      </w:r>
      <w:r w:rsidR="00427A39" w:rsidRPr="004841EF">
        <w:t xml:space="preserve">and open-minded </w:t>
      </w:r>
      <w:r w:rsidR="002777EA" w:rsidRPr="004841EF">
        <w:t xml:space="preserve">in </w:t>
      </w:r>
      <w:r w:rsidR="003A2CE3" w:rsidRPr="004841EF">
        <w:t>dealing with and considering requests for</w:t>
      </w:r>
      <w:r w:rsidR="002777EA" w:rsidRPr="004841EF">
        <w:t xml:space="preserve"> reasonable accommodations</w:t>
      </w:r>
      <w:r w:rsidRPr="004841EF">
        <w:t>.</w:t>
      </w:r>
      <w:r w:rsidR="00940DB0" w:rsidRPr="004841EF">
        <w:rPr>
          <w:rStyle w:val="FootnoteReference"/>
          <w:rFonts w:ascii="Gill Sans MT" w:hAnsi="Gill Sans MT"/>
        </w:rPr>
        <w:footnoteReference w:id="289"/>
      </w:r>
      <w:r w:rsidRPr="004841EF">
        <w:t xml:space="preserve"> </w:t>
      </w:r>
      <w:r w:rsidR="002777EA" w:rsidRPr="004841EF">
        <w:t>For instance,</w:t>
      </w:r>
      <w:r w:rsidR="000B40FF" w:rsidRPr="004841EF">
        <w:t xml:space="preserve"> while</w:t>
      </w:r>
      <w:r w:rsidR="002777EA" w:rsidRPr="004841EF">
        <w:t xml:space="preserve"> flexible working hours may </w:t>
      </w:r>
      <w:r w:rsidR="000B40FF" w:rsidRPr="004841EF">
        <w:t xml:space="preserve">not necessarily be </w:t>
      </w:r>
      <w:r w:rsidR="00A818DB" w:rsidRPr="004841EF">
        <w:t>convenient for an employer, this</w:t>
      </w:r>
      <w:r w:rsidR="000B40FF" w:rsidRPr="004841EF">
        <w:t xml:space="preserve"> may </w:t>
      </w:r>
      <w:r w:rsidR="002777EA" w:rsidRPr="004841EF">
        <w:t xml:space="preserve">be an appropriate accommodation in a given situation due to extra difficulties a person with </w:t>
      </w:r>
      <w:r w:rsidR="000B40FF" w:rsidRPr="004841EF">
        <w:t xml:space="preserve">disabilities </w:t>
      </w:r>
      <w:r w:rsidR="002777EA" w:rsidRPr="004841EF">
        <w:t>may face in accessing transport or in order to accommodate appointments with a health</w:t>
      </w:r>
      <w:r w:rsidR="00035DCD" w:rsidRPr="004841EF">
        <w:t>care</w:t>
      </w:r>
      <w:r w:rsidR="002777EA" w:rsidRPr="004841EF">
        <w:t xml:space="preserve"> professional</w:t>
      </w:r>
    </w:p>
    <w:p w14:paraId="0FA51787" w14:textId="287C1664" w:rsidR="00EC74E9" w:rsidRPr="004841EF" w:rsidRDefault="00F3565F" w:rsidP="00E05912">
      <w:pPr>
        <w:pStyle w:val="Heading2"/>
      </w:pPr>
      <w:bookmarkStart w:id="268" w:name="_Toc26192142"/>
      <w:bookmarkStart w:id="269" w:name="_Toc42172559"/>
      <w:r w:rsidRPr="004841EF">
        <w:t>5.12</w:t>
      </w:r>
      <w:r w:rsidR="00037C18" w:rsidRPr="004841EF">
        <w:t xml:space="preserve">. </w:t>
      </w:r>
      <w:r w:rsidR="00EC74E9" w:rsidRPr="004841EF">
        <w:t>Training and Promotional Opportunities</w:t>
      </w:r>
      <w:bookmarkEnd w:id="268"/>
      <w:bookmarkEnd w:id="269"/>
    </w:p>
    <w:p w14:paraId="4B844579" w14:textId="01A11809" w:rsidR="00EC74E9" w:rsidRPr="004841EF" w:rsidRDefault="00EC74E9" w:rsidP="00846DC3">
      <w:pPr>
        <w:pStyle w:val="ListBullet"/>
      </w:pPr>
      <w:r w:rsidRPr="004841EF">
        <w:t>Employers should ensure that employees are provided with reasonable accommodations in order to avail of all available training and promotional opportunities. In this regard, employees with disabilities should be reassured that reasonable accommodations will be provided at more senior levels.</w:t>
      </w:r>
      <w:r w:rsidRPr="004841EF">
        <w:rPr>
          <w:rStyle w:val="FootnoteReference"/>
          <w:rFonts w:ascii="Gill Sans MT" w:hAnsi="Gill Sans MT"/>
        </w:rPr>
        <w:footnoteReference w:id="290"/>
      </w:r>
      <w:r w:rsidRPr="004841EF">
        <w:t xml:space="preserve"> Employers should ensure that training venues are accessible and that training materials are available </w:t>
      </w:r>
      <w:r w:rsidR="005F6301" w:rsidRPr="004841EF">
        <w:t>in an accessible format</w:t>
      </w:r>
    </w:p>
    <w:p w14:paraId="2C6A0BF9" w14:textId="404D3E8A" w:rsidR="00EC74E9" w:rsidRPr="004841EF" w:rsidRDefault="003E1548" w:rsidP="000A7AA2">
      <w:pPr>
        <w:pStyle w:val="ListBullet"/>
        <w:spacing w:after="240"/>
        <w:ind w:left="357" w:hanging="357"/>
      </w:pPr>
      <w:r w:rsidRPr="004841EF">
        <w:t>Employer</w:t>
      </w:r>
      <w:r w:rsidR="00CF12C7" w:rsidRPr="004841EF">
        <w:t>s</w:t>
      </w:r>
      <w:r w:rsidRPr="004841EF">
        <w:t xml:space="preserve"> should encourage employees with disabilities</w:t>
      </w:r>
      <w:r w:rsidR="00CF12C7" w:rsidRPr="004841EF">
        <w:t xml:space="preserve"> to put themselves forward for promotional opportunities</w:t>
      </w:r>
      <w:r w:rsidR="00516A6F" w:rsidRPr="004841EF">
        <w:t xml:space="preserve"> and</w:t>
      </w:r>
      <w:r w:rsidR="004615BA" w:rsidRPr="004841EF">
        <w:t xml:space="preserve"> assure them</w:t>
      </w:r>
      <w:r w:rsidR="00516A6F" w:rsidRPr="004841EF">
        <w:t xml:space="preserve"> that reasonable accommodations will be provided for any </w:t>
      </w:r>
      <w:r w:rsidR="00243DAD" w:rsidRPr="004841EF">
        <w:t>promotional competitions</w:t>
      </w:r>
      <w:r w:rsidR="00CF12C7" w:rsidRPr="004841EF">
        <w:t>.</w:t>
      </w:r>
      <w:r w:rsidR="00516A6F" w:rsidRPr="004841EF">
        <w:rPr>
          <w:rStyle w:val="FootnoteReference"/>
          <w:rFonts w:ascii="Gill Sans MT" w:hAnsi="Gill Sans MT"/>
        </w:rPr>
        <w:footnoteReference w:id="291"/>
      </w:r>
      <w:r w:rsidR="00CF12C7" w:rsidRPr="004841EF">
        <w:t xml:space="preserve"> In one government department, an advertisement</w:t>
      </w:r>
      <w:r w:rsidR="00EC74E9" w:rsidRPr="004841EF">
        <w:t xml:space="preserve"> for </w:t>
      </w:r>
      <w:r w:rsidR="00CF12C7" w:rsidRPr="004841EF">
        <w:t xml:space="preserve">an </w:t>
      </w:r>
      <w:r w:rsidR="00EC74E9" w:rsidRPr="004841EF">
        <w:t xml:space="preserve">internal promotional </w:t>
      </w:r>
      <w:r w:rsidR="00CF12C7" w:rsidRPr="004841EF">
        <w:t>recruitment campaign was</w:t>
      </w:r>
      <w:r w:rsidR="00EC74E9" w:rsidRPr="004841EF">
        <w:t xml:space="preserve"> accompanied by a message from senior level management detailing that promotional opportunities are available to all, that the organisation is an inclusive one and that reasonable accommodations will be made available at interview for anyone</w:t>
      </w:r>
      <w:r w:rsidR="0050483C" w:rsidRPr="004841EF">
        <w:t xml:space="preserve"> with a disability</w:t>
      </w:r>
      <w:r w:rsidR="00EC74E9" w:rsidRPr="004841EF">
        <w:t xml:space="preserve"> who requires them</w:t>
      </w:r>
    </w:p>
    <w:p w14:paraId="7B5A2133" w14:textId="0A95651E" w:rsidR="00EC74E9" w:rsidRPr="004841EF" w:rsidRDefault="00F3565F" w:rsidP="00E05912">
      <w:pPr>
        <w:pStyle w:val="Heading2"/>
      </w:pPr>
      <w:bookmarkStart w:id="270" w:name="_Toc26192143"/>
      <w:bookmarkStart w:id="271" w:name="_Toc42172560"/>
      <w:r w:rsidRPr="004841EF">
        <w:t>5.13</w:t>
      </w:r>
      <w:r w:rsidR="00037C18" w:rsidRPr="004841EF">
        <w:t xml:space="preserve">. </w:t>
      </w:r>
      <w:r w:rsidR="00EC74E9" w:rsidRPr="004841EF">
        <w:t>Returning Employees</w:t>
      </w:r>
      <w:bookmarkEnd w:id="270"/>
      <w:bookmarkEnd w:id="271"/>
    </w:p>
    <w:p w14:paraId="4BB8A83F" w14:textId="4AEE41FD" w:rsidR="00CF12C7" w:rsidRPr="004841EF" w:rsidRDefault="00CF12C7" w:rsidP="006272C6">
      <w:pPr>
        <w:pStyle w:val="ListBullet"/>
        <w:ind w:left="357" w:hanging="357"/>
      </w:pPr>
      <w:r w:rsidRPr="004841EF">
        <w:t>Where an employee with a disability is absent from work, an employer should consult with them about the potential need</w:t>
      </w:r>
      <w:r w:rsidR="002253D2" w:rsidRPr="004841EF">
        <w:t xml:space="preserve"> for workplace accommodations before</w:t>
      </w:r>
      <w:r w:rsidRPr="004841EF">
        <w:t xml:space="preserve"> their return.</w:t>
      </w:r>
      <w:r w:rsidR="002253D2" w:rsidRPr="004841EF">
        <w:t xml:space="preserve"> These accommodations should be in place before the employee returns to work.</w:t>
      </w:r>
      <w:r w:rsidR="002253D2" w:rsidRPr="004841EF">
        <w:rPr>
          <w:rStyle w:val="FootnoteReference"/>
          <w:rFonts w:ascii="Gill Sans MT" w:hAnsi="Gill Sans MT"/>
        </w:rPr>
        <w:footnoteReference w:id="292"/>
      </w:r>
      <w:r w:rsidRPr="004841EF">
        <w:t xml:space="preserve"> Some common </w:t>
      </w:r>
      <w:r w:rsidR="00A939F9" w:rsidRPr="004841EF">
        <w:t>accommodation</w:t>
      </w:r>
      <w:r w:rsidRPr="004841EF">
        <w:t>s for those returning from an absence from work include</w:t>
      </w:r>
      <w:r w:rsidR="006272C6" w:rsidRPr="004841EF">
        <w:t>:</w:t>
      </w:r>
    </w:p>
    <w:p w14:paraId="061B6982" w14:textId="77777777" w:rsidR="00CF12C7" w:rsidRPr="004841EF" w:rsidRDefault="00CF12C7" w:rsidP="00CF12C7">
      <w:pPr>
        <w:pStyle w:val="ListBullet2"/>
      </w:pPr>
      <w:r w:rsidRPr="004841EF">
        <w:t xml:space="preserve">Phased return to work starting with a few hours a day and building up to their usual hours </w:t>
      </w:r>
    </w:p>
    <w:p w14:paraId="64AB53ED" w14:textId="77777777" w:rsidR="00CF12C7" w:rsidRPr="004841EF" w:rsidRDefault="00CF12C7" w:rsidP="00CF12C7">
      <w:pPr>
        <w:pStyle w:val="ListBullet2"/>
      </w:pPr>
      <w:r w:rsidRPr="004841EF">
        <w:t xml:space="preserve">Reduced hours or changed work pattern  </w:t>
      </w:r>
    </w:p>
    <w:p w14:paraId="1BBF91AD" w14:textId="77777777" w:rsidR="00CF12C7" w:rsidRPr="004841EF" w:rsidRDefault="00CF12C7" w:rsidP="00CF12C7">
      <w:pPr>
        <w:pStyle w:val="ListBullet2"/>
      </w:pPr>
      <w:r w:rsidRPr="004841EF">
        <w:t xml:space="preserve">Later start time – some medication can make individuals drowsy early in the morning and they may require some flexibility with their start time to accommodate </w:t>
      </w:r>
    </w:p>
    <w:p w14:paraId="1F4466E0" w14:textId="77777777" w:rsidR="00CF12C7" w:rsidRPr="004841EF" w:rsidRDefault="00CF12C7" w:rsidP="00CF12C7">
      <w:pPr>
        <w:pStyle w:val="ListBullet2"/>
      </w:pPr>
      <w:r w:rsidRPr="004841EF">
        <w:t xml:space="preserve">Changes to workload </w:t>
      </w:r>
    </w:p>
    <w:p w14:paraId="1E2B6EBA" w14:textId="77777777" w:rsidR="00CF12C7" w:rsidRPr="004841EF" w:rsidRDefault="00CF12C7" w:rsidP="00CF12C7">
      <w:pPr>
        <w:pStyle w:val="ListBullet2"/>
      </w:pPr>
      <w:r w:rsidRPr="004841EF">
        <w:t xml:space="preserve">Changes to work environment </w:t>
      </w:r>
    </w:p>
    <w:p w14:paraId="034396C3" w14:textId="77777777" w:rsidR="00CF12C7" w:rsidRPr="004841EF" w:rsidRDefault="00CF12C7" w:rsidP="00CF12C7">
      <w:pPr>
        <w:pStyle w:val="ListBullet2"/>
      </w:pPr>
      <w:r w:rsidRPr="004841EF">
        <w:t xml:space="preserve">Instead of a long lunch break - a series of short breaks throughout the day can be useful </w:t>
      </w:r>
    </w:p>
    <w:p w14:paraId="52FB6B5D" w14:textId="47B3C27A" w:rsidR="00CF12C7" w:rsidRPr="004841EF" w:rsidRDefault="00CF12C7" w:rsidP="006272C6">
      <w:pPr>
        <w:pStyle w:val="ListBullet2"/>
        <w:spacing w:after="240"/>
        <w:ind w:left="714" w:hanging="357"/>
      </w:pPr>
      <w:r w:rsidRPr="004841EF">
        <w:t>Accommodation of time off for medical or counselling/therapeutic appointments</w:t>
      </w:r>
      <w:r w:rsidR="00243DAD" w:rsidRPr="004841EF">
        <w:rPr>
          <w:rStyle w:val="FootnoteReference"/>
          <w:rFonts w:ascii="Gill Sans MT" w:hAnsi="Gill Sans MT"/>
        </w:rPr>
        <w:footnoteReference w:id="293"/>
      </w:r>
    </w:p>
    <w:p w14:paraId="1252B54B" w14:textId="074FE6B4" w:rsidR="00821F47" w:rsidRPr="004841EF" w:rsidRDefault="003E1548" w:rsidP="00F82030">
      <w:pPr>
        <w:pStyle w:val="ListBullet"/>
      </w:pPr>
      <w:r w:rsidRPr="004841EF">
        <w:t>Employers should maintain</w:t>
      </w:r>
      <w:r w:rsidR="00821F47" w:rsidRPr="004841EF">
        <w:t xml:space="preserve"> regular, supportive contact with an </w:t>
      </w:r>
      <w:r w:rsidRPr="004841EF">
        <w:t>employee, while they are absent. This</w:t>
      </w:r>
      <w:r w:rsidR="00821F47" w:rsidRPr="004841EF">
        <w:t xml:space="preserve"> can assist them in returning to work and is beneficial to the employer and the employee.</w:t>
      </w:r>
      <w:r w:rsidR="00821F47" w:rsidRPr="004841EF">
        <w:rPr>
          <w:rStyle w:val="FootnoteReference"/>
          <w:rFonts w:ascii="Gill Sans MT" w:hAnsi="Gill Sans MT"/>
        </w:rPr>
        <w:footnoteReference w:id="294"/>
      </w:r>
      <w:r w:rsidR="00821F47" w:rsidRPr="004841EF">
        <w:t xml:space="preserve"> The objective of this contact is to ensure that </w:t>
      </w:r>
      <w:r w:rsidR="00A818DB" w:rsidRPr="004841EF">
        <w:t>the employer is</w:t>
      </w:r>
      <w:r w:rsidR="00821F47" w:rsidRPr="004841EF">
        <w:t xml:space="preserve"> providing the employee with any necessary supports </w:t>
      </w:r>
      <w:r w:rsidR="00A939F9" w:rsidRPr="004841EF">
        <w:t xml:space="preserve">or accommodations </w:t>
      </w:r>
      <w:r w:rsidR="00821F47" w:rsidRPr="004841EF">
        <w:t xml:space="preserve">they may require. However, this contact needs to be managed sensitively. </w:t>
      </w:r>
      <w:r w:rsidR="00C343CE" w:rsidRPr="004841EF">
        <w:t>More information on how best to manage this process is contained in the NDA publication</w:t>
      </w:r>
      <w:r w:rsidR="00685E04" w:rsidRPr="004841EF">
        <w:t xml:space="preserve"> </w:t>
      </w:r>
      <w:r w:rsidR="0081620C" w:rsidRPr="004841EF">
        <w:t>(2015)</w:t>
      </w:r>
      <w:r w:rsidR="00685E04" w:rsidRPr="004841EF">
        <w:t xml:space="preserve"> </w:t>
      </w:r>
      <w:r w:rsidR="00C343CE" w:rsidRPr="004841EF">
        <w:rPr>
          <w:b/>
        </w:rPr>
        <w:t>Retaining employees who acquire a disability: A guide for employers</w:t>
      </w:r>
    </w:p>
    <w:p w14:paraId="0A01B4F3" w14:textId="2347AE28" w:rsidR="00536B99" w:rsidRPr="004841EF" w:rsidRDefault="00EC74E9" w:rsidP="00C1708C">
      <w:pPr>
        <w:pStyle w:val="ListBullet"/>
      </w:pPr>
      <w:r w:rsidRPr="004841EF">
        <w:t>Employers should ensure that any existing employee who is absent from work (such as those on long-term sick leave, and those working part-time or r</w:t>
      </w:r>
      <w:r w:rsidR="00243DAD" w:rsidRPr="004841EF">
        <w:t>emotely) are informed of any vacancie</w:t>
      </w:r>
      <w:r w:rsidRPr="004841EF">
        <w:t>s that become available so they can consider whether to apply.</w:t>
      </w:r>
      <w:r w:rsidR="00243DAD" w:rsidRPr="004841EF">
        <w:t xml:space="preserve"> They should also be informed that reasonable accommodations will be provided for any recruitment campaign</w:t>
      </w:r>
    </w:p>
    <w:p w14:paraId="2E3C28AE" w14:textId="4186A0D8" w:rsidR="00B4738F" w:rsidRPr="004841EF" w:rsidRDefault="00E46CDC" w:rsidP="00B4738F">
      <w:pPr>
        <w:pStyle w:val="ListBullet"/>
      </w:pPr>
      <w:r w:rsidRPr="004841EF">
        <w:t>Employers should hold a</w:t>
      </w:r>
      <w:r w:rsidR="00A6043A" w:rsidRPr="004841EF">
        <w:t xml:space="preserve"> return to work meeting with the returning employee. This meeting provides an opportunity to discuss any possible concerns the employee may have about returning to work and reasonable accommodations which may be put into place. These meetings should be private, positive and supportive</w:t>
      </w:r>
      <w:r w:rsidR="00B4738F" w:rsidRPr="004841EF">
        <w:t>.</w:t>
      </w:r>
    </w:p>
    <w:p w14:paraId="21A7E847" w14:textId="78DBA274" w:rsidR="00472EED" w:rsidRPr="004841EF" w:rsidRDefault="00B4738F" w:rsidP="00B4738F">
      <w:pPr>
        <w:spacing w:after="0"/>
      </w:pPr>
      <w:r w:rsidRPr="004841EF">
        <w:br w:type="page"/>
      </w:r>
    </w:p>
    <w:p w14:paraId="758D089F" w14:textId="765A67ED" w:rsidR="00536B99" w:rsidRPr="00487A62" w:rsidRDefault="00536B99" w:rsidP="00487A62">
      <w:pPr>
        <w:pStyle w:val="Heading1"/>
      </w:pPr>
      <w:bookmarkStart w:id="272" w:name="_Toc26192144"/>
      <w:bookmarkStart w:id="273" w:name="_Toc42172561"/>
      <w:r w:rsidRPr="004841EF">
        <w:t>C</w:t>
      </w:r>
      <w:r w:rsidR="00977494" w:rsidRPr="004841EF">
        <w:t>hapter 6</w:t>
      </w:r>
      <w:r w:rsidR="003B1097" w:rsidRPr="004841EF">
        <w:t xml:space="preserve"> </w:t>
      </w:r>
      <w:r w:rsidR="007D054E" w:rsidRPr="004841EF">
        <w:t>- C</w:t>
      </w:r>
      <w:r w:rsidRPr="004841EF">
        <w:t>onclusion</w:t>
      </w:r>
      <w:r w:rsidR="00E35947" w:rsidRPr="004841EF">
        <w:t>s</w:t>
      </w:r>
      <w:bookmarkEnd w:id="272"/>
      <w:bookmarkEnd w:id="273"/>
    </w:p>
    <w:p w14:paraId="3E90C029" w14:textId="589358C8" w:rsidR="009F24E2" w:rsidRPr="004841EF" w:rsidRDefault="002D42E4" w:rsidP="00536B99">
      <w:r w:rsidRPr="004841EF">
        <w:t xml:space="preserve">It is clear from </w:t>
      </w:r>
      <w:r w:rsidR="00616BAA" w:rsidRPr="004841EF">
        <w:t>this paper</w:t>
      </w:r>
      <w:r w:rsidRPr="004841EF">
        <w:t xml:space="preserve"> that a </w:t>
      </w:r>
      <w:r w:rsidR="00A93A53" w:rsidRPr="004841EF">
        <w:t>range</w:t>
      </w:r>
      <w:r w:rsidR="00E46CDC" w:rsidRPr="004841EF">
        <w:t xml:space="preserve"> of factor</w:t>
      </w:r>
      <w:r w:rsidRPr="004841EF">
        <w:t>s can impede a seamless reasonable accommodation process</w:t>
      </w:r>
      <w:r w:rsidR="00C37856" w:rsidRPr="004841EF">
        <w:t>. T</w:t>
      </w:r>
      <w:r w:rsidR="009F24E2" w:rsidRPr="004841EF">
        <w:t xml:space="preserve">he net effect of </w:t>
      </w:r>
      <w:r w:rsidR="00C37856" w:rsidRPr="004841EF">
        <w:t xml:space="preserve">these barriers is that </w:t>
      </w:r>
      <w:r w:rsidR="00EB4927" w:rsidRPr="004841EF">
        <w:t xml:space="preserve">persons </w:t>
      </w:r>
      <w:r w:rsidR="009F24E2" w:rsidRPr="004841EF">
        <w:t xml:space="preserve">with disabilities </w:t>
      </w:r>
      <w:r w:rsidR="00C37856" w:rsidRPr="004841EF">
        <w:t xml:space="preserve">are denied </w:t>
      </w:r>
      <w:r w:rsidR="009F24E2" w:rsidRPr="004841EF">
        <w:t xml:space="preserve">reasonable accommodation measures which can assist them in </w:t>
      </w:r>
      <w:r w:rsidR="008D7984" w:rsidRPr="004841EF">
        <w:t xml:space="preserve">accessing </w:t>
      </w:r>
      <w:r w:rsidR="009F24E2" w:rsidRPr="004841EF">
        <w:t xml:space="preserve">and retaining employment. It is important to emphasise that reasonable accommodation measures are not optional “add ons”; </w:t>
      </w:r>
      <w:r w:rsidR="00C37856" w:rsidRPr="004841EF">
        <w:t>the</w:t>
      </w:r>
      <w:r w:rsidR="009F24E2" w:rsidRPr="004841EF">
        <w:t xml:space="preserve"> right </w:t>
      </w:r>
      <w:r w:rsidR="00C37856" w:rsidRPr="004841EF">
        <w:t>to reasonable accommodations</w:t>
      </w:r>
      <w:r w:rsidR="00072126" w:rsidRPr="004841EF">
        <w:t xml:space="preserve"> </w:t>
      </w:r>
      <w:r w:rsidR="00C37856" w:rsidRPr="004841EF">
        <w:t>is legally enforceable and remedies are available where such measures are unlawfully denied.</w:t>
      </w:r>
    </w:p>
    <w:p w14:paraId="5228BD3C" w14:textId="69A1F46D" w:rsidR="00536B99" w:rsidRPr="004841EF" w:rsidRDefault="00536B99" w:rsidP="00F73EC1">
      <w:pPr>
        <w:spacing w:after="120"/>
      </w:pPr>
      <w:r w:rsidRPr="004841EF">
        <w:t>A num</w:t>
      </w:r>
      <w:r w:rsidR="009F24E2" w:rsidRPr="004841EF">
        <w:t>ber of key findings</w:t>
      </w:r>
      <w:r w:rsidRPr="004841EF">
        <w:t xml:space="preserve"> emerged from the </w:t>
      </w:r>
      <w:r w:rsidR="009F24E2" w:rsidRPr="004841EF">
        <w:t xml:space="preserve">review of </w:t>
      </w:r>
      <w:r w:rsidR="0050483C" w:rsidRPr="004841EF">
        <w:t>82</w:t>
      </w:r>
      <w:r w:rsidR="0081620C" w:rsidRPr="004841EF">
        <w:t xml:space="preserve"> Workplace Relations Commission and the Labour </w:t>
      </w:r>
      <w:r w:rsidR="009F24E2" w:rsidRPr="004841EF">
        <w:t>Court decisions. These included</w:t>
      </w:r>
      <w:r w:rsidRPr="004841EF">
        <w:t>:</w:t>
      </w:r>
    </w:p>
    <w:p w14:paraId="7FF0868D" w14:textId="493655E8" w:rsidR="00C37856" w:rsidRPr="004841EF" w:rsidRDefault="00FD7393" w:rsidP="002D42E4">
      <w:pPr>
        <w:pStyle w:val="ListBullet"/>
      </w:pPr>
      <w:r w:rsidRPr="004841EF">
        <w:t xml:space="preserve">In almost 60% of </w:t>
      </w:r>
      <w:r w:rsidR="00986091" w:rsidRPr="004841EF">
        <w:t xml:space="preserve">cases examined as part of </w:t>
      </w:r>
      <w:r w:rsidR="0081620C" w:rsidRPr="004841EF">
        <w:t>the</w:t>
      </w:r>
      <w:r w:rsidR="0050483C" w:rsidRPr="004841EF">
        <w:t xml:space="preserve"> Workplace Relations Commission</w:t>
      </w:r>
      <w:r w:rsidR="008648FD" w:rsidRPr="004841EF">
        <w:t xml:space="preserve"> and</w:t>
      </w:r>
      <w:r w:rsidR="0081620C" w:rsidRPr="004841EF">
        <w:t xml:space="preserve"> Labour Court </w:t>
      </w:r>
      <w:r w:rsidR="00986091" w:rsidRPr="004841EF">
        <w:t>review, the relevant employer was found not to have breached the requirement to provide reasonable accommodation</w:t>
      </w:r>
      <w:r w:rsidR="008D7984" w:rsidRPr="004841EF">
        <w:t>s</w:t>
      </w:r>
      <w:r w:rsidR="00986091" w:rsidRPr="004841EF">
        <w:t xml:space="preserve"> under employment equality legislation</w:t>
      </w:r>
      <w:r w:rsidR="00AB1EA3" w:rsidRPr="004841EF">
        <w:t xml:space="preserve"> </w:t>
      </w:r>
      <w:r w:rsidR="0050483C" w:rsidRPr="004841EF">
        <w:t>(49/82)</w:t>
      </w:r>
    </w:p>
    <w:p w14:paraId="4966D4AB" w14:textId="40D9ABAE" w:rsidR="00986091" w:rsidRPr="004841EF" w:rsidRDefault="00C37856" w:rsidP="002D42E4">
      <w:pPr>
        <w:pStyle w:val="ListBullet"/>
      </w:pPr>
      <w:r w:rsidRPr="004841EF">
        <w:t xml:space="preserve">The </w:t>
      </w:r>
      <w:r w:rsidR="00AB1EA3" w:rsidRPr="004841EF">
        <w:t xml:space="preserve">relevant employer was deemed to </w:t>
      </w:r>
      <w:r w:rsidRPr="004841EF">
        <w:t>have breached</w:t>
      </w:r>
      <w:r w:rsidR="00AB1EA3" w:rsidRPr="004841EF">
        <w:t xml:space="preserve"> their obligation to provide reasonable accommodation</w:t>
      </w:r>
      <w:r w:rsidR="008D7984" w:rsidRPr="004841EF">
        <w:t>s</w:t>
      </w:r>
      <w:r w:rsidR="00AB1EA3" w:rsidRPr="004841EF">
        <w:t xml:space="preserve"> in 40% of case</w:t>
      </w:r>
      <w:r w:rsidR="00072126" w:rsidRPr="004841EF">
        <w:t>s</w:t>
      </w:r>
      <w:r w:rsidR="0050483C" w:rsidRPr="004841EF">
        <w:t xml:space="preserve"> (33/82)</w:t>
      </w:r>
    </w:p>
    <w:p w14:paraId="08F9914C" w14:textId="6C81A49E" w:rsidR="00536B99" w:rsidRPr="004841EF" w:rsidRDefault="00986091" w:rsidP="006272C6">
      <w:pPr>
        <w:pStyle w:val="ListBullet"/>
        <w:ind w:left="357" w:hanging="357"/>
      </w:pPr>
      <w:r w:rsidRPr="004841EF">
        <w:t xml:space="preserve">The </w:t>
      </w:r>
      <w:r w:rsidR="00536B99" w:rsidRPr="004841EF">
        <w:t>m</w:t>
      </w:r>
      <w:r w:rsidR="00A93A53" w:rsidRPr="004841EF">
        <w:t>ost common reason why employers we</w:t>
      </w:r>
      <w:r w:rsidR="00536B99" w:rsidRPr="004841EF">
        <w:t>re found to be in breach of the obliga</w:t>
      </w:r>
      <w:r w:rsidR="00A93A53" w:rsidRPr="004841EF">
        <w:t>tion to provide reasonable accommodation</w:t>
      </w:r>
      <w:r w:rsidR="005373C9" w:rsidRPr="004841EF">
        <w:t xml:space="preserve"> in the </w:t>
      </w:r>
      <w:r w:rsidR="004211ED" w:rsidRPr="004841EF">
        <w:t>Workplace Relations Commission</w:t>
      </w:r>
      <w:r w:rsidR="0081620C" w:rsidRPr="004841EF">
        <w:t xml:space="preserve"> and the Labour Court </w:t>
      </w:r>
      <w:r w:rsidR="005373C9" w:rsidRPr="004841EF">
        <w:t>review</w:t>
      </w:r>
      <w:r w:rsidR="00A93A53" w:rsidRPr="004841EF">
        <w:t xml:space="preserve"> wa</w:t>
      </w:r>
      <w:r w:rsidR="00536B99" w:rsidRPr="004841EF">
        <w:t xml:space="preserve">s for failing to comply with the procedural components of the </w:t>
      </w:r>
      <w:r w:rsidR="00A93A53" w:rsidRPr="004841EF">
        <w:t xml:space="preserve">duty. In particular, employers </w:t>
      </w:r>
      <w:r w:rsidR="005373C9" w:rsidRPr="004841EF">
        <w:t>failed</w:t>
      </w:r>
      <w:r w:rsidR="00536B99" w:rsidRPr="004841EF">
        <w:t xml:space="preserve"> to:</w:t>
      </w:r>
    </w:p>
    <w:p w14:paraId="6947B6AC" w14:textId="4FB85690" w:rsidR="00536B99" w:rsidRPr="004841EF" w:rsidRDefault="00536B99" w:rsidP="002D42E4">
      <w:pPr>
        <w:pStyle w:val="ListBullet2"/>
      </w:pPr>
      <w:r w:rsidRPr="004841EF">
        <w:t>undertake sufficient enquiries to ascertain the extent of the employee’s disability and the factual position concerning the employee’s capability</w:t>
      </w:r>
    </w:p>
    <w:p w14:paraId="7F37C8CF" w14:textId="37F53508" w:rsidR="00536B99" w:rsidRPr="004841EF" w:rsidRDefault="00536B99" w:rsidP="002D42E4">
      <w:pPr>
        <w:pStyle w:val="ListBullet2"/>
      </w:pPr>
      <w:r w:rsidRPr="004841EF">
        <w:t>consider what, if any, special treatment or facilities may be available by which the employee could become fully capable of undertaking the full range of duties associated with his or her post</w:t>
      </w:r>
    </w:p>
    <w:p w14:paraId="1A1FB5B9" w14:textId="62206996" w:rsidR="00536B99" w:rsidRPr="004841EF" w:rsidRDefault="000C15DE" w:rsidP="006272C6">
      <w:pPr>
        <w:pStyle w:val="ListBullet2"/>
        <w:spacing w:after="240"/>
        <w:ind w:left="714" w:hanging="357"/>
      </w:pPr>
      <w:r w:rsidRPr="004841EF">
        <w:t>consult with and allow</w:t>
      </w:r>
      <w:r w:rsidR="00536B99" w:rsidRPr="004841EF">
        <w:t xml:space="preserve"> the employee concerned a full opportunity to participate at each level of the process</w:t>
      </w:r>
    </w:p>
    <w:p w14:paraId="4D8B2BE2" w14:textId="4C35B2F2" w:rsidR="008A5BB1" w:rsidRPr="004841EF" w:rsidRDefault="00A93A53" w:rsidP="00AB1EA3">
      <w:pPr>
        <w:pStyle w:val="ListBullet"/>
      </w:pPr>
      <w:r w:rsidRPr="004841EF">
        <w:t xml:space="preserve">The review of </w:t>
      </w:r>
      <w:r w:rsidR="0081620C" w:rsidRPr="004841EF">
        <w:t>the</w:t>
      </w:r>
      <w:r w:rsidR="00072126" w:rsidRPr="004841EF">
        <w:t xml:space="preserve"> Workplace Relations Commission</w:t>
      </w:r>
      <w:r w:rsidR="008648FD" w:rsidRPr="004841EF">
        <w:t xml:space="preserve"> and </w:t>
      </w:r>
      <w:r w:rsidR="003F664A" w:rsidRPr="004841EF">
        <w:t>Labour Court</w:t>
      </w:r>
      <w:r w:rsidRPr="004841EF">
        <w:t xml:space="preserve"> decisions highlighted that s</w:t>
      </w:r>
      <w:r w:rsidR="00536B99" w:rsidRPr="004841EF">
        <w:t>ome employers are not aware of the extent of their procedural and substantive obligations to provide reasonable accommodation under employment equality legislation</w:t>
      </w:r>
      <w:r w:rsidR="00AB1EA3" w:rsidRPr="004841EF">
        <w:t xml:space="preserve"> and </w:t>
      </w:r>
      <w:r w:rsidRPr="004841EF">
        <w:t>that s</w:t>
      </w:r>
      <w:r w:rsidR="00536B99" w:rsidRPr="004841EF">
        <w:t>ome employers do not have policies and procedures in place to deal with request</w:t>
      </w:r>
      <w:r w:rsidR="00686B25" w:rsidRPr="004841EF">
        <w:t>s for reasonable accommodation</w:t>
      </w:r>
    </w:p>
    <w:p w14:paraId="6F1F6759" w14:textId="1C9CE6FB" w:rsidR="00035DCD" w:rsidRPr="004841EF" w:rsidRDefault="009F24E2" w:rsidP="00AB1EA3">
      <w:pPr>
        <w:pStyle w:val="ListBullet"/>
      </w:pPr>
      <w:r w:rsidRPr="004841EF">
        <w:t>There was a low number of decisions concerning an alleged failure to provide reasonable accommodations at the access stage</w:t>
      </w:r>
      <w:r w:rsidR="004211ED" w:rsidRPr="004841EF">
        <w:t xml:space="preserve"> (8/82)</w:t>
      </w:r>
      <w:r w:rsidRPr="004841EF">
        <w:t xml:space="preserve">. The overwhelming majority of complaints were brought by </w:t>
      </w:r>
      <w:r w:rsidR="00EB4927" w:rsidRPr="004841EF">
        <w:t xml:space="preserve">persons </w:t>
      </w:r>
      <w:r w:rsidRPr="004841EF">
        <w:t>with disabilities who were in employment, as opposed to those applying for employment</w:t>
      </w:r>
      <w:r w:rsidR="004211ED" w:rsidRPr="004841EF">
        <w:t xml:space="preserve"> (74/82)</w:t>
      </w:r>
    </w:p>
    <w:p w14:paraId="22CCB0E7" w14:textId="2F2132C0" w:rsidR="00A939F9" w:rsidRPr="004841EF" w:rsidRDefault="00A939F9" w:rsidP="004211ED">
      <w:pPr>
        <w:pStyle w:val="ListBullet"/>
      </w:pPr>
      <w:r w:rsidRPr="004841EF">
        <w:t>The majority of complaints alleging a breach of the reasonable accommodation requirement</w:t>
      </w:r>
      <w:r w:rsidR="008A5BB1" w:rsidRPr="004841EF">
        <w:t xml:space="preserve"> in the review</w:t>
      </w:r>
      <w:r w:rsidRPr="004841EF">
        <w:t xml:space="preserve"> were taken against private sector employers.</w:t>
      </w:r>
      <w:r w:rsidR="00AB1EA3" w:rsidRPr="004841EF">
        <w:t xml:space="preserve"> Less than 25% of cases related to public sector employers</w:t>
      </w:r>
      <w:r w:rsidR="004211ED" w:rsidRPr="004841EF">
        <w:t xml:space="preserve">. Four cases were taken against community </w:t>
      </w:r>
      <w:r w:rsidR="008648FD" w:rsidRPr="004841EF">
        <w:t>or</w:t>
      </w:r>
      <w:r w:rsidR="004211ED" w:rsidRPr="004841EF">
        <w:t xml:space="preserve"> voluntary</w:t>
      </w:r>
      <w:r w:rsidR="006F0F1F" w:rsidRPr="004841EF">
        <w:t xml:space="preserve"> sector</w:t>
      </w:r>
      <w:r w:rsidR="004211ED" w:rsidRPr="004841EF">
        <w:t xml:space="preserve"> employers. In four other cases, the nature of the employment was unclear</w:t>
      </w:r>
    </w:p>
    <w:p w14:paraId="65ADA9F2" w14:textId="01C2DA85" w:rsidR="00F41096" w:rsidRPr="004841EF" w:rsidRDefault="00A939F9" w:rsidP="00F73EC1">
      <w:pPr>
        <w:pStyle w:val="ListBullet"/>
        <w:spacing w:after="240"/>
        <w:ind w:left="357" w:hanging="357"/>
      </w:pPr>
      <w:r w:rsidRPr="004841EF">
        <w:t>The most frequently cited disabilities in the review were back issues, depression, anxiety and stress, including workplace stress.</w:t>
      </w:r>
      <w:r w:rsidR="008A5BB1" w:rsidRPr="004841EF">
        <w:t xml:space="preserve"> </w:t>
      </w:r>
      <w:r w:rsidR="00026289" w:rsidRPr="004841EF">
        <w:t xml:space="preserve">There were no cases concerning </w:t>
      </w:r>
      <w:r w:rsidR="00EB4927" w:rsidRPr="004841EF">
        <w:t xml:space="preserve">persons </w:t>
      </w:r>
      <w:r w:rsidR="00026289" w:rsidRPr="004841EF">
        <w:t>with intellectual disabilities or autism in the review</w:t>
      </w:r>
    </w:p>
    <w:p w14:paraId="48540923" w14:textId="2486EA7C" w:rsidR="00F41096" w:rsidRPr="004841EF" w:rsidRDefault="00F41096" w:rsidP="006272C6">
      <w:pPr>
        <w:pStyle w:val="ListBullet"/>
        <w:numPr>
          <w:ilvl w:val="0"/>
          <w:numId w:val="0"/>
        </w:numPr>
      </w:pPr>
      <w:r w:rsidRPr="004841EF">
        <w:t xml:space="preserve">The key lessons </w:t>
      </w:r>
      <w:r w:rsidR="004211ED" w:rsidRPr="004841EF">
        <w:t xml:space="preserve">and areas for improvement </w:t>
      </w:r>
      <w:r w:rsidRPr="004841EF">
        <w:t>arising from the review of Workplace Relations Commission and Labour Court decisions relating to reasonable accommodation are that employers should:</w:t>
      </w:r>
    </w:p>
    <w:p w14:paraId="467D7CBF" w14:textId="2FD334C4" w:rsidR="00F41096" w:rsidRPr="004841EF" w:rsidRDefault="00814EDD" w:rsidP="006272C6">
      <w:pPr>
        <w:pStyle w:val="ListNumber"/>
        <w:numPr>
          <w:ilvl w:val="0"/>
          <w:numId w:val="16"/>
        </w:numPr>
      </w:pPr>
      <w:r w:rsidRPr="004841EF">
        <w:t>Carry out a full assessment of the needs of the person with a disability and of the measures necessary to accommodate that person’s disability. It is necessary to ascertain the factual position concerning the employee’s capability, including the degree of impairment arising from the disab</w:t>
      </w:r>
      <w:r w:rsidR="00F41096" w:rsidRPr="004841EF">
        <w:t xml:space="preserve">ility and its likely duration. The employer may be obliged to </w:t>
      </w:r>
      <w:r w:rsidR="009B2CCE" w:rsidRPr="004841EF">
        <w:t xml:space="preserve">engage with the person with a disability and </w:t>
      </w:r>
      <w:r w:rsidR="00F41096" w:rsidRPr="004841EF">
        <w:t>o</w:t>
      </w:r>
      <w:r w:rsidRPr="004841EF">
        <w:t>btain appropriate</w:t>
      </w:r>
      <w:r w:rsidR="00F41096" w:rsidRPr="004841EF">
        <w:t xml:space="preserve"> expert advice, including medical advice</w:t>
      </w:r>
    </w:p>
    <w:p w14:paraId="5985FEF7" w14:textId="77777777" w:rsidR="00F41096" w:rsidRPr="004841EF" w:rsidRDefault="00814EDD" w:rsidP="00184691">
      <w:pPr>
        <w:pStyle w:val="ListBullet"/>
        <w:numPr>
          <w:ilvl w:val="0"/>
          <w:numId w:val="16"/>
        </w:numPr>
      </w:pPr>
      <w:r w:rsidRPr="004841EF">
        <w:t xml:space="preserve">Consider with an open mind what special treatment or facilities could realistically overcome any obstacles to the </w:t>
      </w:r>
      <w:r w:rsidR="00F41096" w:rsidRPr="004841EF">
        <w:t>person</w:t>
      </w:r>
      <w:r w:rsidRPr="004841EF">
        <w:t xml:space="preserve"> doing the job for which </w:t>
      </w:r>
      <w:r w:rsidR="00F41096" w:rsidRPr="004841EF">
        <w:t>they are</w:t>
      </w:r>
      <w:r w:rsidRPr="004841EF">
        <w:t xml:space="preserve"> otherwise competent</w:t>
      </w:r>
    </w:p>
    <w:p w14:paraId="63763FEA" w14:textId="77777777" w:rsidR="00F41096" w:rsidRPr="004841EF" w:rsidRDefault="00F41096" w:rsidP="00184691">
      <w:pPr>
        <w:pStyle w:val="ListBullet"/>
        <w:numPr>
          <w:ilvl w:val="0"/>
          <w:numId w:val="16"/>
        </w:numPr>
      </w:pPr>
      <w:r w:rsidRPr="004841EF">
        <w:t>Consult with the person concerning their request for reasonable accommodation at every stage of the decision-making process. The employee should be allowed an opportunity to influence the employer’s decision and should be allowed present relevant medical reports and submissions</w:t>
      </w:r>
      <w:r w:rsidRPr="004841EF">
        <w:rPr>
          <w:vertAlign w:val="superscript"/>
        </w:rPr>
        <w:footnoteReference w:id="295"/>
      </w:r>
    </w:p>
    <w:p w14:paraId="66678E2B" w14:textId="77777777" w:rsidR="00F41096" w:rsidRPr="004841EF" w:rsidRDefault="00F41096" w:rsidP="00184691">
      <w:pPr>
        <w:pStyle w:val="ListBullet"/>
        <w:numPr>
          <w:ilvl w:val="0"/>
          <w:numId w:val="16"/>
        </w:numPr>
      </w:pPr>
      <w:r w:rsidRPr="004841EF">
        <w:t>Have specific policies and procedures that deal with reasonable accommodations for employment candidates and employees with a disability</w:t>
      </w:r>
    </w:p>
    <w:p w14:paraId="443D1EA7" w14:textId="781C07E3" w:rsidR="00F41096" w:rsidRPr="004841EF" w:rsidRDefault="00F41096" w:rsidP="00184691">
      <w:pPr>
        <w:pStyle w:val="ListBullet"/>
        <w:numPr>
          <w:ilvl w:val="0"/>
          <w:numId w:val="16"/>
        </w:numPr>
      </w:pPr>
      <w:r w:rsidRPr="004841EF">
        <w:t>Respond to requests for reasonable accommodation and implement any approved accommodations in a timely manner</w:t>
      </w:r>
    </w:p>
    <w:p w14:paraId="2B45DA76" w14:textId="34D6E695" w:rsidR="00F41096" w:rsidRPr="004841EF" w:rsidRDefault="00F41096" w:rsidP="006272C6">
      <w:pPr>
        <w:pStyle w:val="ListBullet"/>
        <w:numPr>
          <w:ilvl w:val="0"/>
          <w:numId w:val="4"/>
        </w:numPr>
        <w:spacing w:after="240"/>
        <w:ind w:left="357" w:hanging="357"/>
      </w:pPr>
      <w:r w:rsidRPr="004841EF">
        <w:t xml:space="preserve">Provide </w:t>
      </w:r>
      <w:r w:rsidR="008648FD" w:rsidRPr="004841EF">
        <w:t>requested reasonable accommodations</w:t>
      </w:r>
      <w:r w:rsidRPr="004841EF">
        <w:t xml:space="preserve"> to employment candidates and employees with a disability, in particular alternative working arrangements, subject to the proviso that these measures do not impose a dispropo</w:t>
      </w:r>
      <w:r w:rsidR="006272C6" w:rsidRPr="004841EF">
        <w:t>rtionate burden on the employer</w:t>
      </w:r>
    </w:p>
    <w:p w14:paraId="44A4B295" w14:textId="4F49B2DA" w:rsidR="00C37856" w:rsidRPr="004841EF" w:rsidRDefault="00C37856" w:rsidP="00C37856">
      <w:pPr>
        <w:pStyle w:val="ListBullet"/>
        <w:numPr>
          <w:ilvl w:val="0"/>
          <w:numId w:val="0"/>
        </w:numPr>
      </w:pPr>
      <w:r w:rsidRPr="004841EF">
        <w:t xml:space="preserve">The main findings of the literature review, </w:t>
      </w:r>
      <w:r w:rsidR="00072126" w:rsidRPr="004841EF">
        <w:t xml:space="preserve">the </w:t>
      </w:r>
      <w:r w:rsidRPr="004841EF">
        <w:t>review of</w:t>
      </w:r>
      <w:r w:rsidR="00072126" w:rsidRPr="004841EF">
        <w:t xml:space="preserve"> Workplace Relations Commission</w:t>
      </w:r>
      <w:r w:rsidRPr="004841EF">
        <w:t xml:space="preserve"> </w:t>
      </w:r>
      <w:r w:rsidR="00072126" w:rsidRPr="004841EF">
        <w:t>and</w:t>
      </w:r>
      <w:r w:rsidR="00685E04" w:rsidRPr="004841EF">
        <w:t xml:space="preserve"> </w:t>
      </w:r>
      <w:r w:rsidRPr="004841EF">
        <w:t xml:space="preserve">Labour Court decisions and </w:t>
      </w:r>
      <w:r w:rsidR="00072126" w:rsidRPr="004841EF">
        <w:t xml:space="preserve">the </w:t>
      </w:r>
      <w:r w:rsidRPr="004841EF">
        <w:t>consultations are as follows:</w:t>
      </w:r>
    </w:p>
    <w:p w14:paraId="7D63E826" w14:textId="2A6DA414" w:rsidR="002D42E4" w:rsidRPr="004841EF" w:rsidRDefault="00536B99" w:rsidP="002D42E4">
      <w:pPr>
        <w:pStyle w:val="ListBullet"/>
      </w:pPr>
      <w:r w:rsidRPr="004841EF">
        <w:t>Employees can be reluctant to disclose their disability</w:t>
      </w:r>
      <w:r w:rsidR="00686B25" w:rsidRPr="004841EF">
        <w:t xml:space="preserve"> to an employer</w:t>
      </w:r>
      <w:r w:rsidRPr="004841EF">
        <w:t xml:space="preserve"> and request reasonable accommodations due to the perceived negative consequences of doing so</w:t>
      </w:r>
      <w:r w:rsidR="00A93A53" w:rsidRPr="004841EF">
        <w:t xml:space="preserve">. This </w:t>
      </w:r>
      <w:r w:rsidR="00DF28BE" w:rsidRPr="004841EF">
        <w:t>sense of fear about disclosing a disability is primarily threefold: fear of being treated differently after disclosure, fear of disclosure affecting promotional opportunities and fear of being labelled.</w:t>
      </w:r>
      <w:r w:rsidR="00AB1EA3" w:rsidRPr="004841EF">
        <w:t xml:space="preserve"> Concerns regarding disclosure can be particularly acute for those seeking access to employment and also those with a hidden disability</w:t>
      </w:r>
    </w:p>
    <w:p w14:paraId="7CCDFAD4" w14:textId="4B269EA5" w:rsidR="002D42E4" w:rsidRPr="004841EF" w:rsidRDefault="00536B99" w:rsidP="002D42E4">
      <w:pPr>
        <w:pStyle w:val="ListBullet"/>
      </w:pPr>
      <w:r w:rsidRPr="004841EF">
        <w:t xml:space="preserve">Employers do not always treat requests for reasonable accommodations in an efficient manner. </w:t>
      </w:r>
      <w:r w:rsidR="004C18CC" w:rsidRPr="004841EF">
        <w:t>While delays arise from lack of proactivity on the part of employers, delays may also arise due to circumstances beyond the</w:t>
      </w:r>
      <w:r w:rsidR="00FB6EC3" w:rsidRPr="004841EF">
        <w:t>ir</w:t>
      </w:r>
      <w:r w:rsidR="004C18CC" w:rsidRPr="004841EF">
        <w:t xml:space="preserve"> control. </w:t>
      </w:r>
      <w:r w:rsidRPr="004841EF">
        <w:t xml:space="preserve">For </w:t>
      </w:r>
      <w:r w:rsidR="004C18CC" w:rsidRPr="004841EF">
        <w:t>instance</w:t>
      </w:r>
      <w:r w:rsidRPr="004841EF">
        <w:t xml:space="preserve">, concerns have been raised about the length of time it takes the </w:t>
      </w:r>
      <w:r w:rsidR="003170DA" w:rsidRPr="004841EF">
        <w:t>Department of Employment Affairs and Social Protection</w:t>
      </w:r>
      <w:r w:rsidRPr="004841EF">
        <w:t xml:space="preserve"> to process applications for financial grants and implement any approved measures</w:t>
      </w:r>
    </w:p>
    <w:p w14:paraId="051C8F21" w14:textId="09820E61" w:rsidR="00AB1EA3" w:rsidRPr="004841EF" w:rsidRDefault="00AB1EA3" w:rsidP="00366F2D">
      <w:pPr>
        <w:pStyle w:val="ListBullet"/>
        <w:rPr>
          <w:bCs/>
        </w:rPr>
      </w:pPr>
      <w:r w:rsidRPr="004841EF">
        <w:t xml:space="preserve">Formal, written policies and procedures dealing with reasonable accommodations are extremely important in the employment context. </w:t>
      </w:r>
      <w:r w:rsidRPr="004841EF">
        <w:rPr>
          <w:bCs/>
        </w:rPr>
        <w:t>Policies and procedures provide employers with a structure or framework for dealing with requests for reasonable accommodation, offer guidance for decision-making and assist in complying with the various procedural requirements under employment equality legislation</w:t>
      </w:r>
      <w:r w:rsidR="00366F2D" w:rsidRPr="004841EF">
        <w:rPr>
          <w:bCs/>
        </w:rPr>
        <w:t>. In particular, employers should engage with persons with disabilities themselves in identifying reasonable accommodations, and recognise those persons as experts in their own disability</w:t>
      </w:r>
    </w:p>
    <w:p w14:paraId="51CA51E9" w14:textId="43710078" w:rsidR="00D24D05" w:rsidRPr="004841EF" w:rsidRDefault="00D24D05" w:rsidP="00D24D05">
      <w:pPr>
        <w:pStyle w:val="ListBullet"/>
      </w:pPr>
      <w:r w:rsidRPr="004841EF">
        <w:t>There exists low knowledge amongst some employers about the extent of their obligation to provide reasonable accommodations under employment equality legislation. This includes both the employer’s procedural and substantive obligations. Some employers are also unaware of the types of reasonable accommodations which may be available and appropriate, for instance the reasonable accommodations which may be appropriate in the case of a pe</w:t>
      </w:r>
      <w:r w:rsidR="00534013" w:rsidRPr="004841EF">
        <w:t>rson with a mental health issue</w:t>
      </w:r>
    </w:p>
    <w:p w14:paraId="321A9AF1" w14:textId="029C1FB6" w:rsidR="00072126" w:rsidRPr="004841EF" w:rsidRDefault="005A2EB3" w:rsidP="00D24D05">
      <w:pPr>
        <w:pStyle w:val="ListBullet"/>
        <w:numPr>
          <w:ilvl w:val="0"/>
          <w:numId w:val="0"/>
        </w:numPr>
        <w:ind w:left="360"/>
      </w:pPr>
      <w:r w:rsidRPr="004841EF">
        <w:t xml:space="preserve">Similarly, there is </w:t>
      </w:r>
      <w:r w:rsidR="00B024B0" w:rsidRPr="004841EF">
        <w:t>low</w:t>
      </w:r>
      <w:r w:rsidRPr="004841EF">
        <w:t xml:space="preserve"> awareness amongst </w:t>
      </w:r>
      <w:r w:rsidR="008D7984" w:rsidRPr="004841EF">
        <w:t xml:space="preserve">some </w:t>
      </w:r>
      <w:r w:rsidR="00EB4927" w:rsidRPr="004841EF">
        <w:t xml:space="preserve">persons </w:t>
      </w:r>
      <w:r w:rsidRPr="004841EF">
        <w:t>with disabilities as to their specific rights concerning reasonable accommodation in the workplace.</w:t>
      </w:r>
      <w:r w:rsidR="00527655" w:rsidRPr="004841EF">
        <w:t xml:space="preserve"> </w:t>
      </w:r>
      <w:r w:rsidR="00072126" w:rsidRPr="004841EF">
        <w:t>Lack of awareness amongst management and employees without disabilities of the needs of people with disabilities, reasonable accommodations and the relevant law can create difficulties for persons wit</w:t>
      </w:r>
      <w:r w:rsidR="00534013" w:rsidRPr="004841EF">
        <w:t>h a disability in the workplace</w:t>
      </w:r>
    </w:p>
    <w:p w14:paraId="63BB20A3" w14:textId="4E689166" w:rsidR="00424F17" w:rsidRPr="004841EF" w:rsidRDefault="00424F17" w:rsidP="00424F17">
      <w:pPr>
        <w:pStyle w:val="ListBullet"/>
      </w:pPr>
      <w:r w:rsidRPr="004841EF">
        <w:rPr>
          <w:bCs/>
          <w:iCs/>
        </w:rPr>
        <w:t>Employees and job applicants with disabilities can be denied reasonable accommodations owing to an employer’s low level of understanding and awareness of disabilities. This can have a particular adverse effect on those seeking reasonable accommodations at the recruitment stage, where discrimination can be more difficult to prove. Some employers can also have negative attitudes towards reasonable accommodations themselves e.g. an employer may consider some forms of reasonable accommodations, such as part-time or flexible working hours, as inconvenient</w:t>
      </w:r>
    </w:p>
    <w:p w14:paraId="131C83B0" w14:textId="283DBE52" w:rsidR="00527655" w:rsidRPr="004841EF" w:rsidRDefault="00527655" w:rsidP="00424F17">
      <w:pPr>
        <w:pStyle w:val="ListBullet"/>
      </w:pPr>
      <w:r w:rsidRPr="004841EF">
        <w:t xml:space="preserve">There is a demand amongst employers for more training and information resources concerning reasonable accommodation and supporting employees with disabilities more generally. However, there also exists </w:t>
      </w:r>
      <w:r w:rsidR="00B024B0" w:rsidRPr="004841EF">
        <w:t>low levels</w:t>
      </w:r>
      <w:r w:rsidRPr="004841EF">
        <w:t xml:space="preserve"> of awareness about information and training supports which are currently available, including the</w:t>
      </w:r>
      <w:r w:rsidRPr="004841EF">
        <w:rPr>
          <w:b/>
        </w:rPr>
        <w:t xml:space="preserve"> </w:t>
      </w:r>
      <w:r w:rsidRPr="004841EF">
        <w:rPr>
          <w:b/>
          <w:bCs/>
        </w:rPr>
        <w:t>Disability Awareness Support Scheme</w:t>
      </w:r>
    </w:p>
    <w:p w14:paraId="136DB153" w14:textId="4351FF52" w:rsidR="00536B99" w:rsidRPr="004841EF" w:rsidRDefault="008D7984" w:rsidP="002D42E4">
      <w:pPr>
        <w:pStyle w:val="ListBullet"/>
      </w:pPr>
      <w:r w:rsidRPr="004841EF">
        <w:t xml:space="preserve">There is low awareness </w:t>
      </w:r>
      <w:r w:rsidR="005373C9" w:rsidRPr="004841EF">
        <w:t xml:space="preserve">amongst </w:t>
      </w:r>
      <w:r w:rsidR="001F56D1" w:rsidRPr="004841EF">
        <w:t xml:space="preserve">some </w:t>
      </w:r>
      <w:r w:rsidR="005373C9" w:rsidRPr="004841EF">
        <w:t>p</w:t>
      </w:r>
      <w:r w:rsidR="00536B99" w:rsidRPr="004841EF">
        <w:t>rivate</w:t>
      </w:r>
      <w:r w:rsidR="005373C9" w:rsidRPr="004841EF">
        <w:t xml:space="preserve"> sector</w:t>
      </w:r>
      <w:r w:rsidR="00536B99" w:rsidRPr="004841EF">
        <w:t xml:space="preserve"> employers of the financial supports provided by the Department of Employment Affairs and Social Protection to assist in accommodating the needs of prospective and current employees</w:t>
      </w:r>
      <w:r w:rsidR="00527655" w:rsidRPr="004841EF">
        <w:t xml:space="preserve"> with disabilities</w:t>
      </w:r>
      <w:r w:rsidR="005373C9" w:rsidRPr="004841EF">
        <w:t>.</w:t>
      </w:r>
      <w:r w:rsidR="00FB6EC3" w:rsidRPr="004841EF">
        <w:t xml:space="preserve"> Other than the </w:t>
      </w:r>
      <w:r w:rsidR="00FB6EC3" w:rsidRPr="004841EF">
        <w:rPr>
          <w:b/>
        </w:rPr>
        <w:t>Wage Subsidy Scheme</w:t>
      </w:r>
      <w:r w:rsidR="00FB6EC3" w:rsidRPr="004841EF">
        <w:t>, the number of applications for information and financial support</w:t>
      </w:r>
      <w:r w:rsidR="00072126" w:rsidRPr="004841EF">
        <w:t xml:space="preserve"> granted</w:t>
      </w:r>
      <w:r w:rsidR="00FB6EC3" w:rsidRPr="004841EF">
        <w:t xml:space="preserve"> through the</w:t>
      </w:r>
      <w:r w:rsidR="00FB6EC3" w:rsidRPr="004841EF">
        <w:rPr>
          <w:b/>
        </w:rPr>
        <w:t xml:space="preserve"> Disability Awareness Support Scheme </w:t>
      </w:r>
      <w:r w:rsidR="00FB6EC3" w:rsidRPr="004841EF">
        <w:t xml:space="preserve">and the </w:t>
      </w:r>
      <w:r w:rsidR="00FB6EC3" w:rsidRPr="004841EF">
        <w:rPr>
          <w:b/>
        </w:rPr>
        <w:t>Reasonable Accommodation Fund</w:t>
      </w:r>
      <w:r w:rsidR="00FB6EC3" w:rsidRPr="004841EF">
        <w:t xml:space="preserve"> are </w:t>
      </w:r>
      <w:r w:rsidR="00FC3AC3" w:rsidRPr="004841EF">
        <w:t>small</w:t>
      </w:r>
    </w:p>
    <w:p w14:paraId="72387EF0" w14:textId="48CBE7C1" w:rsidR="00536B99" w:rsidRPr="004841EF" w:rsidRDefault="00536B99" w:rsidP="002D42E4">
      <w:pPr>
        <w:pStyle w:val="ListBullet"/>
      </w:pPr>
      <w:r w:rsidRPr="004841EF">
        <w:t>Concerns have been reported about specific issues</w:t>
      </w:r>
      <w:r w:rsidR="00527655" w:rsidRPr="004841EF">
        <w:t xml:space="preserve"> and conditions associated</w:t>
      </w:r>
      <w:r w:rsidRPr="004841EF">
        <w:t xml:space="preserve"> with individual financial supports</w:t>
      </w:r>
      <w:r w:rsidR="008A5BB1" w:rsidRPr="004841EF">
        <w:t xml:space="preserve"> and incentives</w:t>
      </w:r>
      <w:r w:rsidRPr="004841EF">
        <w:t xml:space="preserve"> available through the Department of Employment Af</w:t>
      </w:r>
      <w:r w:rsidR="00527655" w:rsidRPr="004841EF">
        <w:t>fairs and Social Protection</w:t>
      </w:r>
      <w:r w:rsidR="00D95F10" w:rsidRPr="004841EF">
        <w:t xml:space="preserve"> to assist employers in the provision of reasonable accommodations</w:t>
      </w:r>
      <w:r w:rsidR="00527655" w:rsidRPr="004841EF">
        <w:t>, as well as of</w:t>
      </w:r>
      <w:r w:rsidRPr="004841EF">
        <w:t xml:space="preserve"> the overall structure of the supports</w:t>
      </w:r>
    </w:p>
    <w:p w14:paraId="446D9A2B" w14:textId="02F33854" w:rsidR="00CD475B" w:rsidRPr="004841EF" w:rsidRDefault="00165589" w:rsidP="00CD475B">
      <w:pPr>
        <w:pStyle w:val="ListBullet"/>
      </w:pPr>
      <w:r w:rsidRPr="004841EF">
        <w:t>T</w:t>
      </w:r>
      <w:r w:rsidR="00CD475B" w:rsidRPr="004841EF">
        <w:t xml:space="preserve">here </w:t>
      </w:r>
      <w:r w:rsidR="00CD475B" w:rsidRPr="004841EF">
        <w:rPr>
          <w:bCs/>
        </w:rPr>
        <w:t>is no dedicated, centrally-based national resource of peer advice and information for employers on the employment of persons with disabilities</w:t>
      </w:r>
    </w:p>
    <w:p w14:paraId="757635C4" w14:textId="54D8F1B4" w:rsidR="00B370A6" w:rsidRPr="004841EF" w:rsidRDefault="00C37B67" w:rsidP="00B370A6">
      <w:pPr>
        <w:pStyle w:val="ListBullet"/>
      </w:pPr>
      <w:r w:rsidRPr="004841EF">
        <w:t>Formalised structures for periodically reviewing implemented reasonable accommodations in the workplace are lacking.</w:t>
      </w:r>
      <w:r w:rsidR="00B97074" w:rsidRPr="004841EF">
        <w:t xml:space="preserve"> For </w:t>
      </w:r>
      <w:r w:rsidR="00CD475B" w:rsidRPr="004841EF">
        <w:t>many</w:t>
      </w:r>
      <w:r w:rsidR="00B97074" w:rsidRPr="004841EF">
        <w:t xml:space="preserve"> employers, the provision of the accommodation is the end stage in the process, and there is no further consultation with the employee to determine how the accommodation is operating in practice and whether it needs to be adapted or replaced</w:t>
      </w:r>
    </w:p>
    <w:p w14:paraId="77A1D6DB" w14:textId="77777777" w:rsidR="00B370A6" w:rsidRPr="004841EF" w:rsidRDefault="00B370A6">
      <w:pPr>
        <w:spacing w:after="0"/>
      </w:pPr>
      <w:r w:rsidRPr="004841EF">
        <w:br w:type="page"/>
      </w:r>
    </w:p>
    <w:p w14:paraId="52F98907" w14:textId="4F101334" w:rsidR="009F24E2" w:rsidRPr="004841EF" w:rsidRDefault="009F24E2" w:rsidP="009F24E2">
      <w:pPr>
        <w:pStyle w:val="Heading1"/>
      </w:pPr>
      <w:bookmarkStart w:id="274" w:name="_Toc26192145"/>
      <w:bookmarkStart w:id="275" w:name="_Toc42172562"/>
      <w:r w:rsidRPr="004841EF">
        <w:t>Chapter 7 - Implications for Policy and Practice</w:t>
      </w:r>
      <w:bookmarkEnd w:id="274"/>
      <w:bookmarkEnd w:id="275"/>
    </w:p>
    <w:p w14:paraId="4A0AAFE1" w14:textId="2FE43EC0" w:rsidR="00593447" w:rsidRPr="004841EF" w:rsidRDefault="00593447" w:rsidP="00536B99">
      <w:r w:rsidRPr="004841EF">
        <w:t xml:space="preserve">The implications for policy and practice described in this chapter are based on the aforementioned findings of this </w:t>
      </w:r>
      <w:r w:rsidR="00CF1705" w:rsidRPr="004841EF">
        <w:t>report</w:t>
      </w:r>
      <w:r w:rsidRPr="004841EF">
        <w:t>.</w:t>
      </w:r>
      <w:r w:rsidR="00CF1705" w:rsidRPr="004841EF">
        <w:t xml:space="preserve"> The report identifies</w:t>
      </w:r>
      <w:r w:rsidRPr="004841EF">
        <w:t xml:space="preserve"> a number of areas for improvement at</w:t>
      </w:r>
      <w:r w:rsidR="00CF1705" w:rsidRPr="004841EF">
        <w:t xml:space="preserve"> both</w:t>
      </w:r>
      <w:r w:rsidRPr="004841EF">
        <w:t xml:space="preserve"> the policy and practice levels. Areas where further </w:t>
      </w:r>
      <w:r w:rsidR="00CF1705" w:rsidRPr="004841EF">
        <w:t>consideration or research may be merited are</w:t>
      </w:r>
      <w:r w:rsidRPr="004841EF">
        <w:t xml:space="preserve"> also detailed below. In specifying the implications, the NDA considered the measures necessary </w:t>
      </w:r>
      <w:r w:rsidR="00B61D8E" w:rsidRPr="004841EF">
        <w:t xml:space="preserve">to </w:t>
      </w:r>
      <w:r w:rsidR="002A2AA2" w:rsidRPr="004841EF">
        <w:t>ensure a more seamless</w:t>
      </w:r>
      <w:r w:rsidR="00B61D8E" w:rsidRPr="004841EF">
        <w:t xml:space="preserve"> reasonable accommodation process</w:t>
      </w:r>
      <w:r w:rsidR="006272C6" w:rsidRPr="004841EF">
        <w:t>.</w:t>
      </w:r>
    </w:p>
    <w:p w14:paraId="170A1884" w14:textId="77777777" w:rsidR="00536B99" w:rsidRPr="004841EF" w:rsidRDefault="00593447" w:rsidP="00536B99">
      <w:r w:rsidRPr="004841EF">
        <w:t xml:space="preserve">In this context, the NDA advises that consideration </w:t>
      </w:r>
      <w:r w:rsidR="006A650D" w:rsidRPr="004841EF">
        <w:t>be given to the following</w:t>
      </w:r>
      <w:r w:rsidRPr="004841EF">
        <w:t xml:space="preserve"> actions</w:t>
      </w:r>
      <w:r w:rsidR="006A650D" w:rsidRPr="004841EF">
        <w:t>:</w:t>
      </w:r>
    </w:p>
    <w:p w14:paraId="795B4841" w14:textId="73359492" w:rsidR="002D42E4" w:rsidRPr="004841EF" w:rsidRDefault="00B80F65" w:rsidP="002D42E4">
      <w:pPr>
        <w:pStyle w:val="ListBullet"/>
      </w:pPr>
      <w:r w:rsidRPr="004841EF">
        <w:t>Both g</w:t>
      </w:r>
      <w:r w:rsidR="00A93A53" w:rsidRPr="004841EF">
        <w:t xml:space="preserve">uidance </w:t>
      </w:r>
      <w:r w:rsidR="0081620C" w:rsidRPr="004841EF">
        <w:t>and</w:t>
      </w:r>
      <w:r w:rsidR="00A93A53" w:rsidRPr="004841EF">
        <w:t xml:space="preserve"> a code of practice concerning the provision of reasonable accommodations in the employment context, including the recruitment process</w:t>
      </w:r>
      <w:r w:rsidR="00CF1705" w:rsidRPr="004841EF">
        <w:t xml:space="preserve">, should be </w:t>
      </w:r>
      <w:r w:rsidR="0081620C" w:rsidRPr="004841EF">
        <w:t>developed.</w:t>
      </w:r>
      <w:r w:rsidR="00D217C6" w:rsidRPr="004841EF">
        <w:t xml:space="preserve"> </w:t>
      </w:r>
      <w:r w:rsidRPr="004841EF">
        <w:t>A</w:t>
      </w:r>
      <w:r w:rsidR="00D217C6" w:rsidRPr="004841EF">
        <w:t xml:space="preserve"> c</w:t>
      </w:r>
      <w:r w:rsidR="002A119D" w:rsidRPr="004841EF">
        <w:t>ode</w:t>
      </w:r>
      <w:r w:rsidR="00D217C6" w:rsidRPr="004841EF">
        <w:t xml:space="preserve"> of p</w:t>
      </w:r>
      <w:r w:rsidR="002A119D" w:rsidRPr="004841EF">
        <w:t xml:space="preserve">ractice </w:t>
      </w:r>
      <w:r w:rsidRPr="004841EF">
        <w:t>would</w:t>
      </w:r>
      <w:r w:rsidR="002A119D" w:rsidRPr="004841EF">
        <w:t xml:space="preserve"> explain the complexities of the law</w:t>
      </w:r>
      <w:r w:rsidR="00CF1705" w:rsidRPr="004841EF">
        <w:t xml:space="preserve"> in this area, and </w:t>
      </w:r>
      <w:r w:rsidRPr="004841EF">
        <w:t xml:space="preserve">direct </w:t>
      </w:r>
      <w:r w:rsidR="002A119D" w:rsidRPr="004841EF">
        <w:t xml:space="preserve">employers </w:t>
      </w:r>
      <w:r w:rsidRPr="004841EF">
        <w:t xml:space="preserve">about how they can </w:t>
      </w:r>
      <w:r w:rsidR="002A119D" w:rsidRPr="004841EF">
        <w:t xml:space="preserve">comply with </w:t>
      </w:r>
      <w:r w:rsidRPr="004841EF">
        <w:t xml:space="preserve">their statutory obligations under the </w:t>
      </w:r>
      <w:r w:rsidRPr="004841EF">
        <w:rPr>
          <w:b/>
        </w:rPr>
        <w:t>Employment Equality Acts</w:t>
      </w:r>
      <w:r w:rsidR="003F6BDC" w:rsidRPr="004841EF">
        <w:t>.</w:t>
      </w:r>
      <w:r w:rsidR="00CD475B" w:rsidRPr="004841EF">
        <w:rPr>
          <w:rStyle w:val="FootnoteReference"/>
          <w:rFonts w:ascii="Gill Sans MT" w:hAnsi="Gill Sans MT"/>
        </w:rPr>
        <w:footnoteReference w:id="296"/>
      </w:r>
      <w:r w:rsidR="00CF1705" w:rsidRPr="004841EF">
        <w:t xml:space="preserve"> </w:t>
      </w:r>
      <w:r w:rsidRPr="004841EF">
        <w:t xml:space="preserve">A code of practice </w:t>
      </w:r>
      <w:r w:rsidR="00CF1705" w:rsidRPr="004841EF">
        <w:t xml:space="preserve">would also assist </w:t>
      </w:r>
      <w:r w:rsidR="00EB4927" w:rsidRPr="004841EF">
        <w:t xml:space="preserve">persons </w:t>
      </w:r>
      <w:r w:rsidR="00CF1705" w:rsidRPr="004841EF">
        <w:t>with a disability who are seeking to understand their entitlements in this area</w:t>
      </w:r>
      <w:r w:rsidRPr="004841EF">
        <w:t>. It is envisaged that guidelines would be broader than a Code of Practice</w:t>
      </w:r>
      <w:r w:rsidR="008D7984" w:rsidRPr="004841EF">
        <w:t>, with the latter</w:t>
      </w:r>
      <w:r w:rsidRPr="004841EF">
        <w:t xml:space="preserve"> focused on legal requirements and compliance</w:t>
      </w:r>
      <w:r w:rsidR="008D7984" w:rsidRPr="004841EF">
        <w:t>,</w:t>
      </w:r>
      <w:r w:rsidRPr="004841EF">
        <w:t xml:space="preserve"> and admissible in evidence in court proceedings. Guidelines on reasonable accommodations would provide a non-mandatory, practical resource for employers and promote good practice, which in many cases extends beyond minimum legislative requirements</w:t>
      </w:r>
    </w:p>
    <w:p w14:paraId="3DEFF0AE" w14:textId="6A0F3BD7" w:rsidR="00A939F9" w:rsidRPr="004841EF" w:rsidRDefault="00A33D73" w:rsidP="00072126">
      <w:pPr>
        <w:pStyle w:val="ListBullet"/>
      </w:pPr>
      <w:r w:rsidRPr="004841EF">
        <w:t>T</w:t>
      </w:r>
      <w:r w:rsidR="00AE47BB" w:rsidRPr="004841EF">
        <w:t xml:space="preserve">here </w:t>
      </w:r>
      <w:r w:rsidR="00165589" w:rsidRPr="004841EF">
        <w:t xml:space="preserve">is </w:t>
      </w:r>
      <w:r w:rsidR="00AE47BB" w:rsidRPr="004841EF">
        <w:t xml:space="preserve">no specific </w:t>
      </w:r>
      <w:r w:rsidR="00165589" w:rsidRPr="004841EF">
        <w:t xml:space="preserve">national </w:t>
      </w:r>
      <w:r w:rsidR="00AE47BB" w:rsidRPr="004841EF">
        <w:t>employer information and training resource currently available</w:t>
      </w:r>
      <w:r w:rsidRPr="004841EF">
        <w:t xml:space="preserve"> to guide employers on disability matters</w:t>
      </w:r>
      <w:r w:rsidR="00AE47BB" w:rsidRPr="004841EF">
        <w:t>.</w:t>
      </w:r>
      <w:r w:rsidR="00CF1705" w:rsidRPr="004841EF">
        <w:t xml:space="preserve"> Consideration should be afforded </w:t>
      </w:r>
      <w:r w:rsidR="00DE5795" w:rsidRPr="004841EF">
        <w:t xml:space="preserve">to creating </w:t>
      </w:r>
      <w:r w:rsidR="00CF1705" w:rsidRPr="004841EF">
        <w:t xml:space="preserve">a dedicated </w:t>
      </w:r>
      <w:r w:rsidR="00DE5795" w:rsidRPr="004841EF">
        <w:rPr>
          <w:bCs/>
        </w:rPr>
        <w:t xml:space="preserve">national resource of peer advice and information for employers on the employment of </w:t>
      </w:r>
      <w:r w:rsidR="00EB4927" w:rsidRPr="004841EF">
        <w:rPr>
          <w:bCs/>
        </w:rPr>
        <w:t xml:space="preserve">persons </w:t>
      </w:r>
      <w:r w:rsidR="00DE5795" w:rsidRPr="004841EF">
        <w:rPr>
          <w:bCs/>
        </w:rPr>
        <w:t xml:space="preserve">with disabilities, including reasonable </w:t>
      </w:r>
      <w:r w:rsidR="00CD475B" w:rsidRPr="004841EF">
        <w:rPr>
          <w:bCs/>
        </w:rPr>
        <w:t>accommodations</w:t>
      </w:r>
      <w:r w:rsidR="006733B2" w:rsidRPr="004841EF">
        <w:rPr>
          <w:bCs/>
        </w:rPr>
        <w:t>. This resource should</w:t>
      </w:r>
      <w:r w:rsidRPr="004841EF">
        <w:rPr>
          <w:bCs/>
        </w:rPr>
        <w:t xml:space="preserve"> build on the</w:t>
      </w:r>
      <w:r w:rsidR="00070CC1" w:rsidRPr="004841EF">
        <w:rPr>
          <w:bCs/>
        </w:rPr>
        <w:t xml:space="preserve"> learning of the</w:t>
      </w:r>
      <w:r w:rsidRPr="004841EF">
        <w:rPr>
          <w:bCs/>
        </w:rPr>
        <w:t xml:space="preserve"> </w:t>
      </w:r>
      <w:r w:rsidR="00070CC1" w:rsidRPr="004841EF">
        <w:rPr>
          <w:bCs/>
        </w:rPr>
        <w:t>Employer</w:t>
      </w:r>
      <w:r w:rsidRPr="004841EF">
        <w:rPr>
          <w:bCs/>
        </w:rPr>
        <w:t xml:space="preserve"> Disability Information service pilot initiative</w:t>
      </w:r>
      <w:r w:rsidR="00C206E8" w:rsidRPr="004841EF">
        <w:rPr>
          <w:bCs/>
        </w:rPr>
        <w:t xml:space="preserve"> and </w:t>
      </w:r>
      <w:r w:rsidR="006733B2" w:rsidRPr="004841EF">
        <w:rPr>
          <w:bCs/>
        </w:rPr>
        <w:t xml:space="preserve">draw on </w:t>
      </w:r>
      <w:r w:rsidR="00C206E8" w:rsidRPr="004841EF">
        <w:rPr>
          <w:bCs/>
        </w:rPr>
        <w:t xml:space="preserve">international </w:t>
      </w:r>
      <w:r w:rsidR="006733B2" w:rsidRPr="004841EF">
        <w:rPr>
          <w:bCs/>
        </w:rPr>
        <w:t xml:space="preserve">experience and </w:t>
      </w:r>
      <w:r w:rsidR="00C206E8" w:rsidRPr="004841EF">
        <w:rPr>
          <w:bCs/>
        </w:rPr>
        <w:t>good practice, such as the Job Accommodation Network</w:t>
      </w:r>
      <w:r w:rsidR="00CD475B" w:rsidRPr="004841EF">
        <w:rPr>
          <w:bCs/>
        </w:rPr>
        <w:t xml:space="preserve">. </w:t>
      </w:r>
      <w:r w:rsidR="006733B2" w:rsidRPr="004841EF">
        <w:rPr>
          <w:bCs/>
        </w:rPr>
        <w:t xml:space="preserve">The NDA advises that such a </w:t>
      </w:r>
      <w:r w:rsidR="00CD475B" w:rsidRPr="004841EF">
        <w:rPr>
          <w:bCs/>
        </w:rPr>
        <w:t>resource c</w:t>
      </w:r>
      <w:r w:rsidR="00DE5795" w:rsidRPr="004841EF">
        <w:rPr>
          <w:bCs/>
        </w:rPr>
        <w:t xml:space="preserve">ould assist in </w:t>
      </w:r>
      <w:r w:rsidR="00CF1705" w:rsidRPr="004841EF">
        <w:t>build</w:t>
      </w:r>
      <w:r w:rsidR="00DE5795" w:rsidRPr="004841EF">
        <w:t>ing</w:t>
      </w:r>
      <w:r w:rsidR="00CF1705" w:rsidRPr="004841EF">
        <w:t xml:space="preserve"> awareness and understanding</w:t>
      </w:r>
      <w:r w:rsidR="00DE5795" w:rsidRPr="004841EF">
        <w:t xml:space="preserve"> amongst employers</w:t>
      </w:r>
      <w:r w:rsidR="00CF1705" w:rsidRPr="004841EF">
        <w:t xml:space="preserve"> of disabilities, reasonable accommodations and their obligations under employment equality legislation</w:t>
      </w:r>
      <w:r w:rsidR="00072126" w:rsidRPr="004841EF">
        <w:t>. It could also provide guidance to employers as to how reasonable accommodations can be implemented in practice</w:t>
      </w:r>
    </w:p>
    <w:p w14:paraId="38F121D9" w14:textId="5E82DC79" w:rsidR="00934ECC" w:rsidRPr="004841EF" w:rsidRDefault="00DE5795" w:rsidP="00934ECC">
      <w:pPr>
        <w:pStyle w:val="ListBullet"/>
      </w:pPr>
      <w:r w:rsidRPr="004841EF">
        <w:t>An</w:t>
      </w:r>
      <w:r w:rsidR="00934ECC" w:rsidRPr="004841EF">
        <w:t xml:space="preserve"> information campaign </w:t>
      </w:r>
      <w:r w:rsidR="00CD475B" w:rsidRPr="004841EF">
        <w:t>c</w:t>
      </w:r>
      <w:r w:rsidRPr="004841EF">
        <w:t xml:space="preserve">ould be undertaken </w:t>
      </w:r>
      <w:r w:rsidR="00934ECC" w:rsidRPr="004841EF">
        <w:t xml:space="preserve">to build awareness amongst </w:t>
      </w:r>
      <w:r w:rsidR="00EB4927" w:rsidRPr="004841EF">
        <w:t xml:space="preserve">persons </w:t>
      </w:r>
      <w:r w:rsidR="00934ECC" w:rsidRPr="004841EF">
        <w:t xml:space="preserve">with disabilities of their right to reasonable accommodation in the employment context. Such a campaign would help in educating both </w:t>
      </w:r>
      <w:r w:rsidR="00EB4927" w:rsidRPr="004841EF">
        <w:t xml:space="preserve">persons </w:t>
      </w:r>
      <w:r w:rsidR="00934ECC" w:rsidRPr="004841EF">
        <w:t>with disabilities and employers of their rights and responsibilities under employment equality legislation</w:t>
      </w:r>
      <w:r w:rsidR="00A12DD4" w:rsidRPr="004841EF">
        <w:t xml:space="preserve"> in relation to reasonable accommodations</w:t>
      </w:r>
    </w:p>
    <w:p w14:paraId="15AC451F" w14:textId="08626D5D" w:rsidR="00DE5795" w:rsidRPr="004841EF" w:rsidRDefault="00DE5795" w:rsidP="00934ECC">
      <w:pPr>
        <w:pStyle w:val="ListBullet"/>
      </w:pPr>
      <w:r w:rsidRPr="004841EF">
        <w:t xml:space="preserve">A national awareness campaign </w:t>
      </w:r>
      <w:r w:rsidR="00CD475B" w:rsidRPr="004841EF">
        <w:t>may be of benefit in increasing</w:t>
      </w:r>
      <w:r w:rsidR="00222845" w:rsidRPr="004841EF">
        <w:t xml:space="preserve"> understanding of the important contribution </w:t>
      </w:r>
      <w:r w:rsidR="00EB4927" w:rsidRPr="004841EF">
        <w:t xml:space="preserve">persons </w:t>
      </w:r>
      <w:r w:rsidR="006272C6" w:rsidRPr="004841EF">
        <w:t xml:space="preserve">with </w:t>
      </w:r>
      <w:r w:rsidR="00222845" w:rsidRPr="004841EF">
        <w:rPr>
          <w:bCs/>
        </w:rPr>
        <w:t>disabilities</w:t>
      </w:r>
      <w:r w:rsidR="00B26FDD" w:rsidRPr="004841EF">
        <w:rPr>
          <w:bCs/>
        </w:rPr>
        <w:t xml:space="preserve"> make and the skills they</w:t>
      </w:r>
      <w:r w:rsidR="00222845" w:rsidRPr="004841EF">
        <w:t xml:space="preserve"> bring to the workforce.</w:t>
      </w:r>
      <w:r w:rsidR="00CD475B" w:rsidRPr="004841EF">
        <w:rPr>
          <w:rStyle w:val="FootnoteReference"/>
          <w:rFonts w:ascii="Gill Sans MT" w:hAnsi="Gill Sans MT"/>
        </w:rPr>
        <w:footnoteReference w:id="297"/>
      </w:r>
      <w:r w:rsidR="00222845" w:rsidRPr="004841EF">
        <w:t xml:space="preserve"> Such a campaign would be an important meas</w:t>
      </w:r>
      <w:r w:rsidR="00DF37E6" w:rsidRPr="004841EF">
        <w:t>ure in combating discrimination and</w:t>
      </w:r>
      <w:r w:rsidR="00222845" w:rsidRPr="004841EF">
        <w:t xml:space="preserve"> negative attitudes </w:t>
      </w:r>
      <w:r w:rsidR="00DF37E6" w:rsidRPr="004841EF">
        <w:t>towards</w:t>
      </w:r>
      <w:r w:rsidR="00222845" w:rsidRPr="004841EF">
        <w:t xml:space="preserve"> employees </w:t>
      </w:r>
      <w:r w:rsidR="00072126" w:rsidRPr="004841EF">
        <w:t xml:space="preserve">and employment candidates </w:t>
      </w:r>
      <w:r w:rsidR="00222845" w:rsidRPr="004841EF">
        <w:t>with a disability</w:t>
      </w:r>
      <w:r w:rsidR="00DE07DD" w:rsidRPr="004841EF">
        <w:t>. Following the conclusion of the national awareness campaign, the NDA advises that a survey be undertaken amongst employers to assess its effectiveness</w:t>
      </w:r>
    </w:p>
    <w:p w14:paraId="0CE46E16" w14:textId="7170312D" w:rsidR="00884CC1" w:rsidRPr="004841EF" w:rsidRDefault="00862DF8" w:rsidP="00DE5795">
      <w:pPr>
        <w:pStyle w:val="ListBullet"/>
      </w:pPr>
      <w:r w:rsidRPr="004841EF">
        <w:t>F</w:t>
      </w:r>
      <w:r w:rsidR="00DE5795" w:rsidRPr="004841EF">
        <w:t xml:space="preserve">urther consideration is necessary to understand </w:t>
      </w:r>
      <w:r w:rsidR="00DC6DA1" w:rsidRPr="004841EF">
        <w:t>the</w:t>
      </w:r>
      <w:r w:rsidR="00C645C6" w:rsidRPr="004841EF">
        <w:t xml:space="preserve"> reasons for the</w:t>
      </w:r>
      <w:r w:rsidR="00DC6DA1" w:rsidRPr="004841EF">
        <w:t xml:space="preserve"> low numbers of </w:t>
      </w:r>
      <w:r w:rsidR="00C645C6" w:rsidRPr="004841EF">
        <w:t xml:space="preserve">published </w:t>
      </w:r>
      <w:r w:rsidR="00DC6DA1" w:rsidRPr="004841EF">
        <w:t xml:space="preserve">cases </w:t>
      </w:r>
      <w:r w:rsidR="00C645C6" w:rsidRPr="004841EF">
        <w:t>concerning reasonable accommodation at the access stage</w:t>
      </w:r>
      <w:r w:rsidR="00A12DD4" w:rsidRPr="004841EF">
        <w:t>,</w:t>
      </w:r>
      <w:r w:rsidR="008A5BB1" w:rsidRPr="004841EF">
        <w:t xml:space="preserve"> as well as the absence of cases by </w:t>
      </w:r>
      <w:r w:rsidR="00EB4927" w:rsidRPr="004841EF">
        <w:t xml:space="preserve">persons </w:t>
      </w:r>
      <w:r w:rsidR="008A5BB1" w:rsidRPr="004841EF">
        <w:t>with intellectual disabilities and autism</w:t>
      </w:r>
      <w:r w:rsidR="00AE47BB" w:rsidRPr="004841EF">
        <w:t xml:space="preserve">. </w:t>
      </w:r>
      <w:r w:rsidR="006F27D2" w:rsidRPr="004841EF">
        <w:t>A discrete piece of research could examine whether there is reticence to bring employment equality claims related to access to employment</w:t>
      </w:r>
      <w:r w:rsidRPr="004841EF">
        <w:t xml:space="preserve"> in general</w:t>
      </w:r>
      <w:r w:rsidR="006F27D2" w:rsidRPr="004841EF">
        <w:t>, and</w:t>
      </w:r>
      <w:r w:rsidRPr="004841EF">
        <w:t xml:space="preserve"> whether there are</w:t>
      </w:r>
      <w:r w:rsidR="006F27D2" w:rsidRPr="004841EF">
        <w:t xml:space="preserve"> any particular obstacles</w:t>
      </w:r>
      <w:r w:rsidR="0081620C" w:rsidRPr="004841EF">
        <w:t>,</w:t>
      </w:r>
      <w:r w:rsidR="006F27D2" w:rsidRPr="004841EF">
        <w:t xml:space="preserve"> </w:t>
      </w:r>
      <w:r w:rsidRPr="004841EF">
        <w:t xml:space="preserve">which </w:t>
      </w:r>
      <w:r w:rsidR="00EB4927" w:rsidRPr="004841EF">
        <w:t xml:space="preserve">persons </w:t>
      </w:r>
      <w:r w:rsidR="006F27D2" w:rsidRPr="004841EF">
        <w:t xml:space="preserve">with </w:t>
      </w:r>
      <w:r w:rsidRPr="004841EF">
        <w:t xml:space="preserve">a disability </w:t>
      </w:r>
      <w:r w:rsidR="00072126" w:rsidRPr="004841EF">
        <w:t xml:space="preserve">encounter </w:t>
      </w:r>
      <w:r w:rsidRPr="004841EF">
        <w:t>in making such claims</w:t>
      </w:r>
      <w:r w:rsidR="00AE47BB" w:rsidRPr="004841EF">
        <w:t xml:space="preserve">. </w:t>
      </w:r>
      <w:r w:rsidRPr="004841EF">
        <w:t>The NDA further notes that</w:t>
      </w:r>
      <w:r w:rsidR="00AE47BB" w:rsidRPr="004841EF">
        <w:t xml:space="preserve"> </w:t>
      </w:r>
      <w:r w:rsidR="00EB4927" w:rsidRPr="004841EF">
        <w:t xml:space="preserve">persons </w:t>
      </w:r>
      <w:r w:rsidR="00AE47BB" w:rsidRPr="004841EF">
        <w:t xml:space="preserve">with autism and </w:t>
      </w:r>
      <w:r w:rsidR="00EB4927" w:rsidRPr="004841EF">
        <w:t xml:space="preserve">persons </w:t>
      </w:r>
      <w:r w:rsidR="00AE47BB" w:rsidRPr="004841EF">
        <w:t>with intellectual disabilities did not feature in the review</w:t>
      </w:r>
      <w:r w:rsidR="005206AB" w:rsidRPr="004841EF">
        <w:t xml:space="preserve"> of Workplace Relations Commission and Labour Court decisions</w:t>
      </w:r>
      <w:r w:rsidR="00AE47BB" w:rsidRPr="004841EF">
        <w:t xml:space="preserve">, despite the </w:t>
      </w:r>
      <w:r w:rsidR="006F27D2" w:rsidRPr="004841EF">
        <w:t xml:space="preserve">specific challenges </w:t>
      </w:r>
      <w:r w:rsidR="00934ECC" w:rsidRPr="004841EF">
        <w:t>they face in the workplace.</w:t>
      </w:r>
      <w:r w:rsidR="00623D4B" w:rsidRPr="004841EF">
        <w:t xml:space="preserve"> </w:t>
      </w:r>
      <w:r w:rsidRPr="004841EF">
        <w:t>Any such research could also consider</w:t>
      </w:r>
      <w:r w:rsidR="00623D4B" w:rsidRPr="004841EF">
        <w:t xml:space="preserve"> w</w:t>
      </w:r>
      <w:r w:rsidR="00D217C6" w:rsidRPr="004841EF">
        <w:t xml:space="preserve">hether </w:t>
      </w:r>
      <w:r w:rsidR="00EB4927" w:rsidRPr="004841EF">
        <w:t xml:space="preserve">persons </w:t>
      </w:r>
      <w:r w:rsidR="00D217C6" w:rsidRPr="004841EF">
        <w:t>with certain</w:t>
      </w:r>
      <w:r w:rsidR="00623D4B" w:rsidRPr="004841EF">
        <w:t xml:space="preserve"> types of disability encounter greater difficulties bringing employment equality claims</w:t>
      </w:r>
    </w:p>
    <w:p w14:paraId="326001D5" w14:textId="152E3175" w:rsidR="00DE5795" w:rsidRPr="004841EF" w:rsidRDefault="00DE5795" w:rsidP="00DE5795">
      <w:pPr>
        <w:pStyle w:val="ListBullet"/>
      </w:pPr>
      <w:r w:rsidRPr="004841EF">
        <w:t xml:space="preserve">The Department of Employment Affairs and Social Protection </w:t>
      </w:r>
      <w:r w:rsidR="00CD475B" w:rsidRPr="004841EF">
        <w:t>could consider</w:t>
      </w:r>
      <w:r w:rsidRPr="004841EF">
        <w:t xml:space="preserve"> a review of the adequacy and effectiveness of the training and financial supports available for employers to provide reasonable accommodations, including the</w:t>
      </w:r>
      <w:r w:rsidRPr="004841EF">
        <w:rPr>
          <w:b/>
        </w:rPr>
        <w:t xml:space="preserve"> Reasonable Accommodation Fund, </w:t>
      </w:r>
      <w:r w:rsidRPr="004841EF">
        <w:t>the</w:t>
      </w:r>
      <w:r w:rsidRPr="004841EF">
        <w:rPr>
          <w:b/>
        </w:rPr>
        <w:t xml:space="preserve"> Wage Subsidy Scheme</w:t>
      </w:r>
      <w:r w:rsidRPr="004841EF">
        <w:t xml:space="preserve"> and the </w:t>
      </w:r>
      <w:r w:rsidRPr="004841EF">
        <w:rPr>
          <w:b/>
        </w:rPr>
        <w:t>Disability Awareness Support Scheme</w:t>
      </w:r>
      <w:r w:rsidRPr="004841EF">
        <w:t xml:space="preserve">. Consultation with employers, employer representative groups, </w:t>
      </w:r>
      <w:r w:rsidR="00EB4927" w:rsidRPr="004841EF">
        <w:t xml:space="preserve">persons </w:t>
      </w:r>
      <w:r w:rsidRPr="004841EF">
        <w:t xml:space="preserve">with disabilities and disability organisations should form part of these reviews. </w:t>
      </w:r>
      <w:r w:rsidR="0044406A" w:rsidRPr="004841EF">
        <w:t xml:space="preserve">The adequacy of existing levels of grant assistance should also be examined. </w:t>
      </w:r>
      <w:r w:rsidRPr="004841EF">
        <w:t>The NDA notes that review</w:t>
      </w:r>
      <w:r w:rsidR="0068751E" w:rsidRPr="004841EF">
        <w:t>s</w:t>
      </w:r>
      <w:r w:rsidRPr="004841EF">
        <w:t xml:space="preserve"> of the </w:t>
      </w:r>
      <w:r w:rsidRPr="004841EF">
        <w:rPr>
          <w:b/>
        </w:rPr>
        <w:t>Reasonable Accommodation Fund</w:t>
      </w:r>
      <w:r w:rsidRPr="004841EF">
        <w:t xml:space="preserve"> </w:t>
      </w:r>
      <w:r w:rsidR="00CD475B" w:rsidRPr="004841EF">
        <w:t xml:space="preserve">and </w:t>
      </w:r>
      <w:r w:rsidR="00CD475B" w:rsidRPr="004841EF">
        <w:rPr>
          <w:b/>
        </w:rPr>
        <w:t>Disability Awareness Support Scheme</w:t>
      </w:r>
      <w:r w:rsidR="00CD475B" w:rsidRPr="004841EF">
        <w:t xml:space="preserve"> </w:t>
      </w:r>
      <w:r w:rsidR="0068751E" w:rsidRPr="004841EF">
        <w:t>are</w:t>
      </w:r>
      <w:r w:rsidRPr="004841EF">
        <w:t xml:space="preserve"> scheduled to take place in 2019</w:t>
      </w:r>
      <w:r w:rsidR="0068751E" w:rsidRPr="004841EF">
        <w:t xml:space="preserve"> and would welcome a similar exercise with the </w:t>
      </w:r>
      <w:r w:rsidR="0068751E" w:rsidRPr="004841EF">
        <w:rPr>
          <w:b/>
        </w:rPr>
        <w:t>Wage Subsidy Scheme</w:t>
      </w:r>
      <w:r w:rsidR="0068751E" w:rsidRPr="004841EF">
        <w:rPr>
          <w:rStyle w:val="FootnoteReference"/>
          <w:rFonts w:ascii="Gill Sans MT" w:hAnsi="Gill Sans MT"/>
        </w:rPr>
        <w:footnoteReference w:id="298"/>
      </w:r>
    </w:p>
    <w:p w14:paraId="05CE17D2" w14:textId="353F9500" w:rsidR="00B370A6" w:rsidRPr="004841EF" w:rsidRDefault="0071052E" w:rsidP="00B370A6">
      <w:pPr>
        <w:pStyle w:val="ListBullet"/>
      </w:pPr>
      <w:r w:rsidRPr="004841EF">
        <w:t>Notwithstanding the outcome of the</w:t>
      </w:r>
      <w:r w:rsidR="00DE5795" w:rsidRPr="004841EF">
        <w:t xml:space="preserve"> review</w:t>
      </w:r>
      <w:r w:rsidRPr="004841EF">
        <w:t>s</w:t>
      </w:r>
      <w:r w:rsidR="00DE5795" w:rsidRPr="004841EF">
        <w:t xml:space="preserve"> of the </w:t>
      </w:r>
      <w:r w:rsidR="00DE5795" w:rsidRPr="004841EF">
        <w:rPr>
          <w:b/>
        </w:rPr>
        <w:t>Reasonable Accommodation Fund</w:t>
      </w:r>
      <w:r w:rsidRPr="004841EF">
        <w:rPr>
          <w:b/>
        </w:rPr>
        <w:t xml:space="preserve"> </w:t>
      </w:r>
      <w:r w:rsidRPr="004841EF">
        <w:t>and</w:t>
      </w:r>
      <w:r w:rsidRPr="004841EF">
        <w:rPr>
          <w:b/>
        </w:rPr>
        <w:t xml:space="preserve"> </w:t>
      </w:r>
      <w:r w:rsidRPr="004841EF">
        <w:t>the</w:t>
      </w:r>
      <w:r w:rsidRPr="004841EF">
        <w:rPr>
          <w:b/>
        </w:rPr>
        <w:t xml:space="preserve"> Disability Awareness Support Scheme</w:t>
      </w:r>
      <w:r w:rsidR="00DE5795" w:rsidRPr="004841EF">
        <w:t>,</w:t>
      </w:r>
      <w:r w:rsidR="00DE5795" w:rsidRPr="004841EF">
        <w:rPr>
          <w:b/>
        </w:rPr>
        <w:t xml:space="preserve"> </w:t>
      </w:r>
      <w:r w:rsidR="00DE5795" w:rsidRPr="004841EF">
        <w:t xml:space="preserve">the Department of Employment Affairs and Social Protection </w:t>
      </w:r>
      <w:r w:rsidR="00CD475B" w:rsidRPr="004841EF">
        <w:t>could consider</w:t>
      </w:r>
      <w:r w:rsidR="00DE5795" w:rsidRPr="004841EF">
        <w:t xml:space="preserve"> an</w:t>
      </w:r>
      <w:r w:rsidR="00A26C05" w:rsidRPr="004841EF">
        <w:t xml:space="preserve"> information campaign to build awareness amongst employers of the financial </w:t>
      </w:r>
      <w:r w:rsidRPr="004841EF">
        <w:t xml:space="preserve">and training </w:t>
      </w:r>
      <w:r w:rsidR="00A26C05" w:rsidRPr="004841EF">
        <w:t xml:space="preserve">supports available </w:t>
      </w:r>
      <w:r w:rsidR="00DE5795" w:rsidRPr="004841EF">
        <w:t>to provide reasonable accommodations</w:t>
      </w:r>
      <w:r w:rsidR="006F27D2" w:rsidRPr="004841EF">
        <w:t xml:space="preserve">. </w:t>
      </w:r>
      <w:r w:rsidR="00DE5795" w:rsidRPr="004841EF">
        <w:t>Such a</w:t>
      </w:r>
      <w:r w:rsidR="006F27D2" w:rsidRPr="004841EF">
        <w:t xml:space="preserve"> campaign could </w:t>
      </w:r>
      <w:r w:rsidR="008D7984" w:rsidRPr="004841EF">
        <w:t xml:space="preserve">be useful </w:t>
      </w:r>
      <w:r w:rsidR="006F27D2" w:rsidRPr="004841EF">
        <w:t>in addr</w:t>
      </w:r>
      <w:r w:rsidR="00DE5795" w:rsidRPr="004841EF">
        <w:t>essing th</w:t>
      </w:r>
      <w:r w:rsidR="008D7984" w:rsidRPr="004841EF">
        <w:t>e</w:t>
      </w:r>
      <w:r w:rsidR="00DE5795" w:rsidRPr="004841EF">
        <w:t xml:space="preserve"> information deficit which exists amongst </w:t>
      </w:r>
      <w:r w:rsidR="008D7984" w:rsidRPr="004841EF">
        <w:t xml:space="preserve">some </w:t>
      </w:r>
      <w:r w:rsidR="00DE5795" w:rsidRPr="004841EF">
        <w:t xml:space="preserve">employers of the various financial supports and incentives available to </w:t>
      </w:r>
      <w:r w:rsidR="008D7984" w:rsidRPr="004841EF">
        <w:t xml:space="preserve">them </w:t>
      </w:r>
      <w:r w:rsidR="00DE5795" w:rsidRPr="004841EF">
        <w:t>to assist in reasonably accommodating employees and employment candidates with a disability</w:t>
      </w:r>
    </w:p>
    <w:p w14:paraId="532CF2E7" w14:textId="77777777" w:rsidR="00B370A6" w:rsidRPr="004841EF" w:rsidRDefault="00B370A6">
      <w:pPr>
        <w:spacing w:after="0"/>
      </w:pPr>
      <w:r w:rsidRPr="004841EF">
        <w:br w:type="page"/>
      </w:r>
    </w:p>
    <w:p w14:paraId="48E73380" w14:textId="39AB971B" w:rsidR="00D63FD0" w:rsidRPr="004841EF" w:rsidRDefault="00686754" w:rsidP="00D63FD0">
      <w:pPr>
        <w:pStyle w:val="Heading1"/>
      </w:pPr>
      <w:bookmarkStart w:id="276" w:name="_Toc26192146"/>
      <w:bookmarkStart w:id="277" w:name="_Toc42172563"/>
      <w:r w:rsidRPr="004841EF">
        <w:t>References</w:t>
      </w:r>
      <w:bookmarkEnd w:id="276"/>
      <w:bookmarkEnd w:id="277"/>
    </w:p>
    <w:p w14:paraId="6E0F1635" w14:textId="737E97B8" w:rsidR="000E241D" w:rsidRPr="004841EF" w:rsidRDefault="000E241D" w:rsidP="00D63FD0">
      <w:pPr>
        <w:rPr>
          <w:bCs/>
        </w:rPr>
      </w:pPr>
      <w:r w:rsidRPr="004841EF">
        <w:rPr>
          <w:bCs/>
        </w:rPr>
        <w:t xml:space="preserve">Alban-Metcalfe, J. (2008) </w:t>
      </w:r>
      <w:r w:rsidRPr="004841EF">
        <w:rPr>
          <w:b/>
          <w:bCs/>
        </w:rPr>
        <w:t>Effective Leadership and Organisational Culture for the Recruitment and Retention of People with Disabilities in the Irish Public Sector</w:t>
      </w:r>
      <w:r w:rsidRPr="004841EF">
        <w:rPr>
          <w:bCs/>
        </w:rPr>
        <w:t>, Dublin: NDA</w:t>
      </w:r>
    </w:p>
    <w:p w14:paraId="11A6CC6B" w14:textId="6FD23383" w:rsidR="008E2AEA" w:rsidRPr="004841EF" w:rsidRDefault="008E2AEA" w:rsidP="00D63FD0">
      <w:pPr>
        <w:rPr>
          <w:bCs/>
        </w:rPr>
      </w:pPr>
      <w:r w:rsidRPr="004841EF">
        <w:rPr>
          <w:bCs/>
        </w:rPr>
        <w:t xml:space="preserve">Australian Human Rights Commission (2016) </w:t>
      </w:r>
      <w:r w:rsidRPr="004841EF">
        <w:rPr>
          <w:b/>
          <w:bCs/>
        </w:rPr>
        <w:t>Willing to Work National Inquiry into Employment Discrimination Against Older Australians and Australians with</w:t>
      </w:r>
      <w:r w:rsidRPr="004841EF">
        <w:rPr>
          <w:bCs/>
        </w:rPr>
        <w:t xml:space="preserve"> </w:t>
      </w:r>
      <w:r w:rsidRPr="004841EF">
        <w:rPr>
          <w:b/>
          <w:bCs/>
        </w:rPr>
        <w:t>Disability</w:t>
      </w:r>
      <w:r w:rsidRPr="004841EF">
        <w:rPr>
          <w:bCs/>
        </w:rPr>
        <w:t>, Sydney: Australian Human Rights Commission</w:t>
      </w:r>
    </w:p>
    <w:p w14:paraId="16851B8D" w14:textId="2BB674AD" w:rsidR="00845B43" w:rsidRPr="004841EF" w:rsidRDefault="00845B43" w:rsidP="00D63FD0">
      <w:pPr>
        <w:rPr>
          <w:bCs/>
        </w:rPr>
      </w:pPr>
      <w:r w:rsidRPr="004841EF">
        <w:rPr>
          <w:bCs/>
        </w:rPr>
        <w:t xml:space="preserve">Austrian Institute for SME Research (2008) </w:t>
      </w:r>
      <w:r w:rsidRPr="004841EF">
        <w:rPr>
          <w:b/>
          <w:bCs/>
        </w:rPr>
        <w:t>Practices of providing reasonable accommodation for persons with disabilities in the workplace</w:t>
      </w:r>
      <w:r w:rsidRPr="004841EF">
        <w:rPr>
          <w:bCs/>
        </w:rPr>
        <w:t>, Austrian Institute for SME Research: Vienna</w:t>
      </w:r>
    </w:p>
    <w:p w14:paraId="40582BA7" w14:textId="581A67C6" w:rsidR="00A6785B" w:rsidRPr="004841EF" w:rsidRDefault="00A6785B" w:rsidP="00D63FD0">
      <w:pPr>
        <w:rPr>
          <w:bCs/>
        </w:rPr>
      </w:pPr>
      <w:r w:rsidRPr="004841EF">
        <w:rPr>
          <w:bCs/>
        </w:rPr>
        <w:t xml:space="preserve">Barry, E. (2013) </w:t>
      </w:r>
      <w:r w:rsidRPr="004841EF">
        <w:rPr>
          <w:b/>
          <w:bCs/>
        </w:rPr>
        <w:t>Case Law Review on Mental Health in the Workplace</w:t>
      </w:r>
      <w:r w:rsidRPr="004841EF">
        <w:rPr>
          <w:bCs/>
        </w:rPr>
        <w:t>, Dublin: See Change</w:t>
      </w:r>
    </w:p>
    <w:p w14:paraId="080C0A2C" w14:textId="00378DAF" w:rsidR="00945E9C" w:rsidRPr="004841EF" w:rsidRDefault="00945E9C" w:rsidP="00D63FD0">
      <w:pPr>
        <w:rPr>
          <w:bCs/>
        </w:rPr>
      </w:pPr>
      <w:r w:rsidRPr="004841EF">
        <w:rPr>
          <w:bCs/>
        </w:rPr>
        <w:t xml:space="preserve">Bell, M. (2018) ‘Pitfalls and Progress: Reasonable Accommodation for Workers with Disabilities in Ireland’, </w:t>
      </w:r>
      <w:r w:rsidRPr="004841EF">
        <w:rPr>
          <w:b/>
          <w:bCs/>
          <w:iCs/>
        </w:rPr>
        <w:t>Dublin University Law Journal</w:t>
      </w:r>
      <w:r w:rsidRPr="004841EF">
        <w:rPr>
          <w:bCs/>
          <w:iCs/>
        </w:rPr>
        <w:t>,</w:t>
      </w:r>
      <w:r w:rsidRPr="004841EF">
        <w:rPr>
          <w:b/>
          <w:bCs/>
          <w:iCs/>
        </w:rPr>
        <w:t xml:space="preserve"> </w:t>
      </w:r>
      <w:r w:rsidRPr="004841EF">
        <w:rPr>
          <w:bCs/>
          <w:iCs/>
        </w:rPr>
        <w:t>41, 77-96</w:t>
      </w:r>
    </w:p>
    <w:p w14:paraId="41E05757" w14:textId="398513A9" w:rsidR="00224B19" w:rsidRPr="004841EF" w:rsidRDefault="00224B19" w:rsidP="00D63FD0">
      <w:pPr>
        <w:rPr>
          <w:bCs/>
        </w:rPr>
      </w:pPr>
      <w:r w:rsidRPr="004841EF">
        <w:rPr>
          <w:bCs/>
        </w:rPr>
        <w:t xml:space="preserve">Bendick, M. (2018). ‘Employment discrimination against persons with disabilities: Evidence from Matched Pair Testing’, </w:t>
      </w:r>
      <w:r w:rsidRPr="004841EF">
        <w:rPr>
          <w:b/>
          <w:bCs/>
        </w:rPr>
        <w:t>The International Journal of Diversity in Organisations, Communities, and Nations: Annual Review</w:t>
      </w:r>
      <w:r w:rsidRPr="004841EF">
        <w:rPr>
          <w:bCs/>
        </w:rPr>
        <w:t>, 17(1),</w:t>
      </w:r>
      <w:r w:rsidR="005251F1" w:rsidRPr="004841EF">
        <w:rPr>
          <w:bCs/>
        </w:rPr>
        <w:t xml:space="preserve"> </w:t>
      </w:r>
      <w:r w:rsidRPr="004841EF">
        <w:rPr>
          <w:bCs/>
        </w:rPr>
        <w:t>11-25</w:t>
      </w:r>
    </w:p>
    <w:p w14:paraId="365931C7" w14:textId="3C8089F9" w:rsidR="0061315D" w:rsidRPr="004841EF" w:rsidRDefault="0061315D" w:rsidP="00D63FD0">
      <w:pPr>
        <w:rPr>
          <w:bCs/>
        </w:rPr>
      </w:pPr>
      <w:r w:rsidRPr="004841EF">
        <w:rPr>
          <w:bCs/>
        </w:rPr>
        <w:t>Blanck, P. &amp; Marti, M. (2000)</w:t>
      </w:r>
      <w:r w:rsidRPr="004841EF">
        <w:rPr>
          <w:b/>
          <w:bCs/>
        </w:rPr>
        <w:t xml:space="preserve"> </w:t>
      </w:r>
      <w:r w:rsidRPr="004841EF">
        <w:rPr>
          <w:bCs/>
        </w:rPr>
        <w:t>‘Attitudes, Behavior, and ADA Title 1’, in Blanck P. (ed)</w:t>
      </w:r>
      <w:r w:rsidRPr="004841EF">
        <w:rPr>
          <w:b/>
          <w:bCs/>
        </w:rPr>
        <w:t xml:space="preserve"> Employment, Disability and the Americans with Disabilities Act: Issues in Law, Public Policy and Research, </w:t>
      </w:r>
      <w:r w:rsidRPr="004841EF">
        <w:rPr>
          <w:bCs/>
        </w:rPr>
        <w:t>Illinois: Northwestern University Press</w:t>
      </w:r>
    </w:p>
    <w:p w14:paraId="2A39F5E4" w14:textId="325304B1" w:rsidR="002707A9" w:rsidRPr="004841EF" w:rsidRDefault="002707A9" w:rsidP="00D63FD0">
      <w:pPr>
        <w:rPr>
          <w:bCs/>
        </w:rPr>
      </w:pPr>
      <w:r w:rsidRPr="004841EF">
        <w:rPr>
          <w:bCs/>
        </w:rPr>
        <w:t xml:space="preserve">Bolger, M., Bruton, C. &amp; Kimber, C. (2012) </w:t>
      </w:r>
      <w:r w:rsidRPr="004841EF">
        <w:rPr>
          <w:b/>
          <w:bCs/>
        </w:rPr>
        <w:t>Employment Equality Law</w:t>
      </w:r>
      <w:r w:rsidRPr="004841EF">
        <w:rPr>
          <w:bCs/>
        </w:rPr>
        <w:t>, Dublin: Round Hall</w:t>
      </w:r>
    </w:p>
    <w:p w14:paraId="35E7C8E7" w14:textId="076830D6" w:rsidR="00182226" w:rsidRPr="004841EF" w:rsidRDefault="00182226" w:rsidP="00D63FD0">
      <w:pPr>
        <w:rPr>
          <w:bCs/>
        </w:rPr>
      </w:pPr>
      <w:r w:rsidRPr="004841EF">
        <w:rPr>
          <w:bCs/>
        </w:rPr>
        <w:t xml:space="preserve">Byrne, J.P. &amp; Ring, F. (2009) </w:t>
      </w:r>
      <w:r w:rsidRPr="004841EF">
        <w:rPr>
          <w:b/>
          <w:bCs/>
        </w:rPr>
        <w:t>Demystifying Disability in the Workplace: Practical Guidelines for Managers &amp; Supervisors</w:t>
      </w:r>
      <w:r w:rsidRPr="004841EF">
        <w:rPr>
          <w:bCs/>
        </w:rPr>
        <w:t>, Dublin: AHEAD</w:t>
      </w:r>
    </w:p>
    <w:p w14:paraId="046BEA93" w14:textId="4B553499" w:rsidR="00A40916" w:rsidRPr="004841EF" w:rsidRDefault="00A40916" w:rsidP="00D63FD0">
      <w:pPr>
        <w:rPr>
          <w:bCs/>
        </w:rPr>
      </w:pPr>
      <w:r w:rsidRPr="004841EF">
        <w:rPr>
          <w:bCs/>
        </w:rPr>
        <w:t xml:space="preserve">Central Statistics Office (2010) </w:t>
      </w:r>
      <w:r w:rsidRPr="004841EF">
        <w:rPr>
          <w:b/>
          <w:bCs/>
        </w:rPr>
        <w:t>National Disability Survey 2006 – Volume 2</w:t>
      </w:r>
      <w:r w:rsidRPr="004841EF">
        <w:rPr>
          <w:bCs/>
        </w:rPr>
        <w:t>, Dublin: Stationery Office</w:t>
      </w:r>
    </w:p>
    <w:p w14:paraId="1ECFB337" w14:textId="22FDB891" w:rsidR="00F2243D" w:rsidRPr="004841EF" w:rsidRDefault="00F2243D" w:rsidP="00D63FD0">
      <w:pPr>
        <w:rPr>
          <w:bCs/>
        </w:rPr>
      </w:pPr>
      <w:r w:rsidRPr="004841EF">
        <w:rPr>
          <w:bCs/>
        </w:rPr>
        <w:t xml:space="preserve">Centre for Excellence in Universal Design at the National Disability Authority (2010) </w:t>
      </w:r>
      <w:r w:rsidRPr="004841EF">
        <w:rPr>
          <w:b/>
          <w:bCs/>
        </w:rPr>
        <w:t>Building for Everyone: A Universal Design Approach – Sanitary facilities</w:t>
      </w:r>
      <w:r w:rsidRPr="004841EF">
        <w:rPr>
          <w:bCs/>
        </w:rPr>
        <w:t>, Dublin: CEUD</w:t>
      </w:r>
    </w:p>
    <w:p w14:paraId="53D82CD8" w14:textId="14AF9A00" w:rsidR="00A40916" w:rsidRPr="004841EF" w:rsidRDefault="00A40916" w:rsidP="00D63FD0">
      <w:pPr>
        <w:rPr>
          <w:bCs/>
        </w:rPr>
      </w:pPr>
      <w:r w:rsidRPr="004841EF">
        <w:rPr>
          <w:bCs/>
        </w:rPr>
        <w:t xml:space="preserve">Chow, C. M., Cichocki, B., &amp; Croft, B. (2014), ‘The Impact of Job Accommodations on Employment Outcomes Among Individuals With Psychiatric Disabilities’, </w:t>
      </w:r>
      <w:r w:rsidRPr="004841EF">
        <w:rPr>
          <w:b/>
          <w:bCs/>
          <w:iCs/>
        </w:rPr>
        <w:t>Psychiatric Services</w:t>
      </w:r>
      <w:r w:rsidRPr="004841EF">
        <w:rPr>
          <w:bCs/>
        </w:rPr>
        <w:t>, 65(9), 1126–1132</w:t>
      </w:r>
    </w:p>
    <w:p w14:paraId="2FB3BB6E" w14:textId="00DBFF90" w:rsidR="00031823" w:rsidRPr="004841EF" w:rsidRDefault="00031823" w:rsidP="00D63FD0">
      <w:pPr>
        <w:rPr>
          <w:bCs/>
        </w:rPr>
      </w:pPr>
      <w:r w:rsidRPr="004841EF">
        <w:rPr>
          <w:b/>
          <w:bCs/>
        </w:rPr>
        <w:t>Civil Legal Aid Act 1995</w:t>
      </w:r>
    </w:p>
    <w:p w14:paraId="52D18CD3" w14:textId="036EDD68" w:rsidR="00A40916" w:rsidRPr="004841EF" w:rsidRDefault="00A40916" w:rsidP="00D63FD0">
      <w:pPr>
        <w:rPr>
          <w:bCs/>
        </w:rPr>
      </w:pPr>
      <w:r w:rsidRPr="004841EF">
        <w:rPr>
          <w:bCs/>
        </w:rPr>
        <w:t xml:space="preserve">Clayton, S., Barr, B., Nylen, L., Burstrom, B., Thielen, K., Diderichsen, F., Dahl, E., &amp; Whitehead, M. (2012), ‘Effectiveness of return-to-work interventions for disabled people: A systematic review of government initiatives focused on changing the behaviour of employers’, </w:t>
      </w:r>
      <w:r w:rsidRPr="004841EF">
        <w:rPr>
          <w:b/>
          <w:bCs/>
        </w:rPr>
        <w:t>European Journal of Public Health</w:t>
      </w:r>
      <w:r w:rsidRPr="004841EF">
        <w:rPr>
          <w:bCs/>
        </w:rPr>
        <w:t>, 22(3), 434-439</w:t>
      </w:r>
    </w:p>
    <w:p w14:paraId="73CDA311" w14:textId="6C4C9192" w:rsidR="002707A9" w:rsidRPr="004841EF" w:rsidRDefault="002707A9" w:rsidP="00D63FD0">
      <w:pPr>
        <w:rPr>
          <w:bCs/>
        </w:rPr>
      </w:pPr>
      <w:r w:rsidRPr="004841EF">
        <w:rPr>
          <w:bCs/>
        </w:rPr>
        <w:t xml:space="preserve">Community Law and Meditation (2017) </w:t>
      </w:r>
      <w:r w:rsidRPr="004841EF">
        <w:rPr>
          <w:b/>
          <w:bCs/>
        </w:rPr>
        <w:t>Guide to Taking an Employment Equality Case</w:t>
      </w:r>
      <w:r w:rsidRPr="004841EF">
        <w:rPr>
          <w:bCs/>
        </w:rPr>
        <w:t>, Dublin: Community Law and Meditation</w:t>
      </w:r>
    </w:p>
    <w:p w14:paraId="50797B10" w14:textId="1F618DA0" w:rsidR="00CB2601" w:rsidRPr="004841EF" w:rsidRDefault="00CB2601" w:rsidP="00D63FD0">
      <w:pPr>
        <w:rPr>
          <w:b/>
        </w:rPr>
      </w:pPr>
      <w:r w:rsidRPr="004841EF">
        <w:rPr>
          <w:b/>
        </w:rPr>
        <w:t>Council </w:t>
      </w:r>
      <w:r w:rsidRPr="004841EF">
        <w:rPr>
          <w:b/>
          <w:bCs/>
        </w:rPr>
        <w:t>Directive</w:t>
      </w:r>
      <w:r w:rsidRPr="004841EF">
        <w:rPr>
          <w:b/>
        </w:rPr>
        <w:t> 2000/78/</w:t>
      </w:r>
      <w:r w:rsidRPr="004841EF">
        <w:rPr>
          <w:b/>
          <w:bCs/>
        </w:rPr>
        <w:t>EC</w:t>
      </w:r>
      <w:r w:rsidRPr="004841EF">
        <w:rPr>
          <w:b/>
        </w:rPr>
        <w:t> of 27 November 2000 establishing a general framework for equal treatment in </w:t>
      </w:r>
      <w:r w:rsidRPr="004841EF">
        <w:rPr>
          <w:b/>
          <w:bCs/>
        </w:rPr>
        <w:t>employment</w:t>
      </w:r>
      <w:r w:rsidRPr="004841EF">
        <w:rPr>
          <w:b/>
        </w:rPr>
        <w:t> and occupation</w:t>
      </w:r>
    </w:p>
    <w:p w14:paraId="7C830338" w14:textId="2165CC44" w:rsidR="00BF64F5" w:rsidRPr="004841EF" w:rsidRDefault="00BF64F5" w:rsidP="00D63FD0">
      <w:r w:rsidRPr="004841EF">
        <w:t xml:space="preserve">Department of Employment Affairs and Social Protection, </w:t>
      </w:r>
      <w:r w:rsidR="003579AF" w:rsidRPr="004841EF">
        <w:rPr>
          <w:b/>
        </w:rPr>
        <w:t>Disability Awareness Support Scheme</w:t>
      </w:r>
      <w:r w:rsidR="003579AF" w:rsidRPr="004841EF">
        <w:t xml:space="preserve"> </w:t>
      </w:r>
      <w:r w:rsidRPr="004841EF">
        <w:t>&lt;</w:t>
      </w:r>
      <w:hyperlink r:id="rId9" w:history="1">
        <w:r w:rsidR="003579AF" w:rsidRPr="004841EF">
          <w:rPr>
            <w:rStyle w:val="Hyperlink"/>
          </w:rPr>
          <w:t>http://www.welfare.ie/en/Pages/Disability-Awareness-Training_holder.aspx</w:t>
        </w:r>
      </w:hyperlink>
      <w:r w:rsidRPr="004841EF">
        <w:t>&gt;</w:t>
      </w:r>
      <w:r w:rsidR="003579AF" w:rsidRPr="004841EF">
        <w:t xml:space="preserve"> (accessed 6</w:t>
      </w:r>
      <w:r w:rsidR="003579AF" w:rsidRPr="004841EF">
        <w:rPr>
          <w:vertAlign w:val="superscript"/>
        </w:rPr>
        <w:t>th</w:t>
      </w:r>
      <w:r w:rsidR="003579AF" w:rsidRPr="004841EF">
        <w:t xml:space="preserve"> November 2019)</w:t>
      </w:r>
    </w:p>
    <w:p w14:paraId="595A1D53" w14:textId="5CEC7F60" w:rsidR="005C62D5" w:rsidRPr="004841EF" w:rsidRDefault="005C62D5" w:rsidP="00D63FD0">
      <w:r w:rsidRPr="004841EF">
        <w:t>Department of Employment Affairs and Social Protection,</w:t>
      </w:r>
      <w:r w:rsidRPr="004841EF">
        <w:rPr>
          <w:b/>
        </w:rPr>
        <w:t xml:space="preserve"> Employee Retention Grant</w:t>
      </w:r>
      <w:r w:rsidRPr="004841EF">
        <w:t xml:space="preserve"> &lt;</w:t>
      </w:r>
      <w:hyperlink r:id="rId10" w:history="1">
        <w:r w:rsidRPr="004841EF">
          <w:rPr>
            <w:rStyle w:val="Hyperlink"/>
          </w:rPr>
          <w:t>http://www.welfare.ie/en/Pages/Employee-Retention-Scheme.aspx</w:t>
        </w:r>
      </w:hyperlink>
      <w:r w:rsidRPr="004841EF">
        <w:t>&gt; (accessed 6</w:t>
      </w:r>
      <w:r w:rsidRPr="004841EF">
        <w:rPr>
          <w:vertAlign w:val="superscript"/>
        </w:rPr>
        <w:t>th</w:t>
      </w:r>
      <w:r w:rsidRPr="004841EF">
        <w:t xml:space="preserve"> November 2019)</w:t>
      </w:r>
    </w:p>
    <w:p w14:paraId="0EB189B2" w14:textId="2DA0CE71" w:rsidR="00380AE4" w:rsidRPr="004841EF" w:rsidRDefault="00380AE4" w:rsidP="00D63FD0">
      <w:r w:rsidRPr="004841EF">
        <w:t xml:space="preserve">Department of Employment Affairs and Social Protection, </w:t>
      </w:r>
      <w:r w:rsidRPr="004841EF">
        <w:rPr>
          <w:b/>
        </w:rPr>
        <w:t>Job Interview Interpreter Grant</w:t>
      </w:r>
      <w:r w:rsidRPr="004841EF">
        <w:t xml:space="preserve"> &lt; </w:t>
      </w:r>
      <w:hyperlink r:id="rId11" w:history="1">
        <w:r w:rsidRPr="004841EF">
          <w:rPr>
            <w:rStyle w:val="Hyperlink"/>
          </w:rPr>
          <w:t>http://www.welfare.ie/en/Pages/Job-Interview-Interpreter-Grant.aspx</w:t>
        </w:r>
      </w:hyperlink>
      <w:r w:rsidRPr="004841EF">
        <w:t>&gt; (accessed 6</w:t>
      </w:r>
      <w:r w:rsidRPr="004841EF">
        <w:rPr>
          <w:vertAlign w:val="superscript"/>
        </w:rPr>
        <w:t>th</w:t>
      </w:r>
      <w:r w:rsidRPr="004841EF">
        <w:t xml:space="preserve"> November 2019)</w:t>
      </w:r>
    </w:p>
    <w:p w14:paraId="33E40F4E" w14:textId="1A18B4F5" w:rsidR="00380AE4" w:rsidRPr="004841EF" w:rsidRDefault="00380AE4" w:rsidP="00D63FD0">
      <w:r w:rsidRPr="004841EF">
        <w:t>Department of Employment Affairs and Social Protection,</w:t>
      </w:r>
      <w:r w:rsidRPr="004841EF">
        <w:rPr>
          <w:b/>
        </w:rPr>
        <w:t xml:space="preserve"> Personal Reader Grant</w:t>
      </w:r>
      <w:r w:rsidRPr="004841EF">
        <w:t xml:space="preserve">, &lt; </w:t>
      </w:r>
      <w:hyperlink r:id="rId12" w:history="1">
        <w:r w:rsidRPr="004841EF">
          <w:rPr>
            <w:rStyle w:val="Hyperlink"/>
          </w:rPr>
          <w:t>http://www.welfare.ie/en/Pages/Personal-Reader-Grant.aspx</w:t>
        </w:r>
      </w:hyperlink>
      <w:r w:rsidRPr="004841EF">
        <w:t>&gt; (accessed 6</w:t>
      </w:r>
      <w:r w:rsidRPr="004841EF">
        <w:rPr>
          <w:vertAlign w:val="superscript"/>
        </w:rPr>
        <w:t>th</w:t>
      </w:r>
      <w:r w:rsidRPr="004841EF">
        <w:t xml:space="preserve"> November 2019)</w:t>
      </w:r>
    </w:p>
    <w:p w14:paraId="7E52ACC8" w14:textId="1A73A16F" w:rsidR="003579AF" w:rsidRPr="004841EF" w:rsidRDefault="003579AF" w:rsidP="00D63FD0">
      <w:r w:rsidRPr="004841EF">
        <w:t xml:space="preserve">Department of Employment Affairs and Social Protection, </w:t>
      </w:r>
      <w:r w:rsidRPr="004841EF">
        <w:rPr>
          <w:b/>
        </w:rPr>
        <w:t>Reasonable Accommodation Fund</w:t>
      </w:r>
      <w:r w:rsidRPr="004841EF">
        <w:t xml:space="preserve"> &lt;</w:t>
      </w:r>
      <w:hyperlink r:id="rId13" w:history="1">
        <w:r w:rsidRPr="004841EF">
          <w:rPr>
            <w:rStyle w:val="Hyperlink"/>
          </w:rPr>
          <w:t>http://www.welfare.ie/en/Pages/Reasonable-Accommodation-Fund_holder.aspx</w:t>
        </w:r>
      </w:hyperlink>
      <w:r w:rsidRPr="004841EF">
        <w:t>&gt; (accessed 6</w:t>
      </w:r>
      <w:r w:rsidRPr="004841EF">
        <w:rPr>
          <w:vertAlign w:val="superscript"/>
        </w:rPr>
        <w:t>th</w:t>
      </w:r>
      <w:r w:rsidRPr="004841EF">
        <w:t xml:space="preserve"> November 2019)</w:t>
      </w:r>
    </w:p>
    <w:p w14:paraId="6104DC64" w14:textId="280915F4" w:rsidR="00F75B07" w:rsidRPr="004841EF" w:rsidRDefault="00F75B07" w:rsidP="00D63FD0">
      <w:r w:rsidRPr="004841EF">
        <w:t>Department of Employment Affairs and Social Protection,</w:t>
      </w:r>
      <w:r w:rsidRPr="004841EF">
        <w:rPr>
          <w:b/>
        </w:rPr>
        <w:t xml:space="preserve"> Wage Subsidy Scheme</w:t>
      </w:r>
      <w:r w:rsidRPr="004841EF">
        <w:t xml:space="preserve"> &lt;</w:t>
      </w:r>
      <w:hyperlink r:id="rId14" w:history="1">
        <w:r w:rsidRPr="004841EF">
          <w:rPr>
            <w:rStyle w:val="Hyperlink"/>
          </w:rPr>
          <w:t>http://www.welfare.ie/en/Pages/Wage-Subsidy-Scheme_holder_3176.aspx</w:t>
        </w:r>
      </w:hyperlink>
      <w:r w:rsidRPr="004841EF">
        <w:t>&gt; (accessed 6</w:t>
      </w:r>
      <w:r w:rsidRPr="004841EF">
        <w:rPr>
          <w:vertAlign w:val="superscript"/>
        </w:rPr>
        <w:t>th</w:t>
      </w:r>
      <w:r w:rsidRPr="004841EF">
        <w:t xml:space="preserve"> November 2019)</w:t>
      </w:r>
    </w:p>
    <w:p w14:paraId="5C9583AC" w14:textId="51890A18" w:rsidR="00057B52" w:rsidRPr="004841EF" w:rsidRDefault="00057B52" w:rsidP="00D63FD0">
      <w:r w:rsidRPr="004841EF">
        <w:t>Department of Employment Affairs and Social Protection,</w:t>
      </w:r>
      <w:r w:rsidRPr="004841EF">
        <w:rPr>
          <w:b/>
        </w:rPr>
        <w:t xml:space="preserve"> Workplace Equipment and Adaptation Grant</w:t>
      </w:r>
      <w:r w:rsidRPr="004841EF">
        <w:t>, &lt;</w:t>
      </w:r>
      <w:hyperlink r:id="rId15" w:history="1">
        <w:r w:rsidRPr="004841EF">
          <w:rPr>
            <w:rStyle w:val="Hyperlink"/>
          </w:rPr>
          <w:t>http://www.welfare.ie/en/Pages/Workplace-Equipment-Adaptation-Grant.aspx</w:t>
        </w:r>
      </w:hyperlink>
      <w:r w:rsidRPr="004841EF">
        <w:t>&gt; (accessed 6</w:t>
      </w:r>
      <w:r w:rsidRPr="004841EF">
        <w:rPr>
          <w:vertAlign w:val="superscript"/>
        </w:rPr>
        <w:t>th</w:t>
      </w:r>
      <w:r w:rsidRPr="004841EF">
        <w:t xml:space="preserve"> November 2019)</w:t>
      </w:r>
    </w:p>
    <w:p w14:paraId="16F703C9" w14:textId="49DC6FDF" w:rsidR="00825EFC" w:rsidRPr="004841EF" w:rsidRDefault="00825EFC" w:rsidP="00D63FD0">
      <w:pPr>
        <w:rPr>
          <w:bCs/>
        </w:rPr>
      </w:pPr>
      <w:r w:rsidRPr="004841EF">
        <w:rPr>
          <w:bCs/>
        </w:rPr>
        <w:t xml:space="preserve">Department of Finance (2007) </w:t>
      </w:r>
      <w:r w:rsidRPr="004841EF">
        <w:rPr>
          <w:b/>
          <w:bCs/>
        </w:rPr>
        <w:t>Code of Practice for the Employment of People with a Disability in the Irish Civil Service</w:t>
      </w:r>
      <w:r w:rsidRPr="004841EF">
        <w:rPr>
          <w:bCs/>
        </w:rPr>
        <w:t>, Dublin: Department of Finance</w:t>
      </w:r>
    </w:p>
    <w:p w14:paraId="28BC89D7" w14:textId="42A1E1ED" w:rsidR="00CB2601" w:rsidRPr="004841EF" w:rsidRDefault="00CB2601" w:rsidP="00D63FD0">
      <w:pPr>
        <w:rPr>
          <w:b/>
        </w:rPr>
      </w:pPr>
      <w:r w:rsidRPr="004841EF">
        <w:rPr>
          <w:b/>
        </w:rPr>
        <w:t>Disability Act 2005</w:t>
      </w:r>
    </w:p>
    <w:p w14:paraId="7308EEC4" w14:textId="764EC971" w:rsidR="00A40916" w:rsidRPr="004841EF" w:rsidRDefault="00A40916" w:rsidP="00D63FD0">
      <w:pPr>
        <w:rPr>
          <w:bCs/>
        </w:rPr>
      </w:pPr>
      <w:r w:rsidRPr="004841EF">
        <w:rPr>
          <w:bCs/>
        </w:rPr>
        <w:t xml:space="preserve">Economic and Social Research Institute (2015) </w:t>
      </w:r>
      <w:r w:rsidRPr="004841EF">
        <w:rPr>
          <w:b/>
          <w:bCs/>
        </w:rPr>
        <w:t>Educational and Employment Experiences of People with a Disability in Ireland: An Analysis of the National Disability Survey</w:t>
      </w:r>
      <w:r w:rsidRPr="004841EF">
        <w:rPr>
          <w:bCs/>
        </w:rPr>
        <w:t>, Dublin: ESRI</w:t>
      </w:r>
    </w:p>
    <w:p w14:paraId="6F93FDB7" w14:textId="424CFE1C" w:rsidR="006A68D7" w:rsidRPr="004841EF" w:rsidRDefault="006A68D7" w:rsidP="00D63FD0">
      <w:pPr>
        <w:rPr>
          <w:bCs/>
        </w:rPr>
      </w:pPr>
      <w:r w:rsidRPr="004841EF">
        <w:rPr>
          <w:bCs/>
        </w:rPr>
        <w:t xml:space="preserve">Economic and Social Research Institute and Irish Human Rights and Equality Commission (2018) </w:t>
      </w:r>
      <w:r w:rsidRPr="004841EF">
        <w:rPr>
          <w:b/>
          <w:bCs/>
        </w:rPr>
        <w:t xml:space="preserve">Disability and Discrimination in Ireland: Evidence from the QNHS Equality Modules 2004, 2010, 2014, </w:t>
      </w:r>
      <w:r w:rsidRPr="004841EF">
        <w:rPr>
          <w:bCs/>
        </w:rPr>
        <w:t>ESRI and IHREC: Dublin</w:t>
      </w:r>
    </w:p>
    <w:p w14:paraId="2D77B936" w14:textId="5AB272DA" w:rsidR="00953202" w:rsidRPr="004841EF" w:rsidRDefault="00953202" w:rsidP="00D63FD0">
      <w:pPr>
        <w:rPr>
          <w:bCs/>
        </w:rPr>
      </w:pPr>
      <w:r w:rsidRPr="004841EF">
        <w:rPr>
          <w:bCs/>
        </w:rPr>
        <w:t>Employer Disability Information (2018)</w:t>
      </w:r>
      <w:r w:rsidRPr="004841EF">
        <w:rPr>
          <w:b/>
          <w:bCs/>
        </w:rPr>
        <w:t xml:space="preserve"> Employers Attitude To Employing People With Disabilities: Survey Results</w:t>
      </w:r>
      <w:r w:rsidRPr="004841EF">
        <w:rPr>
          <w:bCs/>
        </w:rPr>
        <w:t>, Dublin: EDI</w:t>
      </w:r>
    </w:p>
    <w:p w14:paraId="4BA1B18E" w14:textId="4296547B" w:rsidR="00016BCA" w:rsidRPr="004841EF" w:rsidRDefault="00016BCA" w:rsidP="00D63FD0">
      <w:pPr>
        <w:rPr>
          <w:bCs/>
        </w:rPr>
      </w:pPr>
      <w:r w:rsidRPr="004841EF">
        <w:rPr>
          <w:bCs/>
        </w:rPr>
        <w:t>Employer Disability Information</w:t>
      </w:r>
      <w:r w:rsidR="00964859" w:rsidRPr="004841EF">
        <w:rPr>
          <w:bCs/>
        </w:rPr>
        <w:t xml:space="preserve"> service</w:t>
      </w:r>
      <w:r w:rsidRPr="004841EF">
        <w:rPr>
          <w:bCs/>
        </w:rPr>
        <w:t xml:space="preserve">, </w:t>
      </w:r>
      <w:r w:rsidRPr="004841EF">
        <w:rPr>
          <w:b/>
          <w:bCs/>
        </w:rPr>
        <w:t>Report to the Department of Employment Affairs and Social Protection Report dated 30</w:t>
      </w:r>
      <w:r w:rsidRPr="004841EF">
        <w:rPr>
          <w:b/>
          <w:bCs/>
          <w:vertAlign w:val="superscript"/>
        </w:rPr>
        <w:t>th</w:t>
      </w:r>
      <w:r w:rsidRPr="004841EF">
        <w:rPr>
          <w:b/>
          <w:bCs/>
        </w:rPr>
        <w:t xml:space="preserve"> May 2016</w:t>
      </w:r>
      <w:r w:rsidRPr="004841EF">
        <w:rPr>
          <w:bCs/>
        </w:rPr>
        <w:t>, &lt;</w:t>
      </w:r>
      <w:hyperlink r:id="rId16" w:history="1">
        <w:r w:rsidRPr="004841EF">
          <w:rPr>
            <w:rStyle w:val="Hyperlink"/>
            <w:bCs/>
          </w:rPr>
          <w:t>http://www.employerdisabilityinfo.ie/about/submissions/deasp-report</w:t>
        </w:r>
      </w:hyperlink>
      <w:r w:rsidRPr="004841EF">
        <w:rPr>
          <w:bCs/>
        </w:rPr>
        <w:t>&gt; (accessed 5</w:t>
      </w:r>
      <w:r w:rsidRPr="004841EF">
        <w:rPr>
          <w:bCs/>
          <w:vertAlign w:val="superscript"/>
        </w:rPr>
        <w:t>th</w:t>
      </w:r>
      <w:r w:rsidRPr="004841EF">
        <w:rPr>
          <w:bCs/>
        </w:rPr>
        <w:t xml:space="preserve"> November)</w:t>
      </w:r>
    </w:p>
    <w:p w14:paraId="1C33BD8A" w14:textId="10811A73" w:rsidR="00CB2601" w:rsidRPr="004841EF" w:rsidRDefault="00CB2601" w:rsidP="00D63FD0">
      <w:pPr>
        <w:rPr>
          <w:b/>
        </w:rPr>
      </w:pPr>
      <w:r w:rsidRPr="004841EF">
        <w:rPr>
          <w:b/>
        </w:rPr>
        <w:t>Employment Equality Acts 1998-2015</w:t>
      </w:r>
    </w:p>
    <w:p w14:paraId="50D1B623" w14:textId="28203186" w:rsidR="006B5E5E" w:rsidRPr="004841EF" w:rsidRDefault="006B5E5E" w:rsidP="00D63FD0">
      <w:pPr>
        <w:rPr>
          <w:bCs/>
        </w:rPr>
      </w:pPr>
      <w:r w:rsidRPr="004841EF">
        <w:rPr>
          <w:bCs/>
        </w:rPr>
        <w:t xml:space="preserve">Epilepsy Ireland (2015) </w:t>
      </w:r>
      <w:r w:rsidRPr="004841EF">
        <w:rPr>
          <w:b/>
          <w:bCs/>
        </w:rPr>
        <w:t>Epilepsy in the Workplace: An Employers Information Resource</w:t>
      </w:r>
      <w:r w:rsidRPr="004841EF">
        <w:rPr>
          <w:bCs/>
        </w:rPr>
        <w:t>, Dublin: Epilepsy Ireland</w:t>
      </w:r>
    </w:p>
    <w:p w14:paraId="61EC7467" w14:textId="78B179FC" w:rsidR="00A6785B" w:rsidRPr="004841EF" w:rsidRDefault="00A6785B" w:rsidP="00D63FD0">
      <w:pPr>
        <w:rPr>
          <w:bCs/>
        </w:rPr>
      </w:pPr>
      <w:r w:rsidRPr="004841EF">
        <w:rPr>
          <w:bCs/>
        </w:rPr>
        <w:t xml:space="preserve">Equality and Human Rights Commission (2011) </w:t>
      </w:r>
      <w:r w:rsidRPr="004841EF">
        <w:rPr>
          <w:b/>
          <w:bCs/>
        </w:rPr>
        <w:t>Equality Act 2010 Code of Practice – Employment Statutory Code of Practice</w:t>
      </w:r>
      <w:r w:rsidRPr="004841EF">
        <w:rPr>
          <w:bCs/>
        </w:rPr>
        <w:t>, London: EHRC</w:t>
      </w:r>
    </w:p>
    <w:p w14:paraId="49C39089" w14:textId="5DF9A780" w:rsidR="00973323" w:rsidRPr="004841EF" w:rsidRDefault="00973323" w:rsidP="00D63FD0">
      <w:pPr>
        <w:rPr>
          <w:bCs/>
        </w:rPr>
      </w:pPr>
      <w:r w:rsidRPr="004841EF">
        <w:rPr>
          <w:bCs/>
        </w:rPr>
        <w:t xml:space="preserve">Equality and Human Rights Commission (2014) </w:t>
      </w:r>
      <w:r w:rsidRPr="004841EF">
        <w:rPr>
          <w:b/>
          <w:bCs/>
        </w:rPr>
        <w:t>Good equality practice for employers: equality policies, equality training and monitoring</w:t>
      </w:r>
      <w:r w:rsidRPr="004841EF">
        <w:rPr>
          <w:bCs/>
        </w:rPr>
        <w:t>, London: EHRC</w:t>
      </w:r>
    </w:p>
    <w:p w14:paraId="25E5FF20" w14:textId="0A084DA8" w:rsidR="00845B43" w:rsidRPr="004841EF" w:rsidRDefault="00845B43" w:rsidP="00D63FD0">
      <w:pPr>
        <w:rPr>
          <w:bCs/>
        </w:rPr>
      </w:pPr>
      <w:r w:rsidRPr="004841EF">
        <w:rPr>
          <w:bCs/>
        </w:rPr>
        <w:t xml:space="preserve">Equality Authority (2011) </w:t>
      </w:r>
      <w:r w:rsidRPr="004841EF">
        <w:rPr>
          <w:b/>
          <w:bCs/>
        </w:rPr>
        <w:t xml:space="preserve">Equality and mental health: what the law means for your workplace, </w:t>
      </w:r>
      <w:r w:rsidRPr="004841EF">
        <w:rPr>
          <w:bCs/>
        </w:rPr>
        <w:t>Roscrea: Equality Authority</w:t>
      </w:r>
    </w:p>
    <w:p w14:paraId="17927C89" w14:textId="10A85C34" w:rsidR="00D63FD0" w:rsidRPr="004841EF" w:rsidRDefault="00D63FD0" w:rsidP="00D63FD0">
      <w:pPr>
        <w:rPr>
          <w:bCs/>
        </w:rPr>
      </w:pPr>
      <w:r w:rsidRPr="004841EF">
        <w:rPr>
          <w:bCs/>
        </w:rPr>
        <w:t xml:space="preserve">Equality Authority and the Department of Justice, Equality and Law Reform (2003) </w:t>
      </w:r>
      <w:r w:rsidRPr="004841EF">
        <w:rPr>
          <w:b/>
          <w:bCs/>
        </w:rPr>
        <w:t xml:space="preserve">Disability Resource Pack: Positive Action for the Recruitment and Retention of People with Disabilities in the State Sector, </w:t>
      </w:r>
      <w:r w:rsidRPr="004841EF">
        <w:rPr>
          <w:bCs/>
        </w:rPr>
        <w:t>Dublin: Equality Authority</w:t>
      </w:r>
    </w:p>
    <w:p w14:paraId="6134EE23" w14:textId="19ABE775" w:rsidR="00A0015B" w:rsidRPr="004841EF" w:rsidRDefault="00A0015B" w:rsidP="00D63FD0">
      <w:pPr>
        <w:rPr>
          <w:bCs/>
        </w:rPr>
      </w:pPr>
      <w:r w:rsidRPr="004841EF">
        <w:rPr>
          <w:bCs/>
        </w:rPr>
        <w:t xml:space="preserve">Equality Commission for Northern Ireland (2018) </w:t>
      </w:r>
      <w:r w:rsidRPr="004841EF">
        <w:rPr>
          <w:b/>
          <w:bCs/>
        </w:rPr>
        <w:t>Disability Code of Practice: Employment and Occupation</w:t>
      </w:r>
      <w:r w:rsidRPr="004841EF">
        <w:rPr>
          <w:bCs/>
        </w:rPr>
        <w:t>, Belfast: Equality Commission</w:t>
      </w:r>
    </w:p>
    <w:p w14:paraId="72DB26AD" w14:textId="59E975D1" w:rsidR="00097509" w:rsidRPr="004841EF" w:rsidRDefault="00097509" w:rsidP="00D63FD0">
      <w:pPr>
        <w:rPr>
          <w:bCs/>
        </w:rPr>
      </w:pPr>
      <w:r w:rsidRPr="004841EF">
        <w:rPr>
          <w:bCs/>
        </w:rPr>
        <w:t xml:space="preserve">Equality Commission for Northern Ireland (2019) </w:t>
      </w:r>
      <w:r w:rsidRPr="004841EF">
        <w:rPr>
          <w:b/>
          <w:bCs/>
        </w:rPr>
        <w:t>Mental Health Charter</w:t>
      </w:r>
      <w:r w:rsidRPr="004841EF">
        <w:rPr>
          <w:bCs/>
        </w:rPr>
        <w:t>, &lt;</w:t>
      </w:r>
      <w:hyperlink r:id="rId17" w:history="1">
        <w:r w:rsidRPr="004841EF">
          <w:rPr>
            <w:rStyle w:val="Hyperlink"/>
            <w:bCs/>
          </w:rPr>
          <w:t>https://www.equalityni.org/ECNI/media/ECNI/Publications/Employers%20and%20Service%20Providers/MentalHealthCharter.pdf</w:t>
        </w:r>
      </w:hyperlink>
      <w:r w:rsidRPr="004841EF">
        <w:rPr>
          <w:bCs/>
        </w:rPr>
        <w:t xml:space="preserve"> &gt; (accessed 5</w:t>
      </w:r>
      <w:r w:rsidRPr="004841EF">
        <w:rPr>
          <w:bCs/>
          <w:vertAlign w:val="superscript"/>
        </w:rPr>
        <w:t>th</w:t>
      </w:r>
      <w:r w:rsidRPr="004841EF">
        <w:rPr>
          <w:bCs/>
        </w:rPr>
        <w:t xml:space="preserve"> November 2019)</w:t>
      </w:r>
    </w:p>
    <w:p w14:paraId="6C59C0FE" w14:textId="4B3494FA" w:rsidR="002707A9" w:rsidRPr="004841EF" w:rsidRDefault="002707A9" w:rsidP="00D63FD0">
      <w:pPr>
        <w:rPr>
          <w:bCs/>
        </w:rPr>
      </w:pPr>
      <w:r w:rsidRPr="004841EF">
        <w:rPr>
          <w:bCs/>
        </w:rPr>
        <w:t>Fasciglione, M. (2015) ‘Article 27 of the CRPD and the Right of Inclusive Employment of People with Autism’ in Della Fina</w:t>
      </w:r>
      <w:r w:rsidR="0067563E" w:rsidRPr="004841EF">
        <w:rPr>
          <w:bCs/>
        </w:rPr>
        <w:t>,</w:t>
      </w:r>
      <w:r w:rsidRPr="004841EF">
        <w:rPr>
          <w:bCs/>
        </w:rPr>
        <w:t xml:space="preserve"> V. &amp; Cera</w:t>
      </w:r>
      <w:r w:rsidR="0067563E" w:rsidRPr="004841EF">
        <w:rPr>
          <w:bCs/>
        </w:rPr>
        <w:t>,</w:t>
      </w:r>
      <w:r w:rsidRPr="004841EF">
        <w:rPr>
          <w:bCs/>
        </w:rPr>
        <w:t xml:space="preserve"> R. (eds.), </w:t>
      </w:r>
      <w:r w:rsidRPr="004841EF">
        <w:rPr>
          <w:b/>
          <w:bCs/>
        </w:rPr>
        <w:t>Protecting the Rights of People with Autism in the Fields of Education and Employment</w:t>
      </w:r>
      <w:r w:rsidRPr="004841EF">
        <w:rPr>
          <w:bCs/>
        </w:rPr>
        <w:t>, Rome: Springer International</w:t>
      </w:r>
    </w:p>
    <w:p w14:paraId="3B440D3E" w14:textId="3E69AD17" w:rsidR="009A56F3" w:rsidRPr="004841EF" w:rsidRDefault="009A56F3" w:rsidP="00D63FD0">
      <w:pPr>
        <w:rPr>
          <w:bCs/>
        </w:rPr>
      </w:pPr>
      <w:r w:rsidRPr="004841EF">
        <w:rPr>
          <w:bCs/>
        </w:rPr>
        <w:t xml:space="preserve">Ferri, D. &amp; Lawson, A. (2016) </w:t>
      </w:r>
      <w:r w:rsidRPr="004841EF">
        <w:rPr>
          <w:b/>
          <w:bCs/>
        </w:rPr>
        <w:t>Reasonable accommodation for disabled people in employment</w:t>
      </w:r>
      <w:r w:rsidRPr="004841EF">
        <w:rPr>
          <w:bCs/>
        </w:rPr>
        <w:t>, Brussels: European Commission</w:t>
      </w:r>
    </w:p>
    <w:p w14:paraId="7B5ADB62" w14:textId="3B055BDB" w:rsidR="006B5E5E" w:rsidRPr="004841EF" w:rsidRDefault="008E2AEA" w:rsidP="00D63FD0">
      <w:pPr>
        <w:rPr>
          <w:bCs/>
        </w:rPr>
      </w:pPr>
      <w:r w:rsidRPr="004841EF">
        <w:rPr>
          <w:bCs/>
        </w:rPr>
        <w:t xml:space="preserve">Government of Ireland (2015) </w:t>
      </w:r>
      <w:r w:rsidRPr="004841EF">
        <w:rPr>
          <w:b/>
          <w:bCs/>
        </w:rPr>
        <w:t>Comprehensive Employment Strategy for People with Disabilities 2015-2024</w:t>
      </w:r>
      <w:r w:rsidRPr="004841EF">
        <w:rPr>
          <w:bCs/>
        </w:rPr>
        <w:t>, Dublin: Stationery Office</w:t>
      </w:r>
    </w:p>
    <w:p w14:paraId="57A1AB30" w14:textId="04489D23" w:rsidR="0040253D" w:rsidRPr="004841EF" w:rsidRDefault="0040253D" w:rsidP="00D63FD0">
      <w:pPr>
        <w:rPr>
          <w:bCs/>
        </w:rPr>
      </w:pPr>
      <w:r w:rsidRPr="004841EF">
        <w:rPr>
          <w:bCs/>
        </w:rPr>
        <w:t xml:space="preserve">Government of Ireland (2019) </w:t>
      </w:r>
      <w:r w:rsidRPr="004841EF">
        <w:rPr>
          <w:b/>
          <w:bCs/>
        </w:rPr>
        <w:t>Comprehensive Employment Strategy:</w:t>
      </w:r>
      <w:r w:rsidR="004B71B4" w:rsidRPr="004841EF">
        <w:rPr>
          <w:b/>
          <w:bCs/>
        </w:rPr>
        <w:t xml:space="preserve"> Phase T</w:t>
      </w:r>
      <w:r w:rsidRPr="004841EF">
        <w:rPr>
          <w:b/>
          <w:bCs/>
        </w:rPr>
        <w:t>wo Action Plan 2019-2021</w:t>
      </w:r>
      <w:r w:rsidRPr="004841EF">
        <w:rPr>
          <w:bCs/>
        </w:rPr>
        <w:t>, Dublin: Stationery Office, p.32.</w:t>
      </w:r>
    </w:p>
    <w:p w14:paraId="4EBE65B2" w14:textId="1450DC05" w:rsidR="006B5E5E" w:rsidRPr="004841EF" w:rsidRDefault="006B5E5E" w:rsidP="00D63FD0">
      <w:pPr>
        <w:rPr>
          <w:bCs/>
        </w:rPr>
      </w:pPr>
      <w:r w:rsidRPr="004841EF">
        <w:rPr>
          <w:bCs/>
        </w:rPr>
        <w:t xml:space="preserve">Health and Safety Authority (2009) </w:t>
      </w:r>
      <w:r w:rsidRPr="004841EF">
        <w:rPr>
          <w:b/>
          <w:bCs/>
        </w:rPr>
        <w:t xml:space="preserve">Employees with Disabilities: An employer’s guide to implementing inclusive health and safety practices for employees with disabilities, </w:t>
      </w:r>
      <w:r w:rsidRPr="004841EF">
        <w:rPr>
          <w:bCs/>
        </w:rPr>
        <w:t xml:space="preserve">Dublin: </w:t>
      </w:r>
      <w:r w:rsidR="00344F8B" w:rsidRPr="004841EF">
        <w:rPr>
          <w:bCs/>
        </w:rPr>
        <w:t>HAS</w:t>
      </w:r>
    </w:p>
    <w:p w14:paraId="0FD95346" w14:textId="0B873963" w:rsidR="00344F8B" w:rsidRPr="004841EF" w:rsidRDefault="00344F8B" w:rsidP="00D63FD0">
      <w:pPr>
        <w:rPr>
          <w:bCs/>
        </w:rPr>
      </w:pPr>
      <w:r w:rsidRPr="004841EF">
        <w:rPr>
          <w:bCs/>
        </w:rPr>
        <w:t>Health Service Executive, ‘</w:t>
      </w:r>
      <w:r w:rsidRPr="004841EF">
        <w:rPr>
          <w:b/>
          <w:bCs/>
        </w:rPr>
        <w:t xml:space="preserve">HSE announces project partnership with Mental Health First Aid Ireland’ </w:t>
      </w:r>
      <w:r w:rsidRPr="004841EF">
        <w:rPr>
          <w:bCs/>
        </w:rPr>
        <w:t>[press release],</w:t>
      </w:r>
      <w:r w:rsidRPr="004841EF">
        <w:rPr>
          <w:b/>
          <w:bCs/>
        </w:rPr>
        <w:t xml:space="preserve"> </w:t>
      </w:r>
      <w:r w:rsidRPr="004841EF">
        <w:rPr>
          <w:bCs/>
        </w:rPr>
        <w:t>&lt;</w:t>
      </w:r>
      <w:hyperlink r:id="rId18" w:history="1">
        <w:r w:rsidRPr="004841EF">
          <w:rPr>
            <w:rStyle w:val="Hyperlink"/>
            <w:bCs/>
          </w:rPr>
          <w:t>https://www.hse.ie/eng/services/news/media/pressrel/hse-announces-project-patnership-with-mental-health-first-aid-ireland.html</w:t>
        </w:r>
      </w:hyperlink>
      <w:r w:rsidRPr="004841EF">
        <w:rPr>
          <w:bCs/>
        </w:rPr>
        <w:t>&gt; (accessed 6</w:t>
      </w:r>
      <w:r w:rsidRPr="004841EF">
        <w:rPr>
          <w:bCs/>
          <w:vertAlign w:val="superscript"/>
        </w:rPr>
        <w:t>th</w:t>
      </w:r>
      <w:r w:rsidRPr="004841EF">
        <w:rPr>
          <w:bCs/>
        </w:rPr>
        <w:t xml:space="preserve"> November 2019)</w:t>
      </w:r>
    </w:p>
    <w:p w14:paraId="616091CB" w14:textId="1BD9E8B6" w:rsidR="00344F8B" w:rsidRPr="004841EF" w:rsidRDefault="00A0015B" w:rsidP="00D63FD0">
      <w:pPr>
        <w:rPr>
          <w:bCs/>
        </w:rPr>
      </w:pPr>
      <w:r w:rsidRPr="004841EF">
        <w:rPr>
          <w:bCs/>
        </w:rPr>
        <w:t xml:space="preserve">Health Service Executive - Employers Agency (2006) </w:t>
      </w:r>
      <w:r w:rsidRPr="004841EF">
        <w:rPr>
          <w:b/>
          <w:bCs/>
        </w:rPr>
        <w:t>Guidelines on the Equal Opportunities Aspects of</w:t>
      </w:r>
      <w:r w:rsidRPr="004841EF">
        <w:rPr>
          <w:bCs/>
        </w:rPr>
        <w:t xml:space="preserve"> </w:t>
      </w:r>
      <w:r w:rsidRPr="004841EF">
        <w:rPr>
          <w:b/>
          <w:bCs/>
        </w:rPr>
        <w:t xml:space="preserve">Employing People with Disabilities in the Health Service, </w:t>
      </w:r>
      <w:r w:rsidRPr="004841EF">
        <w:rPr>
          <w:bCs/>
        </w:rPr>
        <w:t>Dublin: HSE</w:t>
      </w:r>
    </w:p>
    <w:p w14:paraId="4F7EF54A" w14:textId="40A8B431" w:rsidR="00825EFC" w:rsidRPr="004841EF" w:rsidRDefault="00825EFC" w:rsidP="00D63FD0">
      <w:pPr>
        <w:rPr>
          <w:bCs/>
        </w:rPr>
      </w:pPr>
      <w:r w:rsidRPr="004841EF">
        <w:rPr>
          <w:bCs/>
        </w:rPr>
        <w:t xml:space="preserve">Holland, A., Harbridge, R., Olsen, J.E., &amp; Raymond, M. (2017) </w:t>
      </w:r>
      <w:r w:rsidRPr="004841EF">
        <w:rPr>
          <w:b/>
          <w:bCs/>
        </w:rPr>
        <w:t>Research Insights: Improving access and inclusion in employment for people with disabilities,</w:t>
      </w:r>
      <w:r w:rsidRPr="004841EF">
        <w:rPr>
          <w:bCs/>
        </w:rPr>
        <w:t xml:space="preserve"> Melbourne: University of Melbourne</w:t>
      </w:r>
    </w:p>
    <w:p w14:paraId="231592B8" w14:textId="4BE6F6D5" w:rsidR="00CB2601" w:rsidRPr="004841EF" w:rsidRDefault="00CB2601" w:rsidP="00D63FD0">
      <w:r w:rsidRPr="004841EF">
        <w:rPr>
          <w:b/>
          <w:bCs/>
        </w:rPr>
        <w:t>Industrial Relations Act 1946</w:t>
      </w:r>
    </w:p>
    <w:p w14:paraId="632AD112" w14:textId="441386E7" w:rsidR="00A0015B" w:rsidRPr="004841EF" w:rsidRDefault="00A0015B" w:rsidP="00D63FD0">
      <w:pPr>
        <w:rPr>
          <w:bCs/>
        </w:rPr>
      </w:pPr>
      <w:r w:rsidRPr="004841EF">
        <w:rPr>
          <w:bCs/>
        </w:rPr>
        <w:t xml:space="preserve">International Labour Organisation (2016) </w:t>
      </w:r>
      <w:r w:rsidRPr="004841EF">
        <w:rPr>
          <w:b/>
          <w:bCs/>
        </w:rPr>
        <w:t>Promoting Diversity and Inclusion Through Workplace Adjustments: A Practical Guide</w:t>
      </w:r>
      <w:r w:rsidRPr="004841EF">
        <w:rPr>
          <w:bCs/>
        </w:rPr>
        <w:t>, Geneva: ILO</w:t>
      </w:r>
    </w:p>
    <w:p w14:paraId="5C72E89B" w14:textId="6F9C8548" w:rsidR="00054BA7" w:rsidRPr="004841EF" w:rsidRDefault="00D63FD0" w:rsidP="00D63FD0">
      <w:r w:rsidRPr="004841EF">
        <w:rPr>
          <w:bCs/>
        </w:rPr>
        <w:t>Irish Business</w:t>
      </w:r>
      <w:r w:rsidRPr="004841EF">
        <w:t> and </w:t>
      </w:r>
      <w:r w:rsidRPr="004841EF">
        <w:rPr>
          <w:bCs/>
        </w:rPr>
        <w:t>Employers Confederation</w:t>
      </w:r>
      <w:r w:rsidRPr="004841EF">
        <w:t xml:space="preserve"> (2012) </w:t>
      </w:r>
      <w:r w:rsidRPr="004841EF">
        <w:rPr>
          <w:b/>
        </w:rPr>
        <w:t>Mental health and wellbeing: A Line Manager’s Guide</w:t>
      </w:r>
      <w:r w:rsidRPr="004841EF">
        <w:t>, Dublin: Ibec</w:t>
      </w:r>
    </w:p>
    <w:p w14:paraId="62B21909" w14:textId="2A14D665" w:rsidR="00C5581B" w:rsidRPr="004841EF" w:rsidRDefault="00C5581B" w:rsidP="00C5581B">
      <w:pPr>
        <w:tabs>
          <w:tab w:val="left" w:pos="7185"/>
        </w:tabs>
        <w:rPr>
          <w:b/>
        </w:rPr>
      </w:pPr>
      <w:r w:rsidRPr="004841EF">
        <w:rPr>
          <w:b/>
        </w:rPr>
        <w:t>Irish Human Rights and Equality Commission Act 2014</w:t>
      </w:r>
      <w:r w:rsidRPr="004841EF">
        <w:rPr>
          <w:b/>
        </w:rPr>
        <w:tab/>
      </w:r>
    </w:p>
    <w:p w14:paraId="50D2B29B" w14:textId="54733181" w:rsidR="00054BA7" w:rsidRPr="004841EF" w:rsidRDefault="00054BA7" w:rsidP="00D63FD0">
      <w:r w:rsidRPr="004841EF">
        <w:t xml:space="preserve">Irish Human Rights and Equality Commission (2019) </w:t>
      </w:r>
      <w:r w:rsidRPr="004841EF">
        <w:rPr>
          <w:b/>
        </w:rPr>
        <w:t>Annual Report 2018</w:t>
      </w:r>
      <w:r w:rsidRPr="004841EF">
        <w:t>, Dublin: IHREC</w:t>
      </w:r>
    </w:p>
    <w:p w14:paraId="1DCF3804" w14:textId="7A2FE4A4" w:rsidR="00054BA7" w:rsidRPr="004841EF" w:rsidRDefault="00054BA7" w:rsidP="00D63FD0">
      <w:r w:rsidRPr="004841EF">
        <w:t xml:space="preserve">Irish Human Rights and Equality Commission (2018) </w:t>
      </w:r>
      <w:r w:rsidRPr="004841EF">
        <w:rPr>
          <w:b/>
        </w:rPr>
        <w:t>Annual Report 2017</w:t>
      </w:r>
      <w:r w:rsidRPr="004841EF">
        <w:t>, Dublin: IHREC</w:t>
      </w:r>
    </w:p>
    <w:p w14:paraId="1A635DF8" w14:textId="04063002" w:rsidR="00344F8B" w:rsidRPr="004841EF" w:rsidRDefault="00344F8B" w:rsidP="00D63FD0">
      <w:r w:rsidRPr="004841EF">
        <w:t xml:space="preserve">Irish Human Rights and Equality Commission, </w:t>
      </w:r>
      <w:r w:rsidRPr="004841EF">
        <w:rPr>
          <w:b/>
        </w:rPr>
        <w:t>‘Discrimination Against People with Disabilities in Employment a Persistent and Pernicious Roadblock to Worker’s Dignity and Inclusion’</w:t>
      </w:r>
      <w:r w:rsidRPr="004841EF">
        <w:t xml:space="preserve"> [press release], &lt;</w:t>
      </w:r>
      <w:hyperlink r:id="rId19" w:history="1">
        <w:r w:rsidRPr="004841EF">
          <w:rPr>
            <w:rStyle w:val="Hyperlink"/>
          </w:rPr>
          <w:t>https://www.ihrec.ie/discrimination-against-people-with-disabilities-in-employment-a-persistent-and-pernicious-roadblock-to-workers-dignity-and-inclusion/</w:t>
        </w:r>
      </w:hyperlink>
      <w:r w:rsidRPr="004841EF">
        <w:t>&gt; (accessed 6</w:t>
      </w:r>
      <w:r w:rsidRPr="004841EF">
        <w:rPr>
          <w:vertAlign w:val="superscript"/>
        </w:rPr>
        <w:t>th</w:t>
      </w:r>
      <w:r w:rsidRPr="004841EF">
        <w:t xml:space="preserve"> November 2019)</w:t>
      </w:r>
    </w:p>
    <w:p w14:paraId="15A1BCA2" w14:textId="1BCEB883" w:rsidR="0061315D" w:rsidRPr="004841EF" w:rsidRDefault="0061315D" w:rsidP="00D63FD0">
      <w:r w:rsidRPr="004841EF">
        <w:t xml:space="preserve">Irish Human Rights and Equality Commission, </w:t>
      </w:r>
      <w:r w:rsidRPr="004841EF">
        <w:rPr>
          <w:b/>
        </w:rPr>
        <w:t>Submissions on Behalf of the Amicus Curiae, The Irish Human Rights and Equality Commission, Nano Nagle School v Marie Daly</w:t>
      </w:r>
      <w:r w:rsidRPr="004841EF">
        <w:t>, &lt;</w:t>
      </w:r>
      <w:hyperlink r:id="rId20" w:history="1">
        <w:r w:rsidRPr="004841EF">
          <w:rPr>
            <w:rStyle w:val="Hyperlink"/>
          </w:rPr>
          <w:t>https://www.ihrec.ie/rights-of-persons-with-disabilities-to-reasonable-workplace-accommodation-at-question-in-supreme-court-case-2/</w:t>
        </w:r>
      </w:hyperlink>
      <w:r w:rsidRPr="004841EF">
        <w:t>&gt; (accessed 5</w:t>
      </w:r>
      <w:r w:rsidRPr="004841EF">
        <w:rPr>
          <w:vertAlign w:val="superscript"/>
        </w:rPr>
        <w:t>th</w:t>
      </w:r>
      <w:r w:rsidRPr="004841EF">
        <w:t xml:space="preserve"> November</w:t>
      </w:r>
      <w:r w:rsidR="006B5E5E" w:rsidRPr="004841EF">
        <w:t xml:space="preserve"> 2019</w:t>
      </w:r>
      <w:r w:rsidRPr="004841EF">
        <w:t>)</w:t>
      </w:r>
    </w:p>
    <w:p w14:paraId="6489354E" w14:textId="3040CBE3" w:rsidR="00344F8B" w:rsidRPr="004841EF" w:rsidRDefault="00344F8B" w:rsidP="00D63FD0">
      <w:r w:rsidRPr="004841EF">
        <w:t xml:space="preserve">Irish Human Rights and Equality Commission, </w:t>
      </w:r>
      <w:r w:rsidRPr="004841EF">
        <w:rPr>
          <w:b/>
        </w:rPr>
        <w:t xml:space="preserve">‘Supreme Court Significantly Clarifies Rights of Persons with Disabilities to Reasonable Workplace Accommodation’ </w:t>
      </w:r>
      <w:r w:rsidRPr="004841EF">
        <w:t>[press release], &lt;</w:t>
      </w:r>
      <w:hyperlink r:id="rId21" w:history="1">
        <w:r w:rsidRPr="004841EF">
          <w:rPr>
            <w:rStyle w:val="Hyperlink"/>
          </w:rPr>
          <w:t>https://www.ihrec.ie/supreme-court-significantly-clarifies-rights-of-persons-with-disabilities-to-reasonable-workplace-accommodation/</w:t>
        </w:r>
      </w:hyperlink>
      <w:r w:rsidRPr="004841EF">
        <w:t>&gt; (accessed 6</w:t>
      </w:r>
      <w:r w:rsidRPr="004841EF">
        <w:rPr>
          <w:vertAlign w:val="superscript"/>
        </w:rPr>
        <w:t>th</w:t>
      </w:r>
      <w:r w:rsidRPr="004841EF">
        <w:t xml:space="preserve"> November 2019)</w:t>
      </w:r>
    </w:p>
    <w:p w14:paraId="1F08FE06" w14:textId="00AFC2E8" w:rsidR="006B5E5E" w:rsidRPr="004841EF" w:rsidRDefault="006B5E5E" w:rsidP="00D63FD0">
      <w:r w:rsidRPr="004841EF">
        <w:t xml:space="preserve">Irish Human Rights and Equality Commission </w:t>
      </w:r>
      <w:r w:rsidRPr="004841EF">
        <w:rPr>
          <w:b/>
        </w:rPr>
        <w:t>“Your Employment Equality Rights Explained Guide to the Employment Equality Acts 1998-2011”</w:t>
      </w:r>
      <w:r w:rsidRPr="004841EF">
        <w:t>, &lt;</w:t>
      </w:r>
      <w:hyperlink r:id="rId22" w:history="1">
        <w:r w:rsidRPr="004841EF">
          <w:rPr>
            <w:rStyle w:val="Hyperlink"/>
          </w:rPr>
          <w:t>https://www.ihrec.ie/download/pdf/ihrec_employment_equality_rights_explained.pdf</w:t>
        </w:r>
      </w:hyperlink>
      <w:r w:rsidRPr="004841EF">
        <w:t xml:space="preserve"> &gt; (accessed 5</w:t>
      </w:r>
      <w:r w:rsidRPr="004841EF">
        <w:rPr>
          <w:vertAlign w:val="superscript"/>
        </w:rPr>
        <w:t>th</w:t>
      </w:r>
      <w:r w:rsidRPr="004841EF">
        <w:t xml:space="preserve"> November 2019)</w:t>
      </w:r>
    </w:p>
    <w:p w14:paraId="71D4F92C" w14:textId="5C32E683" w:rsidR="00D66093" w:rsidRPr="004841EF" w:rsidRDefault="00D66093" w:rsidP="00D63FD0">
      <w:pPr>
        <w:rPr>
          <w:b/>
        </w:rPr>
      </w:pPr>
      <w:r w:rsidRPr="004841EF">
        <w:rPr>
          <w:b/>
        </w:rPr>
        <w:t>Irish Sign Language Act 2017</w:t>
      </w:r>
    </w:p>
    <w:p w14:paraId="754E4E24" w14:textId="4AD80634" w:rsidR="000A7234" w:rsidRPr="004841EF" w:rsidRDefault="000A7234" w:rsidP="00D63FD0">
      <w:r w:rsidRPr="004841EF">
        <w:t>Job Accommodation Network, ‘</w:t>
      </w:r>
      <w:r w:rsidRPr="004841EF">
        <w:rPr>
          <w:b/>
        </w:rPr>
        <w:t>Five Practical Tips for Providing and Maintaining Effective Job Accommodations</w:t>
      </w:r>
      <w:r w:rsidRPr="004841EF">
        <w:t>’, &lt;</w:t>
      </w:r>
      <w:hyperlink r:id="rId23" w:history="1">
        <w:r w:rsidRPr="004841EF">
          <w:rPr>
            <w:rStyle w:val="Hyperlink"/>
          </w:rPr>
          <w:t>https://askjan.org/publications/index.cfm</w:t>
        </w:r>
      </w:hyperlink>
      <w:r w:rsidRPr="004841EF">
        <w:t>&gt; (accessed 5</w:t>
      </w:r>
      <w:r w:rsidRPr="004841EF">
        <w:rPr>
          <w:vertAlign w:val="superscript"/>
        </w:rPr>
        <w:t>th</w:t>
      </w:r>
      <w:r w:rsidRPr="004841EF">
        <w:t xml:space="preserve"> November 2019)</w:t>
      </w:r>
    </w:p>
    <w:p w14:paraId="621B2FBF" w14:textId="07330873" w:rsidR="00953202" w:rsidRPr="004841EF" w:rsidRDefault="00A0015B" w:rsidP="00D63FD0">
      <w:r w:rsidRPr="004841EF">
        <w:t xml:space="preserve">Job Accommodation Network, </w:t>
      </w:r>
      <w:r w:rsidRPr="004841EF">
        <w:rPr>
          <w:b/>
        </w:rPr>
        <w:t>‘Monitoring Reasonable Accommodations’</w:t>
      </w:r>
      <w:r w:rsidRPr="004841EF">
        <w:t>, &lt;</w:t>
      </w:r>
      <w:hyperlink r:id="rId24" w:history="1">
        <w:r w:rsidRPr="004841EF">
          <w:rPr>
            <w:rStyle w:val="Hyperlink"/>
          </w:rPr>
          <w:t>https://askjan.org/publications/index.cfm</w:t>
        </w:r>
      </w:hyperlink>
      <w:r w:rsidRPr="004841EF">
        <w:t>&gt; (accessed 5</w:t>
      </w:r>
      <w:r w:rsidRPr="004841EF">
        <w:rPr>
          <w:vertAlign w:val="superscript"/>
        </w:rPr>
        <w:t>th</w:t>
      </w:r>
      <w:r w:rsidRPr="004841EF">
        <w:t xml:space="preserve"> November 2019)</w:t>
      </w:r>
    </w:p>
    <w:p w14:paraId="4BD7EA5C" w14:textId="5D401A0A" w:rsidR="00953202" w:rsidRPr="004841EF" w:rsidRDefault="00953202" w:rsidP="00D63FD0">
      <w:r w:rsidRPr="004841EF">
        <w:t xml:space="preserve">Long, A. (2014) ‘Reasonable Accommodation as Professional Responsibility, Reasonable Accommodation as Professionalism’, </w:t>
      </w:r>
      <w:r w:rsidRPr="004841EF">
        <w:rPr>
          <w:b/>
        </w:rPr>
        <w:t xml:space="preserve">UC Davis Law Review, </w:t>
      </w:r>
      <w:r w:rsidRPr="004841EF">
        <w:t>47, 1753-1805.</w:t>
      </w:r>
    </w:p>
    <w:p w14:paraId="334BC23B" w14:textId="55DAC161" w:rsidR="00A617BC" w:rsidRPr="004841EF" w:rsidRDefault="00A617BC" w:rsidP="00D63FD0">
      <w:pPr>
        <w:rPr>
          <w:bCs/>
          <w:iCs/>
        </w:rPr>
      </w:pPr>
      <w:r w:rsidRPr="004841EF">
        <w:rPr>
          <w:bCs/>
        </w:rPr>
        <w:t>MacDonald-Wilson, K., Fabian, E. &amp; Dong, S.</w:t>
      </w:r>
      <w:r w:rsidRPr="004841EF">
        <w:rPr>
          <w:b/>
          <w:bCs/>
        </w:rPr>
        <w:t xml:space="preserve"> </w:t>
      </w:r>
      <w:r w:rsidRPr="004841EF">
        <w:rPr>
          <w:bCs/>
        </w:rPr>
        <w:t xml:space="preserve">(2008) ‘Best Practices in Developing Reasonable Accommodations in the Workplace: Findings Based on the Research Literature’, </w:t>
      </w:r>
      <w:r w:rsidRPr="004841EF">
        <w:rPr>
          <w:b/>
          <w:bCs/>
        </w:rPr>
        <w:t>T</w:t>
      </w:r>
      <w:r w:rsidRPr="004841EF">
        <w:rPr>
          <w:b/>
          <w:bCs/>
          <w:iCs/>
        </w:rPr>
        <w:t>he Rehabilitation Professional</w:t>
      </w:r>
      <w:r w:rsidRPr="004841EF">
        <w:rPr>
          <w:bCs/>
          <w:iCs/>
        </w:rPr>
        <w:t>,</w:t>
      </w:r>
      <w:r w:rsidRPr="004841EF">
        <w:rPr>
          <w:b/>
          <w:bCs/>
          <w:iCs/>
        </w:rPr>
        <w:t xml:space="preserve"> </w:t>
      </w:r>
      <w:r w:rsidRPr="004841EF">
        <w:rPr>
          <w:bCs/>
          <w:iCs/>
        </w:rPr>
        <w:t>16(4), 221-232</w:t>
      </w:r>
    </w:p>
    <w:p w14:paraId="3FA99D65" w14:textId="790ACA9D" w:rsidR="00953202" w:rsidRPr="004841EF" w:rsidRDefault="00953202" w:rsidP="00D63FD0">
      <w:pPr>
        <w:rPr>
          <w:bCs/>
          <w:iCs/>
        </w:rPr>
      </w:pPr>
      <w:r w:rsidRPr="004841EF">
        <w:rPr>
          <w:bCs/>
          <w:iCs/>
        </w:rPr>
        <w:t xml:space="preserve">McGrotty C. (2018) ‘The WAM Programme - Key Facts &amp; Figures from AHEAD’, </w:t>
      </w:r>
      <w:r w:rsidRPr="004841EF">
        <w:rPr>
          <w:b/>
          <w:bCs/>
          <w:iCs/>
        </w:rPr>
        <w:t>AHEAD Journal</w:t>
      </w:r>
      <w:r w:rsidRPr="004841EF">
        <w:rPr>
          <w:bCs/>
          <w:iCs/>
        </w:rPr>
        <w:t>, 7</w:t>
      </w:r>
    </w:p>
    <w:p w14:paraId="2E0BE4D1" w14:textId="52ED2B88" w:rsidR="006B5E5E" w:rsidRPr="004841EF" w:rsidRDefault="006B5E5E" w:rsidP="00D63FD0">
      <w:pPr>
        <w:rPr>
          <w:bCs/>
          <w:iCs/>
        </w:rPr>
      </w:pPr>
      <w:r w:rsidRPr="004841EF">
        <w:rPr>
          <w:bCs/>
          <w:iCs/>
        </w:rPr>
        <w:t xml:space="preserve">Multiple Sclerosis Ireland (2016) </w:t>
      </w:r>
      <w:r w:rsidRPr="004841EF">
        <w:rPr>
          <w:b/>
          <w:bCs/>
          <w:iCs/>
        </w:rPr>
        <w:t>Working with MS: Employment Resource for People with Multiple Sclerosis</w:t>
      </w:r>
      <w:r w:rsidRPr="004841EF">
        <w:rPr>
          <w:bCs/>
          <w:iCs/>
        </w:rPr>
        <w:t>, Dublin: MS Ireland</w:t>
      </w:r>
    </w:p>
    <w:p w14:paraId="6FABF24B" w14:textId="15F57789" w:rsidR="00C5581B" w:rsidRPr="004841EF" w:rsidRDefault="00C5581B" w:rsidP="00C5581B">
      <w:pPr>
        <w:tabs>
          <w:tab w:val="left" w:pos="7185"/>
        </w:tabs>
        <w:rPr>
          <w:b/>
        </w:rPr>
      </w:pPr>
      <w:r w:rsidRPr="004841EF">
        <w:rPr>
          <w:b/>
        </w:rPr>
        <w:t>National Disability Authority </w:t>
      </w:r>
      <w:r w:rsidRPr="004841EF">
        <w:rPr>
          <w:b/>
          <w:bCs/>
        </w:rPr>
        <w:t>Act</w:t>
      </w:r>
      <w:r w:rsidRPr="004841EF">
        <w:rPr>
          <w:b/>
        </w:rPr>
        <w:t xml:space="preserve"> 1999</w:t>
      </w:r>
    </w:p>
    <w:p w14:paraId="69B7E91C" w14:textId="579D80D3" w:rsidR="00A6785B" w:rsidRPr="004841EF" w:rsidRDefault="00A6785B" w:rsidP="00D63FD0">
      <w:r w:rsidRPr="004841EF">
        <w:t xml:space="preserve">National Disability Authority (2018) </w:t>
      </w:r>
      <w:r w:rsidRPr="004841EF">
        <w:rPr>
          <w:b/>
        </w:rPr>
        <w:t>Assisting People with Autism in Employment – Guidance for Line Managers and HR Professionals</w:t>
      </w:r>
      <w:r w:rsidRPr="004841EF">
        <w:t>, Dublin: NDA</w:t>
      </w:r>
    </w:p>
    <w:p w14:paraId="50641065" w14:textId="4857F450" w:rsidR="00964859" w:rsidRPr="004841EF" w:rsidRDefault="00964859" w:rsidP="00D63FD0">
      <w:r w:rsidRPr="004841EF">
        <w:t xml:space="preserve">National Disability Authority (2005) </w:t>
      </w:r>
      <w:r w:rsidRPr="004841EF">
        <w:rPr>
          <w:b/>
        </w:rPr>
        <w:t>Disability and Work: The picture we learn from official statistics</w:t>
      </w:r>
      <w:r w:rsidRPr="004841EF">
        <w:t>, Dublin: NDA</w:t>
      </w:r>
    </w:p>
    <w:p w14:paraId="69040A1E" w14:textId="01C08547" w:rsidR="002707A9" w:rsidRPr="004841EF" w:rsidRDefault="00BF6B20" w:rsidP="00D63FD0">
      <w:r w:rsidRPr="004841EF">
        <w:t xml:space="preserve">National Disability Authority (2009) </w:t>
      </w:r>
      <w:r w:rsidRPr="004841EF">
        <w:rPr>
          <w:b/>
        </w:rPr>
        <w:t>Disclosing Disability in the Workplace a Review of Literature and Practice in the Irish Public Sector</w:t>
      </w:r>
      <w:r w:rsidRPr="004841EF">
        <w:t>, Dublin: NDA</w:t>
      </w:r>
    </w:p>
    <w:p w14:paraId="62225718" w14:textId="5B07B5FC" w:rsidR="0061315D" w:rsidRPr="004841EF" w:rsidRDefault="0061315D" w:rsidP="00D63FD0">
      <w:r w:rsidRPr="004841EF">
        <w:t xml:space="preserve">National Disability Authority (2017) </w:t>
      </w:r>
      <w:r w:rsidRPr="004841EF">
        <w:rPr>
          <w:b/>
        </w:rPr>
        <w:t>National Survey of Public Attitudes to Disability in Ireland 2017</w:t>
      </w:r>
      <w:r w:rsidRPr="004841EF">
        <w:t>, Dublin: NDA</w:t>
      </w:r>
    </w:p>
    <w:p w14:paraId="51DD771D" w14:textId="39A02D1A" w:rsidR="002707A9" w:rsidRPr="004841EF" w:rsidRDefault="002707A9" w:rsidP="00D63FD0">
      <w:r w:rsidRPr="004841EF">
        <w:t xml:space="preserve">National Disability Authority (2019) </w:t>
      </w:r>
      <w:r w:rsidRPr="004841EF">
        <w:rPr>
          <w:b/>
        </w:rPr>
        <w:t>NDA Factsheet 2: Employment</w:t>
      </w:r>
      <w:r w:rsidRPr="004841EF">
        <w:t>, &lt;</w:t>
      </w:r>
      <w:hyperlink r:id="rId25" w:history="1">
        <w:r w:rsidRPr="004841EF">
          <w:rPr>
            <w:rStyle w:val="Hyperlink"/>
          </w:rPr>
          <w:t>http://nda.ie/Resources/Factsheets/NDA-Factsheet-2-Employment/NDA-Factsheet-2-Employment.html</w:t>
        </w:r>
      </w:hyperlink>
      <w:r w:rsidRPr="004841EF">
        <w:t>&gt; (accessed 5</w:t>
      </w:r>
      <w:r w:rsidRPr="004841EF">
        <w:rPr>
          <w:vertAlign w:val="superscript"/>
        </w:rPr>
        <w:t>th</w:t>
      </w:r>
      <w:r w:rsidRPr="004841EF">
        <w:t xml:space="preserve"> November 2019)</w:t>
      </w:r>
    </w:p>
    <w:p w14:paraId="5AC0C6DF" w14:textId="3E79AEEF" w:rsidR="00A6785B" w:rsidRPr="004841EF" w:rsidRDefault="00A6785B" w:rsidP="00D63FD0">
      <w:r w:rsidRPr="004841EF">
        <w:t xml:space="preserve">National Disability Authority (2015) </w:t>
      </w:r>
      <w:r w:rsidRPr="004841EF">
        <w:rPr>
          <w:b/>
        </w:rPr>
        <w:t xml:space="preserve">Reasonable Accommodations for people with Autism Spectrum Disorder, </w:t>
      </w:r>
      <w:r w:rsidRPr="004841EF">
        <w:t xml:space="preserve">Dublin: NDA </w:t>
      </w:r>
    </w:p>
    <w:p w14:paraId="5D38EBFA" w14:textId="215EEDC3" w:rsidR="00845B43" w:rsidRPr="004841EF" w:rsidRDefault="00845B43" w:rsidP="00D63FD0">
      <w:r w:rsidRPr="004841EF">
        <w:t xml:space="preserve">National Disability Authority (2018) </w:t>
      </w:r>
      <w:r w:rsidRPr="004841EF">
        <w:rPr>
          <w:b/>
        </w:rPr>
        <w:t>Report on Compliance with Part 5 of the Disability Act 2005 for 2017</w:t>
      </w:r>
      <w:r w:rsidRPr="004841EF">
        <w:t>, Dublin: NDA</w:t>
      </w:r>
    </w:p>
    <w:p w14:paraId="3EB5778B" w14:textId="5F322D81" w:rsidR="00D63FD0" w:rsidRPr="004841EF" w:rsidRDefault="00D63FD0" w:rsidP="00D63FD0">
      <w:r w:rsidRPr="004841EF">
        <w:t xml:space="preserve">National Disability Authority (2015) </w:t>
      </w:r>
      <w:r w:rsidRPr="004841EF">
        <w:rPr>
          <w:b/>
        </w:rPr>
        <w:t>Retaining employees who acquire a disability: A guide for employers</w:t>
      </w:r>
      <w:r w:rsidRPr="004841EF">
        <w:t>, Dublin: NDA</w:t>
      </w:r>
    </w:p>
    <w:p w14:paraId="230899D6" w14:textId="4A04A9F4" w:rsidR="002707A9" w:rsidRPr="004841EF" w:rsidRDefault="002707A9" w:rsidP="00D63FD0">
      <w:r w:rsidRPr="004841EF">
        <w:t xml:space="preserve">O'Neill, A. &amp; Urquhart, C. (2011) ‘Accommodating Employees with Disabilities: Perceptions of Irish Academic Library Managers’, </w:t>
      </w:r>
      <w:r w:rsidRPr="004841EF">
        <w:rPr>
          <w:b/>
        </w:rPr>
        <w:t>New Review of Academic Librarianship</w:t>
      </w:r>
      <w:r w:rsidRPr="004841EF">
        <w:t>, 17(2), 234-258.</w:t>
      </w:r>
    </w:p>
    <w:p w14:paraId="7C2EC21C" w14:textId="42128512" w:rsidR="00567B24" w:rsidRPr="004841EF" w:rsidRDefault="00567B24" w:rsidP="00D63FD0">
      <w:r w:rsidRPr="004841EF">
        <w:t xml:space="preserve">Organisation for Economic Cooperation and Development (2010) </w:t>
      </w:r>
      <w:r w:rsidRPr="004841EF">
        <w:rPr>
          <w:b/>
        </w:rPr>
        <w:t xml:space="preserve">Sickness, disability and work: breaking the barriers. A synthesis of findings across OECD countries, </w:t>
      </w:r>
      <w:r w:rsidRPr="004841EF">
        <w:t>Paris:</w:t>
      </w:r>
      <w:r w:rsidRPr="004841EF">
        <w:rPr>
          <w:b/>
        </w:rPr>
        <w:t xml:space="preserve"> </w:t>
      </w:r>
      <w:r w:rsidRPr="004841EF">
        <w:t>OECD</w:t>
      </w:r>
    </w:p>
    <w:p w14:paraId="5B87EE63" w14:textId="6C673583" w:rsidR="00224B19" w:rsidRPr="004841EF" w:rsidRDefault="00224B19" w:rsidP="00D63FD0">
      <w:r w:rsidRPr="004841EF">
        <w:t xml:space="preserve">Parliamentary Assembly of the Council of Europe (2018) </w:t>
      </w:r>
      <w:r w:rsidRPr="004841EF">
        <w:rPr>
          <w:b/>
        </w:rPr>
        <w:t>Discrimination in access to employment</w:t>
      </w:r>
      <w:r w:rsidRPr="004841EF">
        <w:t>, Strasbourg: PACE</w:t>
      </w:r>
    </w:p>
    <w:p w14:paraId="4E7CDFA5" w14:textId="7A8E174D" w:rsidR="00A40916" w:rsidRPr="004841EF" w:rsidRDefault="00A40916" w:rsidP="00D63FD0">
      <w:r w:rsidRPr="004841EF">
        <w:t xml:space="preserve">Parliamentary Assembly Committee on Equality and Non-Discrimination (2018) </w:t>
      </w:r>
      <w:r w:rsidRPr="004841EF">
        <w:rPr>
          <w:b/>
          <w:bCs/>
        </w:rPr>
        <w:t xml:space="preserve">For a disability-inclusive workforce, </w:t>
      </w:r>
      <w:r w:rsidRPr="004841EF">
        <w:rPr>
          <w:bCs/>
        </w:rPr>
        <w:t>Strasbourg: Council of Europe</w:t>
      </w:r>
    </w:p>
    <w:p w14:paraId="7D35C564" w14:textId="2D66F66F" w:rsidR="006B5E5E" w:rsidRPr="004841EF" w:rsidRDefault="006B5E5E" w:rsidP="00D63FD0">
      <w:r w:rsidRPr="004841EF">
        <w:t xml:space="preserve">Purdy, A. (2015) </w:t>
      </w:r>
      <w:r w:rsidRPr="004841EF">
        <w:rPr>
          <w:b/>
        </w:rPr>
        <w:t>Equality Law in the Workplace</w:t>
      </w:r>
      <w:r w:rsidRPr="004841EF">
        <w:t>, Dublin: Bloomsbury Professional</w:t>
      </w:r>
    </w:p>
    <w:p w14:paraId="6208DE35" w14:textId="321CE146" w:rsidR="0067563E" w:rsidRPr="004841EF" w:rsidRDefault="0067563E" w:rsidP="00D63FD0">
      <w:r w:rsidRPr="004841EF">
        <w:t xml:space="preserve">Quinlivan, S. &amp; Quinn, G. (2003) “Disability Discrimination: The Need to Amend the Employment Equality Act 1998 in Light of the EU Framework Directive on Employment?” in Costello, C. &amp; Barry, E. (eds.) </w:t>
      </w:r>
      <w:r w:rsidRPr="004841EF">
        <w:rPr>
          <w:b/>
        </w:rPr>
        <w:t xml:space="preserve">Equality in Diversity: The New Equality Directives, </w:t>
      </w:r>
      <w:r w:rsidRPr="004841EF">
        <w:t>Dublin: Irish Centre for European Law</w:t>
      </w:r>
    </w:p>
    <w:p w14:paraId="6F7C20AB" w14:textId="10D27C23" w:rsidR="00A6785B" w:rsidRPr="004841EF" w:rsidRDefault="00A6785B" w:rsidP="00D63FD0">
      <w:r w:rsidRPr="004841EF">
        <w:t xml:space="preserve">Raymond, M., Olsen, J., Ainsworth, S., Lotia, N., Harbridge, R. &amp; Holland, A. (2019) </w:t>
      </w:r>
      <w:r w:rsidRPr="004841EF">
        <w:rPr>
          <w:b/>
          <w:bCs/>
        </w:rPr>
        <w:t xml:space="preserve">Improving Access and Inclusion in Employment for People with Disabilities </w:t>
      </w:r>
      <w:r w:rsidRPr="004841EF">
        <w:rPr>
          <w:b/>
        </w:rPr>
        <w:t xml:space="preserve">- Implementation of Workplace Adjustments in ‘Best-Practice’ Organisations, </w:t>
      </w:r>
      <w:r w:rsidRPr="004841EF">
        <w:t>Melbourne: University of Melbourne</w:t>
      </w:r>
    </w:p>
    <w:p w14:paraId="2E1C4DC2" w14:textId="684256E7" w:rsidR="00D63FD0" w:rsidRPr="004841EF" w:rsidRDefault="00D63FD0" w:rsidP="00D63FD0">
      <w:r w:rsidRPr="004841EF">
        <w:t xml:space="preserve">RSM PACEC &amp; National Disability Authority (2018) </w:t>
      </w:r>
      <w:r w:rsidRPr="004841EF">
        <w:rPr>
          <w:b/>
        </w:rPr>
        <w:t>Research on good practice in the employment of people with disabilities in the public sector</w:t>
      </w:r>
      <w:r w:rsidRPr="004841EF">
        <w:t>, Dublin: RSM PACEC &amp; NDA</w:t>
      </w:r>
    </w:p>
    <w:p w14:paraId="540CD081" w14:textId="1B22F096" w:rsidR="00C5581B" w:rsidRPr="004841EF" w:rsidRDefault="00C5581B" w:rsidP="00C5581B">
      <w:pPr>
        <w:tabs>
          <w:tab w:val="left" w:pos="7185"/>
        </w:tabs>
        <w:rPr>
          <w:b/>
        </w:rPr>
      </w:pPr>
      <w:r w:rsidRPr="004841EF">
        <w:rPr>
          <w:b/>
        </w:rPr>
        <w:t>Safety, Health and Welfare at Work Act 2005</w:t>
      </w:r>
    </w:p>
    <w:p w14:paraId="7E74E586" w14:textId="491A50F3" w:rsidR="000874D0" w:rsidRPr="004841EF" w:rsidRDefault="000874D0" w:rsidP="00D63FD0">
      <w:r w:rsidRPr="004841EF">
        <w:t xml:space="preserve">UN Committee on the Rights of Persons with Disabilities (2019) </w:t>
      </w:r>
      <w:r w:rsidRPr="004841EF">
        <w:rPr>
          <w:b/>
        </w:rPr>
        <w:t>Concluding observations on the combined second and third periodic reports of Spain</w:t>
      </w:r>
      <w:r w:rsidRPr="004841EF">
        <w:t>, Geneva: Office of the United Nations High Commissioner for Human Rights</w:t>
      </w:r>
    </w:p>
    <w:p w14:paraId="1BE79670" w14:textId="1B8187B7" w:rsidR="002707A9" w:rsidRPr="004841EF" w:rsidRDefault="000874D0" w:rsidP="00D63FD0">
      <w:r w:rsidRPr="004841EF">
        <w:t xml:space="preserve">UN Committee on the Rights of Persons with Disabilities (2018) </w:t>
      </w:r>
      <w:r w:rsidRPr="004841EF">
        <w:rPr>
          <w:b/>
        </w:rPr>
        <w:t>Concluding observations on the initial report of Bulgaria</w:t>
      </w:r>
      <w:r w:rsidRPr="004841EF">
        <w:t>, Geneva: Office of the United Nations High Commissioner for Human Rights</w:t>
      </w:r>
    </w:p>
    <w:p w14:paraId="534028B5" w14:textId="723F5E50" w:rsidR="002707A9" w:rsidRPr="004841EF" w:rsidRDefault="002707A9" w:rsidP="00D63FD0">
      <w:r w:rsidRPr="004841EF">
        <w:t xml:space="preserve">UN Committee on the Rights of Persons with Disabilities (2017) </w:t>
      </w:r>
      <w:r w:rsidRPr="004841EF">
        <w:rPr>
          <w:b/>
        </w:rPr>
        <w:t>Concluding observations on the initial report of Canada</w:t>
      </w:r>
      <w:r w:rsidRPr="004841EF">
        <w:t>, Geneva: Office of the United Nations High Commissioner for Human Rights</w:t>
      </w:r>
    </w:p>
    <w:p w14:paraId="3B584E38" w14:textId="773DE0D7" w:rsidR="00A617BC" w:rsidRPr="004841EF" w:rsidRDefault="00A617BC" w:rsidP="00D63FD0">
      <w:r w:rsidRPr="004841EF">
        <w:t xml:space="preserve">UN Committee on the Rights of Persons with Disabilities (2017) </w:t>
      </w:r>
      <w:r w:rsidRPr="004841EF">
        <w:rPr>
          <w:b/>
        </w:rPr>
        <w:t>Concluding observations on the initial report of Luxembourg</w:t>
      </w:r>
      <w:r w:rsidRPr="004841EF">
        <w:t>, Geneva: Office of the United Nations High Commissioner for Human Rights</w:t>
      </w:r>
    </w:p>
    <w:p w14:paraId="732B37E6" w14:textId="7929C709" w:rsidR="00AF6923" w:rsidRPr="004841EF" w:rsidRDefault="00AF6923" w:rsidP="00D63FD0">
      <w:r w:rsidRPr="004841EF">
        <w:t xml:space="preserve">UN Committee on the Rights of Persons with Disabilities (2018) </w:t>
      </w:r>
      <w:r w:rsidRPr="004841EF">
        <w:rPr>
          <w:b/>
        </w:rPr>
        <w:t>Concluding observations on the initial report of Malta</w:t>
      </w:r>
      <w:r w:rsidRPr="004841EF">
        <w:t>, Geneva: Office of the United Nations High Commissioner for Human Rights</w:t>
      </w:r>
    </w:p>
    <w:p w14:paraId="48C3B546" w14:textId="0EB248C6" w:rsidR="0061315D" w:rsidRPr="004841EF" w:rsidRDefault="0061315D" w:rsidP="00D63FD0">
      <w:r w:rsidRPr="004841EF">
        <w:t xml:space="preserve">UN Committee on the Rights of Persons with Disabilities (2019) </w:t>
      </w:r>
      <w:r w:rsidRPr="004841EF">
        <w:rPr>
          <w:b/>
        </w:rPr>
        <w:t>Concluding observations on the initial report of Norway</w:t>
      </w:r>
      <w:r w:rsidRPr="004841EF">
        <w:t>, Geneva: Office of the United Nations High Commissioner for Human Rights</w:t>
      </w:r>
    </w:p>
    <w:p w14:paraId="1C2C5C50" w14:textId="71DEADEA" w:rsidR="00964859" w:rsidRPr="004841EF" w:rsidRDefault="00964859" w:rsidP="00D63FD0">
      <w:r w:rsidRPr="004841EF">
        <w:t xml:space="preserve">UN Committee on the Rights of Persons with Disabilities (2018) </w:t>
      </w:r>
      <w:r w:rsidRPr="004841EF">
        <w:rPr>
          <w:b/>
        </w:rPr>
        <w:t>Concluding observations on the initial report of Poland</w:t>
      </w:r>
      <w:r w:rsidRPr="004841EF">
        <w:t>, Geneva: Office of the United Nations High Commissioner for Human Rights</w:t>
      </w:r>
    </w:p>
    <w:p w14:paraId="06C2E68B" w14:textId="2B98FB44" w:rsidR="00825EFC" w:rsidRPr="004841EF" w:rsidRDefault="00825EFC" w:rsidP="00D63FD0">
      <w:r w:rsidRPr="004841EF">
        <w:t xml:space="preserve">UN Committee on the Rights of Persons with Disabilities (2016) </w:t>
      </w:r>
      <w:r w:rsidRPr="004841EF">
        <w:rPr>
          <w:b/>
        </w:rPr>
        <w:t>Concluding observations on the initial report of Slovakia</w:t>
      </w:r>
      <w:r w:rsidRPr="004841EF">
        <w:t>, Geneva: Office of the United Nations High Commissioner for Human Rights</w:t>
      </w:r>
    </w:p>
    <w:p w14:paraId="12D9D1CB" w14:textId="6CE5F36B" w:rsidR="00964859" w:rsidRPr="004841EF" w:rsidRDefault="00964859" w:rsidP="00D63FD0">
      <w:r w:rsidRPr="004841EF">
        <w:t xml:space="preserve">UN Committee on the Rights of Persons with Disabilities (2018) </w:t>
      </w:r>
      <w:r w:rsidRPr="004841EF">
        <w:rPr>
          <w:b/>
        </w:rPr>
        <w:t>Concluding observations on the initial report of Slovenia</w:t>
      </w:r>
      <w:r w:rsidRPr="004841EF">
        <w:t>, Geneva: Office of the United Nations High Commissioner for Human Rights</w:t>
      </w:r>
    </w:p>
    <w:p w14:paraId="4CB8395F" w14:textId="6BE764E9" w:rsidR="00825EFC" w:rsidRPr="004841EF" w:rsidRDefault="00825EFC" w:rsidP="00D63FD0">
      <w:r w:rsidRPr="004841EF">
        <w:t xml:space="preserve">UN Committee on the Rights of Persons with Disabilities (2015) </w:t>
      </w:r>
      <w:r w:rsidRPr="004841EF">
        <w:rPr>
          <w:b/>
        </w:rPr>
        <w:t>Concluding observations on the initial report of the European Union</w:t>
      </w:r>
      <w:r w:rsidRPr="004841EF">
        <w:t>, Geneva: Office of the United Nations High Commissioner for Human Rights</w:t>
      </w:r>
    </w:p>
    <w:p w14:paraId="27172260" w14:textId="67CB0111" w:rsidR="00825EFC" w:rsidRPr="004841EF" w:rsidRDefault="00825EFC" w:rsidP="00D63FD0">
      <w:r w:rsidRPr="004841EF">
        <w:t xml:space="preserve">UN Committee on the Rights of Persons with Disabilities (2017) </w:t>
      </w:r>
      <w:r w:rsidRPr="004841EF">
        <w:rPr>
          <w:b/>
        </w:rPr>
        <w:t>Concluding observations on the initial report of the United Kingdom of Great Britain and Northern Ireland</w:t>
      </w:r>
      <w:r w:rsidRPr="004841EF">
        <w:t>, Geneva: Office of the United Nations High Commissioner for Human Rights</w:t>
      </w:r>
    </w:p>
    <w:p w14:paraId="38515E45" w14:textId="30439DAD" w:rsidR="00825EFC" w:rsidRPr="004841EF" w:rsidRDefault="00825EFC" w:rsidP="00D63FD0">
      <w:r w:rsidRPr="004841EF">
        <w:t xml:space="preserve">UN Committee on the Rights of Persons with Disabilities (2018) </w:t>
      </w:r>
      <w:r w:rsidRPr="004841EF">
        <w:rPr>
          <w:b/>
        </w:rPr>
        <w:t>General Comment No.6 on equality and non-discrimination</w:t>
      </w:r>
      <w:r w:rsidRPr="004841EF">
        <w:t>, Geneva: Office of the United Nations High Commissioner for Human Rights</w:t>
      </w:r>
    </w:p>
    <w:p w14:paraId="2D04B65D" w14:textId="0D6E5286" w:rsidR="00CB2601" w:rsidRPr="004841EF" w:rsidRDefault="00CB2601" w:rsidP="00D63FD0">
      <w:pPr>
        <w:rPr>
          <w:b/>
        </w:rPr>
      </w:pPr>
      <w:r w:rsidRPr="004841EF">
        <w:rPr>
          <w:b/>
          <w:lang w:val="en-GB"/>
        </w:rPr>
        <w:t>UN Convention on the Rights of Persons with Disabilities</w:t>
      </w:r>
    </w:p>
    <w:p w14:paraId="47BFA7AF" w14:textId="07073A68" w:rsidR="00BA3AC0" w:rsidRPr="004841EF" w:rsidRDefault="00BA3AC0" w:rsidP="00D63FD0">
      <w:r w:rsidRPr="004841EF">
        <w:t xml:space="preserve">UK Cabinet Office (2017) </w:t>
      </w:r>
      <w:r w:rsidRPr="004841EF">
        <w:rPr>
          <w:b/>
          <w:bCs/>
        </w:rPr>
        <w:t xml:space="preserve">A Brilliant Civil Service: </w:t>
      </w:r>
      <w:r w:rsidRPr="004841EF">
        <w:rPr>
          <w:b/>
        </w:rPr>
        <w:t>becoming the UK’s most inclusive employer, The Civil Service Diversity and Inclusion Strategy,</w:t>
      </w:r>
      <w:r w:rsidRPr="004841EF">
        <w:rPr>
          <w:i/>
        </w:rPr>
        <w:t xml:space="preserve"> </w:t>
      </w:r>
      <w:r w:rsidRPr="004841EF">
        <w:t>London: UK Cabinet Office</w:t>
      </w:r>
    </w:p>
    <w:p w14:paraId="03E17FFE" w14:textId="52C90468" w:rsidR="00A617BC" w:rsidRPr="004841EF" w:rsidRDefault="00A617BC" w:rsidP="00D63FD0">
      <w:pPr>
        <w:rPr>
          <w:b/>
          <w:bCs/>
          <w:lang w:val="en-GB"/>
        </w:rPr>
      </w:pPr>
      <w:r w:rsidRPr="004841EF">
        <w:t xml:space="preserve">UK </w:t>
      </w:r>
      <w:r w:rsidRPr="004841EF">
        <w:rPr>
          <w:bCs/>
        </w:rPr>
        <w:t>Civil Service Human Resources (2018)</w:t>
      </w:r>
      <w:r w:rsidRPr="004841EF">
        <w:rPr>
          <w:b/>
          <w:bCs/>
        </w:rPr>
        <w:t xml:space="preserve"> </w:t>
      </w:r>
      <w:r w:rsidRPr="004841EF">
        <w:rPr>
          <w:b/>
          <w:bCs/>
          <w:lang w:val="en-GB"/>
        </w:rPr>
        <w:t>Workplace Adjustments Line Manager’s Best Practice Guide</w:t>
      </w:r>
    </w:p>
    <w:p w14:paraId="04BAF575" w14:textId="5CEA2410" w:rsidR="00AB3B02" w:rsidRPr="004841EF" w:rsidRDefault="00AB3B02" w:rsidP="00D63FD0">
      <w:pPr>
        <w:rPr>
          <w:b/>
        </w:rPr>
      </w:pPr>
      <w:r w:rsidRPr="004841EF">
        <w:rPr>
          <w:b/>
        </w:rPr>
        <w:t>Unfair Dismissals Acts 1977-2015</w:t>
      </w:r>
    </w:p>
    <w:p w14:paraId="5F996A01" w14:textId="30C6D143" w:rsidR="0037776B" w:rsidRPr="004841EF" w:rsidRDefault="0037776B" w:rsidP="00D63FD0">
      <w:pPr>
        <w:rPr>
          <w:bCs/>
        </w:rPr>
      </w:pPr>
      <w:r w:rsidRPr="004841EF">
        <w:t xml:space="preserve">Webster, B. (2014) </w:t>
      </w:r>
      <w:r w:rsidRPr="004841EF">
        <w:rPr>
          <w:b/>
        </w:rPr>
        <w:t>A </w:t>
      </w:r>
      <w:r w:rsidRPr="004841EF">
        <w:rPr>
          <w:b/>
          <w:bCs/>
        </w:rPr>
        <w:t>Mental Health Policy Document</w:t>
      </w:r>
      <w:r w:rsidRPr="004841EF">
        <w:rPr>
          <w:b/>
        </w:rPr>
        <w:t xml:space="preserve"> for the </w:t>
      </w:r>
      <w:r w:rsidRPr="004841EF">
        <w:rPr>
          <w:b/>
          <w:bCs/>
        </w:rPr>
        <w:t xml:space="preserve">Workplace, </w:t>
      </w:r>
      <w:r w:rsidRPr="004841EF">
        <w:rPr>
          <w:bCs/>
        </w:rPr>
        <w:t>Dublin: See Change</w:t>
      </w:r>
    </w:p>
    <w:p w14:paraId="5656C5F0" w14:textId="443E8F14" w:rsidR="00016BCA" w:rsidRPr="004841EF" w:rsidRDefault="00016BCA" w:rsidP="00D63FD0">
      <w:pPr>
        <w:rPr>
          <w:bCs/>
          <w:lang w:val="en-GB"/>
        </w:rPr>
      </w:pPr>
      <w:r w:rsidRPr="004841EF">
        <w:rPr>
          <w:bCs/>
        </w:rPr>
        <w:t xml:space="preserve">Work Research Centre (2012) </w:t>
      </w:r>
      <w:r w:rsidRPr="004841EF">
        <w:rPr>
          <w:b/>
          <w:bCs/>
          <w:lang w:val="en-GB"/>
        </w:rPr>
        <w:t xml:space="preserve">Research on the provision of Assistive Technology in Ireland and other countries to support independent living across the life cycle, </w:t>
      </w:r>
      <w:r w:rsidRPr="004841EF">
        <w:rPr>
          <w:bCs/>
          <w:lang w:val="en-GB"/>
        </w:rPr>
        <w:t>Dublin: NDA</w:t>
      </w:r>
    </w:p>
    <w:p w14:paraId="2F03DCE4" w14:textId="12BDA0D8" w:rsidR="00C5581B" w:rsidRPr="004841EF" w:rsidRDefault="00C5581B" w:rsidP="00C5581B">
      <w:pPr>
        <w:tabs>
          <w:tab w:val="left" w:pos="7185"/>
        </w:tabs>
        <w:rPr>
          <w:b/>
        </w:rPr>
      </w:pPr>
      <w:r w:rsidRPr="004841EF">
        <w:rPr>
          <w:b/>
        </w:rPr>
        <w:t>Workplace Relations Commission Act 2015</w:t>
      </w:r>
    </w:p>
    <w:p w14:paraId="3BDC6B25" w14:textId="30D26D9B" w:rsidR="00054BA7" w:rsidRPr="004841EF" w:rsidRDefault="00054BA7" w:rsidP="00D63FD0">
      <w:pPr>
        <w:rPr>
          <w:bCs/>
          <w:lang w:val="en-GB"/>
        </w:rPr>
      </w:pPr>
      <w:r w:rsidRPr="004841EF">
        <w:rPr>
          <w:bCs/>
        </w:rPr>
        <w:t xml:space="preserve">Workplace Relations Commission (2019) </w:t>
      </w:r>
      <w:r w:rsidRPr="004841EF">
        <w:rPr>
          <w:b/>
          <w:bCs/>
        </w:rPr>
        <w:t>Annual Report 2018</w:t>
      </w:r>
      <w:r w:rsidRPr="004841EF">
        <w:rPr>
          <w:bCs/>
          <w:i/>
        </w:rPr>
        <w:t xml:space="preserve">, </w:t>
      </w:r>
      <w:r w:rsidRPr="004841EF">
        <w:rPr>
          <w:bCs/>
        </w:rPr>
        <w:t>Dublin: Workplace Relations Commission</w:t>
      </w:r>
    </w:p>
    <w:p w14:paraId="08659E17" w14:textId="5CF9491D" w:rsidR="00054BA7" w:rsidRPr="004841EF" w:rsidRDefault="00054BA7" w:rsidP="00D63FD0">
      <w:pPr>
        <w:rPr>
          <w:bCs/>
        </w:rPr>
      </w:pPr>
      <w:r w:rsidRPr="004841EF">
        <w:rPr>
          <w:bCs/>
        </w:rPr>
        <w:t xml:space="preserve">Workplace Relations Commission (2018) </w:t>
      </w:r>
      <w:r w:rsidRPr="004841EF">
        <w:rPr>
          <w:b/>
          <w:bCs/>
        </w:rPr>
        <w:t>Annual Report 2017</w:t>
      </w:r>
      <w:r w:rsidRPr="004841EF">
        <w:rPr>
          <w:bCs/>
          <w:i/>
        </w:rPr>
        <w:t xml:space="preserve">, </w:t>
      </w:r>
      <w:r w:rsidRPr="004841EF">
        <w:rPr>
          <w:bCs/>
        </w:rPr>
        <w:t>Dublin: Workplace Relations Commission</w:t>
      </w:r>
    </w:p>
    <w:p w14:paraId="1C734A24" w14:textId="48499A00" w:rsidR="00B75AE1" w:rsidRPr="004841EF" w:rsidRDefault="00825EFC" w:rsidP="00CB2601">
      <w:pPr>
        <w:rPr>
          <w:bCs/>
        </w:rPr>
      </w:pPr>
      <w:r w:rsidRPr="004841EF">
        <w:rPr>
          <w:bCs/>
        </w:rPr>
        <w:t xml:space="preserve">World Health Organisation &amp; World Bank (2011) </w:t>
      </w:r>
      <w:r w:rsidRPr="004841EF">
        <w:rPr>
          <w:b/>
          <w:bCs/>
        </w:rPr>
        <w:t>World Report on Disability</w:t>
      </w:r>
      <w:r w:rsidRPr="004841EF">
        <w:rPr>
          <w:bCs/>
        </w:rPr>
        <w:t>, Geneva: WHO</w:t>
      </w:r>
    </w:p>
    <w:p w14:paraId="537AA526" w14:textId="7FB39524" w:rsidR="00CB2601" w:rsidRPr="004841EF" w:rsidRDefault="00CB2601" w:rsidP="00D63FD0">
      <w:pPr>
        <w:rPr>
          <w:b/>
        </w:rPr>
      </w:pPr>
    </w:p>
    <w:p w14:paraId="647B77BA" w14:textId="77777777" w:rsidR="00CB2601" w:rsidRPr="004841EF" w:rsidRDefault="00CB2601">
      <w:pPr>
        <w:rPr>
          <w:b/>
        </w:rPr>
      </w:pPr>
    </w:p>
    <w:sectPr w:rsidR="00CB2601" w:rsidRPr="004841EF">
      <w:footerReference w:type="default" r:id="rId2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92296" w14:textId="77777777" w:rsidR="009707C2" w:rsidRDefault="009707C2">
      <w:r>
        <w:separator/>
      </w:r>
    </w:p>
  </w:endnote>
  <w:endnote w:type="continuationSeparator" w:id="0">
    <w:p w14:paraId="0580B1FD" w14:textId="77777777" w:rsidR="009707C2" w:rsidRDefault="0097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08A8A" w14:textId="6EAA9077" w:rsidR="009707C2" w:rsidRDefault="009707C2">
    <w:pPr>
      <w:pStyle w:val="Footer"/>
    </w:pPr>
    <w:r>
      <w:tab/>
    </w:r>
    <w:r>
      <w:tab/>
    </w:r>
    <w:r>
      <w:fldChar w:fldCharType="begin"/>
    </w:r>
    <w:r>
      <w:instrText xml:space="preserve"> PAGE  \* Arabic  \* MERGEFORMAT </w:instrText>
    </w:r>
    <w:r>
      <w:fldChar w:fldCharType="separate"/>
    </w:r>
    <w:r w:rsidR="00FD204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17800" w14:textId="77777777" w:rsidR="009707C2" w:rsidRDefault="009707C2">
      <w:r>
        <w:separator/>
      </w:r>
    </w:p>
  </w:footnote>
  <w:footnote w:type="continuationSeparator" w:id="0">
    <w:p w14:paraId="4D1E4133" w14:textId="77777777" w:rsidR="009707C2" w:rsidRDefault="009707C2">
      <w:r>
        <w:continuationSeparator/>
      </w:r>
    </w:p>
  </w:footnote>
  <w:footnote w:id="1">
    <w:p w14:paraId="6198FD6E" w14:textId="7C5F9ACD" w:rsidR="009707C2" w:rsidRDefault="009707C2">
      <w:pPr>
        <w:pStyle w:val="FootnoteText"/>
      </w:pPr>
      <w:r>
        <w:rPr>
          <w:rStyle w:val="FootnoteReference"/>
        </w:rPr>
        <w:footnoteRef/>
      </w:r>
      <w:r>
        <w:t xml:space="preserve"> The review of Workplace Relations Commission and Labour Court decisions </w:t>
      </w:r>
      <w:r w:rsidRPr="00131802">
        <w:t>was undertaken prior to the Supreme Court judgment in Daly v Nano Nagle School.</w:t>
      </w:r>
    </w:p>
  </w:footnote>
  <w:footnote w:id="2">
    <w:p w14:paraId="60040C72" w14:textId="610B179F" w:rsidR="009707C2" w:rsidRDefault="009707C2" w:rsidP="00BB123E">
      <w:pPr>
        <w:pStyle w:val="FootnoteText"/>
      </w:pPr>
      <w:r>
        <w:rPr>
          <w:rStyle w:val="FootnoteReference"/>
        </w:rPr>
        <w:footnoteRef/>
      </w:r>
      <w:r>
        <w:t xml:space="preserve"> Equality Authority (2011) </w:t>
      </w:r>
      <w:r>
        <w:rPr>
          <w:b/>
          <w:bCs/>
        </w:rPr>
        <w:t xml:space="preserve">Equality and mental health: what the law means for your </w:t>
      </w:r>
      <w:r w:rsidRPr="00257FA7">
        <w:rPr>
          <w:b/>
          <w:bCs/>
        </w:rPr>
        <w:t>workplace</w:t>
      </w:r>
      <w:r>
        <w:rPr>
          <w:b/>
          <w:bCs/>
        </w:rPr>
        <w:t xml:space="preserve">, </w:t>
      </w:r>
      <w:r>
        <w:rPr>
          <w:bCs/>
        </w:rPr>
        <w:t>Roscrea: Equality Authority, p.3.</w:t>
      </w:r>
    </w:p>
  </w:footnote>
  <w:footnote w:id="3">
    <w:p w14:paraId="1B200D65" w14:textId="3240E595" w:rsidR="009707C2" w:rsidRDefault="009707C2" w:rsidP="003C3C4B">
      <w:pPr>
        <w:pStyle w:val="FootnoteText"/>
      </w:pPr>
      <w:r>
        <w:rPr>
          <w:rStyle w:val="FootnoteReference"/>
        </w:rPr>
        <w:footnoteRef/>
      </w:r>
      <w:r>
        <w:t xml:space="preserve"> The Irish Human Rights and Equality Commission</w:t>
      </w:r>
      <w:r w:rsidRPr="00F50B29">
        <w:rPr>
          <w:rFonts w:ascii="Lato" w:hAnsi="Lato"/>
          <w:color w:val="333333"/>
          <w:sz w:val="26"/>
          <w:szCs w:val="24"/>
          <w:shd w:val="clear" w:color="auto" w:fill="FFFFFF"/>
        </w:rPr>
        <w:t xml:space="preserve"> </w:t>
      </w:r>
      <w:r>
        <w:t>is preparing a</w:t>
      </w:r>
      <w:r w:rsidRPr="00F50B29">
        <w:t xml:space="preserve"> new legal code of practice to promote greater employme</w:t>
      </w:r>
      <w:r>
        <w:t xml:space="preserve">nt of people with disabilities. Irish Human Rights and Equality Commission, </w:t>
      </w:r>
      <w:r w:rsidRPr="005E2DE8">
        <w:rPr>
          <w:b/>
        </w:rPr>
        <w:t>‘Discrimination Against People with Disabilities in Employment a Persistent and Pernicious Roadblock to Worker’s Dignity and Inclusion’</w:t>
      </w:r>
      <w:r>
        <w:rPr>
          <w:b/>
        </w:rPr>
        <w:t xml:space="preserve"> </w:t>
      </w:r>
      <w:r>
        <w:t>[press release], available from their website at &lt;</w:t>
      </w:r>
      <w:r w:rsidRPr="00ED70C2">
        <w:t>https://www.ihrec.ie/discrimination-against-people-with-disabilities-in-employment-a-persistent-and-pernicious-roadblock-to-workers-dignity-and-inclusion/</w:t>
      </w:r>
      <w:r>
        <w:t>&gt;.</w:t>
      </w:r>
    </w:p>
  </w:footnote>
  <w:footnote w:id="4">
    <w:p w14:paraId="37AE9696" w14:textId="2FDAB531" w:rsidR="009707C2" w:rsidRDefault="009707C2" w:rsidP="003C3C4B">
      <w:pPr>
        <w:pStyle w:val="FootnoteText"/>
      </w:pPr>
      <w:r>
        <w:rPr>
          <w:rStyle w:val="FootnoteReference"/>
        </w:rPr>
        <w:footnoteRef/>
      </w:r>
      <w:r>
        <w:t xml:space="preserve"> </w:t>
      </w:r>
      <w:r w:rsidRPr="00DA0BE2">
        <w:t>The Department of Justice and Equality has committed to undertaking such a campaign as part of the Comprehensive Employment Strategy</w:t>
      </w:r>
      <w:r>
        <w:t xml:space="preserve"> for People with Disabilities 2015-2024</w:t>
      </w:r>
      <w:r w:rsidRPr="00DA0BE2">
        <w:t xml:space="preserve">. </w:t>
      </w:r>
      <w:r w:rsidRPr="004B71B4">
        <w:t xml:space="preserve">Government of Ireland (2019) </w:t>
      </w:r>
      <w:r w:rsidRPr="004B71B4">
        <w:rPr>
          <w:b/>
        </w:rPr>
        <w:t>Comprehensive Employment Strategy:</w:t>
      </w:r>
      <w:r>
        <w:rPr>
          <w:b/>
        </w:rPr>
        <w:t xml:space="preserve"> Phase T</w:t>
      </w:r>
      <w:r w:rsidRPr="004B71B4">
        <w:rPr>
          <w:b/>
        </w:rPr>
        <w:t>wo Action Plan 2019-2021</w:t>
      </w:r>
      <w:r w:rsidRPr="004B71B4">
        <w:t>, Dublin: Stationery Office, p.</w:t>
      </w:r>
      <w:r>
        <w:t>35</w:t>
      </w:r>
      <w:r w:rsidRPr="004B71B4">
        <w:t>.</w:t>
      </w:r>
    </w:p>
  </w:footnote>
  <w:footnote w:id="5">
    <w:p w14:paraId="11939B04" w14:textId="2145B8E7" w:rsidR="009707C2" w:rsidRDefault="009707C2" w:rsidP="00536B99">
      <w:pPr>
        <w:pStyle w:val="FootnoteText"/>
      </w:pPr>
      <w:r>
        <w:rPr>
          <w:rStyle w:val="FootnoteReference"/>
        </w:rPr>
        <w:footnoteRef/>
      </w:r>
      <w:r>
        <w:t xml:space="preserve"> National Disability Authority (2019) </w:t>
      </w:r>
      <w:r w:rsidRPr="005E2DE8">
        <w:rPr>
          <w:b/>
        </w:rPr>
        <w:t>NDA Factsheet 2: Employment</w:t>
      </w:r>
      <w:r>
        <w:t>, available at their website &lt;</w:t>
      </w:r>
      <w:r w:rsidRPr="005E2DE8">
        <w:t>http://nda.ie/Resources/Factsheets/NDA-Factsheet-2-Employment/NDA-Factsheet-2-Employment.html</w:t>
      </w:r>
      <w:r>
        <w:t>&gt;.</w:t>
      </w:r>
    </w:p>
  </w:footnote>
  <w:footnote w:id="6">
    <w:p w14:paraId="752801B6" w14:textId="425FE387" w:rsidR="009707C2" w:rsidRDefault="009707C2">
      <w:pPr>
        <w:pStyle w:val="FootnoteText"/>
      </w:pPr>
      <w:r>
        <w:rPr>
          <w:rStyle w:val="FootnoteReference"/>
        </w:rPr>
        <w:footnoteRef/>
      </w:r>
      <w:r>
        <w:t xml:space="preserve"> </w:t>
      </w:r>
      <w:r w:rsidRPr="006764C9">
        <w:t xml:space="preserve">Government of Ireland (2015) </w:t>
      </w:r>
      <w:r w:rsidRPr="006764C9">
        <w:rPr>
          <w:b/>
        </w:rPr>
        <w:t>Comprehensive Employment Strategy for People with Disabilities 2015-2024</w:t>
      </w:r>
      <w:r w:rsidRPr="006764C9">
        <w:t>, Dub</w:t>
      </w:r>
      <w:r>
        <w:t>lin: Stationery Office.</w:t>
      </w:r>
    </w:p>
  </w:footnote>
  <w:footnote w:id="7">
    <w:p w14:paraId="66AEB22E" w14:textId="6051285B" w:rsidR="009707C2" w:rsidRDefault="009707C2">
      <w:pPr>
        <w:pStyle w:val="FootnoteText"/>
      </w:pPr>
      <w:r>
        <w:rPr>
          <w:rStyle w:val="FootnoteReference"/>
        </w:rPr>
        <w:footnoteRef/>
      </w:r>
      <w:r>
        <w:t xml:space="preserve"> </w:t>
      </w:r>
      <w:r w:rsidRPr="006764C9">
        <w:t xml:space="preserve">Government of Ireland (2015) </w:t>
      </w:r>
      <w:r w:rsidRPr="006764C9">
        <w:rPr>
          <w:b/>
        </w:rPr>
        <w:t>Comprehensive Employment Strategy for People with Disabilities 2015-2024</w:t>
      </w:r>
      <w:r w:rsidRPr="006764C9">
        <w:t>, Dub</w:t>
      </w:r>
      <w:r>
        <w:t>lin: Stationery Office, p.34</w:t>
      </w:r>
      <w:r w:rsidRPr="006764C9">
        <w:t>.</w:t>
      </w:r>
    </w:p>
  </w:footnote>
  <w:footnote w:id="8">
    <w:p w14:paraId="56F684B9" w14:textId="43132B01" w:rsidR="009707C2" w:rsidRDefault="009707C2" w:rsidP="00D80D5E">
      <w:pPr>
        <w:pStyle w:val="FootnoteText"/>
      </w:pPr>
      <w:r>
        <w:rPr>
          <w:rStyle w:val="FootnoteReference"/>
        </w:rPr>
        <w:footnoteRef/>
      </w:r>
      <w:r>
        <w:t xml:space="preserve"> Central Statistics Office (2010) </w:t>
      </w:r>
      <w:r w:rsidRPr="00BF50F8">
        <w:rPr>
          <w:b/>
        </w:rPr>
        <w:t>National Disability Survey 2006 – Volume 2</w:t>
      </w:r>
      <w:r>
        <w:t>, Dublin: Stationery Office p.91.</w:t>
      </w:r>
    </w:p>
  </w:footnote>
  <w:footnote w:id="9">
    <w:p w14:paraId="4A4E8A45" w14:textId="50014659" w:rsidR="009707C2" w:rsidRDefault="009707C2" w:rsidP="00536B99">
      <w:pPr>
        <w:pStyle w:val="FootnoteText"/>
      </w:pPr>
      <w:r>
        <w:rPr>
          <w:rStyle w:val="FootnoteReference"/>
        </w:rPr>
        <w:footnoteRef/>
      </w:r>
      <w:r>
        <w:t xml:space="preserve"> </w:t>
      </w:r>
      <w:r w:rsidRPr="0053132E">
        <w:rPr>
          <w:b/>
        </w:rPr>
        <w:t>Employment Equality Acts 1998-2015</w:t>
      </w:r>
      <w:r w:rsidRPr="00565154">
        <w:t>, section 16. A consolidated version of the legislation is available at</w:t>
      </w:r>
      <w:r>
        <w:t xml:space="preserve"> the website of the Law Reform Commission</w:t>
      </w:r>
      <w:r w:rsidRPr="00565154">
        <w:t xml:space="preserve"> </w:t>
      </w:r>
      <w:r>
        <w:t>&lt;</w:t>
      </w:r>
      <w:hyperlink r:id="rId1" w:history="1">
        <w:r w:rsidRPr="00565154">
          <w:rPr>
            <w:rStyle w:val="Hyperlink"/>
          </w:rPr>
          <w:t>www.lawreform.ie</w:t>
        </w:r>
      </w:hyperlink>
      <w:r>
        <w:t>&gt;.</w:t>
      </w:r>
    </w:p>
  </w:footnote>
  <w:footnote w:id="10">
    <w:p w14:paraId="421B4378" w14:textId="3800B34C" w:rsidR="009707C2" w:rsidRDefault="009707C2" w:rsidP="00536B99">
      <w:pPr>
        <w:pStyle w:val="FootnoteText"/>
      </w:pPr>
      <w:r>
        <w:rPr>
          <w:rStyle w:val="FootnoteReference"/>
        </w:rPr>
        <w:footnoteRef/>
      </w:r>
      <w:r>
        <w:t xml:space="preserve"> World Health Organisation &amp; </w:t>
      </w:r>
      <w:r w:rsidRPr="00F200BD">
        <w:t xml:space="preserve">World Bank (2011) </w:t>
      </w:r>
      <w:r w:rsidRPr="0053132E">
        <w:rPr>
          <w:b/>
        </w:rPr>
        <w:t>World Report on Disability</w:t>
      </w:r>
      <w:r w:rsidRPr="00F200BD">
        <w:t>, Geneva: WHO,</w:t>
      </w:r>
      <w:r>
        <w:t xml:space="preserve"> p.241.</w:t>
      </w:r>
    </w:p>
  </w:footnote>
  <w:footnote w:id="11">
    <w:p w14:paraId="2AF83A99" w14:textId="77777777" w:rsidR="009707C2" w:rsidRPr="006C4A86" w:rsidRDefault="009707C2" w:rsidP="0043534F">
      <w:pPr>
        <w:pStyle w:val="FootnoteText"/>
      </w:pPr>
      <w:r>
        <w:rPr>
          <w:rStyle w:val="FootnoteReference"/>
        </w:rPr>
        <w:footnoteRef/>
      </w:r>
      <w:r>
        <w:t xml:space="preserve"> Parliamentary Assembly </w:t>
      </w:r>
      <w:r w:rsidRPr="006C4A86">
        <w:t>Committee on Equality and Non-Discrimination</w:t>
      </w:r>
      <w:r>
        <w:t xml:space="preserve"> (2018) </w:t>
      </w:r>
      <w:r w:rsidRPr="006C4A86">
        <w:rPr>
          <w:b/>
          <w:bCs/>
        </w:rPr>
        <w:t>For a disability-inclusive workforce</w:t>
      </w:r>
      <w:r>
        <w:rPr>
          <w:b/>
          <w:bCs/>
        </w:rPr>
        <w:t xml:space="preserve">, </w:t>
      </w:r>
      <w:r>
        <w:rPr>
          <w:bCs/>
        </w:rPr>
        <w:t>Strasbourg: Council of Europe, p.3.</w:t>
      </w:r>
    </w:p>
  </w:footnote>
  <w:footnote w:id="12">
    <w:p w14:paraId="0FECB78F" w14:textId="43A81E56" w:rsidR="009707C2" w:rsidRDefault="009707C2" w:rsidP="00FF5A6E">
      <w:pPr>
        <w:pStyle w:val="FootnoteText"/>
      </w:pPr>
      <w:r>
        <w:rPr>
          <w:rStyle w:val="FootnoteReference"/>
        </w:rPr>
        <w:footnoteRef/>
      </w:r>
      <w:r>
        <w:t xml:space="preserve"> </w:t>
      </w:r>
      <w:r w:rsidRPr="006B61B1">
        <w:t>Economic and Social Research Institute</w:t>
      </w:r>
      <w:r>
        <w:t xml:space="preserve"> (2015) </w:t>
      </w:r>
      <w:r w:rsidRPr="006B61B1">
        <w:rPr>
          <w:b/>
        </w:rPr>
        <w:t>Educational and Employment Experiences of People with a Disability in Ireland: An Analysis of the National Disability Survey</w:t>
      </w:r>
      <w:r>
        <w:t>, Dublin: ESRI.</w:t>
      </w:r>
    </w:p>
  </w:footnote>
  <w:footnote w:id="13">
    <w:p w14:paraId="074A905E" w14:textId="39AEB589" w:rsidR="009707C2" w:rsidRDefault="009707C2" w:rsidP="0043534F">
      <w:pPr>
        <w:pStyle w:val="FootnoteText"/>
      </w:pPr>
      <w:r>
        <w:rPr>
          <w:rStyle w:val="FootnoteReference"/>
        </w:rPr>
        <w:footnoteRef/>
      </w:r>
      <w:r>
        <w:t xml:space="preserve"> </w:t>
      </w:r>
      <w:r w:rsidRPr="00AB505A">
        <w:t>Chow, C. M.,</w:t>
      </w:r>
      <w:r>
        <w:t xml:space="preserve"> Cichocki, B., &amp; Croft, B. (2014),</w:t>
      </w:r>
      <w:r w:rsidRPr="00AB505A">
        <w:t xml:space="preserve"> </w:t>
      </w:r>
      <w:r>
        <w:t>‘</w:t>
      </w:r>
      <w:r w:rsidRPr="00AB505A">
        <w:t>The Impact of Job Accommodations on Employment Outcomes Among Individuals With Psychiatric Disabilities</w:t>
      </w:r>
      <w:r>
        <w:t>’,</w:t>
      </w:r>
      <w:r w:rsidRPr="00AB505A">
        <w:t xml:space="preserve"> </w:t>
      </w:r>
      <w:r w:rsidRPr="005E2DE8">
        <w:rPr>
          <w:b/>
          <w:bCs/>
          <w:iCs/>
        </w:rPr>
        <w:t>Psychiatric Services</w:t>
      </w:r>
      <w:r w:rsidRPr="00CC17DC">
        <w:t>,</w:t>
      </w:r>
      <w:r w:rsidRPr="00AB505A">
        <w:t xml:space="preserve"> 65(9)</w:t>
      </w:r>
      <w:r>
        <w:t>,</w:t>
      </w:r>
      <w:r w:rsidRPr="00AB505A">
        <w:t xml:space="preserve"> 1126–</w:t>
      </w:r>
      <w:r>
        <w:t>1132.</w:t>
      </w:r>
      <w:r w:rsidRPr="006B33D7">
        <w:t xml:space="preserve"> </w:t>
      </w:r>
      <w:r>
        <w:t xml:space="preserve">See also </w:t>
      </w:r>
      <w:r w:rsidRPr="006B33D7">
        <w:t>Clayton, S., Barr, B., Nylen, L., Burstrom, B., Thielen, K., Diderichsen, F., D</w:t>
      </w:r>
      <w:r>
        <w:t>ahl, E., &amp; Whitehead, M. (2012),</w:t>
      </w:r>
      <w:r w:rsidRPr="006B33D7">
        <w:t xml:space="preserve"> </w:t>
      </w:r>
      <w:r>
        <w:t>‘</w:t>
      </w:r>
      <w:r w:rsidRPr="006B33D7">
        <w:t>Effectiveness of return-to-work interventions for disabled people: A systematic review of government initiatives focused on changin</w:t>
      </w:r>
      <w:r>
        <w:t>g the behaviour of employers’,</w:t>
      </w:r>
      <w:r w:rsidRPr="006B33D7">
        <w:t xml:space="preserve"> </w:t>
      </w:r>
      <w:r w:rsidRPr="005E2DE8">
        <w:rPr>
          <w:b/>
        </w:rPr>
        <w:t>European Journal of Public Health</w:t>
      </w:r>
      <w:r>
        <w:t>, 22(3), 434-</w:t>
      </w:r>
      <w:r w:rsidRPr="006B33D7">
        <w:t>439.</w:t>
      </w:r>
    </w:p>
  </w:footnote>
  <w:footnote w:id="14">
    <w:p w14:paraId="52910817" w14:textId="77777777" w:rsidR="009707C2" w:rsidRDefault="009707C2" w:rsidP="00F8041A">
      <w:pPr>
        <w:pStyle w:val="FootnoteText"/>
      </w:pPr>
      <w:r>
        <w:rPr>
          <w:rStyle w:val="FootnoteReference"/>
        </w:rPr>
        <w:footnoteRef/>
      </w:r>
      <w:r>
        <w:t xml:space="preserve"> International Labour Office (2016) </w:t>
      </w:r>
      <w:r w:rsidRPr="0053132E">
        <w:rPr>
          <w:b/>
        </w:rPr>
        <w:t>Promoting Diversity and Inclusion Through Workplace Adjustments: A Practical Guide</w:t>
      </w:r>
      <w:r>
        <w:t>, Geneva: ILO, p.21.</w:t>
      </w:r>
    </w:p>
  </w:footnote>
  <w:footnote w:id="15">
    <w:p w14:paraId="269E3D8C" w14:textId="21332740" w:rsidR="009707C2" w:rsidRDefault="009707C2" w:rsidP="00156C4E">
      <w:pPr>
        <w:pStyle w:val="FootnoteText"/>
      </w:pPr>
      <w:r>
        <w:rPr>
          <w:rStyle w:val="FootnoteReference"/>
        </w:rPr>
        <w:footnoteRef/>
      </w:r>
      <w:r>
        <w:t xml:space="preserve"> Government of Ireland (2019)</w:t>
      </w:r>
      <w:r w:rsidRPr="007635FB">
        <w:t xml:space="preserve"> </w:t>
      </w:r>
      <w:r w:rsidRPr="0040253D">
        <w:rPr>
          <w:b/>
        </w:rPr>
        <w:t>Comprehensive Employment Strategy:</w:t>
      </w:r>
      <w:r>
        <w:rPr>
          <w:b/>
        </w:rPr>
        <w:t xml:space="preserve"> Phase Two Action Plan 2019-2021</w:t>
      </w:r>
      <w:r>
        <w:t>, Dublin: Stationery Office, p.32.</w:t>
      </w:r>
    </w:p>
  </w:footnote>
  <w:footnote w:id="16">
    <w:p w14:paraId="20F03F10" w14:textId="3BD3E96E" w:rsidR="009707C2" w:rsidRDefault="009707C2">
      <w:pPr>
        <w:pStyle w:val="FootnoteText"/>
      </w:pPr>
      <w:r>
        <w:rPr>
          <w:rStyle w:val="FootnoteReference"/>
        </w:rPr>
        <w:footnoteRef/>
      </w:r>
      <w:r>
        <w:t xml:space="preserve"> See for instance UN Committee on the Rights of Persons with Disabilities (2018) </w:t>
      </w:r>
      <w:r w:rsidRPr="00CC17DC">
        <w:rPr>
          <w:b/>
        </w:rPr>
        <w:t>Concluding observations on the initial report of Bulgaria</w:t>
      </w:r>
      <w:r>
        <w:t xml:space="preserve">, Geneva: </w:t>
      </w:r>
      <w:r w:rsidRPr="003E4A4E">
        <w:t>Office of the United Nations High Commissioner for Human Rights</w:t>
      </w:r>
      <w:r>
        <w:t xml:space="preserve">, p.9. See also </w:t>
      </w:r>
      <w:r w:rsidRPr="00CC17DC">
        <w:t xml:space="preserve">UN Committee on the Rights of Persons with </w:t>
      </w:r>
      <w:r>
        <w:t>Disabilities (2017</w:t>
      </w:r>
      <w:r w:rsidRPr="00CC17DC">
        <w:t xml:space="preserve">) </w:t>
      </w:r>
      <w:r w:rsidRPr="00CC17DC">
        <w:rPr>
          <w:b/>
        </w:rPr>
        <w:t xml:space="preserve">Concluding observations on the initial report of </w:t>
      </w:r>
      <w:r>
        <w:rPr>
          <w:b/>
        </w:rPr>
        <w:t>Canada</w:t>
      </w:r>
      <w:r w:rsidRPr="00CC17DC">
        <w:t xml:space="preserve">, Geneva: </w:t>
      </w:r>
      <w:r w:rsidRPr="003E4A4E">
        <w:t>Office of the United Nations High Commissioner for Human Rights</w:t>
      </w:r>
      <w:r w:rsidRPr="00CC17DC">
        <w:t>, p.</w:t>
      </w:r>
      <w:r>
        <w:t>11</w:t>
      </w:r>
      <w:r w:rsidRPr="00CC17DC">
        <w:t>.</w:t>
      </w:r>
    </w:p>
  </w:footnote>
  <w:footnote w:id="17">
    <w:p w14:paraId="3BB00116" w14:textId="54C15627" w:rsidR="009707C2" w:rsidRDefault="009707C2">
      <w:pPr>
        <w:pStyle w:val="FootnoteText"/>
      </w:pPr>
      <w:r>
        <w:rPr>
          <w:rStyle w:val="FootnoteReference"/>
        </w:rPr>
        <w:footnoteRef/>
      </w:r>
      <w:r>
        <w:t xml:space="preserve"> </w:t>
      </w:r>
      <w:r w:rsidRPr="006764C9">
        <w:t xml:space="preserve">Government of Ireland (2015) </w:t>
      </w:r>
      <w:r w:rsidRPr="006764C9">
        <w:rPr>
          <w:b/>
        </w:rPr>
        <w:t>Comprehensive Employment Strategy for People with Disabilities 2015-2024</w:t>
      </w:r>
      <w:r w:rsidRPr="006764C9">
        <w:t>, Dub</w:t>
      </w:r>
      <w:r>
        <w:t>lin: Stationery Office, p.3</w:t>
      </w:r>
      <w:r w:rsidRPr="006764C9">
        <w:t>.</w:t>
      </w:r>
    </w:p>
  </w:footnote>
  <w:footnote w:id="18">
    <w:p w14:paraId="4017C42D" w14:textId="503FD666" w:rsidR="009707C2" w:rsidRDefault="009707C2">
      <w:pPr>
        <w:pStyle w:val="FootnoteText"/>
      </w:pPr>
      <w:r>
        <w:rPr>
          <w:rStyle w:val="FootnoteReference"/>
        </w:rPr>
        <w:footnoteRef/>
      </w:r>
      <w:r>
        <w:t xml:space="preserve"> </w:t>
      </w:r>
      <w:r w:rsidRPr="000C3272">
        <w:rPr>
          <w:b/>
        </w:rPr>
        <w:t>Disability Act 2005</w:t>
      </w:r>
      <w:r>
        <w:t>, section 48.</w:t>
      </w:r>
    </w:p>
  </w:footnote>
  <w:footnote w:id="19">
    <w:p w14:paraId="6A266C47" w14:textId="77777777" w:rsidR="009707C2" w:rsidRDefault="009707C2">
      <w:pPr>
        <w:pStyle w:val="FootnoteText"/>
      </w:pPr>
      <w:r>
        <w:rPr>
          <w:rStyle w:val="FootnoteReference"/>
        </w:rPr>
        <w:footnoteRef/>
      </w:r>
      <w:r>
        <w:t xml:space="preserve"> </w:t>
      </w:r>
      <w:r w:rsidRPr="00EF0194">
        <w:t xml:space="preserve">RSM PACEC &amp; National Disability Authority (2018) </w:t>
      </w:r>
      <w:r w:rsidRPr="0053132E">
        <w:rPr>
          <w:b/>
        </w:rPr>
        <w:t>Research on good practice in the employment of people with disabilities in the public sector</w:t>
      </w:r>
      <w:r w:rsidRPr="00EF0194">
        <w:t>, Dublin: RSM PACEC &amp; NDA</w:t>
      </w:r>
      <w:r>
        <w:t>, p.39.</w:t>
      </w:r>
    </w:p>
  </w:footnote>
  <w:footnote w:id="20">
    <w:p w14:paraId="56082537" w14:textId="2009EBB6" w:rsidR="009707C2" w:rsidRDefault="009707C2">
      <w:pPr>
        <w:pStyle w:val="FootnoteText"/>
      </w:pPr>
      <w:r>
        <w:rPr>
          <w:rStyle w:val="FootnoteReference"/>
        </w:rPr>
        <w:footnoteRef/>
      </w:r>
      <w:r>
        <w:t xml:space="preserve"> </w:t>
      </w:r>
      <w:r w:rsidRPr="001306E2">
        <w:t>The </w:t>
      </w:r>
      <w:r>
        <w:t xml:space="preserve">NDA notes that the </w:t>
      </w:r>
      <w:r w:rsidRPr="001306E2">
        <w:rPr>
          <w:bCs/>
        </w:rPr>
        <w:t>W</w:t>
      </w:r>
      <w:r>
        <w:rPr>
          <w:bCs/>
        </w:rPr>
        <w:t xml:space="preserve">orkplace </w:t>
      </w:r>
      <w:r w:rsidRPr="001306E2">
        <w:rPr>
          <w:bCs/>
        </w:rPr>
        <w:t>R</w:t>
      </w:r>
      <w:r>
        <w:rPr>
          <w:bCs/>
        </w:rPr>
        <w:t xml:space="preserve">elations </w:t>
      </w:r>
      <w:r w:rsidRPr="001306E2">
        <w:rPr>
          <w:bCs/>
        </w:rPr>
        <w:t>C</w:t>
      </w:r>
      <w:r>
        <w:rPr>
          <w:bCs/>
        </w:rPr>
        <w:t>ommission</w:t>
      </w:r>
      <w:r>
        <w:t xml:space="preserve"> launched a </w:t>
      </w:r>
      <w:r w:rsidRPr="001306E2">
        <w:t>redesigned </w:t>
      </w:r>
      <w:r w:rsidRPr="001306E2">
        <w:rPr>
          <w:bCs/>
        </w:rPr>
        <w:t>website</w:t>
      </w:r>
      <w:r w:rsidRPr="001306E2">
        <w:t> </w:t>
      </w:r>
      <w:r>
        <w:t>in</w:t>
      </w:r>
      <w:r w:rsidRPr="001306E2">
        <w:t xml:space="preserve"> May 2019.</w:t>
      </w:r>
    </w:p>
  </w:footnote>
  <w:footnote w:id="21">
    <w:p w14:paraId="5D6CAEEF" w14:textId="097059D7" w:rsidR="009707C2" w:rsidRDefault="009707C2">
      <w:pPr>
        <w:pStyle w:val="FootnoteText"/>
      </w:pPr>
      <w:r>
        <w:rPr>
          <w:rStyle w:val="FootnoteReference"/>
        </w:rPr>
        <w:footnoteRef/>
      </w:r>
      <w:r>
        <w:t xml:space="preserve"> </w:t>
      </w:r>
      <w:r w:rsidRPr="00897DD4">
        <w:t>Participation in a </w:t>
      </w:r>
      <w:r w:rsidRPr="00897DD4">
        <w:rPr>
          <w:bCs/>
        </w:rPr>
        <w:t>consultation does not mean endorsement</w:t>
      </w:r>
      <w:r>
        <w:t> of the report</w:t>
      </w:r>
      <w:r w:rsidRPr="00897DD4">
        <w:t>.</w:t>
      </w:r>
    </w:p>
  </w:footnote>
  <w:footnote w:id="22">
    <w:p w14:paraId="228A33B3" w14:textId="11DE71E0" w:rsidR="009707C2" w:rsidRDefault="009707C2">
      <w:pPr>
        <w:pStyle w:val="FootnoteText"/>
      </w:pPr>
      <w:r>
        <w:rPr>
          <w:rStyle w:val="FootnoteReference"/>
        </w:rPr>
        <w:footnoteRef/>
      </w:r>
      <w:r>
        <w:t xml:space="preserve"> </w:t>
      </w:r>
      <w:r w:rsidRPr="002E664C">
        <w:t xml:space="preserve">This </w:t>
      </w:r>
      <w:r>
        <w:t>report</w:t>
      </w:r>
      <w:r w:rsidRPr="002E664C">
        <w:t xml:space="preserve"> is intended for information purposes only. This is not a legal document and should not be taken as legal advice.</w:t>
      </w:r>
    </w:p>
  </w:footnote>
  <w:footnote w:id="23">
    <w:p w14:paraId="39C90606" w14:textId="77777777" w:rsidR="009707C2" w:rsidRDefault="009707C2" w:rsidP="00321CDE">
      <w:pPr>
        <w:pStyle w:val="FootnoteText"/>
      </w:pPr>
      <w:r>
        <w:rPr>
          <w:rStyle w:val="FootnoteReference"/>
        </w:rPr>
        <w:footnoteRef/>
      </w:r>
      <w:r>
        <w:t xml:space="preserve"> The other grounds are age, sexual orientation, gender, civil status, family status, race, membership of the Traveller Community and religion.</w:t>
      </w:r>
    </w:p>
  </w:footnote>
  <w:footnote w:id="24">
    <w:p w14:paraId="04A40F20" w14:textId="61923C67" w:rsidR="009707C2" w:rsidRDefault="009707C2">
      <w:pPr>
        <w:pStyle w:val="FootnoteText"/>
      </w:pPr>
      <w:r>
        <w:rPr>
          <w:rStyle w:val="FootnoteReference"/>
        </w:rPr>
        <w:footnoteRef/>
      </w:r>
      <w:r>
        <w:t xml:space="preserve"> </w:t>
      </w:r>
      <w:r w:rsidRPr="004E1E8C">
        <w:rPr>
          <w:b/>
        </w:rPr>
        <w:t>Employment Equality Acts 1998-2015</w:t>
      </w:r>
      <w:r>
        <w:t>, section 6.</w:t>
      </w:r>
    </w:p>
  </w:footnote>
  <w:footnote w:id="25">
    <w:p w14:paraId="6FF8E4BA" w14:textId="48C0952F" w:rsidR="009707C2" w:rsidRDefault="009707C2" w:rsidP="00321CDE">
      <w:pPr>
        <w:pStyle w:val="FootnoteText"/>
      </w:pPr>
      <w:r>
        <w:rPr>
          <w:rStyle w:val="FootnoteReference"/>
        </w:rPr>
        <w:footnoteRef/>
      </w:r>
      <w:r>
        <w:t xml:space="preserve"> Barry, E. (2013) </w:t>
      </w:r>
      <w:r w:rsidRPr="00075581">
        <w:rPr>
          <w:b/>
        </w:rPr>
        <w:t>Case Law Review on Mental Health in the Workplace</w:t>
      </w:r>
      <w:r>
        <w:t>, Dublin: See Change, p.4.</w:t>
      </w:r>
    </w:p>
  </w:footnote>
  <w:footnote w:id="26">
    <w:p w14:paraId="53C22172" w14:textId="08139D91" w:rsidR="009707C2" w:rsidRDefault="009707C2">
      <w:pPr>
        <w:pStyle w:val="FootnoteText"/>
      </w:pPr>
      <w:r>
        <w:rPr>
          <w:rStyle w:val="FootnoteReference"/>
        </w:rPr>
        <w:footnoteRef/>
      </w:r>
      <w:r>
        <w:t xml:space="preserve"> Barry, E. (2013) </w:t>
      </w:r>
      <w:r w:rsidRPr="00075581">
        <w:rPr>
          <w:b/>
        </w:rPr>
        <w:t>Case Law Review on Mental Health in the Workplace</w:t>
      </w:r>
      <w:r>
        <w:t>, Dublin: See Change, p.2.</w:t>
      </w:r>
    </w:p>
  </w:footnote>
  <w:footnote w:id="27">
    <w:p w14:paraId="3A6B9786" w14:textId="2FDABB46" w:rsidR="009707C2" w:rsidRDefault="009707C2" w:rsidP="00321CDE">
      <w:pPr>
        <w:pStyle w:val="FootnoteText"/>
      </w:pPr>
      <w:r>
        <w:rPr>
          <w:rStyle w:val="FootnoteReference"/>
        </w:rPr>
        <w:footnoteRef/>
      </w:r>
      <w:r>
        <w:t xml:space="preserve"> In general, a person</w:t>
      </w:r>
      <w:r w:rsidRPr="000A5FF3">
        <w:t xml:space="preserve"> must have at least 12 months’ continuous service with </w:t>
      </w:r>
      <w:r>
        <w:t>an</w:t>
      </w:r>
      <w:r w:rsidRPr="000A5FF3">
        <w:t xml:space="preserve"> employer before bring</w:t>
      </w:r>
      <w:r>
        <w:t>ing</w:t>
      </w:r>
      <w:r w:rsidRPr="000A5FF3">
        <w:t xml:space="preserve"> a claim for unfair dismissal</w:t>
      </w:r>
      <w:r>
        <w:t xml:space="preserve"> under the </w:t>
      </w:r>
      <w:r w:rsidRPr="00BA49E3">
        <w:rPr>
          <w:b/>
        </w:rPr>
        <w:t>Unfair Dismissals Act</w:t>
      </w:r>
      <w:r>
        <w:rPr>
          <w:b/>
        </w:rPr>
        <w:t>s</w:t>
      </w:r>
      <w:r w:rsidRPr="00BA49E3">
        <w:rPr>
          <w:b/>
        </w:rPr>
        <w:t xml:space="preserve"> 1977-2015</w:t>
      </w:r>
      <w:r w:rsidRPr="000A5FF3">
        <w:t>.</w:t>
      </w:r>
      <w:r>
        <w:t xml:space="preserve"> However, there are certain exceptions to this rule.</w:t>
      </w:r>
    </w:p>
  </w:footnote>
  <w:footnote w:id="28">
    <w:p w14:paraId="4CA0D582" w14:textId="2AA5B287" w:rsidR="009707C2" w:rsidRPr="0010379F" w:rsidRDefault="009707C2" w:rsidP="00321CDE">
      <w:pPr>
        <w:pStyle w:val="FootnoteText"/>
      </w:pPr>
      <w:r>
        <w:rPr>
          <w:rStyle w:val="FootnoteReference"/>
        </w:rPr>
        <w:footnoteRef/>
      </w:r>
      <w:r>
        <w:t xml:space="preserve"> See </w:t>
      </w:r>
      <w:r w:rsidRPr="0010379F">
        <w:rPr>
          <w:b/>
          <w:iCs/>
        </w:rPr>
        <w:t>Government Department v Worker</w:t>
      </w:r>
      <w:r>
        <w:rPr>
          <w:b/>
        </w:rPr>
        <w:t> EDA 0612</w:t>
      </w:r>
      <w:r>
        <w:t>. See also</w:t>
      </w:r>
      <w:r w:rsidRPr="0010379F">
        <w:rPr>
          <w:b/>
        </w:rPr>
        <w:t xml:space="preserve"> </w:t>
      </w:r>
      <w:r w:rsidRPr="0010379F">
        <w:rPr>
          <w:b/>
          <w:iCs/>
        </w:rPr>
        <w:t>Complainant v Employer DEC–E2008–068.</w:t>
      </w:r>
    </w:p>
  </w:footnote>
  <w:footnote w:id="29">
    <w:p w14:paraId="512BB04C" w14:textId="1D16533A" w:rsidR="009707C2" w:rsidRDefault="009707C2" w:rsidP="00863575">
      <w:pPr>
        <w:pStyle w:val="FootnoteText"/>
      </w:pPr>
      <w:r>
        <w:rPr>
          <w:rStyle w:val="FootnoteReference"/>
        </w:rPr>
        <w:footnoteRef/>
      </w:r>
      <w:r>
        <w:t xml:space="preserve"> </w:t>
      </w:r>
      <w:r w:rsidRPr="006764C9">
        <w:t>The</w:t>
      </w:r>
      <w:r>
        <w:t xml:space="preserve">re is a commitment in the </w:t>
      </w:r>
      <w:r w:rsidRPr="006764C9">
        <w:rPr>
          <w:b/>
        </w:rPr>
        <w:t>Comprehensive Employment Strategy for People with Disabilities</w:t>
      </w:r>
      <w:r w:rsidRPr="006764C9">
        <w:t xml:space="preserve"> </w:t>
      </w:r>
      <w:r>
        <w:t>to</w:t>
      </w:r>
      <w:r w:rsidRPr="006764C9">
        <w:t xml:space="preserve"> progressively increase the statutory target of 3% of employees with disabilities in the public sector towards 6% by 2024.</w:t>
      </w:r>
      <w:r w:rsidRPr="006764C9">
        <w:rPr>
          <w:sz w:val="26"/>
          <w:szCs w:val="24"/>
        </w:rPr>
        <w:t xml:space="preserve"> </w:t>
      </w:r>
      <w:r w:rsidRPr="006764C9">
        <w:t xml:space="preserve">Government of Ireland (2015) </w:t>
      </w:r>
      <w:r w:rsidRPr="006764C9">
        <w:rPr>
          <w:b/>
        </w:rPr>
        <w:t>Comprehensive Employment Strategy for People with Disabilities 2015-2024</w:t>
      </w:r>
      <w:r>
        <w:t xml:space="preserve">, Dublin: </w:t>
      </w:r>
      <w:r w:rsidRPr="00FB3962">
        <w:t>Dublin: Stationery Office, p.3.</w:t>
      </w:r>
    </w:p>
  </w:footnote>
  <w:footnote w:id="30">
    <w:p w14:paraId="141725CF" w14:textId="77777777" w:rsidR="009707C2" w:rsidRDefault="009707C2" w:rsidP="00770B6A">
      <w:pPr>
        <w:pStyle w:val="FootnoteText"/>
      </w:pPr>
      <w:r>
        <w:rPr>
          <w:rStyle w:val="FootnoteReference"/>
        </w:rPr>
        <w:footnoteRef/>
      </w:r>
      <w:r>
        <w:t xml:space="preserve"> </w:t>
      </w:r>
      <w:r w:rsidRPr="0053132E">
        <w:rPr>
          <w:b/>
        </w:rPr>
        <w:t>Council </w:t>
      </w:r>
      <w:r w:rsidRPr="0053132E">
        <w:rPr>
          <w:b/>
          <w:bCs/>
        </w:rPr>
        <w:t>Directive</w:t>
      </w:r>
      <w:r w:rsidRPr="0053132E">
        <w:rPr>
          <w:b/>
        </w:rPr>
        <w:t> 2000/78/</w:t>
      </w:r>
      <w:r w:rsidRPr="0053132E">
        <w:rPr>
          <w:b/>
          <w:bCs/>
        </w:rPr>
        <w:t>EC</w:t>
      </w:r>
      <w:r w:rsidRPr="0053132E">
        <w:rPr>
          <w:b/>
        </w:rPr>
        <w:t> of 27 November 2000</w:t>
      </w:r>
      <w:r w:rsidRPr="00F7762B">
        <w:t xml:space="preserve"> establishing a general framework for equal treatment in </w:t>
      </w:r>
      <w:r w:rsidRPr="00F7762B">
        <w:rPr>
          <w:bCs/>
        </w:rPr>
        <w:t>employment</w:t>
      </w:r>
      <w:r w:rsidRPr="00F7762B">
        <w:t> and occupation.</w:t>
      </w:r>
    </w:p>
  </w:footnote>
  <w:footnote w:id="31">
    <w:p w14:paraId="06065F91" w14:textId="4AF9BA3C" w:rsidR="009707C2" w:rsidRDefault="009707C2">
      <w:pPr>
        <w:pStyle w:val="FootnoteText"/>
      </w:pPr>
      <w:r>
        <w:rPr>
          <w:rStyle w:val="FootnoteReference"/>
        </w:rPr>
        <w:footnoteRef/>
      </w:r>
      <w:r>
        <w:t xml:space="preserve"> For a comprehensive overview of the obligation to provide reasonable accommodation under the </w:t>
      </w:r>
      <w:r w:rsidRPr="009A56F3">
        <w:rPr>
          <w:b/>
        </w:rPr>
        <w:t>Employment Equality Directive</w:t>
      </w:r>
      <w:r>
        <w:t xml:space="preserve"> and protections across European Union Member States, see Ferri, D. &amp; Lawson, A. (2016) </w:t>
      </w:r>
      <w:r w:rsidRPr="009A56F3">
        <w:rPr>
          <w:b/>
        </w:rPr>
        <w:t>Reasonable accommodation for disabled people in employment</w:t>
      </w:r>
      <w:r>
        <w:t>, Brussels: European Commission.</w:t>
      </w:r>
    </w:p>
  </w:footnote>
  <w:footnote w:id="32">
    <w:p w14:paraId="0D15941E" w14:textId="45A876B6" w:rsidR="009707C2" w:rsidRPr="0067563E" w:rsidRDefault="009707C2">
      <w:pPr>
        <w:pStyle w:val="FootnoteText"/>
      </w:pPr>
      <w:r>
        <w:rPr>
          <w:rStyle w:val="FootnoteReference"/>
        </w:rPr>
        <w:footnoteRef/>
      </w:r>
      <w:r>
        <w:t xml:space="preserve"> Concerns have been raised about the need to amend the </w:t>
      </w:r>
      <w:r w:rsidRPr="00500675">
        <w:rPr>
          <w:b/>
        </w:rPr>
        <w:t>Employment Equality Acts</w:t>
      </w:r>
      <w:r>
        <w:t xml:space="preserve"> in light of the </w:t>
      </w:r>
      <w:r w:rsidRPr="00500675">
        <w:rPr>
          <w:b/>
        </w:rPr>
        <w:t>Employment Equality Directive</w:t>
      </w:r>
      <w:r>
        <w:t>. See Quinlivan, S. &amp; Quinn, G. (2003) “</w:t>
      </w:r>
      <w:r w:rsidRPr="00500675">
        <w:t>Disability Discrimination: The Need to Amend the Employment Equality Act 1998 in Light of the EU Framework Directive on Employment?</w:t>
      </w:r>
      <w:r>
        <w:t xml:space="preserve">” in Costello, C. &amp; Barry, E. (eds.) </w:t>
      </w:r>
      <w:r w:rsidRPr="0067563E">
        <w:rPr>
          <w:b/>
        </w:rPr>
        <w:t>Equality in Diversity: The New Equality Directives</w:t>
      </w:r>
      <w:r>
        <w:rPr>
          <w:b/>
        </w:rPr>
        <w:t xml:space="preserve">, </w:t>
      </w:r>
      <w:r>
        <w:t>Dublin: Irish Centre for European Law.</w:t>
      </w:r>
    </w:p>
  </w:footnote>
  <w:footnote w:id="33">
    <w:p w14:paraId="571233A4" w14:textId="7D387D27" w:rsidR="009707C2" w:rsidRDefault="009707C2">
      <w:pPr>
        <w:pStyle w:val="FootnoteText"/>
      </w:pPr>
      <w:r>
        <w:rPr>
          <w:rStyle w:val="FootnoteReference"/>
        </w:rPr>
        <w:footnoteRef/>
      </w:r>
      <w:r>
        <w:t xml:space="preserve"> </w:t>
      </w:r>
      <w:r w:rsidRPr="00FB3962">
        <w:rPr>
          <w:b/>
        </w:rPr>
        <w:t>U</w:t>
      </w:r>
      <w:r>
        <w:rPr>
          <w:b/>
        </w:rPr>
        <w:t xml:space="preserve">nited </w:t>
      </w:r>
      <w:r w:rsidRPr="00FB3962">
        <w:rPr>
          <w:b/>
        </w:rPr>
        <w:t>N</w:t>
      </w:r>
      <w:r>
        <w:rPr>
          <w:b/>
        </w:rPr>
        <w:t>ations</w:t>
      </w:r>
      <w:r w:rsidRPr="00FB3962">
        <w:rPr>
          <w:b/>
        </w:rPr>
        <w:t xml:space="preserve"> Convention on the Rights of Persons with Disabilities</w:t>
      </w:r>
      <w:r>
        <w:t>, article 2.</w:t>
      </w:r>
    </w:p>
  </w:footnote>
  <w:footnote w:id="34">
    <w:p w14:paraId="7053F251" w14:textId="0EE0AB79" w:rsidR="009707C2" w:rsidRDefault="009707C2">
      <w:pPr>
        <w:pStyle w:val="FootnoteText"/>
      </w:pPr>
      <w:r>
        <w:rPr>
          <w:rStyle w:val="FootnoteReference"/>
        </w:rPr>
        <w:footnoteRef/>
      </w:r>
      <w:r>
        <w:t xml:space="preserve"> Fasciglione, M. (2015) ‘</w:t>
      </w:r>
      <w:r w:rsidRPr="00EC2FA6">
        <w:t>Article 27 of the CRPD and the Right of Inclusive Employment of People with Autism</w:t>
      </w:r>
      <w:r>
        <w:t xml:space="preserve">’ in </w:t>
      </w:r>
      <w:r w:rsidRPr="004B4E47">
        <w:t>Della Fina</w:t>
      </w:r>
      <w:r>
        <w:t xml:space="preserve"> V. &amp; </w:t>
      </w:r>
      <w:r w:rsidRPr="004B4E47">
        <w:t xml:space="preserve">Cera </w:t>
      </w:r>
      <w:r>
        <w:t xml:space="preserve">R. </w:t>
      </w:r>
      <w:r w:rsidRPr="004B4E47">
        <w:t xml:space="preserve">(eds.), </w:t>
      </w:r>
      <w:r w:rsidRPr="00EC2FA6">
        <w:rPr>
          <w:b/>
        </w:rPr>
        <w:t>Protecting the Rights of People with Autism in the Fields of Education and Employment</w:t>
      </w:r>
      <w:r>
        <w:t>, Rome: Springer International.</w:t>
      </w:r>
    </w:p>
  </w:footnote>
  <w:footnote w:id="35">
    <w:p w14:paraId="5F84022A" w14:textId="77777777" w:rsidR="009707C2" w:rsidRDefault="009707C2">
      <w:pPr>
        <w:pStyle w:val="FootnoteText"/>
      </w:pPr>
      <w:r>
        <w:rPr>
          <w:rStyle w:val="FootnoteReference"/>
        </w:rPr>
        <w:footnoteRef/>
      </w:r>
      <w:r>
        <w:t xml:space="preserve"> </w:t>
      </w:r>
      <w:r w:rsidRPr="00E2150D">
        <w:rPr>
          <w:b/>
        </w:rPr>
        <w:t>Irish Human Rights and Equality Commission Act 2014</w:t>
      </w:r>
      <w:r>
        <w:t>, section 40.</w:t>
      </w:r>
    </w:p>
  </w:footnote>
  <w:footnote w:id="36">
    <w:p w14:paraId="6653DF18" w14:textId="77777777" w:rsidR="009707C2" w:rsidRDefault="009707C2">
      <w:pPr>
        <w:pStyle w:val="FootnoteText"/>
      </w:pPr>
      <w:r>
        <w:rPr>
          <w:rStyle w:val="FootnoteReference"/>
        </w:rPr>
        <w:footnoteRef/>
      </w:r>
      <w:r>
        <w:t xml:space="preserve"> </w:t>
      </w:r>
      <w:r w:rsidRPr="00E2150D">
        <w:rPr>
          <w:b/>
        </w:rPr>
        <w:t>Irish Human Rights and Equality Commission Act 2014</w:t>
      </w:r>
      <w:r>
        <w:t>, section 30(1)(b).</w:t>
      </w:r>
    </w:p>
  </w:footnote>
  <w:footnote w:id="37">
    <w:p w14:paraId="3AA293C1" w14:textId="77777777" w:rsidR="009707C2" w:rsidRDefault="009707C2">
      <w:pPr>
        <w:pStyle w:val="FootnoteText"/>
      </w:pPr>
      <w:r>
        <w:rPr>
          <w:rStyle w:val="FootnoteReference"/>
        </w:rPr>
        <w:footnoteRef/>
      </w:r>
      <w:r>
        <w:t xml:space="preserve"> </w:t>
      </w:r>
      <w:r w:rsidRPr="00E2150D">
        <w:rPr>
          <w:b/>
        </w:rPr>
        <w:t>Irish Human Rights and Equality Commission Act 2014</w:t>
      </w:r>
      <w:r>
        <w:t>, section 30(1)(b).</w:t>
      </w:r>
    </w:p>
  </w:footnote>
  <w:footnote w:id="38">
    <w:p w14:paraId="0A0B2C82" w14:textId="33808356" w:rsidR="009707C2" w:rsidRPr="00F561AA" w:rsidRDefault="009707C2">
      <w:pPr>
        <w:pStyle w:val="FootnoteText"/>
        <w:rPr>
          <w:b/>
          <w:bCs/>
        </w:rPr>
      </w:pPr>
      <w:r>
        <w:rPr>
          <w:rStyle w:val="FootnoteReference"/>
        </w:rPr>
        <w:footnoteRef/>
      </w:r>
      <w:r>
        <w:t xml:space="preserve"> National Disability Authority reports on </w:t>
      </w:r>
      <w:r w:rsidRPr="00F561AA">
        <w:rPr>
          <w:b/>
          <w:bCs/>
        </w:rPr>
        <w:t>Compliance with Part 5 of the Disability Act on the Employment of People with Disabilities in the Public Sector</w:t>
      </w:r>
      <w:r>
        <w:rPr>
          <w:b/>
          <w:bCs/>
        </w:rPr>
        <w:t xml:space="preserve"> </w:t>
      </w:r>
      <w:r>
        <w:rPr>
          <w:bCs/>
        </w:rPr>
        <w:t>are available on the NDA website &lt;</w:t>
      </w:r>
      <w:hyperlink r:id="rId2" w:history="1">
        <w:r w:rsidRPr="00F9088F">
          <w:rPr>
            <w:rStyle w:val="Hyperlink"/>
          </w:rPr>
          <w:t>http://nda.ie/Publications/Employment/Employment-Publications/</w:t>
        </w:r>
      </w:hyperlink>
      <w:r>
        <w:t>&gt;.</w:t>
      </w:r>
    </w:p>
  </w:footnote>
  <w:footnote w:id="39">
    <w:p w14:paraId="1A6BC2DA" w14:textId="0EA54A7D" w:rsidR="009707C2" w:rsidRPr="00F561AA" w:rsidRDefault="009707C2">
      <w:pPr>
        <w:pStyle w:val="FootnoteText"/>
      </w:pPr>
      <w:r>
        <w:rPr>
          <w:rStyle w:val="FootnoteReference"/>
        </w:rPr>
        <w:footnoteRef/>
      </w:r>
      <w:r>
        <w:t xml:space="preserve"> </w:t>
      </w:r>
      <w:r w:rsidRPr="00F561AA">
        <w:rPr>
          <w:b/>
        </w:rPr>
        <w:t>Employment Equality Acts 1998-2015</w:t>
      </w:r>
      <w:r>
        <w:t>, section 2.</w:t>
      </w:r>
    </w:p>
  </w:footnote>
  <w:footnote w:id="40">
    <w:p w14:paraId="0447143D" w14:textId="7C0C26F0" w:rsidR="009707C2" w:rsidRDefault="009707C2">
      <w:pPr>
        <w:pStyle w:val="FootnoteText"/>
      </w:pPr>
      <w:r>
        <w:rPr>
          <w:rStyle w:val="FootnoteReference"/>
        </w:rPr>
        <w:footnoteRef/>
      </w:r>
      <w:r>
        <w:t xml:space="preserve"> </w:t>
      </w:r>
      <w:r w:rsidRPr="00F561AA">
        <w:rPr>
          <w:b/>
        </w:rPr>
        <w:t>Disability Act 2005</w:t>
      </w:r>
      <w:r>
        <w:t>, section 2(1).</w:t>
      </w:r>
    </w:p>
  </w:footnote>
  <w:footnote w:id="41">
    <w:p w14:paraId="69B71F16" w14:textId="2DDEF534" w:rsidR="009707C2" w:rsidRDefault="009707C2" w:rsidP="00536B99">
      <w:pPr>
        <w:pStyle w:val="FootnoteText"/>
      </w:pPr>
      <w:r>
        <w:rPr>
          <w:rStyle w:val="FootnoteReference"/>
        </w:rPr>
        <w:footnoteRef/>
      </w:r>
      <w:r>
        <w:t xml:space="preserve"> O'Neill, A. &amp; Urquhart, C. (2011)</w:t>
      </w:r>
      <w:r w:rsidRPr="00B6041E">
        <w:t xml:space="preserve"> </w:t>
      </w:r>
      <w:r>
        <w:t>‘</w:t>
      </w:r>
      <w:r w:rsidRPr="00F561AA">
        <w:t>Accommodating Employees with Disabilities: Perceptions of Irish Academic Library Managers</w:t>
      </w:r>
      <w:r>
        <w:t>’,</w:t>
      </w:r>
      <w:r w:rsidRPr="00B6041E">
        <w:t xml:space="preserve"> </w:t>
      </w:r>
      <w:r w:rsidRPr="00F561AA">
        <w:rPr>
          <w:b/>
        </w:rPr>
        <w:t>New Review of Academic Librarianship</w:t>
      </w:r>
      <w:r>
        <w:t>, 17(</w:t>
      </w:r>
      <w:r w:rsidRPr="00B6041E">
        <w:t>2</w:t>
      </w:r>
      <w:r>
        <w:t>)</w:t>
      </w:r>
      <w:r w:rsidRPr="00B6041E">
        <w:t xml:space="preserve">, </w:t>
      </w:r>
      <w:r>
        <w:t>234-258.</w:t>
      </w:r>
    </w:p>
  </w:footnote>
  <w:footnote w:id="42">
    <w:p w14:paraId="3130811C" w14:textId="37F72595" w:rsidR="009707C2" w:rsidRDefault="009707C2">
      <w:pPr>
        <w:pStyle w:val="FootnoteText"/>
      </w:pPr>
      <w:r>
        <w:rPr>
          <w:rStyle w:val="FootnoteReference"/>
        </w:rPr>
        <w:footnoteRef/>
      </w:r>
      <w:r>
        <w:t xml:space="preserve"> Purdy, A. (2015) </w:t>
      </w:r>
      <w:r w:rsidRPr="0053132E">
        <w:rPr>
          <w:b/>
        </w:rPr>
        <w:t>Equality Law in the Workplace</w:t>
      </w:r>
      <w:r>
        <w:t>, Dublin: Bloomsbury Professional, para. 17.17.</w:t>
      </w:r>
    </w:p>
  </w:footnote>
  <w:footnote w:id="43">
    <w:p w14:paraId="244AF561" w14:textId="0ED3FC74" w:rsidR="009707C2" w:rsidRDefault="009707C2">
      <w:pPr>
        <w:pStyle w:val="FootnoteText"/>
      </w:pPr>
      <w:r>
        <w:rPr>
          <w:rStyle w:val="FootnoteReference"/>
        </w:rPr>
        <w:footnoteRef/>
      </w:r>
      <w:r>
        <w:t xml:space="preserve"> </w:t>
      </w:r>
      <w:r w:rsidRPr="00F561AA">
        <w:rPr>
          <w:b/>
        </w:rPr>
        <w:t>Employment Equality Acts 1998-2015</w:t>
      </w:r>
      <w:r>
        <w:t>, section 16(3)-(4).</w:t>
      </w:r>
    </w:p>
  </w:footnote>
  <w:footnote w:id="44">
    <w:p w14:paraId="24E76FD9" w14:textId="63F20475" w:rsidR="009707C2" w:rsidRDefault="009707C2">
      <w:pPr>
        <w:pStyle w:val="FootnoteText"/>
      </w:pPr>
      <w:r>
        <w:rPr>
          <w:rStyle w:val="FootnoteReference"/>
        </w:rPr>
        <w:footnoteRef/>
      </w:r>
      <w:r>
        <w:t xml:space="preserve"> </w:t>
      </w:r>
      <w:r w:rsidRPr="00F561AA">
        <w:rPr>
          <w:b/>
        </w:rPr>
        <w:t>Employment Equality Acts 1998-2015</w:t>
      </w:r>
      <w:r>
        <w:t>, section 16(4)(a).</w:t>
      </w:r>
    </w:p>
  </w:footnote>
  <w:footnote w:id="45">
    <w:p w14:paraId="2CD5DB27" w14:textId="77777777" w:rsidR="009707C2" w:rsidRDefault="009707C2" w:rsidP="00536B99">
      <w:pPr>
        <w:pStyle w:val="FootnoteText"/>
      </w:pPr>
      <w:r>
        <w:rPr>
          <w:rStyle w:val="FootnoteReference"/>
        </w:rPr>
        <w:footnoteRef/>
      </w:r>
      <w:r>
        <w:t xml:space="preserve"> </w:t>
      </w:r>
      <w:r w:rsidRPr="0053132E">
        <w:rPr>
          <w:b/>
        </w:rPr>
        <w:t>Employment Equality Acts 1998-2015</w:t>
      </w:r>
      <w:r w:rsidRPr="00565154">
        <w:t>, section 16</w:t>
      </w:r>
      <w:r>
        <w:t>(4)</w:t>
      </w:r>
      <w:r w:rsidRPr="00565154">
        <w:t>.</w:t>
      </w:r>
    </w:p>
  </w:footnote>
  <w:footnote w:id="46">
    <w:p w14:paraId="1C4DD9DF" w14:textId="3D36FBBD" w:rsidR="009707C2" w:rsidRDefault="009707C2">
      <w:pPr>
        <w:pStyle w:val="FootnoteText"/>
      </w:pPr>
      <w:r>
        <w:rPr>
          <w:rStyle w:val="FootnoteReference"/>
        </w:rPr>
        <w:footnoteRef/>
      </w:r>
      <w:r>
        <w:t xml:space="preserve"> </w:t>
      </w:r>
      <w:r w:rsidRPr="00A97432">
        <w:t xml:space="preserve">Bell, M. </w:t>
      </w:r>
      <w:r w:rsidRPr="00A97432">
        <w:rPr>
          <w:bCs/>
        </w:rPr>
        <w:t>(2018) ‘</w:t>
      </w:r>
      <w:r w:rsidRPr="00A97432">
        <w:t>Pitfalls and Progress: Reasonable Accommodation for Workers with Disabilities in Ireland</w:t>
      </w:r>
      <w:r w:rsidRPr="00A97432">
        <w:rPr>
          <w:bCs/>
        </w:rPr>
        <w:t xml:space="preserve">’, </w:t>
      </w:r>
      <w:r w:rsidRPr="00A97432">
        <w:rPr>
          <w:b/>
          <w:bCs/>
          <w:iCs/>
        </w:rPr>
        <w:t>Dublin University Law Journal</w:t>
      </w:r>
      <w:r w:rsidRPr="00A97432">
        <w:rPr>
          <w:bCs/>
          <w:iCs/>
        </w:rPr>
        <w:t>,</w:t>
      </w:r>
      <w:r w:rsidRPr="00A97432">
        <w:rPr>
          <w:b/>
          <w:bCs/>
          <w:iCs/>
        </w:rPr>
        <w:t xml:space="preserve"> </w:t>
      </w:r>
      <w:r w:rsidRPr="00A97432">
        <w:rPr>
          <w:bCs/>
          <w:iCs/>
        </w:rPr>
        <w:t>41, 77-96.</w:t>
      </w:r>
    </w:p>
  </w:footnote>
  <w:footnote w:id="47">
    <w:p w14:paraId="4C87E0F4" w14:textId="25878A3C" w:rsidR="009707C2" w:rsidRDefault="009707C2">
      <w:pPr>
        <w:pStyle w:val="FootnoteText"/>
      </w:pPr>
      <w:r>
        <w:rPr>
          <w:rStyle w:val="FootnoteReference"/>
        </w:rPr>
        <w:footnoteRef/>
      </w:r>
      <w:r>
        <w:t xml:space="preserve"> </w:t>
      </w:r>
      <w:r w:rsidRPr="00A97432">
        <w:t xml:space="preserve">Bell, M. </w:t>
      </w:r>
      <w:r w:rsidRPr="00A97432">
        <w:rPr>
          <w:bCs/>
        </w:rPr>
        <w:t>(2018) ‘</w:t>
      </w:r>
      <w:r w:rsidRPr="00A97432">
        <w:t>Pitfalls and Progress: Reasonable Accommodation for Workers with Disabilities in Ireland</w:t>
      </w:r>
      <w:r w:rsidRPr="00A97432">
        <w:rPr>
          <w:bCs/>
        </w:rPr>
        <w:t xml:space="preserve">’, </w:t>
      </w:r>
      <w:r w:rsidRPr="00A97432">
        <w:rPr>
          <w:b/>
          <w:bCs/>
          <w:iCs/>
        </w:rPr>
        <w:t>Dublin University Law Journal</w:t>
      </w:r>
      <w:r w:rsidRPr="00A97432">
        <w:rPr>
          <w:bCs/>
          <w:iCs/>
        </w:rPr>
        <w:t>,</w:t>
      </w:r>
      <w:r w:rsidRPr="00A97432">
        <w:rPr>
          <w:b/>
          <w:bCs/>
          <w:iCs/>
        </w:rPr>
        <w:t xml:space="preserve"> </w:t>
      </w:r>
      <w:r w:rsidRPr="00A97432">
        <w:rPr>
          <w:bCs/>
          <w:iCs/>
        </w:rPr>
        <w:t>41, 77-96.</w:t>
      </w:r>
    </w:p>
  </w:footnote>
  <w:footnote w:id="48">
    <w:p w14:paraId="48B83E79" w14:textId="77777777" w:rsidR="009707C2" w:rsidRDefault="009707C2" w:rsidP="002D0546">
      <w:pPr>
        <w:pStyle w:val="FootnoteText"/>
      </w:pPr>
      <w:r>
        <w:rPr>
          <w:rStyle w:val="FootnoteReference"/>
        </w:rPr>
        <w:footnoteRef/>
      </w:r>
      <w:r>
        <w:t xml:space="preserve"> </w:t>
      </w:r>
      <w:r w:rsidRPr="0053132E">
        <w:rPr>
          <w:b/>
        </w:rPr>
        <w:t>Employment Equality Acts 1998-2015</w:t>
      </w:r>
      <w:r w:rsidRPr="00565154">
        <w:t>, section 16</w:t>
      </w:r>
      <w:r>
        <w:t>(3)(c)</w:t>
      </w:r>
      <w:r w:rsidRPr="00565154">
        <w:t>.</w:t>
      </w:r>
    </w:p>
  </w:footnote>
  <w:footnote w:id="49">
    <w:p w14:paraId="10FE45EA" w14:textId="69F4A23F" w:rsidR="009707C2" w:rsidRDefault="009707C2">
      <w:pPr>
        <w:pStyle w:val="FootnoteText"/>
      </w:pPr>
      <w:r>
        <w:rPr>
          <w:rStyle w:val="FootnoteReference"/>
        </w:rPr>
        <w:footnoteRef/>
      </w:r>
      <w:r>
        <w:t xml:space="preserve"> </w:t>
      </w:r>
      <w:r w:rsidRPr="002D0546">
        <w:t xml:space="preserve">Purdy, A. (2015) </w:t>
      </w:r>
      <w:r w:rsidRPr="002D0546">
        <w:rPr>
          <w:b/>
        </w:rPr>
        <w:t>Equality Law in the Workplace</w:t>
      </w:r>
      <w:r w:rsidRPr="002D0546">
        <w:t xml:space="preserve">, Dublin: Bloomsbury Professional, </w:t>
      </w:r>
      <w:r>
        <w:t>p</w:t>
      </w:r>
      <w:r w:rsidRPr="002D0546">
        <w:t>.</w:t>
      </w:r>
      <w:r>
        <w:t>286.</w:t>
      </w:r>
    </w:p>
  </w:footnote>
  <w:footnote w:id="50">
    <w:p w14:paraId="07F2218A" w14:textId="7E8DAC36" w:rsidR="009707C2" w:rsidRPr="0041117A" w:rsidRDefault="009707C2">
      <w:pPr>
        <w:pStyle w:val="FootnoteText"/>
      </w:pPr>
      <w:r>
        <w:rPr>
          <w:rStyle w:val="FootnoteReference"/>
        </w:rPr>
        <w:footnoteRef/>
      </w:r>
      <w:r>
        <w:t xml:space="preserve"> Bell, M. </w:t>
      </w:r>
      <w:r w:rsidRPr="0041117A">
        <w:rPr>
          <w:bCs/>
        </w:rPr>
        <w:t>(</w:t>
      </w:r>
      <w:r>
        <w:rPr>
          <w:bCs/>
        </w:rPr>
        <w:t>201</w:t>
      </w:r>
      <w:r w:rsidRPr="0041117A">
        <w:rPr>
          <w:bCs/>
        </w:rPr>
        <w:t>8) ‘</w:t>
      </w:r>
      <w:r w:rsidRPr="0041117A">
        <w:t>Pitfalls and Progress: Reasonable Accommodation for Workers with Disabilities in Ireland</w:t>
      </w:r>
      <w:r w:rsidRPr="0041117A">
        <w:rPr>
          <w:bCs/>
        </w:rPr>
        <w:t xml:space="preserve">’, </w:t>
      </w:r>
      <w:r w:rsidRPr="0041117A">
        <w:rPr>
          <w:b/>
          <w:bCs/>
          <w:iCs/>
        </w:rPr>
        <w:t>Dublin University Law Journal</w:t>
      </w:r>
      <w:r w:rsidRPr="0041117A">
        <w:rPr>
          <w:bCs/>
          <w:iCs/>
        </w:rPr>
        <w:t>,</w:t>
      </w:r>
      <w:r w:rsidRPr="0041117A">
        <w:rPr>
          <w:b/>
          <w:bCs/>
          <w:iCs/>
        </w:rPr>
        <w:t xml:space="preserve"> </w:t>
      </w:r>
      <w:r>
        <w:rPr>
          <w:bCs/>
          <w:iCs/>
        </w:rPr>
        <w:t>41, 77-96</w:t>
      </w:r>
      <w:r w:rsidRPr="0041117A">
        <w:rPr>
          <w:bCs/>
          <w:iCs/>
        </w:rPr>
        <w:t>.</w:t>
      </w:r>
    </w:p>
  </w:footnote>
  <w:footnote w:id="51">
    <w:p w14:paraId="2562AE02" w14:textId="7F1D63A6" w:rsidR="009707C2" w:rsidRDefault="009707C2">
      <w:pPr>
        <w:pStyle w:val="FootnoteText"/>
      </w:pPr>
      <w:r>
        <w:rPr>
          <w:rStyle w:val="FootnoteReference"/>
        </w:rPr>
        <w:footnoteRef/>
      </w:r>
      <w:r>
        <w:t xml:space="preserve"> </w:t>
      </w:r>
      <w:r w:rsidRPr="00346BBE">
        <w:t xml:space="preserve">Bell, M. </w:t>
      </w:r>
      <w:r w:rsidRPr="00346BBE">
        <w:rPr>
          <w:bCs/>
        </w:rPr>
        <w:t>(2018) ‘</w:t>
      </w:r>
      <w:r w:rsidRPr="00346BBE">
        <w:t>Pitfalls and Progress: Reasonable Accommodation for Workers with Disabilities in Ireland</w:t>
      </w:r>
      <w:r w:rsidRPr="00346BBE">
        <w:rPr>
          <w:bCs/>
        </w:rPr>
        <w:t xml:space="preserve">’, </w:t>
      </w:r>
      <w:r w:rsidRPr="00346BBE">
        <w:rPr>
          <w:b/>
          <w:bCs/>
          <w:iCs/>
        </w:rPr>
        <w:t>Dublin University Law Journal</w:t>
      </w:r>
      <w:r w:rsidRPr="00346BBE">
        <w:rPr>
          <w:bCs/>
          <w:iCs/>
        </w:rPr>
        <w:t>,</w:t>
      </w:r>
      <w:r w:rsidRPr="00346BBE">
        <w:rPr>
          <w:b/>
          <w:bCs/>
          <w:iCs/>
        </w:rPr>
        <w:t xml:space="preserve"> </w:t>
      </w:r>
      <w:r w:rsidRPr="00346BBE">
        <w:rPr>
          <w:bCs/>
          <w:iCs/>
        </w:rPr>
        <w:t>41, 77-96.</w:t>
      </w:r>
    </w:p>
  </w:footnote>
  <w:footnote w:id="52">
    <w:p w14:paraId="1499AB6D" w14:textId="2DAD5B66" w:rsidR="009707C2" w:rsidRDefault="009707C2">
      <w:pPr>
        <w:pStyle w:val="FootnoteText"/>
      </w:pPr>
      <w:r>
        <w:rPr>
          <w:rStyle w:val="FootnoteReference"/>
        </w:rPr>
        <w:footnoteRef/>
      </w:r>
      <w:r>
        <w:t xml:space="preserve"> </w:t>
      </w:r>
      <w:r w:rsidRPr="00C817CA">
        <w:t xml:space="preserve">Bell, M. </w:t>
      </w:r>
      <w:r w:rsidRPr="00C817CA">
        <w:rPr>
          <w:bCs/>
        </w:rPr>
        <w:t>(2018) ‘</w:t>
      </w:r>
      <w:r w:rsidRPr="00C817CA">
        <w:t>Pitfalls and Progress: Reasonable Accommodation for Workers with Disabilities in Ireland</w:t>
      </w:r>
      <w:r w:rsidRPr="00C817CA">
        <w:rPr>
          <w:bCs/>
        </w:rPr>
        <w:t xml:space="preserve">’, </w:t>
      </w:r>
      <w:r w:rsidRPr="00C817CA">
        <w:rPr>
          <w:b/>
          <w:bCs/>
          <w:iCs/>
        </w:rPr>
        <w:t>Dublin University Law Journal</w:t>
      </w:r>
      <w:r w:rsidRPr="00C817CA">
        <w:rPr>
          <w:bCs/>
          <w:iCs/>
        </w:rPr>
        <w:t>,</w:t>
      </w:r>
      <w:r w:rsidRPr="00C817CA">
        <w:rPr>
          <w:b/>
          <w:bCs/>
          <w:iCs/>
        </w:rPr>
        <w:t xml:space="preserve"> </w:t>
      </w:r>
      <w:r w:rsidRPr="00C817CA">
        <w:rPr>
          <w:bCs/>
          <w:iCs/>
        </w:rPr>
        <w:t>41, 77-96.</w:t>
      </w:r>
    </w:p>
  </w:footnote>
  <w:footnote w:id="53">
    <w:p w14:paraId="2E2A3175" w14:textId="508ECD01" w:rsidR="009707C2" w:rsidRDefault="009707C2" w:rsidP="00536B99">
      <w:pPr>
        <w:pStyle w:val="FootnoteText"/>
      </w:pPr>
      <w:r>
        <w:rPr>
          <w:rStyle w:val="FootnoteReference"/>
        </w:rPr>
        <w:footnoteRef/>
      </w:r>
      <w:r>
        <w:t xml:space="preserve"> Barry, E. (2013) </w:t>
      </w:r>
      <w:r w:rsidRPr="00075581">
        <w:rPr>
          <w:b/>
        </w:rPr>
        <w:t>Case Law Review on Mental Health in the Workplace</w:t>
      </w:r>
      <w:r>
        <w:t>, Dublin: See Change, p.30.</w:t>
      </w:r>
    </w:p>
  </w:footnote>
  <w:footnote w:id="54">
    <w:p w14:paraId="23B82B26" w14:textId="77777777" w:rsidR="009707C2" w:rsidRPr="0053132E" w:rsidRDefault="009707C2" w:rsidP="00536B99">
      <w:pPr>
        <w:pStyle w:val="FootnoteText"/>
        <w:rPr>
          <w:b/>
        </w:rPr>
      </w:pPr>
      <w:r>
        <w:rPr>
          <w:rStyle w:val="FootnoteReference"/>
        </w:rPr>
        <w:footnoteRef/>
      </w:r>
      <w:r>
        <w:t xml:space="preserve"> </w:t>
      </w:r>
      <w:r w:rsidRPr="0053132E">
        <w:rPr>
          <w:b/>
        </w:rPr>
        <w:t xml:space="preserve">Humphreys v Westwood Fitness Club </w:t>
      </w:r>
      <w:r w:rsidRPr="0053132E">
        <w:rPr>
          <w:b/>
          <w:iCs/>
        </w:rPr>
        <w:t>[2004] E.L.R. 296.</w:t>
      </w:r>
    </w:p>
  </w:footnote>
  <w:footnote w:id="55">
    <w:p w14:paraId="2C340F03" w14:textId="285979D2" w:rsidR="009707C2" w:rsidRDefault="009707C2">
      <w:pPr>
        <w:pStyle w:val="FootnoteText"/>
      </w:pPr>
      <w:r>
        <w:rPr>
          <w:rStyle w:val="FootnoteReference"/>
        </w:rPr>
        <w:footnoteRef/>
      </w:r>
      <w:r>
        <w:t xml:space="preserve"> </w:t>
      </w:r>
      <w:r w:rsidRPr="00F629BC">
        <w:t xml:space="preserve">Bell, M. </w:t>
      </w:r>
      <w:r w:rsidRPr="00F629BC">
        <w:rPr>
          <w:bCs/>
        </w:rPr>
        <w:t>(2018) ‘</w:t>
      </w:r>
      <w:r w:rsidRPr="00F629BC">
        <w:t>Pitfalls and Progress: Reasonable Accommodation for Workers with Disabilities in Ireland</w:t>
      </w:r>
      <w:r w:rsidRPr="00F629BC">
        <w:rPr>
          <w:bCs/>
        </w:rPr>
        <w:t xml:space="preserve">’, </w:t>
      </w:r>
      <w:r w:rsidRPr="00F629BC">
        <w:rPr>
          <w:b/>
          <w:bCs/>
          <w:iCs/>
        </w:rPr>
        <w:t>Dublin University Law Journal</w:t>
      </w:r>
      <w:r w:rsidRPr="00F629BC">
        <w:rPr>
          <w:bCs/>
          <w:iCs/>
        </w:rPr>
        <w:t>,</w:t>
      </w:r>
      <w:r w:rsidRPr="00F629BC">
        <w:rPr>
          <w:b/>
          <w:bCs/>
          <w:iCs/>
        </w:rPr>
        <w:t xml:space="preserve"> </w:t>
      </w:r>
      <w:r w:rsidRPr="00F629BC">
        <w:rPr>
          <w:bCs/>
          <w:iCs/>
        </w:rPr>
        <w:t>41, 77-96.</w:t>
      </w:r>
    </w:p>
  </w:footnote>
  <w:footnote w:id="56">
    <w:p w14:paraId="6B5C1BE1" w14:textId="77777777" w:rsidR="009707C2" w:rsidRPr="0053132E" w:rsidRDefault="009707C2" w:rsidP="00536B99">
      <w:pPr>
        <w:pStyle w:val="FootnoteText"/>
        <w:rPr>
          <w:b/>
        </w:rPr>
      </w:pPr>
      <w:r w:rsidRPr="0053132E">
        <w:rPr>
          <w:rStyle w:val="FootnoteReference"/>
          <w:b/>
        </w:rPr>
        <w:footnoteRef/>
      </w:r>
      <w:r w:rsidRPr="0053132E">
        <w:rPr>
          <w:b/>
        </w:rPr>
        <w:t xml:space="preserve"> </w:t>
      </w:r>
      <w:r w:rsidRPr="0053132E">
        <w:rPr>
          <w:b/>
          <w:bCs/>
        </w:rPr>
        <w:t>A Worker -v- A Hotel [EDA0721]</w:t>
      </w:r>
      <w:r w:rsidRPr="0053132E">
        <w:rPr>
          <w:b/>
        </w:rPr>
        <w:t>.</w:t>
      </w:r>
    </w:p>
  </w:footnote>
  <w:footnote w:id="57">
    <w:p w14:paraId="47A68717" w14:textId="77777777" w:rsidR="009707C2" w:rsidRDefault="009707C2" w:rsidP="00536B99">
      <w:pPr>
        <w:pStyle w:val="FootnoteText"/>
      </w:pPr>
      <w:r w:rsidRPr="0053132E">
        <w:rPr>
          <w:rStyle w:val="FootnoteReference"/>
          <w:b/>
        </w:rPr>
        <w:footnoteRef/>
      </w:r>
      <w:r w:rsidRPr="0053132E">
        <w:rPr>
          <w:b/>
        </w:rPr>
        <w:t xml:space="preserve"> </w:t>
      </w:r>
      <w:r w:rsidRPr="0053132E">
        <w:rPr>
          <w:b/>
          <w:bCs/>
        </w:rPr>
        <w:t>An Employer v A Worker [EDA0413</w:t>
      </w:r>
      <w:r w:rsidRPr="000A6B79">
        <w:rPr>
          <w:bCs/>
        </w:rPr>
        <w:t>]</w:t>
      </w:r>
      <w:r>
        <w:rPr>
          <w:bCs/>
        </w:rPr>
        <w:t>.</w:t>
      </w:r>
    </w:p>
  </w:footnote>
  <w:footnote w:id="58">
    <w:p w14:paraId="6067A839" w14:textId="77777777" w:rsidR="009707C2" w:rsidRDefault="009707C2" w:rsidP="00DC0EE6">
      <w:pPr>
        <w:pStyle w:val="FootnoteText"/>
      </w:pPr>
      <w:r>
        <w:rPr>
          <w:rStyle w:val="FootnoteReference"/>
        </w:rPr>
        <w:footnoteRef/>
      </w:r>
      <w:r>
        <w:t xml:space="preserve"> IHREC’s </w:t>
      </w:r>
      <w:r w:rsidRPr="00E97DB5">
        <w:t>legal powers include the power to apply to the High Court, Court of Appeals or the Supreme Court for liberty to appear before the courts as </w:t>
      </w:r>
      <w:r w:rsidRPr="00E97DB5">
        <w:rPr>
          <w:iCs/>
        </w:rPr>
        <w:t>amicus curiae</w:t>
      </w:r>
      <w:r w:rsidRPr="00E97DB5">
        <w:t> (friend of the court) in proceedings tha</w:t>
      </w:r>
      <w:r>
        <w:t>t involve or are concerned with</w:t>
      </w:r>
      <w:r w:rsidRPr="00E97DB5">
        <w:t> human rights or equality.</w:t>
      </w:r>
      <w:r>
        <w:t xml:space="preserve"> More information is available from their website at &lt;</w:t>
      </w:r>
      <w:hyperlink r:id="rId3" w:history="1">
        <w:r w:rsidRPr="00E97DB5">
          <w:rPr>
            <w:rStyle w:val="Hyperlink"/>
          </w:rPr>
          <w:t>https://www.ihrec.ie/our-work/legal-activity/amicus-curiae-power/</w:t>
        </w:r>
      </w:hyperlink>
      <w:r>
        <w:t>&gt;.</w:t>
      </w:r>
    </w:p>
  </w:footnote>
  <w:footnote w:id="59">
    <w:p w14:paraId="5A995D0A" w14:textId="554DFC46" w:rsidR="009707C2" w:rsidRDefault="009707C2">
      <w:pPr>
        <w:pStyle w:val="FootnoteText"/>
      </w:pPr>
      <w:r>
        <w:rPr>
          <w:rStyle w:val="FootnoteReference"/>
        </w:rPr>
        <w:footnoteRef/>
      </w:r>
      <w:r>
        <w:t xml:space="preserve"> </w:t>
      </w:r>
      <w:r w:rsidRPr="00C15A29">
        <w:t>Irish Human Right</w:t>
      </w:r>
      <w:r>
        <w:t xml:space="preserve">s and Equality Commission, </w:t>
      </w:r>
      <w:r w:rsidRPr="00C15A29">
        <w:rPr>
          <w:b/>
        </w:rPr>
        <w:t>‘Supreme Court Significantly Clarifies Rights of Persons with Disabilities to Reasonable Workplace Accommodation’</w:t>
      </w:r>
      <w:r>
        <w:rPr>
          <w:b/>
        </w:rPr>
        <w:t xml:space="preserve"> </w:t>
      </w:r>
      <w:r>
        <w:t>[press release]</w:t>
      </w:r>
      <w:r w:rsidRPr="00C15A29">
        <w:t>, available from their website at &lt;</w:t>
      </w:r>
      <w:hyperlink r:id="rId4" w:history="1">
        <w:r w:rsidRPr="00C15A29">
          <w:rPr>
            <w:rStyle w:val="Hyperlink"/>
          </w:rPr>
          <w:t>https://www.ihrec.ie/supreme-court-significantly-clarifies-rights-of-persons-with-disabilities-to-reasonable-workplace-accommodation/</w:t>
        </w:r>
      </w:hyperlink>
      <w:r w:rsidRPr="00C15A29">
        <w:t>&gt;.</w:t>
      </w:r>
    </w:p>
  </w:footnote>
  <w:footnote w:id="60">
    <w:p w14:paraId="489320C0" w14:textId="77777777" w:rsidR="009707C2" w:rsidRPr="0053132E" w:rsidRDefault="009707C2" w:rsidP="00536B99">
      <w:pPr>
        <w:pStyle w:val="FootnoteText"/>
        <w:rPr>
          <w:b/>
        </w:rPr>
      </w:pPr>
      <w:r>
        <w:rPr>
          <w:rStyle w:val="FootnoteReference"/>
        </w:rPr>
        <w:footnoteRef/>
      </w:r>
      <w:r>
        <w:t xml:space="preserve"> </w:t>
      </w:r>
      <w:r w:rsidRPr="0053132E">
        <w:rPr>
          <w:b/>
        </w:rPr>
        <w:t>A Nurse v A Hospital ADJ-00000278.</w:t>
      </w:r>
    </w:p>
  </w:footnote>
  <w:footnote w:id="61">
    <w:p w14:paraId="4E9A5A89" w14:textId="269719E1" w:rsidR="009707C2" w:rsidRDefault="009707C2">
      <w:pPr>
        <w:pStyle w:val="FootnoteText"/>
      </w:pPr>
      <w:r>
        <w:rPr>
          <w:rStyle w:val="FootnoteReference"/>
        </w:rPr>
        <w:footnoteRef/>
      </w:r>
      <w:r>
        <w:t xml:space="preserve"> </w:t>
      </w:r>
      <w:r w:rsidRPr="001F2DAD">
        <w:t xml:space="preserve">Bell, M. </w:t>
      </w:r>
      <w:r w:rsidRPr="001F2DAD">
        <w:rPr>
          <w:bCs/>
        </w:rPr>
        <w:t>(2018) ‘</w:t>
      </w:r>
      <w:r w:rsidRPr="001F2DAD">
        <w:t>Pitfalls and Progress: Reasonable Accommodation for Workers with Disabilities in Ireland</w:t>
      </w:r>
      <w:r w:rsidRPr="001F2DAD">
        <w:rPr>
          <w:bCs/>
        </w:rPr>
        <w:t xml:space="preserve">’, </w:t>
      </w:r>
      <w:r w:rsidRPr="001F2DAD">
        <w:rPr>
          <w:b/>
          <w:bCs/>
          <w:iCs/>
        </w:rPr>
        <w:t>Dublin University Law Journal</w:t>
      </w:r>
      <w:r w:rsidRPr="001F2DAD">
        <w:rPr>
          <w:bCs/>
          <w:iCs/>
        </w:rPr>
        <w:t>,</w:t>
      </w:r>
      <w:r w:rsidRPr="001F2DAD">
        <w:rPr>
          <w:b/>
          <w:bCs/>
          <w:iCs/>
        </w:rPr>
        <w:t xml:space="preserve"> </w:t>
      </w:r>
      <w:r w:rsidRPr="001F2DAD">
        <w:rPr>
          <w:bCs/>
          <w:iCs/>
        </w:rPr>
        <w:t>41, 77-96.</w:t>
      </w:r>
    </w:p>
  </w:footnote>
  <w:footnote w:id="62">
    <w:p w14:paraId="764A609D" w14:textId="7B5680E4" w:rsidR="009707C2" w:rsidRDefault="009707C2" w:rsidP="00976F39">
      <w:pPr>
        <w:pStyle w:val="FootnoteText"/>
        <w:tabs>
          <w:tab w:val="left" w:pos="945"/>
        </w:tabs>
      </w:pPr>
      <w:r>
        <w:rPr>
          <w:rStyle w:val="FootnoteReference"/>
        </w:rPr>
        <w:footnoteRef/>
      </w:r>
      <w:r>
        <w:t xml:space="preserve"> Barry, E. (2013) </w:t>
      </w:r>
      <w:r w:rsidRPr="00075581">
        <w:rPr>
          <w:b/>
        </w:rPr>
        <w:t>Case Law Review on Mental Health in the Workplace</w:t>
      </w:r>
      <w:r>
        <w:t>, Dublin: See Change, p.9.</w:t>
      </w:r>
      <w:r>
        <w:tab/>
      </w:r>
    </w:p>
  </w:footnote>
  <w:footnote w:id="63">
    <w:p w14:paraId="21A8A92D" w14:textId="1BD3104D" w:rsidR="009707C2" w:rsidRDefault="009707C2">
      <w:pPr>
        <w:pStyle w:val="FootnoteText"/>
      </w:pPr>
      <w:r>
        <w:rPr>
          <w:rStyle w:val="FootnoteReference"/>
        </w:rPr>
        <w:footnoteRef/>
      </w:r>
      <w:r>
        <w:t xml:space="preserve"> </w:t>
      </w:r>
      <w:r w:rsidRPr="00F63FDD">
        <w:t xml:space="preserve">Bell, M. </w:t>
      </w:r>
      <w:r w:rsidRPr="00F63FDD">
        <w:rPr>
          <w:bCs/>
        </w:rPr>
        <w:t>(2018) ‘</w:t>
      </w:r>
      <w:r w:rsidRPr="00F63FDD">
        <w:t>Pitfalls and Progress: Reasonable Accommodation for Workers with Disabilities in Ireland</w:t>
      </w:r>
      <w:r w:rsidRPr="00F63FDD">
        <w:rPr>
          <w:bCs/>
        </w:rPr>
        <w:t xml:space="preserve">’, </w:t>
      </w:r>
      <w:r w:rsidRPr="00F63FDD">
        <w:rPr>
          <w:b/>
          <w:bCs/>
          <w:iCs/>
        </w:rPr>
        <w:t>Dublin University Law Journal</w:t>
      </w:r>
      <w:r w:rsidRPr="00F63FDD">
        <w:rPr>
          <w:bCs/>
          <w:iCs/>
        </w:rPr>
        <w:t>,</w:t>
      </w:r>
      <w:r w:rsidRPr="00F63FDD">
        <w:rPr>
          <w:b/>
          <w:bCs/>
          <w:iCs/>
        </w:rPr>
        <w:t xml:space="preserve"> </w:t>
      </w:r>
      <w:r w:rsidRPr="00F63FDD">
        <w:rPr>
          <w:bCs/>
          <w:iCs/>
        </w:rPr>
        <w:t>41, 77-96.</w:t>
      </w:r>
    </w:p>
  </w:footnote>
  <w:footnote w:id="64">
    <w:p w14:paraId="4F5C309A" w14:textId="77777777" w:rsidR="009707C2" w:rsidRDefault="009707C2" w:rsidP="003F1D36">
      <w:pPr>
        <w:pStyle w:val="FootnoteText"/>
      </w:pPr>
      <w:r>
        <w:rPr>
          <w:rStyle w:val="FootnoteReference"/>
        </w:rPr>
        <w:footnoteRef/>
      </w:r>
      <w:r>
        <w:t xml:space="preserve"> </w:t>
      </w:r>
      <w:r w:rsidRPr="0053132E">
        <w:rPr>
          <w:b/>
        </w:rPr>
        <w:t>Employment Equality Acts 1998-2015</w:t>
      </w:r>
      <w:r w:rsidRPr="00565154">
        <w:t>, section 16</w:t>
      </w:r>
      <w:r>
        <w:t>(4)(c)</w:t>
      </w:r>
      <w:r w:rsidRPr="00565154">
        <w:t>.</w:t>
      </w:r>
    </w:p>
  </w:footnote>
  <w:footnote w:id="65">
    <w:p w14:paraId="72696FE8" w14:textId="321B9F0F" w:rsidR="009707C2" w:rsidRDefault="009707C2">
      <w:pPr>
        <w:pStyle w:val="FootnoteText"/>
      </w:pPr>
      <w:r>
        <w:rPr>
          <w:rStyle w:val="FootnoteReference"/>
        </w:rPr>
        <w:footnoteRef/>
      </w:r>
      <w:r>
        <w:t xml:space="preserve"> This example is cited on the website of the Irish Human Rights and Equality Commission at &lt;</w:t>
      </w:r>
      <w:hyperlink r:id="rId5" w:history="1">
        <w:r w:rsidRPr="00F13F84">
          <w:rPr>
            <w:rStyle w:val="Hyperlink"/>
          </w:rPr>
          <w:t>https://www.ihrec.ie/guides-and-tools/human-rights-and-equality-for-employers/what-does-the-law-say/disability-and-reasonable-accommodation/</w:t>
        </w:r>
      </w:hyperlink>
      <w:r>
        <w:t xml:space="preserve">&gt;. In </w:t>
      </w:r>
      <w:r w:rsidRPr="00F417B3">
        <w:rPr>
          <w:b/>
        </w:rPr>
        <w:t>An Employee v A Company DEC-E2010-62</w:t>
      </w:r>
      <w:r>
        <w:t>, an employer was not required to provide therapeutic treatments for the clinical management of a disability.</w:t>
      </w:r>
    </w:p>
  </w:footnote>
  <w:footnote w:id="66">
    <w:p w14:paraId="1EC16F65" w14:textId="77777777" w:rsidR="009707C2" w:rsidRDefault="009707C2" w:rsidP="003F1D36">
      <w:pPr>
        <w:pStyle w:val="FootnoteText"/>
      </w:pPr>
      <w:r>
        <w:rPr>
          <w:rStyle w:val="FootnoteReference"/>
        </w:rPr>
        <w:footnoteRef/>
      </w:r>
      <w:r>
        <w:t xml:space="preserve"> </w:t>
      </w:r>
      <w:r w:rsidRPr="0053132E">
        <w:rPr>
          <w:b/>
        </w:rPr>
        <w:t>Employment Equality Acts 1998-2015</w:t>
      </w:r>
      <w:r w:rsidRPr="00565154">
        <w:t>, section 16</w:t>
      </w:r>
      <w:r>
        <w:t>(1)(b)</w:t>
      </w:r>
      <w:r w:rsidRPr="00565154">
        <w:t>.</w:t>
      </w:r>
    </w:p>
  </w:footnote>
  <w:footnote w:id="67">
    <w:p w14:paraId="6A81FEFD" w14:textId="6AD04B79" w:rsidR="009707C2" w:rsidRDefault="009707C2">
      <w:pPr>
        <w:pStyle w:val="FootnoteText"/>
      </w:pPr>
      <w:r>
        <w:rPr>
          <w:rStyle w:val="FootnoteReference"/>
        </w:rPr>
        <w:footnoteRef/>
      </w:r>
      <w:r>
        <w:t xml:space="preserve"> </w:t>
      </w:r>
      <w:r w:rsidRPr="00536B99">
        <w:rPr>
          <w:b/>
          <w:bCs/>
        </w:rPr>
        <w:t>Nano Nagle School v Marie Daly</w:t>
      </w:r>
      <w:r>
        <w:rPr>
          <w:b/>
          <w:bCs/>
        </w:rPr>
        <w:t xml:space="preserve"> </w:t>
      </w:r>
      <w:r w:rsidRPr="00541482">
        <w:rPr>
          <w:b/>
          <w:bCs/>
        </w:rPr>
        <w:t>[2019] IESC 63</w:t>
      </w:r>
      <w:r>
        <w:rPr>
          <w:b/>
          <w:bCs/>
        </w:rPr>
        <w:t>.</w:t>
      </w:r>
    </w:p>
  </w:footnote>
  <w:footnote w:id="68">
    <w:p w14:paraId="7DDB3B4C" w14:textId="0A7C7CFD" w:rsidR="009707C2" w:rsidRDefault="009707C2" w:rsidP="00536B99">
      <w:pPr>
        <w:pStyle w:val="FootnoteText"/>
      </w:pPr>
      <w:r>
        <w:rPr>
          <w:rStyle w:val="FootnoteReference"/>
        </w:rPr>
        <w:footnoteRef/>
      </w:r>
      <w:r>
        <w:t xml:space="preserve"> Barry, E. (2013) </w:t>
      </w:r>
      <w:r w:rsidRPr="00075581">
        <w:rPr>
          <w:b/>
        </w:rPr>
        <w:t>Case Law Review on Mental Health in the Workplace</w:t>
      </w:r>
      <w:r>
        <w:t>, Dublin: See Change, p.8.</w:t>
      </w:r>
    </w:p>
  </w:footnote>
  <w:footnote w:id="69">
    <w:p w14:paraId="5E7EC8FF" w14:textId="77777777" w:rsidR="009707C2" w:rsidRDefault="009707C2">
      <w:pPr>
        <w:pStyle w:val="FootnoteText"/>
      </w:pPr>
      <w:r>
        <w:rPr>
          <w:rStyle w:val="FootnoteReference"/>
        </w:rPr>
        <w:footnoteRef/>
      </w:r>
      <w:r>
        <w:t xml:space="preserve"> </w:t>
      </w:r>
      <w:r w:rsidRPr="0053132E">
        <w:rPr>
          <w:b/>
        </w:rPr>
        <w:t>Employment Equality Acts 1998-2015</w:t>
      </w:r>
      <w:r>
        <w:t>, section 37(5)</w:t>
      </w:r>
      <w:r w:rsidRPr="00565154">
        <w:t>.</w:t>
      </w:r>
    </w:p>
  </w:footnote>
  <w:footnote w:id="70">
    <w:p w14:paraId="40F1B82D" w14:textId="77777777" w:rsidR="009707C2" w:rsidRDefault="009707C2">
      <w:pPr>
        <w:pStyle w:val="FootnoteText"/>
      </w:pPr>
      <w:r>
        <w:rPr>
          <w:rStyle w:val="FootnoteReference"/>
        </w:rPr>
        <w:footnoteRef/>
      </w:r>
      <w:r>
        <w:t xml:space="preserve"> </w:t>
      </w:r>
      <w:r w:rsidRPr="0053132E">
        <w:rPr>
          <w:b/>
        </w:rPr>
        <w:t>Employment Equality Acts 1998-2015</w:t>
      </w:r>
      <w:r w:rsidRPr="00565154">
        <w:t xml:space="preserve">, section </w:t>
      </w:r>
      <w:r>
        <w:t>37(3)</w:t>
      </w:r>
      <w:r w:rsidRPr="00565154">
        <w:t>.</w:t>
      </w:r>
    </w:p>
  </w:footnote>
  <w:footnote w:id="71">
    <w:p w14:paraId="22FBDBC3" w14:textId="2AF0106F" w:rsidR="009707C2" w:rsidRDefault="009707C2">
      <w:pPr>
        <w:pStyle w:val="FootnoteText"/>
      </w:pPr>
      <w:r>
        <w:rPr>
          <w:rStyle w:val="FootnoteReference"/>
        </w:rPr>
        <w:footnoteRef/>
      </w:r>
      <w:r>
        <w:t xml:space="preserve"> </w:t>
      </w:r>
      <w:r w:rsidRPr="005F243C">
        <w:t xml:space="preserve">UN Committee on the Rights of Persons with Disabilities (2018) </w:t>
      </w:r>
      <w:r w:rsidRPr="005F243C">
        <w:rPr>
          <w:b/>
        </w:rPr>
        <w:t>General Comment No.6 on equality and non-discrimination</w:t>
      </w:r>
      <w:r w:rsidRPr="005F243C">
        <w:t>, Geneva: Office of the United Nations High Commissioner for Human Rights, p.</w:t>
      </w:r>
      <w:r>
        <w:t>13</w:t>
      </w:r>
      <w:r w:rsidRPr="005F243C">
        <w:t>.</w:t>
      </w:r>
    </w:p>
  </w:footnote>
  <w:footnote w:id="72">
    <w:p w14:paraId="331DDC5B" w14:textId="745126F7" w:rsidR="009707C2" w:rsidRDefault="009707C2">
      <w:pPr>
        <w:pStyle w:val="FootnoteText"/>
      </w:pPr>
      <w:r>
        <w:rPr>
          <w:rStyle w:val="FootnoteReference"/>
        </w:rPr>
        <w:footnoteRef/>
      </w:r>
      <w:r>
        <w:t xml:space="preserve"> The </w:t>
      </w:r>
      <w:r w:rsidRPr="00A34144">
        <w:t xml:space="preserve">Workplace Relations Commission </w:t>
      </w:r>
      <w:r>
        <w:t>h</w:t>
      </w:r>
      <w:r w:rsidRPr="00A34144">
        <w:t>as</w:t>
      </w:r>
      <w:r>
        <w:t xml:space="preserve"> not been</w:t>
      </w:r>
      <w:r w:rsidRPr="00A34144">
        <w:t xml:space="preserve"> “prescribed” </w:t>
      </w:r>
      <w:r>
        <w:t>as a tribunal for the purposes of s</w:t>
      </w:r>
      <w:r w:rsidRPr="00A34144">
        <w:t xml:space="preserve">ection 27(2)(b) of the </w:t>
      </w:r>
      <w:r w:rsidRPr="00A34144">
        <w:rPr>
          <w:b/>
        </w:rPr>
        <w:t>Civil Legal Aid Act 1995</w:t>
      </w:r>
      <w:r>
        <w:t xml:space="preserve"> and therefore civil legal aid is not available in employment equality cases.</w:t>
      </w:r>
    </w:p>
  </w:footnote>
  <w:footnote w:id="73">
    <w:p w14:paraId="26063E0B" w14:textId="574F768C" w:rsidR="009707C2" w:rsidRDefault="009707C2">
      <w:pPr>
        <w:pStyle w:val="FootnoteText"/>
      </w:pPr>
      <w:r>
        <w:rPr>
          <w:rStyle w:val="FootnoteReference"/>
        </w:rPr>
        <w:footnoteRef/>
      </w:r>
      <w:r>
        <w:t xml:space="preserve"> </w:t>
      </w:r>
      <w:r w:rsidRPr="00507170">
        <w:t>A complaint must be filed with the W</w:t>
      </w:r>
      <w:r>
        <w:t xml:space="preserve">orkplace </w:t>
      </w:r>
      <w:r w:rsidRPr="00507170">
        <w:t>R</w:t>
      </w:r>
      <w:r>
        <w:t xml:space="preserve">elations </w:t>
      </w:r>
      <w:r w:rsidRPr="00507170">
        <w:t>C</w:t>
      </w:r>
      <w:r>
        <w:t>ommission</w:t>
      </w:r>
      <w:r w:rsidRPr="00507170">
        <w:t xml:space="preserve"> within six months of the date of the </w:t>
      </w:r>
      <w:r>
        <w:t xml:space="preserve">alleged </w:t>
      </w:r>
      <w:r w:rsidRPr="00507170">
        <w:t>breach of the E</w:t>
      </w:r>
      <w:r>
        <w:t xml:space="preserve">mployment </w:t>
      </w:r>
      <w:r w:rsidRPr="00507170">
        <w:t>E</w:t>
      </w:r>
      <w:r>
        <w:t>quality</w:t>
      </w:r>
      <w:r w:rsidRPr="00507170">
        <w:t xml:space="preserve"> Acts</w:t>
      </w:r>
      <w:r>
        <w:t xml:space="preserve">. </w:t>
      </w:r>
      <w:r w:rsidRPr="00507170">
        <w:rPr>
          <w:b/>
        </w:rPr>
        <w:t>Employment Equality Acts 1998-2015</w:t>
      </w:r>
      <w:r>
        <w:t xml:space="preserve">, section 77(5). </w:t>
      </w:r>
    </w:p>
  </w:footnote>
  <w:footnote w:id="74">
    <w:p w14:paraId="14337283" w14:textId="5F87864E" w:rsidR="009707C2" w:rsidRDefault="009707C2">
      <w:pPr>
        <w:pStyle w:val="FootnoteText"/>
      </w:pPr>
      <w:r>
        <w:rPr>
          <w:rStyle w:val="FootnoteReference"/>
        </w:rPr>
        <w:footnoteRef/>
      </w:r>
      <w:r>
        <w:t xml:space="preserve"> </w:t>
      </w:r>
      <w:r w:rsidRPr="00415EBC">
        <w:rPr>
          <w:bCs/>
        </w:rPr>
        <w:t>Bolger</w:t>
      </w:r>
      <w:r w:rsidRPr="00415EBC">
        <w:t>,</w:t>
      </w:r>
      <w:r>
        <w:t xml:space="preserve"> M., </w:t>
      </w:r>
      <w:r w:rsidRPr="00415EBC">
        <w:rPr>
          <w:bCs/>
        </w:rPr>
        <w:t>Bruton</w:t>
      </w:r>
      <w:r>
        <w:rPr>
          <w:bCs/>
        </w:rPr>
        <w:t>, C. &amp;</w:t>
      </w:r>
      <w:r w:rsidRPr="00415EBC">
        <w:t> </w:t>
      </w:r>
      <w:r w:rsidRPr="00415EBC">
        <w:rPr>
          <w:bCs/>
        </w:rPr>
        <w:t>Kimber</w:t>
      </w:r>
      <w:r>
        <w:rPr>
          <w:bCs/>
        </w:rPr>
        <w:t>, C.</w:t>
      </w:r>
      <w:r>
        <w:t xml:space="preserve"> (2012) </w:t>
      </w:r>
      <w:r w:rsidRPr="00415EBC">
        <w:rPr>
          <w:b/>
        </w:rPr>
        <w:t>Employment Equality Law</w:t>
      </w:r>
      <w:r>
        <w:t xml:space="preserve">, Dublin: Round Hall. </w:t>
      </w:r>
    </w:p>
  </w:footnote>
  <w:footnote w:id="75">
    <w:p w14:paraId="6C06E2D1" w14:textId="1462EDF1" w:rsidR="009707C2" w:rsidRDefault="009707C2">
      <w:pPr>
        <w:pStyle w:val="FootnoteText"/>
      </w:pPr>
      <w:r>
        <w:rPr>
          <w:rStyle w:val="FootnoteReference"/>
        </w:rPr>
        <w:footnoteRef/>
      </w:r>
      <w:r>
        <w:t xml:space="preserve"> See Section 2.3.3.</w:t>
      </w:r>
    </w:p>
  </w:footnote>
  <w:footnote w:id="76">
    <w:p w14:paraId="14BCCF1A" w14:textId="77777777" w:rsidR="009707C2" w:rsidRDefault="009707C2" w:rsidP="00536B99">
      <w:pPr>
        <w:pStyle w:val="FootnoteText"/>
      </w:pPr>
      <w:r>
        <w:rPr>
          <w:rStyle w:val="FootnoteReference"/>
        </w:rPr>
        <w:footnoteRef/>
      </w:r>
      <w:r>
        <w:t xml:space="preserve"> See for instance </w:t>
      </w:r>
      <w:r w:rsidRPr="0053132E">
        <w:rPr>
          <w:b/>
        </w:rPr>
        <w:t>A Receptionist v A Hotel DEC-E2017-051</w:t>
      </w:r>
      <w:r>
        <w:t>.</w:t>
      </w:r>
    </w:p>
  </w:footnote>
  <w:footnote w:id="77">
    <w:p w14:paraId="4F959215" w14:textId="4397C462" w:rsidR="009707C2" w:rsidRDefault="009707C2">
      <w:pPr>
        <w:pStyle w:val="FootnoteText"/>
      </w:pPr>
      <w:r>
        <w:rPr>
          <w:rStyle w:val="FootnoteReference"/>
        </w:rPr>
        <w:footnoteRef/>
      </w:r>
      <w:r>
        <w:t xml:space="preserve"> The Supreme Court decision in </w:t>
      </w:r>
      <w:r w:rsidRPr="00DA7103">
        <w:rPr>
          <w:b/>
        </w:rPr>
        <w:t>Daly v Nano Nagle School</w:t>
      </w:r>
      <w:r>
        <w:t xml:space="preserve"> has clarified the extent of the employer’s duty to consult with an employee.</w:t>
      </w:r>
    </w:p>
  </w:footnote>
  <w:footnote w:id="78">
    <w:p w14:paraId="2A61E52C" w14:textId="77777777" w:rsidR="009707C2" w:rsidRPr="008312B2" w:rsidRDefault="009707C2" w:rsidP="00536B99">
      <w:pPr>
        <w:pStyle w:val="FootnoteText"/>
      </w:pPr>
      <w:r>
        <w:rPr>
          <w:rStyle w:val="FootnoteReference"/>
        </w:rPr>
        <w:footnoteRef/>
      </w:r>
      <w:r>
        <w:t xml:space="preserve"> </w:t>
      </w:r>
      <w:r w:rsidRPr="0053132E">
        <w:rPr>
          <w:b/>
        </w:rPr>
        <w:t>Harrington v East Coast Area Health Board DEC–2002–00.</w:t>
      </w:r>
    </w:p>
  </w:footnote>
  <w:footnote w:id="79">
    <w:p w14:paraId="08A1A2D4" w14:textId="77777777" w:rsidR="009707C2" w:rsidRDefault="009707C2" w:rsidP="00536B99">
      <w:pPr>
        <w:pStyle w:val="FootnoteText"/>
      </w:pPr>
      <w:r w:rsidRPr="004B565F">
        <w:rPr>
          <w:rStyle w:val="FootnoteReference"/>
        </w:rPr>
        <w:footnoteRef/>
      </w:r>
      <w:r w:rsidRPr="004B565F">
        <w:t xml:space="preserve"> </w:t>
      </w:r>
      <w:r w:rsidRPr="0053132E">
        <w:rPr>
          <w:b/>
        </w:rPr>
        <w:t>Business Manager v A Motor Dealership ADJ-00011959.</w:t>
      </w:r>
    </w:p>
  </w:footnote>
  <w:footnote w:id="80">
    <w:p w14:paraId="3BF04A53" w14:textId="77777777" w:rsidR="009707C2" w:rsidRDefault="009707C2" w:rsidP="00536B99">
      <w:pPr>
        <w:pStyle w:val="FootnoteText"/>
      </w:pPr>
      <w:r>
        <w:rPr>
          <w:rStyle w:val="FootnoteReference"/>
        </w:rPr>
        <w:footnoteRef/>
      </w:r>
      <w:r>
        <w:t xml:space="preserve"> </w:t>
      </w:r>
      <w:r w:rsidRPr="00106F40">
        <w:rPr>
          <w:b/>
        </w:rPr>
        <w:t>Iarnrod Eireann v Michael Flanagan EDA1716</w:t>
      </w:r>
      <w:r>
        <w:t>.</w:t>
      </w:r>
    </w:p>
  </w:footnote>
  <w:footnote w:id="81">
    <w:p w14:paraId="0FA69F7A" w14:textId="03C56A03" w:rsidR="009707C2" w:rsidRDefault="009707C2">
      <w:pPr>
        <w:pStyle w:val="FootnoteText"/>
      </w:pPr>
      <w:r>
        <w:rPr>
          <w:rStyle w:val="FootnoteReference"/>
        </w:rPr>
        <w:footnoteRef/>
      </w:r>
      <w:r>
        <w:t xml:space="preserve"> Irish Human Rights and Equality Commission</w:t>
      </w:r>
      <w:r w:rsidRPr="00121108">
        <w:rPr>
          <w:sz w:val="26"/>
          <w:szCs w:val="24"/>
        </w:rPr>
        <w:t xml:space="preserve"> </w:t>
      </w:r>
      <w:r w:rsidRPr="00121108">
        <w:rPr>
          <w:b/>
        </w:rPr>
        <w:t>“Your Employment Equality Rights Explained Guide to the Employment Equality Acts 1998-2011”</w:t>
      </w:r>
      <w:r>
        <w:t xml:space="preserve"> available on the IHREC website &lt;</w:t>
      </w:r>
      <w:hyperlink r:id="rId6" w:history="1">
        <w:r w:rsidRPr="00121108">
          <w:rPr>
            <w:rStyle w:val="Hyperlink"/>
          </w:rPr>
          <w:t>https://www.ihrec.ie/download/pdf/ihrec_employment_equality_rights_explained.pdf</w:t>
        </w:r>
      </w:hyperlink>
      <w:r>
        <w:t>&gt;.</w:t>
      </w:r>
    </w:p>
  </w:footnote>
  <w:footnote w:id="82">
    <w:p w14:paraId="69D3AB04" w14:textId="04BFA1AF" w:rsidR="009707C2" w:rsidRDefault="009707C2">
      <w:pPr>
        <w:pStyle w:val="FootnoteText"/>
      </w:pPr>
      <w:r>
        <w:rPr>
          <w:rStyle w:val="FootnoteReference"/>
        </w:rPr>
        <w:footnoteRef/>
      </w:r>
      <w:r>
        <w:t xml:space="preserve"> Community Law and Meditation (2017) </w:t>
      </w:r>
      <w:r w:rsidRPr="00192243">
        <w:rPr>
          <w:b/>
        </w:rPr>
        <w:t>Guide to Taking an Employment Equality Case</w:t>
      </w:r>
      <w:r>
        <w:t>, Dublin: Community Law and Meditation, p.19.</w:t>
      </w:r>
    </w:p>
  </w:footnote>
  <w:footnote w:id="83">
    <w:p w14:paraId="244D262F" w14:textId="3E0B2DA8" w:rsidR="009707C2" w:rsidRDefault="009707C2">
      <w:pPr>
        <w:pStyle w:val="FootnoteText"/>
      </w:pPr>
      <w:r>
        <w:rPr>
          <w:rStyle w:val="FootnoteReference"/>
        </w:rPr>
        <w:footnoteRef/>
      </w:r>
      <w:r>
        <w:t xml:space="preserve"> Community Law and Meditation (2017) </w:t>
      </w:r>
      <w:r w:rsidRPr="00192243">
        <w:rPr>
          <w:b/>
        </w:rPr>
        <w:t>Guide to Taking an Employment Equality Case</w:t>
      </w:r>
      <w:r>
        <w:t>, Dublin: Community Law and Meditation, p.19.</w:t>
      </w:r>
    </w:p>
  </w:footnote>
  <w:footnote w:id="84">
    <w:p w14:paraId="48ADC9F0" w14:textId="5BDB8B31" w:rsidR="009707C2" w:rsidRDefault="009707C2">
      <w:pPr>
        <w:pStyle w:val="FootnoteText"/>
      </w:pPr>
      <w:r>
        <w:rPr>
          <w:rStyle w:val="FootnoteReference"/>
        </w:rPr>
        <w:footnoteRef/>
      </w:r>
      <w:r>
        <w:t xml:space="preserve"> Irish Human Rights and Equality Commission</w:t>
      </w:r>
      <w:r w:rsidRPr="00121108">
        <w:rPr>
          <w:sz w:val="26"/>
          <w:szCs w:val="24"/>
        </w:rPr>
        <w:t xml:space="preserve"> </w:t>
      </w:r>
      <w:r w:rsidRPr="00121108">
        <w:rPr>
          <w:b/>
        </w:rPr>
        <w:t>“Your Employment Equality Rights Explained Guide to the Employment Equality Acts 1998-2011”</w:t>
      </w:r>
      <w:r>
        <w:t xml:space="preserve"> available on the IHREC website &lt;</w:t>
      </w:r>
      <w:hyperlink r:id="rId7" w:history="1">
        <w:r w:rsidRPr="00121108">
          <w:rPr>
            <w:rStyle w:val="Hyperlink"/>
          </w:rPr>
          <w:t>https://www.ihrec.ie/download/pdf/ihrec_employment_equality_rights_explained.pdf</w:t>
        </w:r>
      </w:hyperlink>
      <w:r>
        <w:t>&gt;.</w:t>
      </w:r>
    </w:p>
  </w:footnote>
  <w:footnote w:id="85">
    <w:p w14:paraId="0F7028FF" w14:textId="664A636F" w:rsidR="009707C2" w:rsidRDefault="009707C2">
      <w:pPr>
        <w:pStyle w:val="FootnoteText"/>
      </w:pPr>
      <w:r>
        <w:rPr>
          <w:rStyle w:val="FootnoteReference"/>
        </w:rPr>
        <w:footnoteRef/>
      </w:r>
      <w:r>
        <w:t xml:space="preserve"> Community Law and Meditation (2017) </w:t>
      </w:r>
      <w:r w:rsidRPr="00192243">
        <w:rPr>
          <w:b/>
        </w:rPr>
        <w:t>Guide to Taking an Employment Equality Case</w:t>
      </w:r>
      <w:r>
        <w:t>, Dublin: Community Law and Meditation, p.5.</w:t>
      </w:r>
    </w:p>
  </w:footnote>
  <w:footnote w:id="86">
    <w:p w14:paraId="0C602B8C" w14:textId="15AFAFC2" w:rsidR="009707C2" w:rsidRDefault="009707C2">
      <w:pPr>
        <w:pStyle w:val="FootnoteText"/>
      </w:pPr>
      <w:r>
        <w:rPr>
          <w:rStyle w:val="FootnoteReference"/>
        </w:rPr>
        <w:footnoteRef/>
      </w:r>
      <w:r>
        <w:t xml:space="preserve"> Australian Human Rights Commission (2016) </w:t>
      </w:r>
      <w:r w:rsidRPr="00FD7423">
        <w:rPr>
          <w:b/>
        </w:rPr>
        <w:t>Willing to Work National Inquiry into Employment Discrimination Against Older Australians and Australians with</w:t>
      </w:r>
      <w:r w:rsidRPr="00FD7423">
        <w:t xml:space="preserve"> </w:t>
      </w:r>
      <w:r w:rsidRPr="00FD7423">
        <w:rPr>
          <w:b/>
        </w:rPr>
        <w:t>Disability</w:t>
      </w:r>
      <w:r>
        <w:t xml:space="preserve">, Sydney: </w:t>
      </w:r>
      <w:r w:rsidRPr="00A533F1">
        <w:t>Australian Human Rights Commission</w:t>
      </w:r>
      <w:r>
        <w:t>, p.172.</w:t>
      </w:r>
    </w:p>
  </w:footnote>
  <w:footnote w:id="87">
    <w:p w14:paraId="607341B8" w14:textId="77777777" w:rsidR="009707C2" w:rsidRPr="00704EED" w:rsidRDefault="009707C2" w:rsidP="00AA042D">
      <w:pPr>
        <w:pStyle w:val="FootnoteText"/>
      </w:pPr>
      <w:r>
        <w:rPr>
          <w:rStyle w:val="FootnoteReference"/>
        </w:rPr>
        <w:footnoteRef/>
      </w:r>
      <w:r>
        <w:t xml:space="preserve"> However, there is such an obligation under section 23 of the </w:t>
      </w:r>
      <w:r w:rsidRPr="00CB2601">
        <w:rPr>
          <w:b/>
        </w:rPr>
        <w:t>Safety, Health and Welfare at Work Act 2005</w:t>
      </w:r>
      <w:r>
        <w:t xml:space="preserve"> where the disability is </w:t>
      </w:r>
      <w:r w:rsidRPr="00704EED">
        <w:t xml:space="preserve">likely to cause </w:t>
      </w:r>
      <w:r>
        <w:t>the employee</w:t>
      </w:r>
      <w:r w:rsidRPr="00704EED">
        <w:t xml:space="preserve"> to expose </w:t>
      </w:r>
      <w:r>
        <w:t>themselves</w:t>
      </w:r>
      <w:r w:rsidRPr="00704EED">
        <w:t xml:space="preserve"> or another person to danger or risk of danger</w:t>
      </w:r>
      <w:r>
        <w:t xml:space="preserve"> at work.</w:t>
      </w:r>
    </w:p>
  </w:footnote>
  <w:footnote w:id="88">
    <w:p w14:paraId="671268A0" w14:textId="18876A15" w:rsidR="009707C2" w:rsidRDefault="009707C2">
      <w:pPr>
        <w:pStyle w:val="FootnoteText"/>
      </w:pPr>
      <w:r>
        <w:rPr>
          <w:rStyle w:val="FootnoteReference"/>
        </w:rPr>
        <w:footnoteRef/>
      </w:r>
      <w:r>
        <w:t xml:space="preserve"> Information on actual and constructive knowledge is available in Section 2.3.4.</w:t>
      </w:r>
    </w:p>
  </w:footnote>
  <w:footnote w:id="89">
    <w:p w14:paraId="40AD21F6" w14:textId="09777550" w:rsidR="009707C2" w:rsidRDefault="009707C2" w:rsidP="00536B99">
      <w:pPr>
        <w:pStyle w:val="FootnoteText"/>
      </w:pPr>
      <w:r>
        <w:rPr>
          <w:rStyle w:val="FootnoteReference"/>
        </w:rPr>
        <w:footnoteRef/>
      </w:r>
      <w:r>
        <w:t xml:space="preserve"> National Disability Authority (2009) </w:t>
      </w:r>
      <w:r w:rsidRPr="00565535">
        <w:rPr>
          <w:b/>
        </w:rPr>
        <w:t>Disclosing Disability in the Workplace a Review of Literature and Practice in the Irish Public Sector</w:t>
      </w:r>
      <w:r>
        <w:t>, Dublin: NDA, p.74.</w:t>
      </w:r>
    </w:p>
  </w:footnote>
  <w:footnote w:id="90">
    <w:p w14:paraId="4CFCA658" w14:textId="743B45C6" w:rsidR="009707C2" w:rsidRDefault="009707C2">
      <w:pPr>
        <w:pStyle w:val="FootnoteText"/>
      </w:pPr>
      <w:r>
        <w:rPr>
          <w:rStyle w:val="FootnoteReference"/>
        </w:rPr>
        <w:footnoteRef/>
      </w:r>
      <w:r>
        <w:t xml:space="preserve"> </w:t>
      </w:r>
      <w:r w:rsidRPr="00EF0FAF">
        <w:rPr>
          <w:bCs/>
        </w:rPr>
        <w:t xml:space="preserve">MacDonald-Wilson, </w:t>
      </w:r>
      <w:r>
        <w:rPr>
          <w:bCs/>
        </w:rPr>
        <w:t xml:space="preserve">K., </w:t>
      </w:r>
      <w:r w:rsidRPr="00EF0FAF">
        <w:rPr>
          <w:bCs/>
        </w:rPr>
        <w:t>Fabian,</w:t>
      </w:r>
      <w:r>
        <w:rPr>
          <w:bCs/>
        </w:rPr>
        <w:t xml:space="preserve"> E. &amp; </w:t>
      </w:r>
      <w:r w:rsidRPr="00EF0FAF">
        <w:rPr>
          <w:bCs/>
        </w:rPr>
        <w:t>Dong,</w:t>
      </w:r>
      <w:r>
        <w:rPr>
          <w:bCs/>
        </w:rPr>
        <w:t xml:space="preserve"> S.</w:t>
      </w:r>
      <w:r>
        <w:rPr>
          <w:b/>
          <w:bCs/>
        </w:rPr>
        <w:t xml:space="preserve"> </w:t>
      </w:r>
      <w:r w:rsidRPr="008322D3">
        <w:rPr>
          <w:bCs/>
        </w:rPr>
        <w:t>(</w:t>
      </w:r>
      <w:r>
        <w:rPr>
          <w:bCs/>
        </w:rPr>
        <w:t>2008</w:t>
      </w:r>
      <w:r w:rsidRPr="008322D3">
        <w:rPr>
          <w:bCs/>
        </w:rPr>
        <w:t>) ‘</w:t>
      </w:r>
      <w:r w:rsidRPr="00EF0FAF">
        <w:rPr>
          <w:bCs/>
        </w:rPr>
        <w:t>Best Practices in Developing Reasonable Accommodations in the Workplace: Findings B</w:t>
      </w:r>
      <w:r>
        <w:rPr>
          <w:bCs/>
        </w:rPr>
        <w:t xml:space="preserve">ased on the Research Literature’, </w:t>
      </w:r>
      <w:r w:rsidRPr="008322D3">
        <w:rPr>
          <w:b/>
          <w:bCs/>
        </w:rPr>
        <w:t>T</w:t>
      </w:r>
      <w:r w:rsidRPr="00EF0FAF">
        <w:rPr>
          <w:b/>
          <w:bCs/>
          <w:iCs/>
        </w:rPr>
        <w:t>he Rehabilitation Professional</w:t>
      </w:r>
      <w:r>
        <w:rPr>
          <w:bCs/>
          <w:iCs/>
        </w:rPr>
        <w:t>,</w:t>
      </w:r>
      <w:r>
        <w:rPr>
          <w:b/>
          <w:bCs/>
          <w:iCs/>
        </w:rPr>
        <w:t xml:space="preserve"> </w:t>
      </w:r>
      <w:r w:rsidRPr="008322D3">
        <w:rPr>
          <w:bCs/>
          <w:iCs/>
        </w:rPr>
        <w:t>16(4), 221-232.</w:t>
      </w:r>
    </w:p>
  </w:footnote>
  <w:footnote w:id="91">
    <w:p w14:paraId="13865EDB" w14:textId="4CEF6555" w:rsidR="009707C2" w:rsidRDefault="009707C2">
      <w:pPr>
        <w:pStyle w:val="FootnoteText"/>
      </w:pPr>
      <w:r>
        <w:rPr>
          <w:rStyle w:val="FootnoteReference"/>
        </w:rPr>
        <w:footnoteRef/>
      </w:r>
      <w:r>
        <w:t xml:space="preserve"> National Disability Authority (2009) </w:t>
      </w:r>
      <w:r w:rsidRPr="00565535">
        <w:rPr>
          <w:b/>
        </w:rPr>
        <w:t>Disclosing Disability in the Workplace a Review of Literature and Practice in the Irish Public Sector</w:t>
      </w:r>
      <w:r>
        <w:t>, Dublin: NDA, p.74.</w:t>
      </w:r>
    </w:p>
  </w:footnote>
  <w:footnote w:id="92">
    <w:p w14:paraId="24F1A5B7" w14:textId="28715226" w:rsidR="009707C2" w:rsidRPr="0028444A" w:rsidRDefault="009707C2" w:rsidP="00462A03">
      <w:pPr>
        <w:pStyle w:val="FootnoteText"/>
      </w:pPr>
      <w:r>
        <w:rPr>
          <w:rStyle w:val="FootnoteReference"/>
        </w:rPr>
        <w:footnoteRef/>
      </w:r>
      <w:r>
        <w:t xml:space="preserve"> Health and Safety Authority (2009) </w:t>
      </w:r>
      <w:r>
        <w:rPr>
          <w:b/>
        </w:rPr>
        <w:t xml:space="preserve">Employees with Disabilities: </w:t>
      </w:r>
      <w:r w:rsidRPr="0028444A">
        <w:rPr>
          <w:b/>
        </w:rPr>
        <w:t>An employer’s guide to implementing inclusive health and safety practices for employees with disabilities</w:t>
      </w:r>
      <w:r>
        <w:rPr>
          <w:b/>
        </w:rPr>
        <w:t xml:space="preserve">, </w:t>
      </w:r>
      <w:r>
        <w:t>Dublin: HSA, p.3.</w:t>
      </w:r>
    </w:p>
  </w:footnote>
  <w:footnote w:id="93">
    <w:p w14:paraId="656F331F" w14:textId="68050D06" w:rsidR="009707C2" w:rsidRDefault="009707C2">
      <w:pPr>
        <w:pStyle w:val="FootnoteText"/>
      </w:pPr>
      <w:r>
        <w:rPr>
          <w:rStyle w:val="FootnoteReference"/>
        </w:rPr>
        <w:footnoteRef/>
      </w:r>
      <w:r>
        <w:t xml:space="preserve"> National Disability Authority (2009) </w:t>
      </w:r>
      <w:r w:rsidRPr="00565535">
        <w:rPr>
          <w:b/>
        </w:rPr>
        <w:t>Disclosing Disability in the Workplace a Review of Literature and Practice in the Irish Public Sector</w:t>
      </w:r>
      <w:r>
        <w:t>, Dublin: NDA, p.75.</w:t>
      </w:r>
    </w:p>
  </w:footnote>
  <w:footnote w:id="94">
    <w:p w14:paraId="76091DB3" w14:textId="1454DB17" w:rsidR="009707C2" w:rsidRDefault="009707C2" w:rsidP="00B77DD5">
      <w:pPr>
        <w:pStyle w:val="FootnoteText"/>
      </w:pPr>
      <w:r>
        <w:rPr>
          <w:rStyle w:val="FootnoteReference"/>
        </w:rPr>
        <w:footnoteRef/>
      </w:r>
      <w:r>
        <w:t xml:space="preserve"> National Disability Authority (2009) </w:t>
      </w:r>
      <w:r w:rsidRPr="00565535">
        <w:rPr>
          <w:b/>
        </w:rPr>
        <w:t>Disclosing Disability in the Workplace a Review of Literature and Practice in the Irish Public Sector</w:t>
      </w:r>
      <w:r>
        <w:t>, Dublin: NDA, p.72.</w:t>
      </w:r>
    </w:p>
  </w:footnote>
  <w:footnote w:id="95">
    <w:p w14:paraId="56C55C61" w14:textId="6AA93FEB" w:rsidR="009707C2" w:rsidRDefault="009707C2">
      <w:pPr>
        <w:pStyle w:val="FootnoteText"/>
      </w:pPr>
      <w:r>
        <w:rPr>
          <w:rStyle w:val="FootnoteReference"/>
        </w:rPr>
        <w:footnoteRef/>
      </w:r>
      <w:r>
        <w:t xml:space="preserve"> </w:t>
      </w:r>
      <w:r w:rsidRPr="00F527C0">
        <w:t>Raymond,</w:t>
      </w:r>
      <w:r>
        <w:t xml:space="preserve"> M.,</w:t>
      </w:r>
      <w:r w:rsidRPr="00F527C0">
        <w:t xml:space="preserve"> </w:t>
      </w:r>
      <w:r>
        <w:t>Olsen</w:t>
      </w:r>
      <w:r w:rsidRPr="00F527C0">
        <w:t>,</w:t>
      </w:r>
      <w:r>
        <w:t xml:space="preserve"> J.,</w:t>
      </w:r>
      <w:r w:rsidRPr="00F527C0">
        <w:t xml:space="preserve"> Ainsworth,</w:t>
      </w:r>
      <w:r>
        <w:t xml:space="preserve"> S.,</w:t>
      </w:r>
      <w:r w:rsidRPr="00F527C0">
        <w:t xml:space="preserve"> Lotia,</w:t>
      </w:r>
      <w:r>
        <w:t xml:space="preserve"> N.,</w:t>
      </w:r>
      <w:r w:rsidRPr="00F527C0">
        <w:t xml:space="preserve"> Harbridge</w:t>
      </w:r>
      <w:r>
        <w:t>, R.</w:t>
      </w:r>
      <w:r w:rsidRPr="00F527C0">
        <w:t xml:space="preserve"> </w:t>
      </w:r>
      <w:r>
        <w:t>&amp;</w:t>
      </w:r>
      <w:r w:rsidRPr="00F527C0">
        <w:t xml:space="preserve"> Holland,</w:t>
      </w:r>
      <w:r>
        <w:t xml:space="preserve"> A. (2019)</w:t>
      </w:r>
      <w:r w:rsidRPr="00F527C0">
        <w:t xml:space="preserve"> </w:t>
      </w:r>
      <w:r w:rsidRPr="00F527C0">
        <w:rPr>
          <w:b/>
          <w:bCs/>
        </w:rPr>
        <w:t xml:space="preserve">Improving Access and Inclusion in Employment for People with Disabilities </w:t>
      </w:r>
      <w:r w:rsidRPr="00F527C0">
        <w:rPr>
          <w:b/>
        </w:rPr>
        <w:t xml:space="preserve">- Implementation of Workplace Adjustments in ‘Best-Practice’ Organisations, </w:t>
      </w:r>
      <w:r w:rsidRPr="00F02FDF">
        <w:t>Melbourne: University of Melbourne,</w:t>
      </w:r>
      <w:r>
        <w:rPr>
          <w:b/>
        </w:rPr>
        <w:t xml:space="preserve"> </w:t>
      </w:r>
      <w:r>
        <w:t>p.13</w:t>
      </w:r>
      <w:r w:rsidRPr="00F527C0">
        <w:t>.</w:t>
      </w:r>
    </w:p>
  </w:footnote>
  <w:footnote w:id="96">
    <w:p w14:paraId="6C75D4EB" w14:textId="2E7586D3" w:rsidR="009707C2" w:rsidRDefault="009707C2">
      <w:pPr>
        <w:pStyle w:val="FootnoteText"/>
      </w:pPr>
      <w:r>
        <w:rPr>
          <w:rStyle w:val="FootnoteReference"/>
        </w:rPr>
        <w:footnoteRef/>
      </w:r>
      <w:r>
        <w:t xml:space="preserve"> National Disability Authority (2009) </w:t>
      </w:r>
      <w:r w:rsidRPr="00565535">
        <w:rPr>
          <w:b/>
        </w:rPr>
        <w:t>Disclosing Disability in the Workplace a Review of Literature and Practice in the Irish Public Sector</w:t>
      </w:r>
      <w:r>
        <w:t>, Dublin: NDA, p.72.</w:t>
      </w:r>
    </w:p>
  </w:footnote>
  <w:footnote w:id="97">
    <w:p w14:paraId="7F7639D9" w14:textId="5F079B31" w:rsidR="009707C2" w:rsidRDefault="009707C2">
      <w:pPr>
        <w:pStyle w:val="FootnoteText"/>
      </w:pPr>
      <w:r>
        <w:rPr>
          <w:rStyle w:val="FootnoteReference"/>
        </w:rPr>
        <w:footnoteRef/>
      </w:r>
      <w:r>
        <w:t xml:space="preserve"> </w:t>
      </w:r>
      <w:r w:rsidRPr="00F527C0">
        <w:t>Raymond,</w:t>
      </w:r>
      <w:r>
        <w:t xml:space="preserve"> M.,</w:t>
      </w:r>
      <w:r w:rsidRPr="00F527C0">
        <w:t xml:space="preserve"> </w:t>
      </w:r>
      <w:r>
        <w:t>Olsen</w:t>
      </w:r>
      <w:r w:rsidRPr="00F527C0">
        <w:t>,</w:t>
      </w:r>
      <w:r>
        <w:t xml:space="preserve"> J.,</w:t>
      </w:r>
      <w:r w:rsidRPr="00F527C0">
        <w:t xml:space="preserve"> Ainsworth,</w:t>
      </w:r>
      <w:r>
        <w:t xml:space="preserve"> S.,</w:t>
      </w:r>
      <w:r w:rsidRPr="00F527C0">
        <w:t xml:space="preserve"> Lotia,</w:t>
      </w:r>
      <w:r>
        <w:t xml:space="preserve"> N.,</w:t>
      </w:r>
      <w:r w:rsidRPr="00F527C0">
        <w:t xml:space="preserve"> Harbridge</w:t>
      </w:r>
      <w:r>
        <w:t>, R.</w:t>
      </w:r>
      <w:r w:rsidRPr="00F527C0">
        <w:t xml:space="preserve"> </w:t>
      </w:r>
      <w:r>
        <w:t>&amp;</w:t>
      </w:r>
      <w:r w:rsidRPr="00F527C0">
        <w:t xml:space="preserve"> Holland,</w:t>
      </w:r>
      <w:r>
        <w:t xml:space="preserve"> A. (2019)</w:t>
      </w:r>
      <w:r w:rsidRPr="00F527C0">
        <w:t xml:space="preserve"> </w:t>
      </w:r>
      <w:r w:rsidRPr="00F527C0">
        <w:rPr>
          <w:b/>
          <w:bCs/>
        </w:rPr>
        <w:t xml:space="preserve">Improving Access and Inclusion in Employment for People with Disabilities </w:t>
      </w:r>
      <w:r w:rsidRPr="00F527C0">
        <w:rPr>
          <w:b/>
        </w:rPr>
        <w:t xml:space="preserve">- Implementation of Workplace Adjustments in ‘Best-Practice’ Organisations, </w:t>
      </w:r>
      <w:r w:rsidRPr="00F02FDF">
        <w:t>Melbourne: University of Melbourne,</w:t>
      </w:r>
      <w:r>
        <w:rPr>
          <w:b/>
        </w:rPr>
        <w:t xml:space="preserve"> </w:t>
      </w:r>
      <w:r>
        <w:t>p.14</w:t>
      </w:r>
      <w:r w:rsidRPr="00F527C0">
        <w:t>.</w:t>
      </w:r>
    </w:p>
  </w:footnote>
  <w:footnote w:id="98">
    <w:p w14:paraId="75962B0C" w14:textId="01C2F2C9" w:rsidR="009707C2" w:rsidRDefault="009707C2">
      <w:pPr>
        <w:pStyle w:val="FootnoteText"/>
      </w:pPr>
      <w:r>
        <w:rPr>
          <w:rStyle w:val="FootnoteReference"/>
        </w:rPr>
        <w:footnoteRef/>
      </w:r>
      <w:r>
        <w:t xml:space="preserve"> Australian Human Rights Commission (2016) </w:t>
      </w:r>
      <w:r w:rsidRPr="00FD7423">
        <w:rPr>
          <w:b/>
        </w:rPr>
        <w:t>Willing to Work National Inquiry into Employment Discrimination Against Older Australians and Australians with</w:t>
      </w:r>
      <w:r w:rsidRPr="00FD7423">
        <w:t xml:space="preserve"> </w:t>
      </w:r>
      <w:r w:rsidRPr="00FD7423">
        <w:rPr>
          <w:b/>
        </w:rPr>
        <w:t>Disability</w:t>
      </w:r>
      <w:r>
        <w:t xml:space="preserve">, Sydney: </w:t>
      </w:r>
      <w:r w:rsidRPr="00A533F1">
        <w:t>Australian Human Rights Commission</w:t>
      </w:r>
      <w:r>
        <w:t>, p.173.</w:t>
      </w:r>
    </w:p>
  </w:footnote>
  <w:footnote w:id="99">
    <w:p w14:paraId="1CFE56E2" w14:textId="6C11EC71" w:rsidR="009707C2" w:rsidRDefault="009707C2">
      <w:pPr>
        <w:pStyle w:val="FootnoteText"/>
      </w:pPr>
      <w:r>
        <w:rPr>
          <w:rStyle w:val="FootnoteReference"/>
        </w:rPr>
        <w:footnoteRef/>
      </w:r>
      <w:r>
        <w:t xml:space="preserve"> For more information see the website of Dyslexia Ireland &lt;</w:t>
      </w:r>
      <w:hyperlink r:id="rId8" w:history="1">
        <w:r w:rsidRPr="00CB5FFB">
          <w:rPr>
            <w:rStyle w:val="Hyperlink"/>
          </w:rPr>
          <w:t>http://www.dyslexia.ie/information/adults-and-the-workplace/disclosure/</w:t>
        </w:r>
      </w:hyperlink>
      <w:r>
        <w:t xml:space="preserve">&gt;. </w:t>
      </w:r>
    </w:p>
  </w:footnote>
  <w:footnote w:id="100">
    <w:p w14:paraId="6457E8C0" w14:textId="792CFF83" w:rsidR="009707C2" w:rsidRPr="00FB652F" w:rsidRDefault="009707C2">
      <w:pPr>
        <w:pStyle w:val="FootnoteText"/>
      </w:pPr>
      <w:r>
        <w:rPr>
          <w:rStyle w:val="FootnoteReference"/>
        </w:rPr>
        <w:footnoteRef/>
      </w:r>
      <w:r>
        <w:t xml:space="preserve"> Multiple Sclerosis Ireland (2016) </w:t>
      </w:r>
      <w:r w:rsidRPr="00FB652F">
        <w:rPr>
          <w:b/>
        </w:rPr>
        <w:t>Working with MS</w:t>
      </w:r>
      <w:r>
        <w:rPr>
          <w:b/>
        </w:rPr>
        <w:t>:</w:t>
      </w:r>
      <w:r w:rsidRPr="00FB652F">
        <w:rPr>
          <w:b/>
        </w:rPr>
        <w:t xml:space="preserve"> Employment Resource for People with Multiple Sclerosis</w:t>
      </w:r>
      <w:r>
        <w:t>, Dublin: MS Ireland, p.4.</w:t>
      </w:r>
    </w:p>
  </w:footnote>
  <w:footnote w:id="101">
    <w:p w14:paraId="1B8906FD" w14:textId="6E9C1EF3" w:rsidR="009707C2" w:rsidRDefault="009707C2">
      <w:pPr>
        <w:pStyle w:val="FootnoteText"/>
      </w:pPr>
      <w:r>
        <w:rPr>
          <w:rStyle w:val="FootnoteReference"/>
        </w:rPr>
        <w:footnoteRef/>
      </w:r>
      <w:r>
        <w:t xml:space="preserve"> Epilepsy Ireland (2015) </w:t>
      </w:r>
      <w:r w:rsidRPr="00690A54">
        <w:rPr>
          <w:b/>
        </w:rPr>
        <w:t>Epilepsy in the Workplace: An Employers Information Resource</w:t>
      </w:r>
      <w:r>
        <w:t>, Dublin: Epilepsy Ireland, p.3.</w:t>
      </w:r>
    </w:p>
  </w:footnote>
  <w:footnote w:id="102">
    <w:p w14:paraId="72DDC756" w14:textId="4C2837C0" w:rsidR="009707C2" w:rsidRDefault="009707C2">
      <w:pPr>
        <w:pStyle w:val="FootnoteText"/>
      </w:pPr>
      <w:r>
        <w:rPr>
          <w:rStyle w:val="FootnoteReference"/>
        </w:rPr>
        <w:footnoteRef/>
      </w:r>
      <w:r>
        <w:t xml:space="preserve"> </w:t>
      </w:r>
      <w:r w:rsidRPr="00F527C0">
        <w:t>Raymond,</w:t>
      </w:r>
      <w:r>
        <w:t xml:space="preserve"> M.,</w:t>
      </w:r>
      <w:r w:rsidRPr="00F527C0">
        <w:t xml:space="preserve"> </w:t>
      </w:r>
      <w:r>
        <w:t>Olsen</w:t>
      </w:r>
      <w:r w:rsidRPr="00F527C0">
        <w:t>,</w:t>
      </w:r>
      <w:r>
        <w:t xml:space="preserve"> J.,</w:t>
      </w:r>
      <w:r w:rsidRPr="00F527C0">
        <w:t xml:space="preserve"> Ainsworth,</w:t>
      </w:r>
      <w:r>
        <w:t xml:space="preserve"> S.,</w:t>
      </w:r>
      <w:r w:rsidRPr="00F527C0">
        <w:t xml:space="preserve"> Lotia,</w:t>
      </w:r>
      <w:r>
        <w:t xml:space="preserve"> N.,</w:t>
      </w:r>
      <w:r w:rsidRPr="00F527C0">
        <w:t xml:space="preserve"> Harbridge</w:t>
      </w:r>
      <w:r>
        <w:t>, R.</w:t>
      </w:r>
      <w:r w:rsidRPr="00F527C0">
        <w:t xml:space="preserve"> </w:t>
      </w:r>
      <w:r>
        <w:t>&amp;</w:t>
      </w:r>
      <w:r w:rsidRPr="00F527C0">
        <w:t xml:space="preserve"> Holland,</w:t>
      </w:r>
      <w:r>
        <w:t xml:space="preserve"> A. (2019)</w:t>
      </w:r>
      <w:r w:rsidRPr="00F527C0">
        <w:t xml:space="preserve"> </w:t>
      </w:r>
      <w:r w:rsidRPr="00F527C0">
        <w:rPr>
          <w:b/>
          <w:bCs/>
        </w:rPr>
        <w:t xml:space="preserve">Improving Access and Inclusion in Employment for People with Disabilities </w:t>
      </w:r>
      <w:r w:rsidRPr="00F527C0">
        <w:rPr>
          <w:b/>
        </w:rPr>
        <w:t xml:space="preserve">- Implementation of Workplace Adjustments in ‘Best-Practice’ Organisations, </w:t>
      </w:r>
      <w:r w:rsidRPr="00F02FDF">
        <w:t>Melbourne: University of Melbourne,</w:t>
      </w:r>
      <w:r>
        <w:rPr>
          <w:b/>
        </w:rPr>
        <w:t xml:space="preserve"> </w:t>
      </w:r>
      <w:r>
        <w:t>p.15</w:t>
      </w:r>
      <w:r w:rsidRPr="00F527C0">
        <w:t>.</w:t>
      </w:r>
    </w:p>
  </w:footnote>
  <w:footnote w:id="103">
    <w:p w14:paraId="41352D9F" w14:textId="12CAF93A" w:rsidR="009707C2" w:rsidRDefault="009707C2">
      <w:pPr>
        <w:pStyle w:val="FootnoteText"/>
      </w:pPr>
      <w:r>
        <w:rPr>
          <w:rStyle w:val="FootnoteReference"/>
        </w:rPr>
        <w:footnoteRef/>
      </w:r>
      <w:r>
        <w:t xml:space="preserve"> </w:t>
      </w:r>
      <w:r w:rsidRPr="00823C13">
        <w:t>The Employer Disability Information</w:t>
      </w:r>
      <w:r w:rsidRPr="00823C13" w:rsidDel="00A1793B">
        <w:t xml:space="preserve"> </w:t>
      </w:r>
      <w:r w:rsidRPr="00823C13">
        <w:t>service operated</w:t>
      </w:r>
      <w:r>
        <w:t xml:space="preserve"> as a pilot initiative</w:t>
      </w:r>
      <w:r w:rsidRPr="00823C13">
        <w:t xml:space="preserve"> until January 2019. Its purpose was to provide employers with an </w:t>
      </w:r>
      <w:r w:rsidRPr="00823C13">
        <w:rPr>
          <w:bCs/>
        </w:rPr>
        <w:t>expert peer source of advice and information on employing staff with disabilities</w:t>
      </w:r>
      <w:r w:rsidRPr="00823C13">
        <w:t>, with a view to enhancing the confidence and competence of individual employers to employ, manage and retain staff with disabilities. </w:t>
      </w:r>
      <w:r>
        <w:t>The service wa</w:t>
      </w:r>
      <w:r w:rsidRPr="009E0BC7">
        <w:t>s managed by a </w:t>
      </w:r>
      <w:r w:rsidRPr="009E0BC7">
        <w:rPr>
          <w:bCs/>
        </w:rPr>
        <w:t>consortium</w:t>
      </w:r>
      <w:r w:rsidRPr="009E0BC7">
        <w:t> of </w:t>
      </w:r>
      <w:r w:rsidRPr="009E0BC7">
        <w:rPr>
          <w:bCs/>
        </w:rPr>
        <w:t>employer</w:t>
      </w:r>
      <w:r w:rsidRPr="009E0BC7">
        <w:t> organisations - Chamb</w:t>
      </w:r>
      <w:r>
        <w:t>ers Ireland, Ibec and ISME - and wa</w:t>
      </w:r>
      <w:r w:rsidRPr="009E0BC7">
        <w:t>s </w:t>
      </w:r>
      <w:r w:rsidRPr="009E0BC7">
        <w:rPr>
          <w:bCs/>
        </w:rPr>
        <w:t>funded</w:t>
      </w:r>
      <w:r w:rsidRPr="009E0BC7">
        <w:t> through the </w:t>
      </w:r>
      <w:r w:rsidRPr="009E0BC7">
        <w:rPr>
          <w:bCs/>
        </w:rPr>
        <w:t>N</w:t>
      </w:r>
      <w:r>
        <w:rPr>
          <w:bCs/>
        </w:rPr>
        <w:t xml:space="preserve">ational </w:t>
      </w:r>
      <w:r w:rsidRPr="009E0BC7">
        <w:rPr>
          <w:bCs/>
        </w:rPr>
        <w:t>D</w:t>
      </w:r>
      <w:r>
        <w:rPr>
          <w:bCs/>
        </w:rPr>
        <w:t xml:space="preserve">isability </w:t>
      </w:r>
      <w:r w:rsidRPr="009E0BC7">
        <w:rPr>
          <w:bCs/>
        </w:rPr>
        <w:t>A</w:t>
      </w:r>
      <w:r>
        <w:rPr>
          <w:bCs/>
        </w:rPr>
        <w:t>uthority</w:t>
      </w:r>
      <w:r w:rsidRPr="009E0BC7">
        <w:t>.</w:t>
      </w:r>
    </w:p>
  </w:footnote>
  <w:footnote w:id="104">
    <w:p w14:paraId="3023FE83" w14:textId="77777777" w:rsidR="009707C2" w:rsidRDefault="009707C2" w:rsidP="00823C13">
      <w:pPr>
        <w:pStyle w:val="FootnoteText"/>
      </w:pPr>
      <w:r>
        <w:rPr>
          <w:rStyle w:val="FootnoteReference"/>
        </w:rPr>
        <w:footnoteRef/>
      </w:r>
      <w:r>
        <w:t xml:space="preserve"> </w:t>
      </w:r>
      <w:r w:rsidRPr="00FD69BF">
        <w:t xml:space="preserve">Employer Disability Information (2018) </w:t>
      </w:r>
      <w:r w:rsidRPr="0053132E">
        <w:rPr>
          <w:b/>
        </w:rPr>
        <w:t>Employers Attitude To Employing People With Disabilities: Survey Results</w:t>
      </w:r>
      <w:r w:rsidRPr="00FD69BF">
        <w:t>, Dublin: EDI, p.</w:t>
      </w:r>
      <w:r>
        <w:t>1</w:t>
      </w:r>
      <w:r w:rsidRPr="00FD69BF">
        <w:t>2.</w:t>
      </w:r>
      <w:r>
        <w:t xml:space="preserve"> The </w:t>
      </w:r>
      <w:r w:rsidRPr="00C43A4C">
        <w:t xml:space="preserve">survey of employers </w:t>
      </w:r>
      <w:r>
        <w:t xml:space="preserve">was </w:t>
      </w:r>
      <w:r w:rsidRPr="00C43A4C">
        <w:t>administered from June until September 2018</w:t>
      </w:r>
      <w:r>
        <w:t xml:space="preserve"> and had 250 respondents</w:t>
      </w:r>
      <w:r w:rsidRPr="00C43A4C">
        <w:t xml:space="preserve">. The survey was promoted to enterprises associated with the three national employer organisations (Chambers Ireland, Ibec and ISME), to the Employer Disability Information (EDI) Employer Peer Network and via social media channels. </w:t>
      </w:r>
    </w:p>
  </w:footnote>
  <w:footnote w:id="105">
    <w:p w14:paraId="6FE7A195" w14:textId="78619A11" w:rsidR="009707C2" w:rsidRDefault="009707C2" w:rsidP="005E18C7">
      <w:pPr>
        <w:pStyle w:val="FootnoteText"/>
      </w:pPr>
      <w:r>
        <w:rPr>
          <w:rStyle w:val="FootnoteReference"/>
        </w:rPr>
        <w:footnoteRef/>
      </w:r>
      <w:r>
        <w:t xml:space="preserve"> Australian Human Rights Commission (2016) </w:t>
      </w:r>
      <w:r w:rsidRPr="00FD7423">
        <w:rPr>
          <w:b/>
        </w:rPr>
        <w:t>Willing to Work National Inquiry into Employment Discrimination Against Older Australians and Australians with</w:t>
      </w:r>
      <w:r w:rsidRPr="00FD7423">
        <w:t xml:space="preserve"> </w:t>
      </w:r>
      <w:r w:rsidRPr="00FD7423">
        <w:rPr>
          <w:b/>
        </w:rPr>
        <w:t>Disability</w:t>
      </w:r>
      <w:r>
        <w:t xml:space="preserve">, Sydney: </w:t>
      </w:r>
      <w:r w:rsidRPr="00A533F1">
        <w:t>Australian Human Rights Commission</w:t>
      </w:r>
      <w:r>
        <w:t>, p.281.</w:t>
      </w:r>
    </w:p>
  </w:footnote>
  <w:footnote w:id="106">
    <w:p w14:paraId="242EC199" w14:textId="3ED97DC0" w:rsidR="009707C2" w:rsidRDefault="009707C2" w:rsidP="00536B99">
      <w:pPr>
        <w:pStyle w:val="FootnoteText"/>
      </w:pPr>
      <w:r>
        <w:rPr>
          <w:rStyle w:val="FootnoteReference"/>
        </w:rPr>
        <w:footnoteRef/>
      </w:r>
      <w:r>
        <w:t xml:space="preserve"> </w:t>
      </w:r>
      <w:r w:rsidRPr="000C07CB">
        <w:t xml:space="preserve">Purdy, A. (2015) </w:t>
      </w:r>
      <w:r w:rsidRPr="000C07CB">
        <w:rPr>
          <w:b/>
        </w:rPr>
        <w:t>Equality Law in the Workplace</w:t>
      </w:r>
      <w:r w:rsidRPr="000C07CB">
        <w:t xml:space="preserve">, Dublin: Bloomsbury Professional, </w:t>
      </w:r>
      <w:r>
        <w:t>para. 17.84</w:t>
      </w:r>
      <w:r w:rsidRPr="000C07CB">
        <w:t>.</w:t>
      </w:r>
    </w:p>
  </w:footnote>
  <w:footnote w:id="107">
    <w:p w14:paraId="30C5D6C9" w14:textId="77777777" w:rsidR="009707C2" w:rsidRDefault="009707C2" w:rsidP="00536B99">
      <w:pPr>
        <w:pStyle w:val="FootnoteText"/>
      </w:pPr>
      <w:r>
        <w:rPr>
          <w:rStyle w:val="FootnoteReference"/>
        </w:rPr>
        <w:footnoteRef/>
      </w:r>
      <w:r>
        <w:t xml:space="preserve"> </w:t>
      </w:r>
      <w:r w:rsidRPr="00074C16">
        <w:t xml:space="preserve">RSM PACEC &amp; National Disability Authority (2018) </w:t>
      </w:r>
      <w:r w:rsidRPr="00074C16">
        <w:rPr>
          <w:b/>
        </w:rPr>
        <w:t xml:space="preserve">Research on good practice in the employment of people with disabilities in the public sector, </w:t>
      </w:r>
      <w:r w:rsidRPr="00074C16">
        <w:t>Dublin: RSM PACEC &amp; NDA, p.</w:t>
      </w:r>
      <w:r>
        <w:t>40</w:t>
      </w:r>
      <w:r w:rsidRPr="00074C16">
        <w:t>.</w:t>
      </w:r>
    </w:p>
  </w:footnote>
  <w:footnote w:id="108">
    <w:p w14:paraId="30CDAC72" w14:textId="3F12104C" w:rsidR="009707C2" w:rsidRPr="00076680" w:rsidRDefault="009707C2">
      <w:pPr>
        <w:pStyle w:val="FootnoteText"/>
      </w:pPr>
      <w:r>
        <w:rPr>
          <w:rStyle w:val="FootnoteReference"/>
        </w:rPr>
        <w:footnoteRef/>
      </w:r>
      <w:r>
        <w:t xml:space="preserve"> Webster, B. (2014) </w:t>
      </w:r>
      <w:r w:rsidRPr="00076680">
        <w:rPr>
          <w:b/>
        </w:rPr>
        <w:t>A </w:t>
      </w:r>
      <w:r w:rsidRPr="00076680">
        <w:rPr>
          <w:b/>
          <w:bCs/>
        </w:rPr>
        <w:t>Mental Health Policy Document</w:t>
      </w:r>
      <w:r w:rsidRPr="00076680">
        <w:rPr>
          <w:b/>
        </w:rPr>
        <w:t> for the </w:t>
      </w:r>
      <w:r w:rsidRPr="00076680">
        <w:rPr>
          <w:b/>
          <w:bCs/>
        </w:rPr>
        <w:t>Workplace</w:t>
      </w:r>
      <w:r>
        <w:rPr>
          <w:b/>
          <w:bCs/>
        </w:rPr>
        <w:t xml:space="preserve">, </w:t>
      </w:r>
      <w:r>
        <w:rPr>
          <w:bCs/>
        </w:rPr>
        <w:t>Dublin: See Change.</w:t>
      </w:r>
    </w:p>
  </w:footnote>
  <w:footnote w:id="109">
    <w:p w14:paraId="0980833C" w14:textId="73D1DA88" w:rsidR="009707C2" w:rsidRDefault="009707C2">
      <w:pPr>
        <w:pStyle w:val="FootnoteText"/>
      </w:pPr>
      <w:r>
        <w:rPr>
          <w:rStyle w:val="FootnoteReference"/>
        </w:rPr>
        <w:footnoteRef/>
      </w:r>
      <w:r>
        <w:t xml:space="preserve"> Lawson, A. (2008</w:t>
      </w:r>
      <w:r w:rsidRPr="00857E8C">
        <w:t>) ‘</w:t>
      </w:r>
      <w:r>
        <w:t>People with Psychosocial Impairments or Conditions, Reasonable Accommodation and the Convention on the Rights of Persons with Diabilities</w:t>
      </w:r>
      <w:r w:rsidRPr="00857E8C">
        <w:t xml:space="preserve">’ in </w:t>
      </w:r>
      <w:r>
        <w:t>McSherry, B.</w:t>
      </w:r>
      <w:r w:rsidRPr="00857E8C">
        <w:t xml:space="preserve"> </w:t>
      </w:r>
      <w:r>
        <w:t>(ed</w:t>
      </w:r>
      <w:r w:rsidRPr="00857E8C">
        <w:t xml:space="preserve">.), </w:t>
      </w:r>
      <w:r>
        <w:rPr>
          <w:b/>
        </w:rPr>
        <w:t>International Trends in Mental Health Laws</w:t>
      </w:r>
      <w:r w:rsidRPr="00857E8C">
        <w:t xml:space="preserve">, </w:t>
      </w:r>
      <w:r>
        <w:t>Sydney</w:t>
      </w:r>
      <w:r w:rsidRPr="00857E8C">
        <w:t xml:space="preserve">: </w:t>
      </w:r>
      <w:r>
        <w:t>Federation Press</w:t>
      </w:r>
      <w:r w:rsidRPr="00857E8C">
        <w:t>.</w:t>
      </w:r>
    </w:p>
  </w:footnote>
  <w:footnote w:id="110">
    <w:p w14:paraId="5D5D5992" w14:textId="77777777" w:rsidR="009707C2" w:rsidRPr="004974AB" w:rsidRDefault="009707C2" w:rsidP="00536B99">
      <w:pPr>
        <w:pStyle w:val="FootnoteText"/>
        <w:rPr>
          <w:bCs/>
        </w:rPr>
      </w:pPr>
      <w:r>
        <w:rPr>
          <w:rStyle w:val="FootnoteReference"/>
        </w:rPr>
        <w:footnoteRef/>
      </w:r>
      <w:r>
        <w:t xml:space="preserve"> See for instance </w:t>
      </w:r>
      <w:r w:rsidRPr="0053132E">
        <w:rPr>
          <w:b/>
          <w:bCs/>
        </w:rPr>
        <w:t>Complainant v Respondent ADJ-00009293</w:t>
      </w:r>
      <w:r w:rsidRPr="004974AB">
        <w:t>.</w:t>
      </w:r>
    </w:p>
  </w:footnote>
  <w:footnote w:id="111">
    <w:p w14:paraId="3BECF2C3" w14:textId="12470E05" w:rsidR="009707C2" w:rsidRDefault="009707C2">
      <w:pPr>
        <w:pStyle w:val="FootnoteText"/>
      </w:pPr>
      <w:r>
        <w:rPr>
          <w:rStyle w:val="FootnoteReference"/>
        </w:rPr>
        <w:footnoteRef/>
      </w:r>
      <w:r>
        <w:t xml:space="preserve"> These concerns relate to public bodies carrying out their own recruitment campaigns as opposed to recruitment campaigns run by the Public Appointments Service.</w:t>
      </w:r>
    </w:p>
  </w:footnote>
  <w:footnote w:id="112">
    <w:p w14:paraId="61420CCE" w14:textId="77777777" w:rsidR="009707C2" w:rsidRDefault="009707C2" w:rsidP="00536B99">
      <w:pPr>
        <w:pStyle w:val="FootnoteText"/>
      </w:pPr>
      <w:r>
        <w:rPr>
          <w:rStyle w:val="FootnoteReference"/>
        </w:rPr>
        <w:footnoteRef/>
      </w:r>
      <w:r>
        <w:t xml:space="preserve"> International Labour Organisation (2016) </w:t>
      </w:r>
      <w:r w:rsidRPr="0053132E">
        <w:rPr>
          <w:b/>
        </w:rPr>
        <w:t>Promoting Diversity and Inclusion Through Workplace Adjustments: A Practical Guide</w:t>
      </w:r>
      <w:r>
        <w:t xml:space="preserve">, Geneva: ILO, pp.36-37. </w:t>
      </w:r>
    </w:p>
  </w:footnote>
  <w:footnote w:id="113">
    <w:p w14:paraId="3DF221B7" w14:textId="72BAF22B" w:rsidR="009707C2" w:rsidRPr="00257FA7" w:rsidRDefault="009707C2" w:rsidP="00257FA7">
      <w:pPr>
        <w:pStyle w:val="FootnoteText"/>
        <w:rPr>
          <w:bCs/>
        </w:rPr>
      </w:pPr>
      <w:r>
        <w:rPr>
          <w:rStyle w:val="FootnoteReference"/>
        </w:rPr>
        <w:footnoteRef/>
      </w:r>
      <w:r>
        <w:t xml:space="preserve"> Equality Authority (2011) </w:t>
      </w:r>
      <w:r>
        <w:rPr>
          <w:b/>
          <w:bCs/>
        </w:rPr>
        <w:t xml:space="preserve">Equality and mental health: what the law means for your </w:t>
      </w:r>
      <w:r w:rsidRPr="00257FA7">
        <w:rPr>
          <w:b/>
          <w:bCs/>
        </w:rPr>
        <w:t>workplace</w:t>
      </w:r>
      <w:r>
        <w:rPr>
          <w:b/>
          <w:bCs/>
        </w:rPr>
        <w:t xml:space="preserve">, </w:t>
      </w:r>
      <w:r>
        <w:rPr>
          <w:bCs/>
        </w:rPr>
        <w:t>Roscrea: Equality Authority, p.10.</w:t>
      </w:r>
    </w:p>
  </w:footnote>
  <w:footnote w:id="114">
    <w:p w14:paraId="0D042C05" w14:textId="77777777" w:rsidR="009707C2" w:rsidRDefault="009707C2" w:rsidP="00536B99">
      <w:pPr>
        <w:pStyle w:val="FootnoteText"/>
      </w:pPr>
      <w:r>
        <w:rPr>
          <w:rStyle w:val="FootnoteReference"/>
        </w:rPr>
        <w:footnoteRef/>
      </w:r>
      <w:r>
        <w:t xml:space="preserve"> </w:t>
      </w:r>
      <w:r w:rsidRPr="0053132E">
        <w:rPr>
          <w:b/>
        </w:rPr>
        <w:t>A Nurse v A Hospital ADJ-00000278.</w:t>
      </w:r>
    </w:p>
  </w:footnote>
  <w:footnote w:id="115">
    <w:p w14:paraId="74197AAE" w14:textId="77777777" w:rsidR="009707C2" w:rsidRPr="00823C13" w:rsidRDefault="009707C2" w:rsidP="00536B99">
      <w:pPr>
        <w:pStyle w:val="FootnoteText"/>
        <w:rPr>
          <w:b/>
        </w:rPr>
      </w:pPr>
      <w:r>
        <w:rPr>
          <w:rStyle w:val="FootnoteReference"/>
        </w:rPr>
        <w:footnoteRef/>
      </w:r>
      <w:r>
        <w:t xml:space="preserve"> </w:t>
      </w:r>
      <w:r w:rsidRPr="004974AB">
        <w:t xml:space="preserve">UK Cabinet Office (2017) </w:t>
      </w:r>
      <w:r w:rsidRPr="0053132E">
        <w:rPr>
          <w:b/>
          <w:bCs/>
        </w:rPr>
        <w:t xml:space="preserve">A Brilliant Civil Service: </w:t>
      </w:r>
      <w:r w:rsidRPr="0053132E">
        <w:rPr>
          <w:b/>
        </w:rPr>
        <w:t>becoming t</w:t>
      </w:r>
      <w:r>
        <w:rPr>
          <w:b/>
        </w:rPr>
        <w:t xml:space="preserve">he UK’s most inclusive employer, </w:t>
      </w:r>
      <w:r w:rsidRPr="0053132E">
        <w:rPr>
          <w:b/>
        </w:rPr>
        <w:t>The Civil Service Diversity and Inclusion Strategy,</w:t>
      </w:r>
      <w:r w:rsidRPr="004974AB">
        <w:rPr>
          <w:i/>
        </w:rPr>
        <w:t xml:space="preserve"> </w:t>
      </w:r>
      <w:r>
        <w:t>London: UK Cabinet Office, p.10.</w:t>
      </w:r>
    </w:p>
  </w:footnote>
  <w:footnote w:id="116">
    <w:p w14:paraId="10844E43" w14:textId="5C1C870C" w:rsidR="009707C2" w:rsidRDefault="009707C2" w:rsidP="00536B99">
      <w:pPr>
        <w:pStyle w:val="FootnoteText"/>
      </w:pPr>
      <w:r>
        <w:rPr>
          <w:rStyle w:val="FootnoteReference"/>
        </w:rPr>
        <w:footnoteRef/>
      </w:r>
      <w:r>
        <w:t xml:space="preserve"> Employer Disability Information service, </w:t>
      </w:r>
      <w:r w:rsidRPr="007E3450">
        <w:rPr>
          <w:b/>
        </w:rPr>
        <w:t>Report to the Department of Employment Affairs and Social Protection Report dated 30</w:t>
      </w:r>
      <w:r w:rsidRPr="007E3450">
        <w:rPr>
          <w:b/>
          <w:vertAlign w:val="superscript"/>
        </w:rPr>
        <w:t>th</w:t>
      </w:r>
      <w:r w:rsidRPr="007E3450">
        <w:rPr>
          <w:b/>
        </w:rPr>
        <w:t xml:space="preserve"> May 2016</w:t>
      </w:r>
      <w:r w:rsidRPr="007D5E3C">
        <w:t xml:space="preserve">, available at </w:t>
      </w:r>
      <w:r>
        <w:t>the Employer Disability Information service website &lt;</w:t>
      </w:r>
      <w:hyperlink r:id="rId9" w:history="1">
        <w:r w:rsidRPr="007D5E3C">
          <w:rPr>
            <w:rStyle w:val="Hyperlink"/>
          </w:rPr>
          <w:t>http://www.employerdisabilityinfo.ie/about/submissions/deasp-report</w:t>
        </w:r>
      </w:hyperlink>
      <w:r>
        <w:t>&gt;.</w:t>
      </w:r>
    </w:p>
  </w:footnote>
  <w:footnote w:id="117">
    <w:p w14:paraId="3EBB2D4B" w14:textId="0F7CCFA4" w:rsidR="009707C2" w:rsidRDefault="009707C2" w:rsidP="00536B99">
      <w:pPr>
        <w:pStyle w:val="FootnoteText"/>
      </w:pPr>
      <w:r>
        <w:rPr>
          <w:rStyle w:val="FootnoteReference"/>
        </w:rPr>
        <w:footnoteRef/>
      </w:r>
      <w:r>
        <w:t xml:space="preserve"> Employer Disability Information service, </w:t>
      </w:r>
      <w:r w:rsidRPr="007E3450">
        <w:rPr>
          <w:b/>
        </w:rPr>
        <w:t>Report to the Department of Employment Affairs and Social Protection Report dated 30</w:t>
      </w:r>
      <w:r w:rsidRPr="007E3450">
        <w:rPr>
          <w:b/>
          <w:vertAlign w:val="superscript"/>
        </w:rPr>
        <w:t>th</w:t>
      </w:r>
      <w:r w:rsidRPr="007E3450">
        <w:rPr>
          <w:b/>
        </w:rPr>
        <w:t xml:space="preserve"> May 2016</w:t>
      </w:r>
      <w:r w:rsidRPr="007D5E3C">
        <w:t xml:space="preserve">, available at </w:t>
      </w:r>
      <w:r>
        <w:t>the Employer Disability Information service website &lt;</w:t>
      </w:r>
      <w:hyperlink r:id="rId10" w:history="1">
        <w:r w:rsidRPr="007D5E3C">
          <w:rPr>
            <w:rStyle w:val="Hyperlink"/>
          </w:rPr>
          <w:t>http://www.employerdisabilityinfo.ie/about/submissions/deasp-report</w:t>
        </w:r>
      </w:hyperlink>
      <w:r>
        <w:t>&gt;.</w:t>
      </w:r>
    </w:p>
  </w:footnote>
  <w:footnote w:id="118">
    <w:p w14:paraId="3AB74C9C" w14:textId="40E46ECF" w:rsidR="009707C2" w:rsidRDefault="009707C2">
      <w:pPr>
        <w:pStyle w:val="FootnoteText"/>
      </w:pPr>
      <w:r>
        <w:rPr>
          <w:rStyle w:val="FootnoteReference"/>
        </w:rPr>
        <w:footnoteRef/>
      </w:r>
      <w:r>
        <w:t xml:space="preserve"> More information on this grant is available in Section 4.2.6. and 4.2.7.</w:t>
      </w:r>
    </w:p>
  </w:footnote>
  <w:footnote w:id="119">
    <w:p w14:paraId="07CC0BCD" w14:textId="0C4D7B14" w:rsidR="009707C2" w:rsidRDefault="009707C2">
      <w:pPr>
        <w:pStyle w:val="FootnoteText"/>
      </w:pPr>
      <w:r>
        <w:rPr>
          <w:rStyle w:val="FootnoteReference"/>
        </w:rPr>
        <w:footnoteRef/>
      </w:r>
      <w:r>
        <w:t xml:space="preserve"> See for instance </w:t>
      </w:r>
      <w:r w:rsidRPr="002B19A6">
        <w:t xml:space="preserve">See for instance UN Committee on the Rights of Persons with Disabilities (2018) </w:t>
      </w:r>
      <w:r w:rsidRPr="002B19A6">
        <w:rPr>
          <w:b/>
        </w:rPr>
        <w:t>Concluding observations on the initial report of Bulgaria</w:t>
      </w:r>
      <w:r w:rsidRPr="002B19A6">
        <w:t>, Geneva: Office of the United Nations High Commissioner for Human Rights, p.9.</w:t>
      </w:r>
      <w:r>
        <w:t xml:space="preserve"> See also </w:t>
      </w:r>
      <w:r w:rsidRPr="002B19A6">
        <w:t xml:space="preserve">UN Committee on the Rights of Persons with </w:t>
      </w:r>
      <w:r>
        <w:t>Disabilities (2019</w:t>
      </w:r>
      <w:r w:rsidRPr="002B19A6">
        <w:t xml:space="preserve">) </w:t>
      </w:r>
      <w:r w:rsidRPr="0016009D">
        <w:rPr>
          <w:b/>
        </w:rPr>
        <w:t>Concluding observations on the combined second and third periodic reports of Spain</w:t>
      </w:r>
      <w:r w:rsidRPr="002B19A6">
        <w:t>, Geneva: Office of the United Nations High Commissioner for Human Rights, p.</w:t>
      </w:r>
      <w:r>
        <w:t>11.</w:t>
      </w:r>
    </w:p>
  </w:footnote>
  <w:footnote w:id="120">
    <w:p w14:paraId="39ED6BA0" w14:textId="0525C294" w:rsidR="009707C2" w:rsidRDefault="009707C2">
      <w:pPr>
        <w:pStyle w:val="FootnoteText"/>
      </w:pPr>
      <w:r>
        <w:rPr>
          <w:rStyle w:val="FootnoteReference"/>
        </w:rPr>
        <w:footnoteRef/>
      </w:r>
      <w:r>
        <w:t xml:space="preserve"> </w:t>
      </w:r>
      <w:r w:rsidRPr="002B19A6">
        <w:t xml:space="preserve">See for instance UN Committee on the Rights of Persons with Disabilities (2018) </w:t>
      </w:r>
      <w:r w:rsidRPr="002B19A6">
        <w:rPr>
          <w:b/>
        </w:rPr>
        <w:t>Concluding observations on the initial report of Bulgaria</w:t>
      </w:r>
      <w:r w:rsidRPr="002B19A6">
        <w:t>, Geneva: Office of the United Nations High Commissioner for Human Rights, p.9.</w:t>
      </w:r>
      <w:r>
        <w:t xml:space="preserve"> See also </w:t>
      </w:r>
      <w:r w:rsidRPr="002B19A6">
        <w:t xml:space="preserve">UN Committee on the Rights of Persons with </w:t>
      </w:r>
      <w:r>
        <w:t>Disabilities (2018</w:t>
      </w:r>
      <w:r w:rsidRPr="002B19A6">
        <w:t xml:space="preserve">) </w:t>
      </w:r>
      <w:r w:rsidRPr="002B19A6">
        <w:rPr>
          <w:b/>
        </w:rPr>
        <w:t xml:space="preserve">Concluding observations on the initial report of </w:t>
      </w:r>
      <w:r>
        <w:rPr>
          <w:b/>
        </w:rPr>
        <w:t>Malta</w:t>
      </w:r>
      <w:r w:rsidRPr="002B19A6">
        <w:t>, Geneva: Office of the United Nations High Commissioner for Human Rights, p.</w:t>
      </w:r>
      <w:r>
        <w:t>9.</w:t>
      </w:r>
    </w:p>
  </w:footnote>
  <w:footnote w:id="121">
    <w:p w14:paraId="64469CC9" w14:textId="2831E9D5" w:rsidR="009707C2" w:rsidRDefault="009707C2">
      <w:pPr>
        <w:pStyle w:val="FootnoteText"/>
      </w:pPr>
      <w:r>
        <w:rPr>
          <w:rStyle w:val="FootnoteReference"/>
        </w:rPr>
        <w:footnoteRef/>
      </w:r>
      <w:r>
        <w:t xml:space="preserve"> See for instance</w:t>
      </w:r>
      <w:r w:rsidRPr="00285487">
        <w:rPr>
          <w:sz w:val="26"/>
          <w:szCs w:val="24"/>
        </w:rPr>
        <w:t xml:space="preserve"> </w:t>
      </w:r>
      <w:r>
        <w:t>U</w:t>
      </w:r>
      <w:r w:rsidRPr="00444001">
        <w:t xml:space="preserve">N Committee on the Rights of Persons with </w:t>
      </w:r>
      <w:r>
        <w:t>Disabilities (2016</w:t>
      </w:r>
      <w:r w:rsidRPr="00444001">
        <w:t xml:space="preserve">) </w:t>
      </w:r>
      <w:r w:rsidRPr="00444001">
        <w:rPr>
          <w:b/>
        </w:rPr>
        <w:t xml:space="preserve">Concluding observations on the initial report of </w:t>
      </w:r>
      <w:r>
        <w:rPr>
          <w:b/>
        </w:rPr>
        <w:t>Slovakia</w:t>
      </w:r>
      <w:r w:rsidRPr="00444001">
        <w:t>, Geneva: Office of the United Nations High Commissioner for Human Rights, p</w:t>
      </w:r>
      <w:r>
        <w:t>p</w:t>
      </w:r>
      <w:r w:rsidRPr="00444001">
        <w:t>.</w:t>
      </w:r>
      <w:r>
        <w:t>8-9</w:t>
      </w:r>
      <w:r w:rsidRPr="00444001">
        <w:t>.</w:t>
      </w:r>
      <w:r>
        <w:t xml:space="preserve"> See also </w:t>
      </w:r>
      <w:r w:rsidRPr="00285487">
        <w:t xml:space="preserve">UN Committee on the Rights of Persons with </w:t>
      </w:r>
      <w:r>
        <w:t>Disabilities (2018</w:t>
      </w:r>
      <w:r w:rsidRPr="00285487">
        <w:t xml:space="preserve">) </w:t>
      </w:r>
      <w:r>
        <w:rPr>
          <w:b/>
        </w:rPr>
        <w:t>General Comment No.6 on equality and non-discrimination</w:t>
      </w:r>
      <w:r w:rsidRPr="00285487">
        <w:t>, Geneva: Office of the United Nations High Commissioner for Human Rights, p.</w:t>
      </w:r>
      <w:r>
        <w:t>16. The issue of training on reasonable accommodation in the employment context was also raised in the context of the European Union’s review under the UNCRPD.</w:t>
      </w:r>
      <w:r w:rsidRPr="00285487">
        <w:rPr>
          <w:sz w:val="26"/>
          <w:szCs w:val="24"/>
        </w:rPr>
        <w:t xml:space="preserve"> </w:t>
      </w:r>
      <w:r w:rsidRPr="00285487">
        <w:t xml:space="preserve">UN Committee on the Rights of Persons with </w:t>
      </w:r>
      <w:r>
        <w:t>Disabilities (2015</w:t>
      </w:r>
      <w:r w:rsidRPr="00285487">
        <w:t xml:space="preserve">) </w:t>
      </w:r>
      <w:r w:rsidRPr="00285487">
        <w:rPr>
          <w:b/>
        </w:rPr>
        <w:t xml:space="preserve">Concluding observations on the initial report of </w:t>
      </w:r>
      <w:r>
        <w:rPr>
          <w:b/>
        </w:rPr>
        <w:t>the European Union</w:t>
      </w:r>
      <w:r w:rsidRPr="00285487">
        <w:t>, Geneva: Office of the United Nations High Commissioner for Human Rights, p.</w:t>
      </w:r>
      <w:r>
        <w:t>9.</w:t>
      </w:r>
    </w:p>
  </w:footnote>
  <w:footnote w:id="122">
    <w:p w14:paraId="03F9A5B0" w14:textId="3FC0F065" w:rsidR="009707C2" w:rsidRDefault="009707C2">
      <w:pPr>
        <w:pStyle w:val="FootnoteText"/>
      </w:pPr>
      <w:r>
        <w:rPr>
          <w:rStyle w:val="FootnoteReference"/>
        </w:rPr>
        <w:footnoteRef/>
      </w:r>
      <w:r>
        <w:t xml:space="preserve"> </w:t>
      </w:r>
      <w:r w:rsidRPr="00FB2DFD">
        <w:t>Hollan</w:t>
      </w:r>
      <w:r>
        <w:t>d, A., Harbridge, R., Olsen, J.</w:t>
      </w:r>
      <w:r w:rsidRPr="00FB2DFD">
        <w:t xml:space="preserve">E., &amp; Raymond, M. </w:t>
      </w:r>
      <w:r>
        <w:t>(2017)</w:t>
      </w:r>
      <w:r w:rsidRPr="00FB2DFD">
        <w:t xml:space="preserve"> </w:t>
      </w:r>
      <w:r w:rsidRPr="00FB2DFD">
        <w:rPr>
          <w:b/>
        </w:rPr>
        <w:t>Research Insights: Improving access and inclusion in employme</w:t>
      </w:r>
      <w:r>
        <w:rPr>
          <w:b/>
        </w:rPr>
        <w:t>nt for people with disabilities,</w:t>
      </w:r>
      <w:r w:rsidRPr="00FB2DFD">
        <w:t xml:space="preserve"> Melbourne: </w:t>
      </w:r>
      <w:r>
        <w:t>University of Melbourne, p.9.</w:t>
      </w:r>
    </w:p>
  </w:footnote>
  <w:footnote w:id="123">
    <w:p w14:paraId="1B55FC2C" w14:textId="0BFF39CB" w:rsidR="009707C2" w:rsidRDefault="009707C2" w:rsidP="00AA69E3">
      <w:pPr>
        <w:pStyle w:val="FootnoteText"/>
      </w:pPr>
      <w:r>
        <w:rPr>
          <w:rStyle w:val="FootnoteReference"/>
        </w:rPr>
        <w:footnoteRef/>
      </w:r>
      <w:r>
        <w:t xml:space="preserve"> Australian Human Rights Commission (2016) </w:t>
      </w:r>
      <w:r w:rsidRPr="00FD7423">
        <w:rPr>
          <w:b/>
        </w:rPr>
        <w:t>Willing to Work National Inquiry into Employment Discrimination Against Older Australians and Australians with</w:t>
      </w:r>
      <w:r w:rsidRPr="00FD7423">
        <w:t xml:space="preserve"> </w:t>
      </w:r>
      <w:r w:rsidRPr="00FD7423">
        <w:rPr>
          <w:b/>
        </w:rPr>
        <w:t>Disability</w:t>
      </w:r>
      <w:r>
        <w:t xml:space="preserve">, Sydney: </w:t>
      </w:r>
      <w:r w:rsidRPr="00A533F1">
        <w:t>Australian Human Rights Commission</w:t>
      </w:r>
      <w:r>
        <w:t>, p.192.</w:t>
      </w:r>
    </w:p>
  </w:footnote>
  <w:footnote w:id="124">
    <w:p w14:paraId="4CB7F668" w14:textId="7011B77F" w:rsidR="009707C2" w:rsidRDefault="009707C2" w:rsidP="00536B99">
      <w:pPr>
        <w:pStyle w:val="FootnoteText"/>
      </w:pPr>
      <w:r>
        <w:rPr>
          <w:rStyle w:val="FootnoteReference"/>
        </w:rPr>
        <w:footnoteRef/>
      </w:r>
      <w:r>
        <w:t xml:space="preserve"> </w:t>
      </w:r>
      <w:r w:rsidRPr="006764C9">
        <w:t xml:space="preserve">Government of Ireland (2015) </w:t>
      </w:r>
      <w:r w:rsidRPr="006764C9">
        <w:rPr>
          <w:b/>
        </w:rPr>
        <w:t>Comprehensive Employment Strategy for People with Disabilities 2015-2024</w:t>
      </w:r>
      <w:r w:rsidRPr="006764C9">
        <w:t>, Dub</w:t>
      </w:r>
      <w:r>
        <w:t>lin: Stationery Office, p.71</w:t>
      </w:r>
      <w:r w:rsidRPr="006764C9">
        <w:t>.</w:t>
      </w:r>
    </w:p>
  </w:footnote>
  <w:footnote w:id="125">
    <w:p w14:paraId="4874C621" w14:textId="55910E4C" w:rsidR="009707C2" w:rsidRPr="00400F44" w:rsidRDefault="009707C2" w:rsidP="00536B99">
      <w:pPr>
        <w:pStyle w:val="FootnoteText"/>
        <w:rPr>
          <w:bCs/>
        </w:rPr>
      </w:pPr>
      <w:r>
        <w:rPr>
          <w:rStyle w:val="FootnoteReference"/>
        </w:rPr>
        <w:footnoteRef/>
      </w:r>
      <w:r>
        <w:t xml:space="preserve"> See for instance </w:t>
      </w:r>
      <w:r w:rsidRPr="0053132E">
        <w:rPr>
          <w:b/>
        </w:rPr>
        <w:t xml:space="preserve">A Business Manager v </w:t>
      </w:r>
      <w:r>
        <w:rPr>
          <w:b/>
        </w:rPr>
        <w:t xml:space="preserve">A Motor Dealership ADJ-00011959. </w:t>
      </w:r>
      <w:r w:rsidRPr="00AD526E">
        <w:t>See also</w:t>
      </w:r>
      <w:r w:rsidRPr="0053132E">
        <w:rPr>
          <w:b/>
        </w:rPr>
        <w:t xml:space="preserve"> </w:t>
      </w:r>
      <w:r w:rsidRPr="0053132E">
        <w:rPr>
          <w:b/>
          <w:bCs/>
        </w:rPr>
        <w:t>Complainant v Respondent ADJ-00009293.</w:t>
      </w:r>
    </w:p>
  </w:footnote>
  <w:footnote w:id="126">
    <w:p w14:paraId="42E1AB5E" w14:textId="77777777" w:rsidR="009707C2" w:rsidRDefault="009707C2" w:rsidP="00536B99">
      <w:pPr>
        <w:pStyle w:val="FootnoteText"/>
      </w:pPr>
      <w:r>
        <w:rPr>
          <w:rStyle w:val="FootnoteReference"/>
        </w:rPr>
        <w:footnoteRef/>
      </w:r>
      <w:r>
        <w:t xml:space="preserve"> Employer Disability Information (2018) </w:t>
      </w:r>
      <w:r w:rsidRPr="0053132E">
        <w:rPr>
          <w:b/>
        </w:rPr>
        <w:t>Employers Attitude To Employing People With Disabilities: Survey Results</w:t>
      </w:r>
      <w:r>
        <w:t>, Dublin: EDI, p.2.</w:t>
      </w:r>
    </w:p>
  </w:footnote>
  <w:footnote w:id="127">
    <w:p w14:paraId="667804A5" w14:textId="22D191C3" w:rsidR="009707C2" w:rsidRPr="00CB2F48" w:rsidRDefault="009707C2">
      <w:pPr>
        <w:pStyle w:val="FootnoteText"/>
        <w:rPr>
          <w:bCs/>
        </w:rPr>
      </w:pPr>
      <w:r>
        <w:rPr>
          <w:rStyle w:val="FootnoteReference"/>
        </w:rPr>
        <w:footnoteRef/>
      </w:r>
      <w:r>
        <w:t xml:space="preserve"> In May 2019, the </w:t>
      </w:r>
      <w:r w:rsidRPr="00CB2F48">
        <w:rPr>
          <w:bCs/>
        </w:rPr>
        <w:t>Minister of State at the Departments of Employment Affairs and Social Protection, Justice &amp; Equality and Health with special responsibility for Disabilities</w:t>
      </w:r>
      <w:r>
        <w:t xml:space="preserve"> indicated that he is</w:t>
      </w:r>
      <w:r w:rsidRPr="00CB2F48">
        <w:t xml:space="preserve"> currently working with employer representative bodies to develop a follow-on initiative that supports employers when recruiting and retaining people with disabilitie</w:t>
      </w:r>
      <w:r>
        <w:t xml:space="preserve">s. Seanad Debates, </w:t>
      </w:r>
      <w:r w:rsidRPr="00CB2F48">
        <w:rPr>
          <w:bCs/>
        </w:rPr>
        <w:t xml:space="preserve">Comprehensive Employment Strategy for People with Disabilities 2015-2024: Statements, 16 May 2019. </w:t>
      </w:r>
    </w:p>
  </w:footnote>
  <w:footnote w:id="128">
    <w:p w14:paraId="2557236E" w14:textId="4219A98C" w:rsidR="009707C2" w:rsidRDefault="009707C2" w:rsidP="00794C3D">
      <w:pPr>
        <w:pStyle w:val="FootnoteText"/>
      </w:pPr>
      <w:r>
        <w:rPr>
          <w:rStyle w:val="FootnoteReference"/>
        </w:rPr>
        <w:footnoteRef/>
      </w:r>
      <w:r>
        <w:t xml:space="preserve"> More information is available on the JobAccess website &lt;</w:t>
      </w:r>
      <w:hyperlink r:id="rId11" w:history="1">
        <w:r w:rsidRPr="009A6BA1">
          <w:rPr>
            <w:rStyle w:val="Hyperlink"/>
          </w:rPr>
          <w:t>https://www.jobaccess.gov.au/</w:t>
        </w:r>
      </w:hyperlink>
      <w:r>
        <w:t xml:space="preserve">&gt;. </w:t>
      </w:r>
    </w:p>
  </w:footnote>
  <w:footnote w:id="129">
    <w:p w14:paraId="1AF7059C" w14:textId="2F9D0450" w:rsidR="009707C2" w:rsidRDefault="009707C2" w:rsidP="00794C3D">
      <w:pPr>
        <w:pStyle w:val="FootnoteText"/>
      </w:pPr>
      <w:r>
        <w:rPr>
          <w:rStyle w:val="FootnoteReference"/>
        </w:rPr>
        <w:footnoteRef/>
      </w:r>
      <w:r>
        <w:t xml:space="preserve"> JobAccess has developed an Employer Toolkit which is available on their website &lt;</w:t>
      </w:r>
      <w:hyperlink r:id="rId12" w:history="1">
        <w:r w:rsidRPr="002D085C">
          <w:rPr>
            <w:rStyle w:val="Hyperlink"/>
          </w:rPr>
          <w:t>https://www.jobaccess.gov.au/employers/employer-toolkit</w:t>
        </w:r>
      </w:hyperlink>
      <w:r>
        <w:t xml:space="preserve">&gt;. </w:t>
      </w:r>
    </w:p>
  </w:footnote>
  <w:footnote w:id="130">
    <w:p w14:paraId="6C976211" w14:textId="03AAFCCD" w:rsidR="009707C2" w:rsidRDefault="009707C2">
      <w:pPr>
        <w:pStyle w:val="FootnoteText"/>
      </w:pPr>
      <w:r>
        <w:rPr>
          <w:rStyle w:val="FootnoteReference"/>
        </w:rPr>
        <w:footnoteRef/>
      </w:r>
      <w:r>
        <w:t xml:space="preserve"> More information is available on the Job Accommodation Network website &lt;</w:t>
      </w:r>
      <w:hyperlink r:id="rId13" w:history="1">
        <w:r w:rsidRPr="00861101">
          <w:rPr>
            <w:rStyle w:val="Hyperlink"/>
          </w:rPr>
          <w:t>https://askjan.org/index.cfm</w:t>
        </w:r>
      </w:hyperlink>
      <w:r>
        <w:t>&gt;.</w:t>
      </w:r>
    </w:p>
  </w:footnote>
  <w:footnote w:id="131">
    <w:p w14:paraId="119EF290" w14:textId="3D1E078E" w:rsidR="009707C2" w:rsidRDefault="009707C2">
      <w:pPr>
        <w:pStyle w:val="FootnoteText"/>
      </w:pPr>
      <w:r>
        <w:rPr>
          <w:rStyle w:val="FootnoteReference"/>
        </w:rPr>
        <w:footnoteRef/>
      </w:r>
      <w:r>
        <w:t xml:space="preserve"> More information is available on the Equality Commission for Northern Ireland website &lt;</w:t>
      </w:r>
      <w:hyperlink r:id="rId14" w:history="1">
        <w:r w:rsidRPr="00DB1EC8">
          <w:rPr>
            <w:rStyle w:val="Hyperlink"/>
          </w:rPr>
          <w:t>https://www.equalityni.org/Employers-Service-Providers</w:t>
        </w:r>
      </w:hyperlink>
      <w:r>
        <w:t xml:space="preserve">&gt;. </w:t>
      </w:r>
    </w:p>
  </w:footnote>
  <w:footnote w:id="132">
    <w:p w14:paraId="19CC3D54" w14:textId="77777777" w:rsidR="009707C2" w:rsidRDefault="009707C2">
      <w:pPr>
        <w:pStyle w:val="FootnoteText"/>
      </w:pPr>
      <w:r>
        <w:rPr>
          <w:rStyle w:val="FootnoteReference"/>
        </w:rPr>
        <w:footnoteRef/>
      </w:r>
      <w:r>
        <w:t xml:space="preserve"> Equality Commission for Northern Ireland (2018) </w:t>
      </w:r>
      <w:r w:rsidRPr="003F6BDC">
        <w:rPr>
          <w:b/>
          <w:bCs/>
        </w:rPr>
        <w:t>Disability Code of Practice: Employment and Occupation</w:t>
      </w:r>
      <w:r>
        <w:rPr>
          <w:bCs/>
        </w:rPr>
        <w:t>, Belfast: Equality Commission.</w:t>
      </w:r>
    </w:p>
  </w:footnote>
  <w:footnote w:id="133">
    <w:p w14:paraId="4B599023" w14:textId="760F3F51" w:rsidR="009707C2" w:rsidRDefault="009707C2">
      <w:pPr>
        <w:pStyle w:val="FootnoteText"/>
      </w:pPr>
      <w:r>
        <w:rPr>
          <w:rStyle w:val="FootnoteReference"/>
        </w:rPr>
        <w:footnoteRef/>
      </w:r>
      <w:r>
        <w:t xml:space="preserve"> Department of Finance (2007) </w:t>
      </w:r>
      <w:r w:rsidRPr="00AD526E">
        <w:rPr>
          <w:b/>
        </w:rPr>
        <w:t>Code of Practice for the Employment of People with a Disability in the Irish Civil Service</w:t>
      </w:r>
      <w:r>
        <w:t>, Dublin: Department of Finance.</w:t>
      </w:r>
    </w:p>
  </w:footnote>
  <w:footnote w:id="134">
    <w:p w14:paraId="45FB79A3" w14:textId="6655989D" w:rsidR="009707C2" w:rsidRDefault="009707C2">
      <w:pPr>
        <w:pStyle w:val="FootnoteText"/>
      </w:pPr>
      <w:r>
        <w:rPr>
          <w:rStyle w:val="FootnoteReference"/>
        </w:rPr>
        <w:footnoteRef/>
      </w:r>
      <w:r>
        <w:t xml:space="preserve"> Irish Human Rights and Equality Commission, </w:t>
      </w:r>
      <w:r w:rsidRPr="00AD526E">
        <w:rPr>
          <w:b/>
        </w:rPr>
        <w:t>‘Discrimination Against People with Disabilities in Employment a Persistent and Pernicious Roadblock to Worker’s Dignity and Inclusion’</w:t>
      </w:r>
      <w:r>
        <w:rPr>
          <w:b/>
        </w:rPr>
        <w:t xml:space="preserve"> </w:t>
      </w:r>
      <w:r>
        <w:t>[press release], available from their website at &lt;</w:t>
      </w:r>
      <w:r w:rsidRPr="00ED70C2">
        <w:t>https://www.ihrec.ie/discrimination-against-people-with-disabilities-in-employment-a-persistent-and-pernicious-roadblock-to-workers-dignity-and-inclusion/</w:t>
      </w:r>
      <w:r>
        <w:t>&gt;.</w:t>
      </w:r>
    </w:p>
  </w:footnote>
  <w:footnote w:id="135">
    <w:p w14:paraId="147B2CC7" w14:textId="72F53FC2" w:rsidR="009707C2" w:rsidRDefault="009707C2">
      <w:pPr>
        <w:pStyle w:val="FootnoteText"/>
      </w:pPr>
      <w:r>
        <w:rPr>
          <w:rStyle w:val="FootnoteReference"/>
        </w:rPr>
        <w:footnoteRef/>
      </w:r>
      <w:r>
        <w:t xml:space="preserve"> Byrne, J.P. &amp; Ring, F. (2009) </w:t>
      </w:r>
      <w:r w:rsidRPr="00182226">
        <w:rPr>
          <w:b/>
        </w:rPr>
        <w:t>Demystifying Disability in the Workplace: Practical Guidelines for Managers &amp; Supervisors</w:t>
      </w:r>
      <w:r>
        <w:t>, Dublin: AHEAD, p.49.</w:t>
      </w:r>
    </w:p>
  </w:footnote>
  <w:footnote w:id="136">
    <w:p w14:paraId="5B7643C5" w14:textId="008E70C6" w:rsidR="009707C2" w:rsidRDefault="009707C2" w:rsidP="00FC667C">
      <w:pPr>
        <w:pStyle w:val="FootnoteText"/>
      </w:pPr>
      <w:r>
        <w:rPr>
          <w:rStyle w:val="FootnoteReference"/>
        </w:rPr>
        <w:footnoteRef/>
      </w:r>
      <w:r>
        <w:t xml:space="preserve"> </w:t>
      </w:r>
      <w:r w:rsidRPr="004974AB">
        <w:t>W</w:t>
      </w:r>
      <w:r>
        <w:t xml:space="preserve">orld </w:t>
      </w:r>
      <w:r w:rsidRPr="004974AB">
        <w:t>H</w:t>
      </w:r>
      <w:r>
        <w:t xml:space="preserve">ealth </w:t>
      </w:r>
      <w:r w:rsidRPr="004974AB">
        <w:t>O</w:t>
      </w:r>
      <w:r>
        <w:t xml:space="preserve">rganisation &amp; </w:t>
      </w:r>
      <w:r w:rsidRPr="004974AB">
        <w:t xml:space="preserve">World Bank (2011) </w:t>
      </w:r>
      <w:r w:rsidRPr="0053132E">
        <w:rPr>
          <w:b/>
        </w:rPr>
        <w:t>World Report on Disability</w:t>
      </w:r>
      <w:r w:rsidRPr="004974AB">
        <w:t xml:space="preserve">, </w:t>
      </w:r>
      <w:r>
        <w:t>Geneva: WHO, p.251.</w:t>
      </w:r>
    </w:p>
  </w:footnote>
  <w:footnote w:id="137">
    <w:p w14:paraId="6312C96F" w14:textId="2F3CEAE5" w:rsidR="009707C2" w:rsidRDefault="009707C2" w:rsidP="000A7890">
      <w:pPr>
        <w:pStyle w:val="FootnoteText"/>
      </w:pPr>
      <w:r>
        <w:rPr>
          <w:rStyle w:val="FootnoteReference"/>
        </w:rPr>
        <w:footnoteRef/>
      </w:r>
      <w:r>
        <w:t xml:space="preserve"> National Disability Authority (2017) </w:t>
      </w:r>
      <w:r w:rsidRPr="00AD526E">
        <w:rPr>
          <w:b/>
        </w:rPr>
        <w:t>National Survey of Public Attitudes to Disability in Ireland 2017</w:t>
      </w:r>
      <w:r>
        <w:t>, Dublin: NDA, p.45.</w:t>
      </w:r>
    </w:p>
  </w:footnote>
  <w:footnote w:id="138">
    <w:p w14:paraId="62C6A49A" w14:textId="5CEBB2BA" w:rsidR="009707C2" w:rsidRDefault="009707C2" w:rsidP="000A7890">
      <w:pPr>
        <w:pStyle w:val="FootnoteText"/>
      </w:pPr>
      <w:r>
        <w:rPr>
          <w:rStyle w:val="FootnoteReference"/>
        </w:rPr>
        <w:footnoteRef/>
      </w:r>
      <w:r>
        <w:t xml:space="preserve"> National Disability Authority (2017) </w:t>
      </w:r>
      <w:r w:rsidRPr="00AD526E">
        <w:rPr>
          <w:b/>
        </w:rPr>
        <w:t>National Survey of Public Attitudes to Disability in Ireland 2017</w:t>
      </w:r>
      <w:r>
        <w:t>, Dublin: NDA, p.45.</w:t>
      </w:r>
    </w:p>
  </w:footnote>
  <w:footnote w:id="139">
    <w:p w14:paraId="07422FBD" w14:textId="26DDCADE" w:rsidR="009707C2" w:rsidRDefault="009707C2" w:rsidP="007B025B">
      <w:pPr>
        <w:pStyle w:val="FootnoteText"/>
      </w:pPr>
      <w:r>
        <w:rPr>
          <w:rStyle w:val="FootnoteReference"/>
        </w:rPr>
        <w:footnoteRef/>
      </w:r>
      <w:r>
        <w:t xml:space="preserve"> See for instance</w:t>
      </w:r>
      <w:r w:rsidRPr="00285487">
        <w:rPr>
          <w:sz w:val="26"/>
          <w:szCs w:val="24"/>
        </w:rPr>
        <w:t xml:space="preserve"> </w:t>
      </w:r>
      <w:r w:rsidRPr="00285487">
        <w:t xml:space="preserve">UN Committee on the Rights of Persons with </w:t>
      </w:r>
      <w:r>
        <w:t>Disabilities (2017</w:t>
      </w:r>
      <w:r w:rsidRPr="00285487">
        <w:t xml:space="preserve">) </w:t>
      </w:r>
      <w:r w:rsidRPr="00285487">
        <w:rPr>
          <w:b/>
        </w:rPr>
        <w:t xml:space="preserve">Concluding observations on the initial report of </w:t>
      </w:r>
      <w:r>
        <w:rPr>
          <w:b/>
        </w:rPr>
        <w:t xml:space="preserve">the </w:t>
      </w:r>
      <w:r w:rsidRPr="00B40CC0">
        <w:rPr>
          <w:b/>
        </w:rPr>
        <w:t>United Kingdom of Great Britain and Northern Ireland</w:t>
      </w:r>
      <w:r w:rsidRPr="00285487">
        <w:t>, Geneva: Office of the United Nations High Commissioner for Human Rights, p.</w:t>
      </w:r>
      <w:r>
        <w:t>12.</w:t>
      </w:r>
    </w:p>
  </w:footnote>
  <w:footnote w:id="140">
    <w:p w14:paraId="5C9AC646" w14:textId="3E65A297" w:rsidR="009707C2" w:rsidRDefault="009707C2">
      <w:pPr>
        <w:pStyle w:val="FootnoteText"/>
      </w:pPr>
      <w:r>
        <w:rPr>
          <w:rStyle w:val="FootnoteReference"/>
        </w:rPr>
        <w:footnoteRef/>
      </w:r>
      <w:r>
        <w:t xml:space="preserve"> </w:t>
      </w:r>
      <w:r w:rsidRPr="00E74AE7">
        <w:t>More information is available on the Department of Employment Affairs and Social Protection website &lt;</w:t>
      </w:r>
      <w:hyperlink r:id="rId15" w:history="1">
        <w:r w:rsidRPr="00E74AE7">
          <w:rPr>
            <w:rStyle w:val="Hyperlink"/>
          </w:rPr>
          <w:t>http://www.welfare.ie/en/Pages/Disability-Awareness-Training_holder.aspx</w:t>
        </w:r>
      </w:hyperlink>
      <w:r>
        <w:t xml:space="preserve">&gt;. </w:t>
      </w:r>
    </w:p>
  </w:footnote>
  <w:footnote w:id="141">
    <w:p w14:paraId="79A59CC1" w14:textId="5F8A53FD" w:rsidR="009707C2" w:rsidRDefault="009707C2">
      <w:pPr>
        <w:pStyle w:val="FootnoteText"/>
      </w:pPr>
      <w:r>
        <w:rPr>
          <w:rStyle w:val="FootnoteReference"/>
        </w:rPr>
        <w:footnoteRef/>
      </w:r>
      <w:r>
        <w:t xml:space="preserve"> More information is available on the Department of Employment Affairs and Social Protection website &lt;</w:t>
      </w:r>
      <w:hyperlink r:id="rId16" w:history="1">
        <w:r w:rsidRPr="00741592">
          <w:rPr>
            <w:rStyle w:val="Hyperlink"/>
          </w:rPr>
          <w:t>http://www.welfare.ie/en/Pages/Disability-Awareness-Training_holder.aspx</w:t>
        </w:r>
      </w:hyperlink>
      <w:r>
        <w:t xml:space="preserve">&gt;. </w:t>
      </w:r>
    </w:p>
  </w:footnote>
  <w:footnote w:id="142">
    <w:p w14:paraId="1F438F29" w14:textId="6F7CBF42" w:rsidR="009707C2" w:rsidRDefault="009707C2">
      <w:pPr>
        <w:pStyle w:val="FootnoteText"/>
      </w:pPr>
      <w:r>
        <w:rPr>
          <w:rStyle w:val="FootnoteReference"/>
        </w:rPr>
        <w:footnoteRef/>
      </w:r>
      <w:r>
        <w:t xml:space="preserve"> </w:t>
      </w:r>
      <w:r w:rsidRPr="00E51619">
        <w:t>Minister of State at the Department of Employment Affairs and Social Protection, the Department of Justice and Equality and the Department of Health with special responsibility for Disability Issues</w:t>
      </w:r>
      <w:r>
        <w:t xml:space="preserve">, Finian McGrath TD, </w:t>
      </w:r>
      <w:r w:rsidRPr="0053132E">
        <w:rPr>
          <w:b/>
        </w:rPr>
        <w:t>Parliamentary Question, 4 December 2018, 50434/18.</w:t>
      </w:r>
    </w:p>
  </w:footnote>
  <w:footnote w:id="143">
    <w:p w14:paraId="4EAFADA9" w14:textId="1E0CA2C9" w:rsidR="009707C2" w:rsidRDefault="009707C2">
      <w:pPr>
        <w:pStyle w:val="FootnoteText"/>
      </w:pPr>
      <w:r>
        <w:rPr>
          <w:rStyle w:val="FootnoteReference"/>
        </w:rPr>
        <w:footnoteRef/>
      </w:r>
      <w:r>
        <w:t xml:space="preserve"> </w:t>
      </w:r>
      <w:r w:rsidRPr="00E51619">
        <w:t>Minister of State at the Department of Employment Affairs and Social Protection, the Department of Justice and Equality and the Department of Health with special responsibility for Disability Issues</w:t>
      </w:r>
      <w:r>
        <w:t xml:space="preserve">, </w:t>
      </w:r>
      <w:r w:rsidRPr="00513AC0">
        <w:t xml:space="preserve">Finian McGrath TD, </w:t>
      </w:r>
      <w:r w:rsidRPr="00513AC0">
        <w:rPr>
          <w:b/>
        </w:rPr>
        <w:t>Parliamentary Question, 27 June 2019, 27321/19.</w:t>
      </w:r>
    </w:p>
  </w:footnote>
  <w:footnote w:id="144">
    <w:p w14:paraId="41EC3E98" w14:textId="49E7C700" w:rsidR="009707C2" w:rsidRDefault="009707C2">
      <w:pPr>
        <w:pStyle w:val="FootnoteText"/>
      </w:pPr>
      <w:r>
        <w:rPr>
          <w:rStyle w:val="FootnoteReference"/>
        </w:rPr>
        <w:footnoteRef/>
      </w:r>
      <w:r>
        <w:t xml:space="preserve"> </w:t>
      </w:r>
      <w:r w:rsidRPr="00E51619">
        <w:t>Minister of State at the Department of Employment Affairs and Social Protection, the Department of Justice and Equality and the Department of Health with special responsibility for Disability Issues</w:t>
      </w:r>
      <w:r>
        <w:t>, Finian McGrath</w:t>
      </w:r>
      <w:r w:rsidRPr="003243D6">
        <w:t xml:space="preserve"> TD, </w:t>
      </w:r>
      <w:r w:rsidRPr="003243D6">
        <w:rPr>
          <w:b/>
        </w:rPr>
        <w:t xml:space="preserve">Parliamentary Question, </w:t>
      </w:r>
      <w:r>
        <w:rPr>
          <w:b/>
        </w:rPr>
        <w:t>27</w:t>
      </w:r>
      <w:r w:rsidRPr="003243D6">
        <w:rPr>
          <w:b/>
        </w:rPr>
        <w:t xml:space="preserve"> June 2019, </w:t>
      </w:r>
      <w:r>
        <w:rPr>
          <w:b/>
        </w:rPr>
        <w:t>27321</w:t>
      </w:r>
      <w:r w:rsidRPr="003243D6">
        <w:rPr>
          <w:b/>
        </w:rPr>
        <w:t>/19.</w:t>
      </w:r>
    </w:p>
  </w:footnote>
  <w:footnote w:id="145">
    <w:p w14:paraId="0047E176" w14:textId="77777777" w:rsidR="009707C2" w:rsidRDefault="009707C2" w:rsidP="00951E2B">
      <w:pPr>
        <w:pStyle w:val="FootnoteText"/>
      </w:pPr>
      <w:r>
        <w:rPr>
          <w:rStyle w:val="FootnoteReference"/>
        </w:rPr>
        <w:footnoteRef/>
      </w:r>
      <w:r>
        <w:t xml:space="preserve"> Australian Human Rights Commission (2016) </w:t>
      </w:r>
      <w:r w:rsidRPr="00FD7423">
        <w:rPr>
          <w:b/>
        </w:rPr>
        <w:t>Willing to Work National Inquiry into Employment Discrimination Against Older Australians and Australians with</w:t>
      </w:r>
      <w:r w:rsidRPr="00FD7423">
        <w:t xml:space="preserve"> </w:t>
      </w:r>
      <w:r w:rsidRPr="00FD7423">
        <w:rPr>
          <w:b/>
        </w:rPr>
        <w:t>Disability</w:t>
      </w:r>
      <w:r>
        <w:t xml:space="preserve">, Sydney: </w:t>
      </w:r>
      <w:r w:rsidRPr="00A533F1">
        <w:t>Australian Human Rights Commission</w:t>
      </w:r>
      <w:r>
        <w:t>, p.188.</w:t>
      </w:r>
    </w:p>
  </w:footnote>
  <w:footnote w:id="146">
    <w:p w14:paraId="617B9F22" w14:textId="34F9987F" w:rsidR="009707C2" w:rsidRDefault="009707C2" w:rsidP="00153A2A">
      <w:pPr>
        <w:pStyle w:val="FootnoteText"/>
      </w:pPr>
      <w:r>
        <w:rPr>
          <w:rStyle w:val="FootnoteReference"/>
        </w:rPr>
        <w:footnoteRef/>
      </w:r>
      <w:r>
        <w:t xml:space="preserve"> Australian Human Rights Commission (2016) </w:t>
      </w:r>
      <w:r w:rsidRPr="00FD7423">
        <w:rPr>
          <w:b/>
        </w:rPr>
        <w:t>Willing to Work National Inquiry into Employment Discrimination Against Older Australians and Australians with</w:t>
      </w:r>
      <w:r w:rsidRPr="00FD7423">
        <w:t xml:space="preserve"> </w:t>
      </w:r>
      <w:r w:rsidRPr="00FD7423">
        <w:rPr>
          <w:b/>
        </w:rPr>
        <w:t>Disability</w:t>
      </w:r>
      <w:r>
        <w:t xml:space="preserve">, Sydney: </w:t>
      </w:r>
      <w:r w:rsidRPr="00A533F1">
        <w:t>Australian Human Rights Commission</w:t>
      </w:r>
      <w:r>
        <w:t>, p.173.</w:t>
      </w:r>
    </w:p>
  </w:footnote>
  <w:footnote w:id="147">
    <w:p w14:paraId="5E94C17A" w14:textId="77777777" w:rsidR="009707C2" w:rsidRDefault="009707C2" w:rsidP="00153A2A">
      <w:pPr>
        <w:pStyle w:val="FootnoteText"/>
      </w:pPr>
      <w:r>
        <w:rPr>
          <w:rStyle w:val="FootnoteReference"/>
        </w:rPr>
        <w:footnoteRef/>
      </w:r>
      <w:r>
        <w:t xml:space="preserve"> </w:t>
      </w:r>
      <w:r w:rsidRPr="00FB3CF6">
        <w:t>Equality Authority and the Department of Justice, Equality and Law Reform</w:t>
      </w:r>
      <w:r>
        <w:t xml:space="preserve"> (2003) </w:t>
      </w:r>
      <w:r w:rsidRPr="00FB3CF6">
        <w:rPr>
          <w:b/>
        </w:rPr>
        <w:t>Disability Resource Pack: Positive Action for the Recruitment and Retention of People with Disabilities in the State Sector</w:t>
      </w:r>
      <w:r>
        <w:rPr>
          <w:b/>
        </w:rPr>
        <w:t xml:space="preserve">, </w:t>
      </w:r>
      <w:r>
        <w:rPr>
          <w:rFonts w:hint="eastAsia"/>
        </w:rPr>
        <w:t>Dublin</w:t>
      </w:r>
      <w:r w:rsidRPr="00FB3CF6">
        <w:rPr>
          <w:rFonts w:hint="eastAsia"/>
        </w:rPr>
        <w:t>: Equality Authority</w:t>
      </w:r>
      <w:r>
        <w:t>.</w:t>
      </w:r>
    </w:p>
  </w:footnote>
  <w:footnote w:id="148">
    <w:p w14:paraId="0BCF5544" w14:textId="77777777" w:rsidR="009707C2" w:rsidRDefault="009707C2" w:rsidP="00153A2A">
      <w:pPr>
        <w:pStyle w:val="FootnoteText"/>
      </w:pPr>
      <w:r>
        <w:rPr>
          <w:rStyle w:val="FootnoteReference"/>
        </w:rPr>
        <w:footnoteRef/>
      </w:r>
      <w:r>
        <w:t xml:space="preserve"> Economic and Social Research Institute and Irish Human Rights and Equality Commission (2018) </w:t>
      </w:r>
      <w:r w:rsidRPr="00576098">
        <w:rPr>
          <w:b/>
        </w:rPr>
        <w:t>Disability and Discrimination in Ireland: Evidence from the QNHS Equality Modules 2004, 2010, 2014</w:t>
      </w:r>
      <w:r>
        <w:rPr>
          <w:b/>
        </w:rPr>
        <w:t xml:space="preserve">, </w:t>
      </w:r>
      <w:r>
        <w:t>ESRI and IHREC: Dublin, p.57.</w:t>
      </w:r>
    </w:p>
  </w:footnote>
  <w:footnote w:id="149">
    <w:p w14:paraId="2C06D36B" w14:textId="77777777" w:rsidR="009707C2" w:rsidRPr="00390167" w:rsidRDefault="009707C2" w:rsidP="00153A2A">
      <w:pPr>
        <w:pStyle w:val="FootnoteText"/>
      </w:pPr>
      <w:r>
        <w:rPr>
          <w:rStyle w:val="FootnoteReference"/>
        </w:rPr>
        <w:footnoteRef/>
      </w:r>
      <w:r>
        <w:t xml:space="preserve"> Workplace Relations Commission (2018) </w:t>
      </w:r>
      <w:r w:rsidRPr="00E65265">
        <w:rPr>
          <w:b/>
        </w:rPr>
        <w:t>Annual Report 2017</w:t>
      </w:r>
      <w:r>
        <w:rPr>
          <w:i/>
        </w:rPr>
        <w:t xml:space="preserve">, </w:t>
      </w:r>
      <w:r>
        <w:t>Dublin: Workplace Relations Commission, p.23.</w:t>
      </w:r>
    </w:p>
  </w:footnote>
  <w:footnote w:id="150">
    <w:p w14:paraId="1CE96ED0" w14:textId="77777777" w:rsidR="009707C2" w:rsidRPr="00390167" w:rsidRDefault="009707C2" w:rsidP="00153A2A">
      <w:pPr>
        <w:pStyle w:val="FootnoteText"/>
      </w:pPr>
      <w:r>
        <w:rPr>
          <w:rStyle w:val="FootnoteReference"/>
        </w:rPr>
        <w:footnoteRef/>
      </w:r>
      <w:r>
        <w:t xml:space="preserve"> Workplace Relations Commission (2019) </w:t>
      </w:r>
      <w:r w:rsidRPr="00E65265">
        <w:rPr>
          <w:b/>
        </w:rPr>
        <w:t>Annual Report 2018</w:t>
      </w:r>
      <w:r>
        <w:rPr>
          <w:i/>
        </w:rPr>
        <w:t xml:space="preserve">, </w:t>
      </w:r>
      <w:r>
        <w:t>Dublin: Workplace Relations Commission, p.22.</w:t>
      </w:r>
    </w:p>
  </w:footnote>
  <w:footnote w:id="151">
    <w:p w14:paraId="424CEB38" w14:textId="77777777" w:rsidR="009707C2" w:rsidRDefault="009707C2" w:rsidP="00153A2A">
      <w:pPr>
        <w:pStyle w:val="FootnoteText"/>
      </w:pPr>
      <w:r>
        <w:rPr>
          <w:rStyle w:val="FootnoteReference"/>
        </w:rPr>
        <w:footnoteRef/>
      </w:r>
      <w:r>
        <w:t xml:space="preserve"> Economic and Social Research Institute and Irish Human Rights and Equality Commission (2018) </w:t>
      </w:r>
      <w:r w:rsidRPr="00576098">
        <w:rPr>
          <w:b/>
        </w:rPr>
        <w:t>Disability and Discrimination in Ireland: Evidence from the QNHS Equality Modules 2004, 2010, 2014</w:t>
      </w:r>
      <w:r>
        <w:rPr>
          <w:b/>
        </w:rPr>
        <w:t xml:space="preserve">, </w:t>
      </w:r>
      <w:r>
        <w:t>ESRI and IHREC: Dublin, p.57.</w:t>
      </w:r>
    </w:p>
  </w:footnote>
  <w:footnote w:id="152">
    <w:p w14:paraId="1BE88C07" w14:textId="77777777" w:rsidR="009707C2" w:rsidRDefault="009707C2" w:rsidP="00153A2A">
      <w:pPr>
        <w:pStyle w:val="FootnoteText"/>
      </w:pPr>
      <w:r>
        <w:rPr>
          <w:rStyle w:val="FootnoteReference"/>
        </w:rPr>
        <w:footnoteRef/>
      </w:r>
      <w:r>
        <w:t xml:space="preserve"> </w:t>
      </w:r>
      <w:r>
        <w:rPr>
          <w:b/>
        </w:rPr>
        <w:t>Irish Human Rights and Equality Commission Act 2014</w:t>
      </w:r>
      <w:r>
        <w:t>, section 10(2)(a)</w:t>
      </w:r>
      <w:r w:rsidRPr="00565154">
        <w:t>.</w:t>
      </w:r>
    </w:p>
  </w:footnote>
  <w:footnote w:id="153">
    <w:p w14:paraId="4350A35D" w14:textId="77777777" w:rsidR="009707C2" w:rsidRDefault="009707C2" w:rsidP="00153A2A">
      <w:pPr>
        <w:pStyle w:val="FootnoteText"/>
      </w:pPr>
      <w:r>
        <w:rPr>
          <w:rStyle w:val="FootnoteReference"/>
        </w:rPr>
        <w:footnoteRef/>
      </w:r>
      <w:r>
        <w:t xml:space="preserve"> Irish Human Rights and Equality Commission (2018) </w:t>
      </w:r>
      <w:r w:rsidRPr="00E65265">
        <w:rPr>
          <w:b/>
        </w:rPr>
        <w:t>Annual Report 2017</w:t>
      </w:r>
      <w:r>
        <w:t>, Dublin: IHREC, p.68.</w:t>
      </w:r>
    </w:p>
  </w:footnote>
  <w:footnote w:id="154">
    <w:p w14:paraId="0797F0D1" w14:textId="77777777" w:rsidR="009707C2" w:rsidRDefault="009707C2" w:rsidP="00153A2A">
      <w:pPr>
        <w:pStyle w:val="FootnoteText"/>
      </w:pPr>
      <w:r>
        <w:rPr>
          <w:rStyle w:val="FootnoteReference"/>
        </w:rPr>
        <w:footnoteRef/>
      </w:r>
      <w:r>
        <w:t xml:space="preserve"> </w:t>
      </w:r>
      <w:r w:rsidRPr="00390167">
        <w:t>Irish Human Righ</w:t>
      </w:r>
      <w:r>
        <w:t xml:space="preserve">ts and Equality Commission (2019) </w:t>
      </w:r>
      <w:r w:rsidRPr="00E65265">
        <w:rPr>
          <w:b/>
        </w:rPr>
        <w:t>Annual Report 2018</w:t>
      </w:r>
      <w:r w:rsidRPr="00390167">
        <w:t>, Dublin: IHREC, p.</w:t>
      </w:r>
      <w:r>
        <w:t>53.</w:t>
      </w:r>
    </w:p>
  </w:footnote>
  <w:footnote w:id="155">
    <w:p w14:paraId="6AFE4715" w14:textId="1A207704" w:rsidR="009707C2" w:rsidRDefault="009707C2" w:rsidP="00153A2A">
      <w:pPr>
        <w:pStyle w:val="FootnoteText"/>
      </w:pPr>
      <w:r>
        <w:rPr>
          <w:rStyle w:val="FootnoteReference"/>
        </w:rPr>
        <w:footnoteRef/>
      </w:r>
      <w:r>
        <w:t xml:space="preserve"> Irish Human Rights and Equality Commission, </w:t>
      </w:r>
      <w:r w:rsidRPr="005E2DE8">
        <w:rPr>
          <w:b/>
        </w:rPr>
        <w:t>‘Discrimination Against People with Disabilities in Employment a Persistent and Pernicious Roadblock to Worker’s Dignity and Inclusion’</w:t>
      </w:r>
      <w:r>
        <w:rPr>
          <w:b/>
        </w:rPr>
        <w:t xml:space="preserve"> </w:t>
      </w:r>
      <w:r>
        <w:t>[press release], available from their website at &lt;</w:t>
      </w:r>
      <w:r w:rsidRPr="00ED70C2">
        <w:t>https://www.ihrec.ie/discrimination-against-people-with-disabilities-in-employment-a-persistent-and-pernicious-roadblock-to-workers-dignity-and-inclusion/</w:t>
      </w:r>
      <w:r>
        <w:t>&gt;.</w:t>
      </w:r>
    </w:p>
  </w:footnote>
  <w:footnote w:id="156">
    <w:p w14:paraId="37F9E392" w14:textId="76596090" w:rsidR="009707C2" w:rsidRDefault="009707C2" w:rsidP="00153A2A">
      <w:pPr>
        <w:pStyle w:val="FootnoteText"/>
      </w:pPr>
      <w:r>
        <w:rPr>
          <w:rStyle w:val="FootnoteReference"/>
        </w:rPr>
        <w:footnoteRef/>
      </w:r>
      <w:r>
        <w:t xml:space="preserve"> Irish Human Rights and Equality Commission, </w:t>
      </w:r>
      <w:r w:rsidRPr="006333BF">
        <w:rPr>
          <w:b/>
        </w:rPr>
        <w:t>Submissions on Behalf of the Amicus Curiae, The Irish Human Rights and Equality Commission, Nano Nagle School v Marie Daly</w:t>
      </w:r>
      <w:r>
        <w:t>, available at the Irish Human Rights and Equality Commission website &lt;</w:t>
      </w:r>
      <w:hyperlink r:id="rId17" w:history="1">
        <w:r w:rsidRPr="00343062">
          <w:rPr>
            <w:rStyle w:val="Hyperlink"/>
          </w:rPr>
          <w:t>https://www.ihrec.ie/rights-of-persons-with-disabilities-to-reasonable-workplace-accommodation-at-question-in-supreme-court-case-2/</w:t>
        </w:r>
      </w:hyperlink>
      <w:r>
        <w:t xml:space="preserve">&gt;. </w:t>
      </w:r>
    </w:p>
  </w:footnote>
  <w:footnote w:id="157">
    <w:p w14:paraId="089C2418" w14:textId="669E6862" w:rsidR="009707C2" w:rsidRDefault="009707C2" w:rsidP="00153A2A">
      <w:pPr>
        <w:pStyle w:val="FootnoteText"/>
      </w:pPr>
      <w:r>
        <w:rPr>
          <w:rStyle w:val="FootnoteReference"/>
        </w:rPr>
        <w:footnoteRef/>
      </w:r>
      <w:r>
        <w:t xml:space="preserve">  </w:t>
      </w:r>
      <w:r w:rsidRPr="00FD69BF">
        <w:t xml:space="preserve">Employer Disability Information (2018) </w:t>
      </w:r>
      <w:r w:rsidRPr="0053132E">
        <w:rPr>
          <w:b/>
        </w:rPr>
        <w:t>Employers Attitude To Employing People With Disabilities: Survey Results</w:t>
      </w:r>
      <w:r w:rsidRPr="00FD69BF">
        <w:t>, Dublin: EDI, p.</w:t>
      </w:r>
      <w:r>
        <w:t>11</w:t>
      </w:r>
      <w:r w:rsidRPr="00FD69BF">
        <w:t>.</w:t>
      </w:r>
    </w:p>
  </w:footnote>
  <w:footnote w:id="158">
    <w:p w14:paraId="69216E34" w14:textId="5F235E8D" w:rsidR="009707C2" w:rsidRDefault="009707C2" w:rsidP="00EF56E6">
      <w:pPr>
        <w:pStyle w:val="FootnoteText"/>
      </w:pPr>
      <w:r>
        <w:rPr>
          <w:rStyle w:val="FootnoteReference"/>
        </w:rPr>
        <w:footnoteRef/>
      </w:r>
      <w:r>
        <w:t xml:space="preserve"> National Disability Authority (2017) </w:t>
      </w:r>
      <w:r w:rsidRPr="00AD526E">
        <w:rPr>
          <w:b/>
        </w:rPr>
        <w:t>National Survey of Public Attitudes to Disability in Ireland 2017</w:t>
      </w:r>
      <w:r>
        <w:t>, Dublin: NDA, p.45.</w:t>
      </w:r>
    </w:p>
  </w:footnote>
  <w:footnote w:id="159">
    <w:p w14:paraId="428DB7A7" w14:textId="45AB0F19" w:rsidR="009707C2" w:rsidRDefault="009707C2" w:rsidP="00153A2A">
      <w:pPr>
        <w:pStyle w:val="FootnoteText"/>
      </w:pPr>
      <w:r>
        <w:rPr>
          <w:rStyle w:val="FootnoteReference"/>
        </w:rPr>
        <w:footnoteRef/>
      </w:r>
      <w:r>
        <w:t xml:space="preserve"> See for instance</w:t>
      </w:r>
      <w:r w:rsidRPr="00285487">
        <w:rPr>
          <w:sz w:val="26"/>
          <w:szCs w:val="24"/>
        </w:rPr>
        <w:t xml:space="preserve"> </w:t>
      </w:r>
      <w:r w:rsidRPr="00285487">
        <w:t xml:space="preserve">UN Committee on the Rights of Persons with </w:t>
      </w:r>
      <w:r>
        <w:t>Disabilities (2019</w:t>
      </w:r>
      <w:r w:rsidRPr="00285487">
        <w:t xml:space="preserve">) </w:t>
      </w:r>
      <w:r w:rsidRPr="00285487">
        <w:rPr>
          <w:b/>
        </w:rPr>
        <w:t xml:space="preserve">Concluding observations on the initial report of </w:t>
      </w:r>
      <w:r>
        <w:rPr>
          <w:b/>
        </w:rPr>
        <w:t>Norway</w:t>
      </w:r>
      <w:r w:rsidRPr="00285487">
        <w:t>, Geneva: Office of the United Nations High Commissioner for Human Rights, p.</w:t>
      </w:r>
      <w:r>
        <w:t>11.</w:t>
      </w:r>
    </w:p>
  </w:footnote>
  <w:footnote w:id="160">
    <w:p w14:paraId="51CB57AF" w14:textId="1359211F" w:rsidR="009707C2" w:rsidRDefault="009707C2" w:rsidP="00153A2A">
      <w:pPr>
        <w:pStyle w:val="FootnoteText"/>
      </w:pPr>
      <w:r>
        <w:rPr>
          <w:rStyle w:val="FootnoteReference"/>
        </w:rPr>
        <w:footnoteRef/>
      </w:r>
      <w:r>
        <w:t xml:space="preserve"> More information on the </w:t>
      </w:r>
      <w:r w:rsidRPr="006333BF">
        <w:t>“</w:t>
      </w:r>
      <w:r w:rsidRPr="006333BF">
        <w:rPr>
          <w:bCs/>
          <w:iCs/>
        </w:rPr>
        <w:t>Because we’re all human. Means we’re all equal.”</w:t>
      </w:r>
      <w:r w:rsidRPr="006333BF">
        <w:t> national awareness campaign</w:t>
      </w:r>
      <w:r>
        <w:t xml:space="preserve"> is available on the Irish Human Rights and Equality Commission website &lt;</w:t>
      </w:r>
      <w:hyperlink r:id="rId18" w:history="1">
        <w:r w:rsidRPr="006333BF">
          <w:rPr>
            <w:rStyle w:val="Hyperlink"/>
          </w:rPr>
          <w:t>https://www.ihrec.ie/allhumanallequal</w:t>
        </w:r>
      </w:hyperlink>
      <w:r>
        <w:t xml:space="preserve">&gt;. </w:t>
      </w:r>
    </w:p>
  </w:footnote>
  <w:footnote w:id="161">
    <w:p w14:paraId="1B8F9FB3" w14:textId="077D65C1" w:rsidR="009707C2" w:rsidRDefault="009707C2">
      <w:pPr>
        <w:pStyle w:val="FootnoteText"/>
      </w:pPr>
      <w:r>
        <w:rPr>
          <w:rStyle w:val="FootnoteReference"/>
        </w:rPr>
        <w:footnoteRef/>
      </w:r>
      <w:r>
        <w:t xml:space="preserve"> </w:t>
      </w:r>
      <w:r w:rsidRPr="0040253D">
        <w:t xml:space="preserve">Government of Ireland (2019) </w:t>
      </w:r>
      <w:r w:rsidRPr="0040253D">
        <w:rPr>
          <w:b/>
        </w:rPr>
        <w:t>Comprehensive Employment Strategy:</w:t>
      </w:r>
      <w:r>
        <w:rPr>
          <w:b/>
        </w:rPr>
        <w:t xml:space="preserve"> Phase T</w:t>
      </w:r>
      <w:r w:rsidRPr="0040253D">
        <w:rPr>
          <w:b/>
        </w:rPr>
        <w:t>wo Action Plan 2019-2021</w:t>
      </w:r>
      <w:r w:rsidRPr="0040253D">
        <w:t>, Dublin: Stationery Office, p.</w:t>
      </w:r>
      <w:r>
        <w:t>35</w:t>
      </w:r>
      <w:r w:rsidRPr="0040253D">
        <w:t>.</w:t>
      </w:r>
    </w:p>
  </w:footnote>
  <w:footnote w:id="162">
    <w:p w14:paraId="00EFC280" w14:textId="34FC492A" w:rsidR="009707C2" w:rsidRPr="00EF0FAF" w:rsidRDefault="009707C2" w:rsidP="00153A2A">
      <w:pPr>
        <w:pStyle w:val="FootnoteText"/>
        <w:rPr>
          <w:bCs/>
        </w:rPr>
      </w:pPr>
      <w:r>
        <w:rPr>
          <w:rStyle w:val="FootnoteReference"/>
        </w:rPr>
        <w:footnoteRef/>
      </w:r>
      <w:r>
        <w:t xml:space="preserve"> </w:t>
      </w:r>
      <w:r w:rsidRPr="00EF0FAF">
        <w:rPr>
          <w:bCs/>
        </w:rPr>
        <w:t xml:space="preserve">MacDonald-Wilson, </w:t>
      </w:r>
      <w:r>
        <w:rPr>
          <w:bCs/>
        </w:rPr>
        <w:t xml:space="preserve">K., </w:t>
      </w:r>
      <w:r w:rsidRPr="00EF0FAF">
        <w:rPr>
          <w:bCs/>
        </w:rPr>
        <w:t>Fabian,</w:t>
      </w:r>
      <w:r>
        <w:rPr>
          <w:bCs/>
        </w:rPr>
        <w:t xml:space="preserve"> E. &amp; </w:t>
      </w:r>
      <w:r w:rsidRPr="00EF0FAF">
        <w:rPr>
          <w:bCs/>
        </w:rPr>
        <w:t>Dong,</w:t>
      </w:r>
      <w:r>
        <w:rPr>
          <w:bCs/>
        </w:rPr>
        <w:t xml:space="preserve"> S.</w:t>
      </w:r>
      <w:r>
        <w:rPr>
          <w:b/>
          <w:bCs/>
        </w:rPr>
        <w:t xml:space="preserve"> </w:t>
      </w:r>
      <w:r w:rsidRPr="008322D3">
        <w:rPr>
          <w:bCs/>
        </w:rPr>
        <w:t>(</w:t>
      </w:r>
      <w:r>
        <w:rPr>
          <w:bCs/>
        </w:rPr>
        <w:t>2008</w:t>
      </w:r>
      <w:r w:rsidRPr="008322D3">
        <w:rPr>
          <w:bCs/>
        </w:rPr>
        <w:t>) ‘</w:t>
      </w:r>
      <w:r w:rsidRPr="00EF0FAF">
        <w:rPr>
          <w:bCs/>
        </w:rPr>
        <w:t>Best Practices in Developing Reasonable Accommodations in the Workplace: Findings B</w:t>
      </w:r>
      <w:r>
        <w:rPr>
          <w:bCs/>
        </w:rPr>
        <w:t xml:space="preserve">ased on the Research Literature’, </w:t>
      </w:r>
      <w:r w:rsidRPr="008322D3">
        <w:rPr>
          <w:b/>
          <w:bCs/>
        </w:rPr>
        <w:t>T</w:t>
      </w:r>
      <w:r w:rsidRPr="00EF0FAF">
        <w:rPr>
          <w:b/>
          <w:bCs/>
          <w:iCs/>
        </w:rPr>
        <w:t>he Rehabilitation Professional</w:t>
      </w:r>
      <w:r>
        <w:rPr>
          <w:bCs/>
          <w:iCs/>
        </w:rPr>
        <w:t>,</w:t>
      </w:r>
      <w:r>
        <w:rPr>
          <w:b/>
          <w:bCs/>
          <w:iCs/>
        </w:rPr>
        <w:t xml:space="preserve"> </w:t>
      </w:r>
      <w:r w:rsidRPr="008322D3">
        <w:rPr>
          <w:bCs/>
          <w:iCs/>
        </w:rPr>
        <w:t>16(4), 221-232.</w:t>
      </w:r>
    </w:p>
  </w:footnote>
  <w:footnote w:id="163">
    <w:p w14:paraId="09054786" w14:textId="79475890" w:rsidR="009707C2" w:rsidRDefault="009707C2" w:rsidP="00153A2A">
      <w:pPr>
        <w:pStyle w:val="FootnoteText"/>
      </w:pPr>
      <w:r>
        <w:rPr>
          <w:rStyle w:val="FootnoteReference"/>
        </w:rPr>
        <w:footnoteRef/>
      </w:r>
      <w:r>
        <w:t xml:space="preserve"> See for instance </w:t>
      </w:r>
      <w:r w:rsidRPr="00C83822">
        <w:t>Blanck</w:t>
      </w:r>
      <w:r>
        <w:t>, P.</w:t>
      </w:r>
      <w:r w:rsidRPr="00C83822">
        <w:t xml:space="preserve"> &amp; Marti,</w:t>
      </w:r>
      <w:r>
        <w:t xml:space="preserve"> M. (2000)</w:t>
      </w:r>
      <w:r>
        <w:rPr>
          <w:b/>
        </w:rPr>
        <w:t xml:space="preserve"> </w:t>
      </w:r>
      <w:r>
        <w:t>‘</w:t>
      </w:r>
      <w:r w:rsidRPr="007932CE">
        <w:t>Attit</w:t>
      </w:r>
      <w:r>
        <w:t>udes, Behavior, and ADA Title 1’</w:t>
      </w:r>
      <w:r w:rsidRPr="007932CE">
        <w:t>, in</w:t>
      </w:r>
      <w:r>
        <w:t xml:space="preserve"> Blanck P. (ed)</w:t>
      </w:r>
      <w:r>
        <w:rPr>
          <w:b/>
        </w:rPr>
        <w:t xml:space="preserve"> Employment, Disability and the Americans with Disabilities Act: Issues in Law, Public Policy and Research, </w:t>
      </w:r>
      <w:r w:rsidRPr="007932CE">
        <w:t xml:space="preserve">Illinois: Northwestern </w:t>
      </w:r>
      <w:r>
        <w:t>University Press</w:t>
      </w:r>
      <w:r w:rsidRPr="007932CE">
        <w:t>.</w:t>
      </w:r>
    </w:p>
  </w:footnote>
  <w:footnote w:id="164">
    <w:p w14:paraId="2A959ACD" w14:textId="3BDC0527" w:rsidR="009707C2" w:rsidRDefault="009707C2" w:rsidP="00112216">
      <w:pPr>
        <w:pStyle w:val="FootnoteText"/>
      </w:pPr>
      <w:r>
        <w:rPr>
          <w:rStyle w:val="FootnoteReference"/>
        </w:rPr>
        <w:footnoteRef/>
      </w:r>
      <w:r>
        <w:t xml:space="preserve"> </w:t>
      </w:r>
      <w:r w:rsidRPr="00FF7002">
        <w:t>Organisation for Economic Co-operation and Development</w:t>
      </w:r>
      <w:r>
        <w:t xml:space="preserve"> (2010) </w:t>
      </w:r>
      <w:r w:rsidRPr="009A1CBB">
        <w:rPr>
          <w:b/>
        </w:rPr>
        <w:t>Sickness, disability and work: breaking the barriers. A synthesis of</w:t>
      </w:r>
      <w:r>
        <w:rPr>
          <w:b/>
        </w:rPr>
        <w:t xml:space="preserve"> findings across OECD countries, </w:t>
      </w:r>
      <w:r>
        <w:t>Paris: OECD, p.135.</w:t>
      </w:r>
    </w:p>
  </w:footnote>
  <w:footnote w:id="165">
    <w:p w14:paraId="48607583" w14:textId="07CB6F7F" w:rsidR="009707C2" w:rsidRDefault="009707C2" w:rsidP="00153A2A">
      <w:pPr>
        <w:pStyle w:val="FootnoteText"/>
      </w:pPr>
      <w:r>
        <w:rPr>
          <w:rStyle w:val="FootnoteReference"/>
        </w:rPr>
        <w:footnoteRef/>
      </w:r>
      <w:r>
        <w:t xml:space="preserve"> Australian Human Rights Commission (2016) </w:t>
      </w:r>
      <w:r w:rsidRPr="00FD7423">
        <w:rPr>
          <w:b/>
        </w:rPr>
        <w:t>Willing to Work National Inquiry into Employment Discrimination Against Older Australians and Australians with</w:t>
      </w:r>
      <w:r w:rsidRPr="00FD7423">
        <w:t xml:space="preserve"> </w:t>
      </w:r>
      <w:r w:rsidRPr="00FD7423">
        <w:rPr>
          <w:b/>
        </w:rPr>
        <w:t>Disability</w:t>
      </w:r>
      <w:r>
        <w:t xml:space="preserve">, Sydney: </w:t>
      </w:r>
      <w:r w:rsidRPr="00A533F1">
        <w:t>Australian Human Rights Commission</w:t>
      </w:r>
      <w:r>
        <w:t>, p.189.</w:t>
      </w:r>
    </w:p>
  </w:footnote>
  <w:footnote w:id="166">
    <w:p w14:paraId="37890C47" w14:textId="77777777" w:rsidR="009707C2" w:rsidRDefault="009707C2" w:rsidP="00153A2A">
      <w:pPr>
        <w:pStyle w:val="FootnoteText"/>
      </w:pPr>
      <w:r>
        <w:rPr>
          <w:rStyle w:val="FootnoteReference"/>
        </w:rPr>
        <w:footnoteRef/>
      </w:r>
      <w:r>
        <w:t xml:space="preserve"> Parliamentary Assembly of the Council of Europe (2018) </w:t>
      </w:r>
      <w:r w:rsidRPr="00F64153">
        <w:rPr>
          <w:b/>
        </w:rPr>
        <w:t>Discrimination in access to employment</w:t>
      </w:r>
      <w:r>
        <w:t xml:space="preserve">, Strasbourg: PACE, p.5. </w:t>
      </w:r>
    </w:p>
  </w:footnote>
  <w:footnote w:id="167">
    <w:p w14:paraId="1FA8CE52" w14:textId="77777777" w:rsidR="009707C2" w:rsidRDefault="009707C2" w:rsidP="00153A2A">
      <w:pPr>
        <w:pStyle w:val="FootnoteText"/>
      </w:pPr>
      <w:r>
        <w:rPr>
          <w:rStyle w:val="FootnoteReference"/>
        </w:rPr>
        <w:footnoteRef/>
      </w:r>
      <w:r>
        <w:t xml:space="preserve"> </w:t>
      </w:r>
      <w:r w:rsidRPr="00EF0194">
        <w:t xml:space="preserve">RSM PACEC &amp; National Disability Authority (2018) </w:t>
      </w:r>
      <w:r w:rsidRPr="0053132E">
        <w:rPr>
          <w:b/>
        </w:rPr>
        <w:t>Research on good practice in the employment of people with disabilities in the public sector</w:t>
      </w:r>
      <w:r w:rsidRPr="00EF0194">
        <w:t>, Dublin: RSM PACEC &amp; NDA</w:t>
      </w:r>
      <w:r>
        <w:t>, p.7.</w:t>
      </w:r>
    </w:p>
  </w:footnote>
  <w:footnote w:id="168">
    <w:p w14:paraId="20E6C589" w14:textId="30F3CC7E" w:rsidR="009707C2" w:rsidRDefault="009707C2">
      <w:pPr>
        <w:pStyle w:val="FootnoteText"/>
      </w:pPr>
      <w:r>
        <w:rPr>
          <w:rStyle w:val="FootnoteReference"/>
        </w:rPr>
        <w:footnoteRef/>
      </w:r>
      <w:r>
        <w:t xml:space="preserve"> </w:t>
      </w:r>
      <w:r w:rsidRPr="00137DE1">
        <w:t xml:space="preserve">Bendick, M. (2018). ‘Employment discrimination against persons with disabilities: Evidence from Matched Pair Testing’, </w:t>
      </w:r>
      <w:r w:rsidRPr="00F32D31">
        <w:rPr>
          <w:b/>
        </w:rPr>
        <w:t>The International Journal of Diversity in Organisations, Communities, and Nations: Annual Review</w:t>
      </w:r>
      <w:r>
        <w:t>, 17</w:t>
      </w:r>
      <w:r w:rsidRPr="00137DE1">
        <w:t>(1)</w:t>
      </w:r>
      <w:r>
        <w:t xml:space="preserve">, </w:t>
      </w:r>
      <w:r w:rsidRPr="00137DE1">
        <w:t>11-25.</w:t>
      </w:r>
    </w:p>
  </w:footnote>
  <w:footnote w:id="169">
    <w:p w14:paraId="6FF1AFDC" w14:textId="3C357335" w:rsidR="009707C2" w:rsidRDefault="009707C2">
      <w:pPr>
        <w:pStyle w:val="FootnoteText"/>
      </w:pPr>
      <w:r>
        <w:rPr>
          <w:rStyle w:val="FootnoteReference"/>
        </w:rPr>
        <w:footnoteRef/>
      </w:r>
      <w:r>
        <w:t xml:space="preserve"> </w:t>
      </w:r>
      <w:r w:rsidRPr="00137DE1">
        <w:t xml:space="preserve">Bendick, M. (2018). ‘Employment discrimination against persons with disabilities: Evidence from Matched Pair Testing’, </w:t>
      </w:r>
      <w:r w:rsidRPr="00F32D31">
        <w:rPr>
          <w:b/>
        </w:rPr>
        <w:t>The International Journal of Diversity in Organisations, Communities, and Nations: Annual Review</w:t>
      </w:r>
      <w:r>
        <w:t>, 17</w:t>
      </w:r>
      <w:r w:rsidRPr="00137DE1">
        <w:t>(1)</w:t>
      </w:r>
      <w:r>
        <w:t xml:space="preserve">, </w:t>
      </w:r>
      <w:r w:rsidRPr="00137DE1">
        <w:t>11-25.</w:t>
      </w:r>
    </w:p>
  </w:footnote>
  <w:footnote w:id="170">
    <w:p w14:paraId="4E4967B6" w14:textId="59C30EC1" w:rsidR="009707C2" w:rsidRDefault="009707C2">
      <w:pPr>
        <w:pStyle w:val="FootnoteText"/>
      </w:pPr>
      <w:r>
        <w:rPr>
          <w:rStyle w:val="FootnoteReference"/>
        </w:rPr>
        <w:footnoteRef/>
      </w:r>
      <w:r>
        <w:t xml:space="preserve"> Australian Human Rights Commission (2016) </w:t>
      </w:r>
      <w:r w:rsidRPr="00FD7423">
        <w:rPr>
          <w:b/>
        </w:rPr>
        <w:t>Willing to Work National Inquiry into Employment Discrimination Against Older Australians and Australians with</w:t>
      </w:r>
      <w:r w:rsidRPr="00FD7423">
        <w:t xml:space="preserve"> </w:t>
      </w:r>
      <w:r w:rsidRPr="00FD7423">
        <w:rPr>
          <w:b/>
        </w:rPr>
        <w:t>Disability</w:t>
      </w:r>
      <w:r>
        <w:t xml:space="preserve">, Sydney: </w:t>
      </w:r>
      <w:r w:rsidRPr="00A533F1">
        <w:t>Australian Human Rights Commission</w:t>
      </w:r>
      <w:r>
        <w:t>, p.173.</w:t>
      </w:r>
    </w:p>
  </w:footnote>
  <w:footnote w:id="171">
    <w:p w14:paraId="74F88657" w14:textId="23300055" w:rsidR="009707C2" w:rsidRDefault="009707C2">
      <w:pPr>
        <w:pStyle w:val="FootnoteText"/>
      </w:pPr>
      <w:r>
        <w:rPr>
          <w:rStyle w:val="FootnoteReference"/>
        </w:rPr>
        <w:footnoteRef/>
      </w:r>
      <w:r>
        <w:t xml:space="preserve"> Australian Human Rights Commission (2016) </w:t>
      </w:r>
      <w:r w:rsidRPr="00FD7423">
        <w:rPr>
          <w:b/>
        </w:rPr>
        <w:t>Willing to Work National Inquiry into Employment Discrimination Against Older Australians and Australians with</w:t>
      </w:r>
      <w:r w:rsidRPr="00FD7423">
        <w:t xml:space="preserve"> </w:t>
      </w:r>
      <w:r w:rsidRPr="00FD7423">
        <w:rPr>
          <w:b/>
        </w:rPr>
        <w:t>Disability</w:t>
      </w:r>
      <w:r>
        <w:t xml:space="preserve">, Sydney: </w:t>
      </w:r>
      <w:r w:rsidRPr="00A533F1">
        <w:t>Australian Human Rights Commission</w:t>
      </w:r>
      <w:r>
        <w:t>, p.173.</w:t>
      </w:r>
    </w:p>
  </w:footnote>
  <w:footnote w:id="172">
    <w:p w14:paraId="4AB4AFE9" w14:textId="208E546E" w:rsidR="009707C2" w:rsidRPr="008C0FAB" w:rsidRDefault="009707C2">
      <w:pPr>
        <w:pStyle w:val="FootnoteText"/>
      </w:pPr>
      <w:r>
        <w:rPr>
          <w:rStyle w:val="FootnoteReference"/>
        </w:rPr>
        <w:footnoteRef/>
      </w:r>
      <w:r>
        <w:t xml:space="preserve"> </w:t>
      </w:r>
      <w:r>
        <w:rPr>
          <w:b/>
        </w:rPr>
        <w:t xml:space="preserve">Employment Equality Acts 1998-2015, </w:t>
      </w:r>
      <w:r>
        <w:t>section 82(4).</w:t>
      </w:r>
    </w:p>
  </w:footnote>
  <w:footnote w:id="173">
    <w:p w14:paraId="58699194" w14:textId="77777777" w:rsidR="009707C2" w:rsidRDefault="009707C2" w:rsidP="00153A2A">
      <w:pPr>
        <w:pStyle w:val="FootnoteText"/>
      </w:pPr>
      <w:r>
        <w:rPr>
          <w:rStyle w:val="FootnoteReference"/>
        </w:rPr>
        <w:footnoteRef/>
      </w:r>
      <w:r>
        <w:t xml:space="preserve"> I</w:t>
      </w:r>
      <w:r w:rsidRPr="0051597A">
        <w:t>n certain sensitive cases, the parties may ask to have their names withheld. </w:t>
      </w:r>
    </w:p>
  </w:footnote>
  <w:footnote w:id="174">
    <w:p w14:paraId="6502BD25" w14:textId="77777777" w:rsidR="009707C2" w:rsidRDefault="009707C2">
      <w:pPr>
        <w:pStyle w:val="FootnoteText"/>
      </w:pPr>
      <w:r>
        <w:rPr>
          <w:rStyle w:val="FootnoteReference"/>
        </w:rPr>
        <w:footnoteRef/>
      </w:r>
      <w:r>
        <w:t xml:space="preserve"> Parliamentary Assembly of the Council of Europe (2018) </w:t>
      </w:r>
      <w:r w:rsidRPr="00F64153">
        <w:rPr>
          <w:b/>
        </w:rPr>
        <w:t>Discrimination in access to employment</w:t>
      </w:r>
      <w:r>
        <w:t>, Strasbourg: PACE, p.5.</w:t>
      </w:r>
    </w:p>
  </w:footnote>
  <w:footnote w:id="175">
    <w:p w14:paraId="64E0A7FA" w14:textId="2BF1E0C4" w:rsidR="009707C2" w:rsidRDefault="009707C2" w:rsidP="00191290">
      <w:pPr>
        <w:pStyle w:val="FootnoteText"/>
      </w:pPr>
      <w:r>
        <w:rPr>
          <w:rStyle w:val="FootnoteReference"/>
        </w:rPr>
        <w:footnoteRef/>
      </w:r>
      <w:r>
        <w:t xml:space="preserve"> </w:t>
      </w:r>
      <w:r w:rsidRPr="00537E14">
        <w:t>Willing Able Mentoring (WAM) is a work placement programme which aims to promote access to the labour market for graduates with disabilities and build the capacity of employers to integrate disability into the mainstream workplace.</w:t>
      </w:r>
      <w:r>
        <w:t xml:space="preserve"> More information is available at their website &lt;</w:t>
      </w:r>
      <w:hyperlink r:id="rId19" w:history="1">
        <w:r w:rsidRPr="00537E14">
          <w:rPr>
            <w:rStyle w:val="Hyperlink"/>
          </w:rPr>
          <w:t>https://www.ahead.ie/wam</w:t>
        </w:r>
      </w:hyperlink>
      <w:r>
        <w:rPr>
          <w:rStyle w:val="Hyperlink"/>
        </w:rPr>
        <w:t>&gt;.</w:t>
      </w:r>
    </w:p>
  </w:footnote>
  <w:footnote w:id="176">
    <w:p w14:paraId="19991690" w14:textId="13DE2CC9" w:rsidR="009707C2" w:rsidRDefault="009707C2" w:rsidP="00191290">
      <w:pPr>
        <w:pStyle w:val="FootnoteText"/>
      </w:pPr>
      <w:r>
        <w:rPr>
          <w:rStyle w:val="FootnoteReference"/>
        </w:rPr>
        <w:footnoteRef/>
      </w:r>
      <w:r>
        <w:t xml:space="preserve"> McGrotty C. (2018) ‘</w:t>
      </w:r>
      <w:r w:rsidRPr="00537E14">
        <w:t>The WAM Programme - Key Facts &amp; Figures from AHEAD</w:t>
      </w:r>
      <w:r>
        <w:t xml:space="preserve">’, </w:t>
      </w:r>
      <w:r w:rsidRPr="008C0FAB">
        <w:rPr>
          <w:b/>
        </w:rPr>
        <w:t>AHEAD Journal</w:t>
      </w:r>
      <w:r>
        <w:t>, 7.</w:t>
      </w:r>
    </w:p>
  </w:footnote>
  <w:footnote w:id="177">
    <w:p w14:paraId="483CEBEB" w14:textId="0D2E6351" w:rsidR="009707C2" w:rsidRDefault="009707C2">
      <w:pPr>
        <w:pStyle w:val="FootnoteText"/>
      </w:pPr>
      <w:r>
        <w:rPr>
          <w:rStyle w:val="FootnoteReference"/>
        </w:rPr>
        <w:footnoteRef/>
      </w:r>
      <w:r>
        <w:t xml:space="preserve"> </w:t>
      </w:r>
      <w:r w:rsidRPr="00EF0194">
        <w:t xml:space="preserve">RSM PACEC &amp; National Disability Authority (2018) </w:t>
      </w:r>
      <w:r w:rsidRPr="0053132E">
        <w:rPr>
          <w:b/>
        </w:rPr>
        <w:t>Research on good practice in the employment of people with disabilities in the public sector</w:t>
      </w:r>
      <w:r w:rsidRPr="00EF0194">
        <w:t>, Dublin: RSM PACEC &amp; NDA</w:t>
      </w:r>
      <w:r>
        <w:t>, p.38.</w:t>
      </w:r>
    </w:p>
  </w:footnote>
  <w:footnote w:id="178">
    <w:p w14:paraId="351F213D" w14:textId="1205A480" w:rsidR="009707C2" w:rsidRPr="009A1CBB" w:rsidRDefault="009707C2" w:rsidP="006511C1">
      <w:pPr>
        <w:pStyle w:val="FootnoteText"/>
      </w:pPr>
      <w:r>
        <w:rPr>
          <w:rStyle w:val="FootnoteReference"/>
        </w:rPr>
        <w:footnoteRef/>
      </w:r>
      <w:r>
        <w:t xml:space="preserve"> </w:t>
      </w:r>
      <w:r w:rsidRPr="008C0FAB">
        <w:t>Organisation for Economic Cooperation and Development</w:t>
      </w:r>
      <w:r>
        <w:t xml:space="preserve"> (2010) </w:t>
      </w:r>
      <w:r w:rsidRPr="009A1CBB">
        <w:rPr>
          <w:b/>
        </w:rPr>
        <w:t>Sickness, disability and work: breaking the barriers. A synthesis of</w:t>
      </w:r>
      <w:r>
        <w:rPr>
          <w:b/>
        </w:rPr>
        <w:t xml:space="preserve"> findings across OECD countries, </w:t>
      </w:r>
      <w:r w:rsidRPr="008C0FAB">
        <w:t>Paris:</w:t>
      </w:r>
      <w:r>
        <w:rPr>
          <w:b/>
        </w:rPr>
        <w:t xml:space="preserve"> </w:t>
      </w:r>
      <w:r>
        <w:t>OECD, p.134.</w:t>
      </w:r>
    </w:p>
  </w:footnote>
  <w:footnote w:id="179">
    <w:p w14:paraId="064AF11D" w14:textId="1EA72642" w:rsidR="009707C2" w:rsidRDefault="009707C2" w:rsidP="00536B99">
      <w:pPr>
        <w:pStyle w:val="FootnoteText"/>
      </w:pPr>
      <w:r w:rsidRPr="000A6B79">
        <w:rPr>
          <w:vertAlign w:val="superscript"/>
        </w:rPr>
        <w:footnoteRef/>
      </w:r>
      <w:r>
        <w:t xml:space="preserve"> Long, A. (2014) </w:t>
      </w:r>
      <w:r w:rsidRPr="00AD08D9">
        <w:t>‘Reasonable Accommodation as Professional Responsibility, Reasonable Accommodation as Professionalism’</w:t>
      </w:r>
      <w:r>
        <w:t xml:space="preserve">, </w:t>
      </w:r>
      <w:r>
        <w:rPr>
          <w:b/>
        </w:rPr>
        <w:t xml:space="preserve">UC Davis Law Review, </w:t>
      </w:r>
      <w:r w:rsidRPr="00AD08D9">
        <w:t>47, 1753-1805.</w:t>
      </w:r>
    </w:p>
  </w:footnote>
  <w:footnote w:id="180">
    <w:p w14:paraId="041091BF" w14:textId="77777777" w:rsidR="009707C2" w:rsidRDefault="009707C2" w:rsidP="00536B99">
      <w:pPr>
        <w:pStyle w:val="FootnoteText"/>
      </w:pPr>
      <w:r>
        <w:rPr>
          <w:rStyle w:val="FootnoteReference"/>
        </w:rPr>
        <w:footnoteRef/>
      </w:r>
      <w:r>
        <w:t xml:space="preserve"> Employer Disability Information (2018)</w:t>
      </w:r>
      <w:r w:rsidRPr="0053132E">
        <w:rPr>
          <w:b/>
        </w:rPr>
        <w:t xml:space="preserve"> Employers Attitude To Employing People With Disabilities: Survey Results</w:t>
      </w:r>
      <w:r>
        <w:t>, Dublin: EDI, p.2.</w:t>
      </w:r>
    </w:p>
  </w:footnote>
  <w:footnote w:id="181">
    <w:p w14:paraId="33ADD6D5" w14:textId="6FBC676D" w:rsidR="009707C2" w:rsidRDefault="009707C2">
      <w:pPr>
        <w:pStyle w:val="FootnoteText"/>
      </w:pPr>
      <w:r>
        <w:rPr>
          <w:rStyle w:val="FootnoteReference"/>
        </w:rPr>
        <w:footnoteRef/>
      </w:r>
      <w:r>
        <w:t xml:space="preserve"> The Supreme Court reinforced this point in the </w:t>
      </w:r>
      <w:r w:rsidRPr="007235E1">
        <w:t>Daly v Nano Nagle</w:t>
      </w:r>
      <w:r>
        <w:t xml:space="preserve"> School decision.</w:t>
      </w:r>
    </w:p>
  </w:footnote>
  <w:footnote w:id="182">
    <w:p w14:paraId="6FE7B8BA" w14:textId="2439586C" w:rsidR="009707C2" w:rsidRDefault="009707C2">
      <w:pPr>
        <w:pStyle w:val="FootnoteText"/>
      </w:pPr>
      <w:r>
        <w:rPr>
          <w:rStyle w:val="FootnoteReference"/>
        </w:rPr>
        <w:footnoteRef/>
      </w:r>
      <w:r>
        <w:t xml:space="preserve"> More information on the Reasonable Accommodation Fund is available on the Department of Employment Affairs and Social Protection website &lt;</w:t>
      </w:r>
      <w:hyperlink r:id="rId20" w:history="1">
        <w:r w:rsidRPr="007235E1">
          <w:rPr>
            <w:rStyle w:val="Hyperlink"/>
          </w:rPr>
          <w:t>http://www.welfare.ie/en/Pages/Reasonable-Accommodation-Fund_holder.aspx</w:t>
        </w:r>
      </w:hyperlink>
      <w:r>
        <w:t>&gt;.</w:t>
      </w:r>
    </w:p>
  </w:footnote>
  <w:footnote w:id="183">
    <w:p w14:paraId="41AF248E" w14:textId="6C598627" w:rsidR="009707C2" w:rsidRDefault="009707C2">
      <w:pPr>
        <w:pStyle w:val="FootnoteText"/>
      </w:pPr>
      <w:r>
        <w:rPr>
          <w:rStyle w:val="FootnoteReference"/>
        </w:rPr>
        <w:footnoteRef/>
      </w:r>
      <w:r>
        <w:t xml:space="preserve"> More information on the </w:t>
      </w:r>
      <w:r w:rsidRPr="008364C4">
        <w:rPr>
          <w:b/>
        </w:rPr>
        <w:t>Workplace Equipment and Adaptation Grant</w:t>
      </w:r>
      <w:r>
        <w:t xml:space="preserve"> is available on the Department of Employment Affairs and Social Protection website &lt;</w:t>
      </w:r>
      <w:hyperlink r:id="rId21" w:history="1">
        <w:r w:rsidRPr="008364C4">
          <w:rPr>
            <w:rStyle w:val="Hyperlink"/>
          </w:rPr>
          <w:t>http://www.welfare.ie/en/Pages/Workplace-Equipment-Adaptation-Grant.aspx</w:t>
        </w:r>
      </w:hyperlink>
      <w:r>
        <w:t>&gt;.</w:t>
      </w:r>
    </w:p>
  </w:footnote>
  <w:footnote w:id="184">
    <w:p w14:paraId="740DAFC1" w14:textId="100F4609" w:rsidR="009707C2" w:rsidRDefault="009707C2">
      <w:pPr>
        <w:pStyle w:val="FootnoteText"/>
      </w:pPr>
      <w:r>
        <w:rPr>
          <w:rStyle w:val="FootnoteReference"/>
        </w:rPr>
        <w:footnoteRef/>
      </w:r>
      <w:r>
        <w:t xml:space="preserve"> More information on the </w:t>
      </w:r>
      <w:r w:rsidRPr="008364C4">
        <w:rPr>
          <w:b/>
        </w:rPr>
        <w:t>Personal Reader Grant</w:t>
      </w:r>
      <w:r>
        <w:t xml:space="preserve"> is available on the Department of Employment Affairs and Social Protection website &lt;</w:t>
      </w:r>
      <w:r w:rsidRPr="008364C4">
        <w:rPr>
          <w:sz w:val="26"/>
          <w:szCs w:val="24"/>
        </w:rPr>
        <w:t xml:space="preserve"> </w:t>
      </w:r>
      <w:hyperlink r:id="rId22" w:history="1">
        <w:r w:rsidRPr="008364C4">
          <w:rPr>
            <w:rStyle w:val="Hyperlink"/>
          </w:rPr>
          <w:t>http://www.welfare.ie/en/Pages/Personal-Reader-Grant.aspx</w:t>
        </w:r>
      </w:hyperlink>
      <w:r>
        <w:t>&gt;.</w:t>
      </w:r>
    </w:p>
  </w:footnote>
  <w:footnote w:id="185">
    <w:p w14:paraId="2E8CE075" w14:textId="45EE5032" w:rsidR="009707C2" w:rsidRDefault="009707C2">
      <w:pPr>
        <w:pStyle w:val="FootnoteText"/>
      </w:pPr>
      <w:r>
        <w:rPr>
          <w:rStyle w:val="FootnoteReference"/>
        </w:rPr>
        <w:footnoteRef/>
      </w:r>
      <w:r>
        <w:t xml:space="preserve"> More information on the </w:t>
      </w:r>
      <w:r w:rsidRPr="008364C4">
        <w:rPr>
          <w:b/>
        </w:rPr>
        <w:t>Job Interview Interpreter Grant</w:t>
      </w:r>
      <w:r>
        <w:t xml:space="preserve"> is available on the Department of Employment Affairs and Social Protection website &lt;</w:t>
      </w:r>
      <w:r w:rsidRPr="008364C4">
        <w:rPr>
          <w:sz w:val="26"/>
          <w:szCs w:val="24"/>
        </w:rPr>
        <w:t xml:space="preserve"> </w:t>
      </w:r>
      <w:hyperlink r:id="rId23" w:history="1">
        <w:r w:rsidRPr="008364C4">
          <w:rPr>
            <w:rStyle w:val="Hyperlink"/>
          </w:rPr>
          <w:t>http://www.welfare.ie/en/Pages/Job-Interview-Interpreter-Grant.aspx</w:t>
        </w:r>
      </w:hyperlink>
      <w:r>
        <w:t>&gt;.</w:t>
      </w:r>
    </w:p>
  </w:footnote>
  <w:footnote w:id="186">
    <w:p w14:paraId="1A2C5EC1" w14:textId="182D764E" w:rsidR="009707C2" w:rsidRDefault="009707C2">
      <w:pPr>
        <w:pStyle w:val="FootnoteText"/>
      </w:pPr>
      <w:r>
        <w:rPr>
          <w:rStyle w:val="FootnoteReference"/>
        </w:rPr>
        <w:footnoteRef/>
      </w:r>
      <w:r>
        <w:t xml:space="preserve"> More information on the </w:t>
      </w:r>
      <w:r w:rsidRPr="008364C4">
        <w:rPr>
          <w:b/>
        </w:rPr>
        <w:t>Employee Retention Grant</w:t>
      </w:r>
      <w:r>
        <w:t xml:space="preserve"> is available on the Department of Employment Affairs and Social Protection website &lt;</w:t>
      </w:r>
      <w:hyperlink r:id="rId24" w:history="1">
        <w:r w:rsidRPr="008364C4">
          <w:rPr>
            <w:rStyle w:val="Hyperlink"/>
          </w:rPr>
          <w:t>http://www.welfare.ie/en/Pages/Employee-Retention-Scheme.aspx</w:t>
        </w:r>
      </w:hyperlink>
      <w:r>
        <w:t>&gt;.</w:t>
      </w:r>
    </w:p>
  </w:footnote>
  <w:footnote w:id="187">
    <w:p w14:paraId="0AB4064F" w14:textId="72D2C220" w:rsidR="009707C2" w:rsidRDefault="009707C2" w:rsidP="00536B99">
      <w:pPr>
        <w:pStyle w:val="FootnoteText"/>
      </w:pPr>
      <w:r>
        <w:rPr>
          <w:rStyle w:val="FootnoteReference"/>
        </w:rPr>
        <w:footnoteRef/>
      </w:r>
      <w:r>
        <w:t xml:space="preserve"> </w:t>
      </w:r>
      <w:r w:rsidRPr="00E51619">
        <w:t>Minister of State at the Department of Employment Affairs and Social Protection, the Department of Justice and Equality and the Department of Health with special responsibility for Disability Issues</w:t>
      </w:r>
      <w:r>
        <w:t xml:space="preserve">, Finian McGrath TD, </w:t>
      </w:r>
      <w:r w:rsidRPr="0053132E">
        <w:rPr>
          <w:b/>
        </w:rPr>
        <w:t>Parliamentary Question, 4 December 2018, 50434/18.</w:t>
      </w:r>
    </w:p>
  </w:footnote>
  <w:footnote w:id="188">
    <w:p w14:paraId="3762C7D6" w14:textId="06472DA2" w:rsidR="009707C2" w:rsidRDefault="009707C2" w:rsidP="00536B99">
      <w:pPr>
        <w:pStyle w:val="FootnoteText"/>
      </w:pPr>
      <w:r>
        <w:rPr>
          <w:rStyle w:val="FootnoteReference"/>
        </w:rPr>
        <w:footnoteRef/>
      </w:r>
      <w:r>
        <w:t xml:space="preserve"> </w:t>
      </w:r>
      <w:r w:rsidRPr="006764C9">
        <w:t xml:space="preserve">Government of Ireland (2015) </w:t>
      </w:r>
      <w:r w:rsidRPr="006764C9">
        <w:rPr>
          <w:b/>
        </w:rPr>
        <w:t>Comprehensive Employment Strategy for People with Disabilities 2015-2024</w:t>
      </w:r>
      <w:r w:rsidRPr="006764C9">
        <w:t>, Dub</w:t>
      </w:r>
      <w:r>
        <w:t>lin: Stationery Office, p.56</w:t>
      </w:r>
      <w:r w:rsidRPr="006764C9">
        <w:t>.</w:t>
      </w:r>
    </w:p>
  </w:footnote>
  <w:footnote w:id="189">
    <w:p w14:paraId="63992CFD" w14:textId="6825CFAB" w:rsidR="009707C2" w:rsidRDefault="009707C2" w:rsidP="00536B99">
      <w:pPr>
        <w:pStyle w:val="FootnoteText"/>
      </w:pPr>
      <w:r>
        <w:rPr>
          <w:rStyle w:val="FootnoteReference"/>
        </w:rPr>
        <w:footnoteRef/>
      </w:r>
      <w:r>
        <w:t xml:space="preserve"> Employer Disability Information service, </w:t>
      </w:r>
      <w:r w:rsidRPr="007E3450">
        <w:rPr>
          <w:b/>
        </w:rPr>
        <w:t>Report to the Department of Employment Affairs and Social Protection Report dated 30</w:t>
      </w:r>
      <w:r w:rsidRPr="007E3450">
        <w:rPr>
          <w:b/>
          <w:vertAlign w:val="superscript"/>
        </w:rPr>
        <w:t>th</w:t>
      </w:r>
      <w:r w:rsidRPr="007E3450">
        <w:rPr>
          <w:b/>
        </w:rPr>
        <w:t xml:space="preserve"> May 2016</w:t>
      </w:r>
      <w:r w:rsidRPr="007D5E3C">
        <w:t xml:space="preserve">, available at </w:t>
      </w:r>
      <w:r>
        <w:t>the Employer Disability Information service website &lt;</w:t>
      </w:r>
      <w:hyperlink r:id="rId25" w:history="1">
        <w:r w:rsidRPr="007D5E3C">
          <w:rPr>
            <w:rStyle w:val="Hyperlink"/>
          </w:rPr>
          <w:t>http://www.employerdisabilityinfo.ie/about/submissions/deasp-report</w:t>
        </w:r>
      </w:hyperlink>
      <w:r>
        <w:t>&gt;.</w:t>
      </w:r>
    </w:p>
  </w:footnote>
  <w:footnote w:id="190">
    <w:p w14:paraId="065FD45C" w14:textId="751FEB74" w:rsidR="009707C2" w:rsidRDefault="009707C2" w:rsidP="00536B99">
      <w:pPr>
        <w:pStyle w:val="FootnoteText"/>
      </w:pPr>
      <w:r>
        <w:rPr>
          <w:rStyle w:val="FootnoteReference"/>
        </w:rPr>
        <w:footnoteRef/>
      </w:r>
      <w:r>
        <w:t xml:space="preserve"> </w:t>
      </w:r>
      <w:r w:rsidRPr="00E51619">
        <w:t>Minister of State at the Department of Employment Affairs and Social Protection, the Department of Justice and Equality and the Department of Health with special responsibility for Disability Issues</w:t>
      </w:r>
      <w:r>
        <w:t xml:space="preserve">, </w:t>
      </w:r>
      <w:r w:rsidRPr="004E2465">
        <w:t xml:space="preserve">Finian McGrath TD, </w:t>
      </w:r>
      <w:r w:rsidRPr="0053132E">
        <w:rPr>
          <w:b/>
        </w:rPr>
        <w:t>Parliamentary Question, 20 June 2017, 27072/17</w:t>
      </w:r>
      <w:r>
        <w:rPr>
          <w:b/>
        </w:rPr>
        <w:t>.</w:t>
      </w:r>
    </w:p>
  </w:footnote>
  <w:footnote w:id="191">
    <w:p w14:paraId="256276DC" w14:textId="0A6B5FB5" w:rsidR="009707C2" w:rsidRDefault="009707C2">
      <w:pPr>
        <w:pStyle w:val="FootnoteText"/>
      </w:pPr>
      <w:r>
        <w:rPr>
          <w:rStyle w:val="FootnoteReference"/>
        </w:rPr>
        <w:footnoteRef/>
      </w:r>
      <w:r>
        <w:t xml:space="preserve"> </w:t>
      </w:r>
      <w:r w:rsidRPr="0040253D">
        <w:t xml:space="preserve">Government of Ireland (2019) </w:t>
      </w:r>
      <w:r w:rsidRPr="0040253D">
        <w:rPr>
          <w:b/>
        </w:rPr>
        <w:t>Comprehensive Employment Strategy:</w:t>
      </w:r>
      <w:r>
        <w:rPr>
          <w:b/>
        </w:rPr>
        <w:t xml:space="preserve"> Phase T</w:t>
      </w:r>
      <w:r w:rsidRPr="0040253D">
        <w:rPr>
          <w:b/>
        </w:rPr>
        <w:t>wo Action Plan 2019-2021</w:t>
      </w:r>
      <w:r w:rsidRPr="0040253D">
        <w:t>, Dublin: Stationery Office, p.</w:t>
      </w:r>
      <w:r>
        <w:t>31</w:t>
      </w:r>
      <w:r w:rsidRPr="0040253D">
        <w:t>.</w:t>
      </w:r>
    </w:p>
  </w:footnote>
  <w:footnote w:id="192">
    <w:p w14:paraId="4D769A8E" w14:textId="245705E2" w:rsidR="009707C2" w:rsidRPr="0025171E" w:rsidRDefault="009707C2" w:rsidP="00536B99">
      <w:pPr>
        <w:pStyle w:val="FootnoteText"/>
        <w:rPr>
          <w:lang w:val="en-GB"/>
        </w:rPr>
      </w:pPr>
      <w:r>
        <w:rPr>
          <w:rStyle w:val="FootnoteReference"/>
        </w:rPr>
        <w:footnoteRef/>
      </w:r>
      <w:r>
        <w:t xml:space="preserve"> Work Research Centre (2012) </w:t>
      </w:r>
      <w:r w:rsidRPr="0025171E">
        <w:rPr>
          <w:b/>
          <w:lang w:val="en-GB"/>
        </w:rPr>
        <w:t>Research on the provision of Assistive Technology in Ireland and other countries to support independent living across the life cycle</w:t>
      </w:r>
      <w:r>
        <w:rPr>
          <w:b/>
          <w:lang w:val="en-GB"/>
        </w:rPr>
        <w:t xml:space="preserve">, </w:t>
      </w:r>
      <w:r>
        <w:rPr>
          <w:lang w:val="en-GB"/>
        </w:rPr>
        <w:t>Dublin: NDA, p.150.</w:t>
      </w:r>
    </w:p>
  </w:footnote>
  <w:footnote w:id="193">
    <w:p w14:paraId="5A14221C" w14:textId="64DCE676" w:rsidR="009707C2" w:rsidRDefault="009707C2" w:rsidP="00536B99">
      <w:pPr>
        <w:pStyle w:val="FootnoteText"/>
      </w:pPr>
      <w:r>
        <w:rPr>
          <w:rStyle w:val="FootnoteReference"/>
        </w:rPr>
        <w:footnoteRef/>
      </w:r>
      <w:r>
        <w:t xml:space="preserve"> Employer Disability Information service, </w:t>
      </w:r>
      <w:r w:rsidRPr="007E3450">
        <w:rPr>
          <w:b/>
        </w:rPr>
        <w:t>Report to the Department of Employment Affairs and Social Protection Report dated 30</w:t>
      </w:r>
      <w:r w:rsidRPr="007E3450">
        <w:rPr>
          <w:b/>
          <w:vertAlign w:val="superscript"/>
        </w:rPr>
        <w:t>th</w:t>
      </w:r>
      <w:r w:rsidRPr="007E3450">
        <w:rPr>
          <w:b/>
        </w:rPr>
        <w:t xml:space="preserve"> May 2016</w:t>
      </w:r>
      <w:r w:rsidRPr="007D5E3C">
        <w:t xml:space="preserve">, available at </w:t>
      </w:r>
      <w:r>
        <w:t>the Employer Disability Information service website &lt;</w:t>
      </w:r>
      <w:hyperlink r:id="rId26" w:history="1">
        <w:r w:rsidRPr="007D5E3C">
          <w:rPr>
            <w:rStyle w:val="Hyperlink"/>
          </w:rPr>
          <w:t>http://www.employerdisabilityinfo.ie/about/submissions/deasp-report</w:t>
        </w:r>
      </w:hyperlink>
      <w:r>
        <w:t>&gt;.</w:t>
      </w:r>
    </w:p>
  </w:footnote>
  <w:footnote w:id="194">
    <w:p w14:paraId="516D74EC" w14:textId="1A6BC07D" w:rsidR="009707C2" w:rsidRDefault="009707C2">
      <w:pPr>
        <w:pStyle w:val="FootnoteText"/>
      </w:pPr>
      <w:r>
        <w:rPr>
          <w:rStyle w:val="FootnoteReference"/>
        </w:rPr>
        <w:footnoteRef/>
      </w:r>
      <w:r>
        <w:t xml:space="preserve"> National Disability Authority (2005) </w:t>
      </w:r>
      <w:r w:rsidRPr="00130DFC">
        <w:rPr>
          <w:b/>
        </w:rPr>
        <w:t>Disability and Work: The picture we learn from official statistics</w:t>
      </w:r>
      <w:r>
        <w:t xml:space="preserve">, Dublin: NDA, p.12. </w:t>
      </w:r>
    </w:p>
  </w:footnote>
  <w:footnote w:id="195">
    <w:p w14:paraId="2DD96FD7" w14:textId="66D90B47" w:rsidR="009707C2" w:rsidRDefault="009707C2">
      <w:pPr>
        <w:pStyle w:val="FootnoteText"/>
      </w:pPr>
      <w:r>
        <w:rPr>
          <w:rStyle w:val="FootnoteReference"/>
        </w:rPr>
        <w:footnoteRef/>
      </w:r>
      <w:r>
        <w:t xml:space="preserve"> More information on the </w:t>
      </w:r>
      <w:r>
        <w:rPr>
          <w:b/>
        </w:rPr>
        <w:t>Wage Subsidy Scheme</w:t>
      </w:r>
      <w:r>
        <w:t xml:space="preserve"> is available on the Department of Employment Affairs and Social Protection website &lt;</w:t>
      </w:r>
      <w:hyperlink r:id="rId27" w:history="1">
        <w:r w:rsidRPr="000F5A33">
          <w:rPr>
            <w:rStyle w:val="Hyperlink"/>
          </w:rPr>
          <w:t>http://www.welfare.ie/en/Pages/Wage-Subsidy-Scheme_holder_3176.aspx</w:t>
        </w:r>
      </w:hyperlink>
      <w:r>
        <w:t>&gt;.</w:t>
      </w:r>
    </w:p>
  </w:footnote>
  <w:footnote w:id="196">
    <w:p w14:paraId="6F2B5906" w14:textId="45C185F4" w:rsidR="009707C2" w:rsidRDefault="009707C2">
      <w:pPr>
        <w:pStyle w:val="FootnoteText"/>
      </w:pPr>
      <w:r>
        <w:rPr>
          <w:rStyle w:val="FootnoteReference"/>
        </w:rPr>
        <w:footnoteRef/>
      </w:r>
      <w:r>
        <w:t xml:space="preserve"> </w:t>
      </w:r>
      <w:r w:rsidRPr="00E51619">
        <w:t>Minister of State at the Department of Employment Affairs and Social Protection, the Department of Justice and Equality and the Department of Health with special responsibility for Disability Issues</w:t>
      </w:r>
      <w:r>
        <w:t xml:space="preserve">, </w:t>
      </w:r>
      <w:r w:rsidRPr="00130DFC">
        <w:rPr>
          <w:rFonts w:eastAsia="Calibri"/>
          <w:szCs w:val="22"/>
        </w:rPr>
        <w:t xml:space="preserve">Finian McGrath TD, </w:t>
      </w:r>
      <w:r w:rsidRPr="00130DFC">
        <w:rPr>
          <w:rFonts w:eastAsia="Calibri"/>
          <w:b/>
          <w:szCs w:val="22"/>
        </w:rPr>
        <w:t>Parliamentary Question, 4 December 2018, 50427/18.</w:t>
      </w:r>
    </w:p>
  </w:footnote>
  <w:footnote w:id="197">
    <w:p w14:paraId="6D032C78" w14:textId="69F92C34" w:rsidR="009707C2" w:rsidRDefault="009707C2">
      <w:pPr>
        <w:pStyle w:val="FootnoteText"/>
      </w:pPr>
      <w:r>
        <w:rPr>
          <w:rStyle w:val="FootnoteReference"/>
        </w:rPr>
        <w:footnoteRef/>
      </w:r>
      <w:r>
        <w:t xml:space="preserve"> </w:t>
      </w:r>
      <w:r w:rsidRPr="00E51619">
        <w:t>Minister of State at the Department of Employment Affairs and Social Protection, the Department of Justice and Equality and the Department of Health with special responsibility for Disability Issues</w:t>
      </w:r>
      <w:r>
        <w:t xml:space="preserve">, </w:t>
      </w:r>
      <w:r w:rsidRPr="00130DFC">
        <w:rPr>
          <w:rFonts w:eastAsia="Calibri"/>
          <w:szCs w:val="22"/>
        </w:rPr>
        <w:t xml:space="preserve">Finian McGrath TD, </w:t>
      </w:r>
      <w:r w:rsidRPr="00130DFC">
        <w:rPr>
          <w:rFonts w:eastAsia="Calibri"/>
          <w:b/>
          <w:szCs w:val="22"/>
        </w:rPr>
        <w:t>Parliamentary Question, 4 December 2018, 50427/18.</w:t>
      </w:r>
    </w:p>
  </w:footnote>
  <w:footnote w:id="198">
    <w:p w14:paraId="2DCDEA03" w14:textId="77777777" w:rsidR="009707C2" w:rsidRPr="003B3254" w:rsidRDefault="009707C2" w:rsidP="003B3254">
      <w:pPr>
        <w:pStyle w:val="FootnoteText"/>
      </w:pPr>
      <w:r>
        <w:rPr>
          <w:rStyle w:val="FootnoteReference"/>
        </w:rPr>
        <w:footnoteRef/>
      </w:r>
      <w:r>
        <w:t xml:space="preserve"> </w:t>
      </w:r>
      <w:r w:rsidRPr="00A202A9">
        <w:t>Austrian Institute for SME Researc</w:t>
      </w:r>
      <w:r>
        <w:t xml:space="preserve">h (2008) </w:t>
      </w:r>
      <w:r w:rsidRPr="003B3254">
        <w:rPr>
          <w:b/>
        </w:rPr>
        <w:t>Practices of providing reasonable accommodation for persons with disabilities in the workplace</w:t>
      </w:r>
      <w:r>
        <w:t xml:space="preserve">, </w:t>
      </w:r>
      <w:r w:rsidRPr="003B3254">
        <w:t>Austrian Institute for SME Research</w:t>
      </w:r>
      <w:r>
        <w:t>: Vienna.</w:t>
      </w:r>
    </w:p>
  </w:footnote>
  <w:footnote w:id="199">
    <w:p w14:paraId="4F9736A7" w14:textId="0E3DE3A8" w:rsidR="009707C2" w:rsidRDefault="009707C2">
      <w:pPr>
        <w:pStyle w:val="FootnoteText"/>
      </w:pPr>
      <w:r>
        <w:rPr>
          <w:rStyle w:val="FootnoteReference"/>
        </w:rPr>
        <w:footnoteRef/>
      </w:r>
      <w:r>
        <w:t xml:space="preserve"> See for instance </w:t>
      </w:r>
      <w:r w:rsidRPr="00285487">
        <w:t xml:space="preserve">UN Committee on the Rights of Persons with </w:t>
      </w:r>
      <w:r>
        <w:t>Disabilities (2018</w:t>
      </w:r>
      <w:r w:rsidRPr="00285487">
        <w:t xml:space="preserve">) </w:t>
      </w:r>
      <w:r w:rsidRPr="00285487">
        <w:rPr>
          <w:b/>
        </w:rPr>
        <w:t>Concluding observations on the initial report of</w:t>
      </w:r>
      <w:r>
        <w:rPr>
          <w:b/>
        </w:rPr>
        <w:t xml:space="preserve"> Poland</w:t>
      </w:r>
      <w:r w:rsidRPr="00285487">
        <w:t>, Geneva: Office of the United Nations High Commissioner for Human Rights, p.</w:t>
      </w:r>
      <w:r>
        <w:t>13.</w:t>
      </w:r>
      <w:r w:rsidRPr="00444001">
        <w:rPr>
          <w:sz w:val="26"/>
          <w:szCs w:val="24"/>
        </w:rPr>
        <w:t xml:space="preserve"> </w:t>
      </w:r>
      <w:r>
        <w:t xml:space="preserve">See also </w:t>
      </w:r>
      <w:r w:rsidRPr="00444001">
        <w:t xml:space="preserve">UN Committee on the Rights of Persons with </w:t>
      </w:r>
      <w:r>
        <w:t>Disabilities (2018</w:t>
      </w:r>
      <w:r w:rsidRPr="00444001">
        <w:t xml:space="preserve">) </w:t>
      </w:r>
      <w:r w:rsidRPr="00444001">
        <w:rPr>
          <w:b/>
        </w:rPr>
        <w:t>Concluding observations on the initial report of</w:t>
      </w:r>
      <w:r>
        <w:rPr>
          <w:b/>
        </w:rPr>
        <w:t xml:space="preserve"> Slovenia</w:t>
      </w:r>
      <w:r w:rsidRPr="00444001">
        <w:t>, Geneva: Office of the United Nations High Commissioner for Human Rights, p.</w:t>
      </w:r>
      <w:r>
        <w:t>11.</w:t>
      </w:r>
    </w:p>
  </w:footnote>
  <w:footnote w:id="200">
    <w:p w14:paraId="562819AB" w14:textId="3425AA5F" w:rsidR="009707C2" w:rsidRDefault="009707C2">
      <w:pPr>
        <w:pStyle w:val="FootnoteText"/>
      </w:pPr>
      <w:r>
        <w:rPr>
          <w:rStyle w:val="FootnoteReference"/>
        </w:rPr>
        <w:footnoteRef/>
      </w:r>
      <w:r>
        <w:t xml:space="preserve"> The </w:t>
      </w:r>
      <w:r w:rsidRPr="00D66093">
        <w:rPr>
          <w:b/>
        </w:rPr>
        <w:t>Irish Sign Language Act 2017</w:t>
      </w:r>
      <w:r>
        <w:t xml:space="preserve"> now recognises ISL as </w:t>
      </w:r>
      <w:r w:rsidRPr="00D66093">
        <w:t>a native and independent language</w:t>
      </w:r>
      <w:r>
        <w:t>.</w:t>
      </w:r>
    </w:p>
  </w:footnote>
  <w:footnote w:id="201">
    <w:p w14:paraId="67D8879D" w14:textId="2B1916BD" w:rsidR="009707C2" w:rsidRDefault="009707C2">
      <w:pPr>
        <w:pStyle w:val="FootnoteText"/>
      </w:pPr>
      <w:r>
        <w:rPr>
          <w:rStyle w:val="FootnoteReference"/>
        </w:rPr>
        <w:footnoteRef/>
      </w:r>
      <w:r>
        <w:t xml:space="preserve"> “</w:t>
      </w:r>
      <w:r w:rsidRPr="00E74AE7">
        <w:t>The Disability Awareness Support Scheme offers funding to private sector employers to provide Disability Awareness Training for staff who work with a colleague who has a disability.</w:t>
      </w:r>
      <w:r>
        <w:t>” More information is available on the website of the Department of Employment Affairs and Social Protection &lt;</w:t>
      </w:r>
      <w:r w:rsidRPr="00E74AE7">
        <w:rPr>
          <w:sz w:val="26"/>
          <w:szCs w:val="24"/>
        </w:rPr>
        <w:t xml:space="preserve"> </w:t>
      </w:r>
      <w:hyperlink r:id="rId28" w:history="1">
        <w:r w:rsidRPr="00E74AE7">
          <w:rPr>
            <w:rStyle w:val="Hyperlink"/>
          </w:rPr>
          <w:t>http://www.welfare.ie/en/Pages/Disability-Awareness-Training_holder.aspx</w:t>
        </w:r>
      </w:hyperlink>
      <w:r>
        <w:t xml:space="preserve">&gt;. The Application Form questions whether the proposed course participants work with a colleague who has a disability. If not, the employer is required to explain why these participants are being proposed for disability awareness training. The Application Form is available on the </w:t>
      </w:r>
      <w:r w:rsidRPr="00422542">
        <w:t>website of the Department of Employment Affairs and Social Protection</w:t>
      </w:r>
      <w:r>
        <w:t xml:space="preserve"> &lt;</w:t>
      </w:r>
      <w:hyperlink r:id="rId29" w:history="1">
        <w:r w:rsidRPr="00E74AE7">
          <w:rPr>
            <w:rStyle w:val="Hyperlink"/>
          </w:rPr>
          <w:t>http://www.welfare.ie/en/pdf/DisabilityAwarenessTrainingApplication.pdf</w:t>
        </w:r>
      </w:hyperlink>
      <w:r>
        <w:t>&gt;.</w:t>
      </w:r>
    </w:p>
  </w:footnote>
  <w:footnote w:id="202">
    <w:p w14:paraId="77187C08" w14:textId="4EB6EDA5" w:rsidR="009707C2" w:rsidRDefault="009707C2" w:rsidP="00536B99">
      <w:pPr>
        <w:pStyle w:val="FootnoteText"/>
      </w:pPr>
      <w:r>
        <w:rPr>
          <w:rStyle w:val="FootnoteReference"/>
        </w:rPr>
        <w:footnoteRef/>
      </w:r>
      <w:r>
        <w:t xml:space="preserve"> Employer Disability Information service, </w:t>
      </w:r>
      <w:r w:rsidRPr="007E3450">
        <w:rPr>
          <w:b/>
        </w:rPr>
        <w:t>Report to the Department of Employment Affairs and Social Protection Report dated 30</w:t>
      </w:r>
      <w:r w:rsidRPr="007E3450">
        <w:rPr>
          <w:b/>
          <w:vertAlign w:val="superscript"/>
        </w:rPr>
        <w:t>th</w:t>
      </w:r>
      <w:r w:rsidRPr="007E3450">
        <w:rPr>
          <w:b/>
        </w:rPr>
        <w:t xml:space="preserve"> May 2016</w:t>
      </w:r>
      <w:r w:rsidRPr="007D5E3C">
        <w:t xml:space="preserve">, available at </w:t>
      </w:r>
      <w:r>
        <w:t>the Employer Disability Information service website &lt;</w:t>
      </w:r>
      <w:hyperlink r:id="rId30" w:history="1">
        <w:r w:rsidRPr="007D5E3C">
          <w:rPr>
            <w:rStyle w:val="Hyperlink"/>
          </w:rPr>
          <w:t>http://www.employerdisabilityinfo.ie/about/submissions/deasp-report</w:t>
        </w:r>
      </w:hyperlink>
      <w:r>
        <w:t>&gt;.</w:t>
      </w:r>
    </w:p>
  </w:footnote>
  <w:footnote w:id="203">
    <w:p w14:paraId="14B8C3F4" w14:textId="27828D8A" w:rsidR="009707C2" w:rsidRDefault="009707C2">
      <w:pPr>
        <w:pStyle w:val="FootnoteText"/>
      </w:pPr>
      <w:r>
        <w:rPr>
          <w:rStyle w:val="FootnoteReference"/>
        </w:rPr>
        <w:footnoteRef/>
      </w:r>
      <w:r>
        <w:t xml:space="preserve"> According to the Minister for Employment Affairs and Social Protection, t</w:t>
      </w:r>
      <w:r w:rsidRPr="00070194">
        <w:t xml:space="preserve">he rationale in relation </w:t>
      </w:r>
      <w:r>
        <w:t>to the Wage Subsidy Scheme</w:t>
      </w:r>
      <w:r w:rsidRPr="00070194">
        <w:t xml:space="preserve"> having a minimum of 21 subsidised hours is to increase the likelihood of people with disabilities obtaining and sustaining employment in the open labour market.</w:t>
      </w:r>
      <w:r>
        <w:t xml:space="preserve"> Regina Doherty</w:t>
      </w:r>
      <w:r w:rsidRPr="00070194">
        <w:t xml:space="preserve"> TD, </w:t>
      </w:r>
      <w:r w:rsidRPr="00070194">
        <w:rPr>
          <w:b/>
        </w:rPr>
        <w:t xml:space="preserve">Parliamentary Question, </w:t>
      </w:r>
      <w:r>
        <w:rPr>
          <w:b/>
        </w:rPr>
        <w:t>19 February 2019</w:t>
      </w:r>
      <w:r w:rsidRPr="00070194">
        <w:rPr>
          <w:b/>
        </w:rPr>
        <w:t xml:space="preserve">, </w:t>
      </w:r>
      <w:r>
        <w:rPr>
          <w:b/>
        </w:rPr>
        <w:t>7896/19</w:t>
      </w:r>
      <w:r w:rsidRPr="00070194">
        <w:t>.</w:t>
      </w:r>
    </w:p>
  </w:footnote>
  <w:footnote w:id="204">
    <w:p w14:paraId="488092C8" w14:textId="0F37E143" w:rsidR="009707C2" w:rsidRDefault="009707C2">
      <w:pPr>
        <w:pStyle w:val="FootnoteText"/>
      </w:pPr>
      <w:r>
        <w:rPr>
          <w:rStyle w:val="FootnoteReference"/>
        </w:rPr>
        <w:footnoteRef/>
      </w:r>
      <w:r>
        <w:t xml:space="preserve"> Employer Disability Information service, </w:t>
      </w:r>
      <w:r w:rsidRPr="007E3450">
        <w:rPr>
          <w:b/>
        </w:rPr>
        <w:t>Report to the Department of Employment Affairs and Social Protection Report dated 30</w:t>
      </w:r>
      <w:r w:rsidRPr="007E3450">
        <w:rPr>
          <w:b/>
          <w:vertAlign w:val="superscript"/>
        </w:rPr>
        <w:t>th</w:t>
      </w:r>
      <w:r w:rsidRPr="007E3450">
        <w:rPr>
          <w:b/>
        </w:rPr>
        <w:t xml:space="preserve"> May 2016</w:t>
      </w:r>
      <w:r w:rsidRPr="007D5E3C">
        <w:t xml:space="preserve">, available at </w:t>
      </w:r>
      <w:r>
        <w:t>the Employer Disability Information service website &lt;</w:t>
      </w:r>
      <w:hyperlink r:id="rId31" w:history="1">
        <w:r w:rsidRPr="007D5E3C">
          <w:rPr>
            <w:rStyle w:val="Hyperlink"/>
          </w:rPr>
          <w:t>http://www.employerdisabilityinfo.ie/about/submissions/deasp-report</w:t>
        </w:r>
      </w:hyperlink>
      <w:r>
        <w:t>&gt;.</w:t>
      </w:r>
    </w:p>
  </w:footnote>
  <w:footnote w:id="205">
    <w:p w14:paraId="015B372C" w14:textId="326695D5" w:rsidR="009707C2" w:rsidRDefault="009707C2" w:rsidP="00536B99">
      <w:pPr>
        <w:pStyle w:val="FootnoteText"/>
      </w:pPr>
      <w:r>
        <w:rPr>
          <w:rStyle w:val="FootnoteReference"/>
        </w:rPr>
        <w:footnoteRef/>
      </w:r>
      <w:r>
        <w:t xml:space="preserve"> Employer Disability Information service, </w:t>
      </w:r>
      <w:r w:rsidRPr="007E3450">
        <w:rPr>
          <w:b/>
        </w:rPr>
        <w:t>Report to the Department of Employment Affairs and Social Protection Report dated 30</w:t>
      </w:r>
      <w:r w:rsidRPr="007E3450">
        <w:rPr>
          <w:b/>
          <w:vertAlign w:val="superscript"/>
        </w:rPr>
        <w:t>th</w:t>
      </w:r>
      <w:r w:rsidRPr="007E3450">
        <w:rPr>
          <w:b/>
        </w:rPr>
        <w:t xml:space="preserve"> May 2016</w:t>
      </w:r>
      <w:r w:rsidRPr="007D5E3C">
        <w:t xml:space="preserve">, available at </w:t>
      </w:r>
      <w:r>
        <w:t>the Employer Disability Information service website &lt;</w:t>
      </w:r>
      <w:hyperlink r:id="rId32" w:history="1">
        <w:r w:rsidRPr="007D5E3C">
          <w:rPr>
            <w:rStyle w:val="Hyperlink"/>
          </w:rPr>
          <w:t>http://www.employerdisabilityinfo.ie/about/submissions/deasp-report</w:t>
        </w:r>
      </w:hyperlink>
      <w:r>
        <w:t>&gt;.</w:t>
      </w:r>
    </w:p>
  </w:footnote>
  <w:footnote w:id="206">
    <w:p w14:paraId="236034A1" w14:textId="07B71782" w:rsidR="009707C2" w:rsidRDefault="009707C2" w:rsidP="00536B99">
      <w:pPr>
        <w:pStyle w:val="FootnoteText"/>
      </w:pPr>
      <w:r>
        <w:rPr>
          <w:rStyle w:val="FootnoteReference"/>
        </w:rPr>
        <w:footnoteRef/>
      </w:r>
      <w:r>
        <w:t xml:space="preserve"> </w:t>
      </w:r>
      <w:r w:rsidRPr="008C0FAB">
        <w:t>Organisation for Economic Cooperation and Development</w:t>
      </w:r>
      <w:r>
        <w:t xml:space="preserve"> (2010) </w:t>
      </w:r>
      <w:r w:rsidRPr="009A1CBB">
        <w:rPr>
          <w:b/>
        </w:rPr>
        <w:t>Sickness, disability and work: breaking the barriers. A synthesis of</w:t>
      </w:r>
      <w:r>
        <w:rPr>
          <w:b/>
        </w:rPr>
        <w:t xml:space="preserve"> findings across OECD countries, </w:t>
      </w:r>
      <w:r w:rsidRPr="008C0FAB">
        <w:t>Paris:</w:t>
      </w:r>
      <w:r>
        <w:rPr>
          <w:b/>
        </w:rPr>
        <w:t xml:space="preserve"> </w:t>
      </w:r>
      <w:r>
        <w:t>OECD, p.137.</w:t>
      </w:r>
    </w:p>
  </w:footnote>
  <w:footnote w:id="207">
    <w:p w14:paraId="3CCFCD52" w14:textId="4BE1D8D5" w:rsidR="009707C2" w:rsidRDefault="009707C2" w:rsidP="00536B99">
      <w:pPr>
        <w:pStyle w:val="FootnoteText"/>
      </w:pPr>
      <w:r>
        <w:rPr>
          <w:rStyle w:val="FootnoteReference"/>
        </w:rPr>
        <w:footnoteRef/>
      </w:r>
      <w:r>
        <w:t xml:space="preserve"> </w:t>
      </w:r>
      <w:r w:rsidRPr="00E51619">
        <w:t>Minister of State at the Department of Employment Affairs and Social Protection, the Department of Justice and Equality and the Department of Health with special responsibility for Disability Issues</w:t>
      </w:r>
      <w:r>
        <w:t xml:space="preserve">, </w:t>
      </w:r>
      <w:r w:rsidRPr="00FD69BF">
        <w:t xml:space="preserve">Finian McGrath TD, </w:t>
      </w:r>
      <w:r w:rsidRPr="0053132E">
        <w:rPr>
          <w:b/>
        </w:rPr>
        <w:t>Parliamentary Question, 4 December 2018, 50433/18</w:t>
      </w:r>
      <w:r>
        <w:t>.</w:t>
      </w:r>
    </w:p>
  </w:footnote>
  <w:footnote w:id="208">
    <w:p w14:paraId="0B04970D" w14:textId="072DF836" w:rsidR="009707C2" w:rsidRDefault="009707C2">
      <w:pPr>
        <w:pStyle w:val="FootnoteText"/>
      </w:pPr>
      <w:r>
        <w:rPr>
          <w:rStyle w:val="FootnoteReference"/>
        </w:rPr>
        <w:footnoteRef/>
      </w:r>
      <w:r>
        <w:t xml:space="preserve"> </w:t>
      </w:r>
      <w:r w:rsidRPr="00EF0FAF">
        <w:rPr>
          <w:bCs/>
        </w:rPr>
        <w:t xml:space="preserve">MacDonald-Wilson, </w:t>
      </w:r>
      <w:r>
        <w:rPr>
          <w:bCs/>
        </w:rPr>
        <w:t xml:space="preserve">K., </w:t>
      </w:r>
      <w:r w:rsidRPr="00EF0FAF">
        <w:rPr>
          <w:bCs/>
        </w:rPr>
        <w:t>Fabian,</w:t>
      </w:r>
      <w:r>
        <w:rPr>
          <w:bCs/>
        </w:rPr>
        <w:t xml:space="preserve"> E. &amp; </w:t>
      </w:r>
      <w:r w:rsidRPr="00EF0FAF">
        <w:rPr>
          <w:bCs/>
        </w:rPr>
        <w:t>Dong,</w:t>
      </w:r>
      <w:r>
        <w:rPr>
          <w:bCs/>
        </w:rPr>
        <w:t xml:space="preserve"> S.</w:t>
      </w:r>
      <w:r>
        <w:rPr>
          <w:b/>
          <w:bCs/>
        </w:rPr>
        <w:t xml:space="preserve"> </w:t>
      </w:r>
      <w:r w:rsidRPr="008322D3">
        <w:rPr>
          <w:bCs/>
        </w:rPr>
        <w:t>(</w:t>
      </w:r>
      <w:r>
        <w:rPr>
          <w:bCs/>
        </w:rPr>
        <w:t>2008</w:t>
      </w:r>
      <w:r w:rsidRPr="008322D3">
        <w:rPr>
          <w:bCs/>
        </w:rPr>
        <w:t>) ‘</w:t>
      </w:r>
      <w:r w:rsidRPr="00EF0FAF">
        <w:rPr>
          <w:bCs/>
        </w:rPr>
        <w:t>Best Practices in Developing Reasonable Accommodations in the Workplace: Findings B</w:t>
      </w:r>
      <w:r>
        <w:rPr>
          <w:bCs/>
        </w:rPr>
        <w:t xml:space="preserve">ased on the Research Literature’, </w:t>
      </w:r>
      <w:r w:rsidRPr="008322D3">
        <w:rPr>
          <w:b/>
          <w:bCs/>
        </w:rPr>
        <w:t>T</w:t>
      </w:r>
      <w:r w:rsidRPr="00EF0FAF">
        <w:rPr>
          <w:b/>
          <w:bCs/>
          <w:iCs/>
        </w:rPr>
        <w:t>he Rehabilitation Professional</w:t>
      </w:r>
      <w:r>
        <w:rPr>
          <w:bCs/>
          <w:iCs/>
        </w:rPr>
        <w:t>,</w:t>
      </w:r>
      <w:r>
        <w:rPr>
          <w:b/>
          <w:bCs/>
          <w:iCs/>
        </w:rPr>
        <w:t xml:space="preserve"> </w:t>
      </w:r>
      <w:r w:rsidRPr="008322D3">
        <w:rPr>
          <w:bCs/>
          <w:iCs/>
        </w:rPr>
        <w:t>16(4), 221-232.</w:t>
      </w:r>
    </w:p>
  </w:footnote>
  <w:footnote w:id="209">
    <w:p w14:paraId="4A2377D5" w14:textId="27A405EC" w:rsidR="009707C2" w:rsidRDefault="009707C2">
      <w:pPr>
        <w:pStyle w:val="FootnoteText"/>
      </w:pPr>
      <w:r>
        <w:rPr>
          <w:rStyle w:val="FootnoteReference"/>
        </w:rPr>
        <w:footnoteRef/>
      </w:r>
      <w:r>
        <w:t xml:space="preserve"> </w:t>
      </w:r>
      <w:r w:rsidRPr="00F527C0">
        <w:t>Raymond,</w:t>
      </w:r>
      <w:r>
        <w:t xml:space="preserve"> M.,</w:t>
      </w:r>
      <w:r w:rsidRPr="00F527C0">
        <w:t xml:space="preserve"> </w:t>
      </w:r>
      <w:r>
        <w:t>Olsen</w:t>
      </w:r>
      <w:r w:rsidRPr="00F527C0">
        <w:t>,</w:t>
      </w:r>
      <w:r>
        <w:t xml:space="preserve"> J.,</w:t>
      </w:r>
      <w:r w:rsidRPr="00F527C0">
        <w:t xml:space="preserve"> Ainsworth,</w:t>
      </w:r>
      <w:r>
        <w:t xml:space="preserve"> S.,</w:t>
      </w:r>
      <w:r w:rsidRPr="00F527C0">
        <w:t xml:space="preserve"> Lotia,</w:t>
      </w:r>
      <w:r>
        <w:t xml:space="preserve"> N.,</w:t>
      </w:r>
      <w:r w:rsidRPr="00F527C0">
        <w:t xml:space="preserve"> Harbridge</w:t>
      </w:r>
      <w:r>
        <w:t>, R.</w:t>
      </w:r>
      <w:r w:rsidRPr="00F527C0">
        <w:t xml:space="preserve"> </w:t>
      </w:r>
      <w:r>
        <w:t>&amp;</w:t>
      </w:r>
      <w:r w:rsidRPr="00F527C0">
        <w:t xml:space="preserve"> Holland,</w:t>
      </w:r>
      <w:r>
        <w:t xml:space="preserve"> A. (2019)</w:t>
      </w:r>
      <w:r w:rsidRPr="00F527C0">
        <w:t xml:space="preserve"> </w:t>
      </w:r>
      <w:r w:rsidRPr="00F527C0">
        <w:rPr>
          <w:b/>
          <w:bCs/>
        </w:rPr>
        <w:t xml:space="preserve">Improving Access and Inclusion in Employment for People with Disabilities </w:t>
      </w:r>
      <w:r w:rsidRPr="00F527C0">
        <w:rPr>
          <w:b/>
        </w:rPr>
        <w:t xml:space="preserve">- Implementation of Workplace Adjustments in ‘Best-Practice’ Organisations, </w:t>
      </w:r>
      <w:r w:rsidRPr="00F02FDF">
        <w:t>Melbourne: University of Melbourne,</w:t>
      </w:r>
      <w:r>
        <w:rPr>
          <w:b/>
        </w:rPr>
        <w:t xml:space="preserve"> </w:t>
      </w:r>
      <w:r>
        <w:t>p.12</w:t>
      </w:r>
      <w:r w:rsidRPr="00F527C0">
        <w:t>.</w:t>
      </w:r>
    </w:p>
  </w:footnote>
  <w:footnote w:id="210">
    <w:p w14:paraId="4DB9035D" w14:textId="7A9D3637" w:rsidR="009707C2" w:rsidRDefault="009707C2" w:rsidP="00F527C0">
      <w:pPr>
        <w:pStyle w:val="FootnoteText"/>
      </w:pPr>
      <w:r>
        <w:rPr>
          <w:rStyle w:val="FootnoteReference"/>
        </w:rPr>
        <w:footnoteRef/>
      </w:r>
      <w:r>
        <w:t xml:space="preserve"> </w:t>
      </w:r>
      <w:r w:rsidRPr="00F527C0">
        <w:t>Raymond,</w:t>
      </w:r>
      <w:r>
        <w:t xml:space="preserve"> M.,</w:t>
      </w:r>
      <w:r w:rsidRPr="00F527C0">
        <w:t xml:space="preserve"> </w:t>
      </w:r>
      <w:r>
        <w:t>Olsen</w:t>
      </w:r>
      <w:r w:rsidRPr="00F527C0">
        <w:t>,</w:t>
      </w:r>
      <w:r>
        <w:t xml:space="preserve"> J.,</w:t>
      </w:r>
      <w:r w:rsidRPr="00F527C0">
        <w:t xml:space="preserve"> Ainsworth,</w:t>
      </w:r>
      <w:r>
        <w:t xml:space="preserve"> S.,</w:t>
      </w:r>
      <w:r w:rsidRPr="00F527C0">
        <w:t xml:space="preserve"> Lotia,</w:t>
      </w:r>
      <w:r>
        <w:t xml:space="preserve"> N.,</w:t>
      </w:r>
      <w:r w:rsidRPr="00F527C0">
        <w:t xml:space="preserve"> Harbridge</w:t>
      </w:r>
      <w:r>
        <w:t>, R.</w:t>
      </w:r>
      <w:r w:rsidRPr="00F527C0">
        <w:t xml:space="preserve"> </w:t>
      </w:r>
      <w:r>
        <w:t>&amp;</w:t>
      </w:r>
      <w:r w:rsidRPr="00F527C0">
        <w:t xml:space="preserve"> Holland,</w:t>
      </w:r>
      <w:r>
        <w:t xml:space="preserve"> A. (2019)</w:t>
      </w:r>
      <w:r w:rsidRPr="00F527C0">
        <w:t xml:space="preserve"> </w:t>
      </w:r>
      <w:r w:rsidRPr="00F527C0">
        <w:rPr>
          <w:b/>
          <w:bCs/>
        </w:rPr>
        <w:t xml:space="preserve">Improving Access and Inclusion in Employment for People with Disabilities </w:t>
      </w:r>
      <w:r w:rsidRPr="00F527C0">
        <w:rPr>
          <w:b/>
        </w:rPr>
        <w:t xml:space="preserve">- Implementation of Workplace Adjustments in ‘Best-Practice’ Organisations, </w:t>
      </w:r>
      <w:r w:rsidRPr="00F02FDF">
        <w:t>Melbourne: University of Melbourne,</w:t>
      </w:r>
      <w:r>
        <w:rPr>
          <w:b/>
        </w:rPr>
        <w:t xml:space="preserve"> </w:t>
      </w:r>
      <w:r>
        <w:t>p.12</w:t>
      </w:r>
      <w:r w:rsidRPr="00F527C0">
        <w:t>.</w:t>
      </w:r>
    </w:p>
  </w:footnote>
  <w:footnote w:id="211">
    <w:p w14:paraId="4DC2F095" w14:textId="77777777" w:rsidR="009707C2" w:rsidRDefault="009707C2" w:rsidP="0079057E">
      <w:pPr>
        <w:pStyle w:val="FootnoteText"/>
      </w:pPr>
      <w:r>
        <w:rPr>
          <w:rStyle w:val="FootnoteReference"/>
        </w:rPr>
        <w:footnoteRef/>
      </w:r>
      <w:r>
        <w:t xml:space="preserve"> </w:t>
      </w:r>
      <w:r w:rsidRPr="004974AB">
        <w:t xml:space="preserve">RSM PACEC &amp; National Disability Authority (2018) </w:t>
      </w:r>
      <w:r w:rsidRPr="0053132E">
        <w:rPr>
          <w:b/>
        </w:rPr>
        <w:t xml:space="preserve">Research on good practice in the employment of people with disabilities in the public sector, </w:t>
      </w:r>
      <w:r w:rsidRPr="004974AB">
        <w:t>Dublin: RSM PACEC &amp; NDA</w:t>
      </w:r>
      <w:r>
        <w:t>, p.43.</w:t>
      </w:r>
    </w:p>
  </w:footnote>
  <w:footnote w:id="212">
    <w:p w14:paraId="4A947040" w14:textId="7B1252BE" w:rsidR="009707C2" w:rsidRPr="00CF1231" w:rsidRDefault="009707C2">
      <w:pPr>
        <w:pStyle w:val="FootnoteText"/>
        <w:rPr>
          <w:bCs/>
          <w:lang w:val="en-GB"/>
        </w:rPr>
      </w:pPr>
      <w:r>
        <w:rPr>
          <w:rStyle w:val="FootnoteReference"/>
        </w:rPr>
        <w:footnoteRef/>
      </w:r>
      <w:r>
        <w:t xml:space="preserve"> UK </w:t>
      </w:r>
      <w:r w:rsidRPr="00CF1231">
        <w:rPr>
          <w:bCs/>
        </w:rPr>
        <w:t>Civil Service Human Resources (2018)</w:t>
      </w:r>
      <w:r>
        <w:rPr>
          <w:b/>
          <w:bCs/>
        </w:rPr>
        <w:t xml:space="preserve"> </w:t>
      </w:r>
      <w:r>
        <w:rPr>
          <w:b/>
          <w:bCs/>
          <w:lang w:val="en-GB"/>
        </w:rPr>
        <w:t xml:space="preserve">Workplace Adjustments </w:t>
      </w:r>
      <w:r w:rsidRPr="00CF1231">
        <w:rPr>
          <w:b/>
          <w:bCs/>
          <w:lang w:val="en-GB"/>
        </w:rPr>
        <w:t>Line Manager’s Best Practice Guide</w:t>
      </w:r>
      <w:r>
        <w:rPr>
          <w:b/>
          <w:bCs/>
          <w:lang w:val="en-GB"/>
        </w:rPr>
        <w:t xml:space="preserve">, </w:t>
      </w:r>
      <w:r>
        <w:rPr>
          <w:bCs/>
          <w:lang w:val="en-GB"/>
        </w:rPr>
        <w:t>p.12.</w:t>
      </w:r>
    </w:p>
  </w:footnote>
  <w:footnote w:id="213">
    <w:p w14:paraId="3BA32536" w14:textId="77777777" w:rsidR="009707C2" w:rsidRDefault="009707C2">
      <w:pPr>
        <w:pStyle w:val="FootnoteText"/>
      </w:pPr>
      <w:r>
        <w:rPr>
          <w:rStyle w:val="FootnoteReference"/>
        </w:rPr>
        <w:footnoteRef/>
      </w:r>
      <w:r>
        <w:t xml:space="preserve"> International Labour Organisation (2016) </w:t>
      </w:r>
      <w:r w:rsidRPr="0053132E">
        <w:rPr>
          <w:b/>
        </w:rPr>
        <w:t>Promoting Diversity and Inclusion Through Workplace Adjustments: A Practical Guide</w:t>
      </w:r>
      <w:r>
        <w:t>, Geneva: ILO, p.70.</w:t>
      </w:r>
    </w:p>
  </w:footnote>
  <w:footnote w:id="214">
    <w:p w14:paraId="7CD759E9" w14:textId="6E562D7B" w:rsidR="009707C2" w:rsidRDefault="009707C2">
      <w:pPr>
        <w:pStyle w:val="FootnoteText"/>
      </w:pPr>
      <w:r>
        <w:rPr>
          <w:rStyle w:val="FootnoteReference"/>
        </w:rPr>
        <w:footnoteRef/>
      </w:r>
      <w:r>
        <w:t xml:space="preserve"> See for instance </w:t>
      </w:r>
      <w:r w:rsidRPr="00285487">
        <w:t xml:space="preserve">UN Committee on the Rights of Persons with </w:t>
      </w:r>
      <w:r>
        <w:t>Disabilities (2017</w:t>
      </w:r>
      <w:r w:rsidRPr="00285487">
        <w:t xml:space="preserve">) </w:t>
      </w:r>
      <w:r w:rsidRPr="00285487">
        <w:rPr>
          <w:b/>
        </w:rPr>
        <w:t>Concluding observations on the initial report of</w:t>
      </w:r>
      <w:r>
        <w:rPr>
          <w:b/>
        </w:rPr>
        <w:t xml:space="preserve"> Luxembourg</w:t>
      </w:r>
      <w:r w:rsidRPr="00285487">
        <w:t>, Geneva: Office of the United Nations High Commissioner for Human Rights, p</w:t>
      </w:r>
      <w:r>
        <w:t>p</w:t>
      </w:r>
      <w:r w:rsidRPr="00285487">
        <w:t>.</w:t>
      </w:r>
      <w:r>
        <w:t>9-10.</w:t>
      </w:r>
    </w:p>
  </w:footnote>
  <w:footnote w:id="215">
    <w:p w14:paraId="6CA142EB" w14:textId="77777777" w:rsidR="009707C2" w:rsidRDefault="009707C2" w:rsidP="00EC1F09">
      <w:pPr>
        <w:pStyle w:val="FootnoteText"/>
      </w:pPr>
      <w:r>
        <w:rPr>
          <w:rStyle w:val="FootnoteReference"/>
        </w:rPr>
        <w:footnoteRef/>
      </w:r>
      <w:r>
        <w:t xml:space="preserve"> </w:t>
      </w:r>
      <w:r w:rsidRPr="00A202A9">
        <w:t>Austrian Institute for SME Researc</w:t>
      </w:r>
      <w:r>
        <w:t xml:space="preserve">h (2008) </w:t>
      </w:r>
      <w:r w:rsidRPr="003B3254">
        <w:rPr>
          <w:b/>
        </w:rPr>
        <w:t>Practices of providing reasonable accommodation for persons with disabilities in the workplace</w:t>
      </w:r>
      <w:r>
        <w:t xml:space="preserve">, </w:t>
      </w:r>
      <w:r w:rsidRPr="003B3254">
        <w:t>Austrian Institute for SME Research</w:t>
      </w:r>
      <w:r>
        <w:t>: Vienna.</w:t>
      </w:r>
    </w:p>
  </w:footnote>
  <w:footnote w:id="216">
    <w:p w14:paraId="01911435" w14:textId="2F424E55" w:rsidR="009707C2" w:rsidRDefault="009707C2">
      <w:pPr>
        <w:pStyle w:val="FootnoteText"/>
      </w:pPr>
      <w:r>
        <w:rPr>
          <w:rStyle w:val="FootnoteReference"/>
        </w:rPr>
        <w:footnoteRef/>
      </w:r>
      <w:r>
        <w:t xml:space="preserve"> Equality Authority (2011) </w:t>
      </w:r>
      <w:r>
        <w:rPr>
          <w:b/>
          <w:bCs/>
        </w:rPr>
        <w:t xml:space="preserve">Equality and mental health: what the law means for your </w:t>
      </w:r>
      <w:r w:rsidRPr="00257FA7">
        <w:rPr>
          <w:b/>
          <w:bCs/>
        </w:rPr>
        <w:t>workplace</w:t>
      </w:r>
      <w:r>
        <w:rPr>
          <w:b/>
          <w:bCs/>
        </w:rPr>
        <w:t xml:space="preserve">, </w:t>
      </w:r>
      <w:r>
        <w:rPr>
          <w:bCs/>
        </w:rPr>
        <w:t>Roscrea: Equality Authority, p.3.</w:t>
      </w:r>
    </w:p>
  </w:footnote>
  <w:footnote w:id="217">
    <w:p w14:paraId="35C0D8D9" w14:textId="4F2FCFA2" w:rsidR="009707C2" w:rsidRDefault="009707C2">
      <w:pPr>
        <w:pStyle w:val="FootnoteText"/>
      </w:pPr>
      <w:r>
        <w:rPr>
          <w:rStyle w:val="FootnoteReference"/>
        </w:rPr>
        <w:footnoteRef/>
      </w:r>
      <w:r>
        <w:t xml:space="preserve"> National Disability Authority (2015) </w:t>
      </w:r>
      <w:r w:rsidRPr="00B76929">
        <w:rPr>
          <w:b/>
        </w:rPr>
        <w:t>Retaining employees who acquire a disability: A guide for employers</w:t>
      </w:r>
      <w:r>
        <w:t>, Dublin: NDA, p.11.</w:t>
      </w:r>
    </w:p>
  </w:footnote>
  <w:footnote w:id="218">
    <w:p w14:paraId="5D7DA9F1" w14:textId="7F98B38E" w:rsidR="009707C2" w:rsidRDefault="009707C2">
      <w:pPr>
        <w:pStyle w:val="FootnoteText"/>
      </w:pPr>
      <w:r>
        <w:rPr>
          <w:rStyle w:val="FootnoteReference"/>
        </w:rPr>
        <w:footnoteRef/>
      </w:r>
      <w:r>
        <w:t xml:space="preserve"> </w:t>
      </w:r>
      <w:r w:rsidRPr="00264EA5">
        <w:t xml:space="preserve">The following </w:t>
      </w:r>
      <w:r>
        <w:t>good practice</w:t>
      </w:r>
      <w:r w:rsidRPr="00264EA5">
        <w:t xml:space="preserve"> is drawn from </w:t>
      </w:r>
      <w:r>
        <w:t>the review of Workplace Relations Commission and Labour Court decisions relating to reasonable accommodation</w:t>
      </w:r>
      <w:r w:rsidRPr="00264EA5">
        <w:t xml:space="preserve">, </w:t>
      </w:r>
      <w:r>
        <w:t xml:space="preserve">from international and domestic literature </w:t>
      </w:r>
      <w:r w:rsidRPr="00264EA5">
        <w:t>relevant to reasonable accommodation</w:t>
      </w:r>
      <w:r>
        <w:t xml:space="preserve"> and from consultation with various stakeholders. </w:t>
      </w:r>
      <w:r w:rsidRPr="00264EA5">
        <w:t>It does not constitute legal advice and should not be taken to be a comp</w:t>
      </w:r>
      <w:r>
        <w:t>rehensive statement of the law.</w:t>
      </w:r>
    </w:p>
  </w:footnote>
  <w:footnote w:id="219">
    <w:p w14:paraId="424BBB06" w14:textId="7D3243D5" w:rsidR="009707C2" w:rsidRDefault="009707C2">
      <w:pPr>
        <w:pStyle w:val="FootnoteText"/>
      </w:pPr>
      <w:r>
        <w:rPr>
          <w:rStyle w:val="FootnoteReference"/>
        </w:rPr>
        <w:footnoteRef/>
      </w:r>
      <w:r>
        <w:t xml:space="preserve"> See Section 4.2.1 for further discussion.</w:t>
      </w:r>
    </w:p>
  </w:footnote>
  <w:footnote w:id="220">
    <w:p w14:paraId="6E52B157" w14:textId="6B55AF74" w:rsidR="009707C2" w:rsidRDefault="009707C2">
      <w:pPr>
        <w:pStyle w:val="FootnoteText"/>
      </w:pPr>
      <w:r>
        <w:rPr>
          <w:rStyle w:val="FootnoteReference"/>
        </w:rPr>
        <w:footnoteRef/>
      </w:r>
      <w:r>
        <w:t xml:space="preserve"> </w:t>
      </w:r>
      <w:r w:rsidRPr="00B76929">
        <w:rPr>
          <w:bCs/>
        </w:rPr>
        <w:t>Irish Business</w:t>
      </w:r>
      <w:r w:rsidRPr="00B76929">
        <w:t> and </w:t>
      </w:r>
      <w:r w:rsidRPr="00B76929">
        <w:rPr>
          <w:bCs/>
        </w:rPr>
        <w:t>Employers Confederation</w:t>
      </w:r>
      <w:r>
        <w:t xml:space="preserve"> (2012) </w:t>
      </w:r>
      <w:r w:rsidRPr="00380074">
        <w:rPr>
          <w:b/>
        </w:rPr>
        <w:t>Mental health and wellbeing: A Line Manager’s Guide</w:t>
      </w:r>
      <w:r>
        <w:t>, Dublin: Ibec, p.15.</w:t>
      </w:r>
    </w:p>
  </w:footnote>
  <w:footnote w:id="221">
    <w:p w14:paraId="756A407A" w14:textId="77777777" w:rsidR="009707C2" w:rsidRDefault="009707C2">
      <w:pPr>
        <w:pStyle w:val="FootnoteText"/>
      </w:pPr>
      <w:r>
        <w:rPr>
          <w:rStyle w:val="FootnoteReference"/>
        </w:rPr>
        <w:footnoteRef/>
      </w:r>
      <w:r>
        <w:t xml:space="preserve"> National Disability Authority (2009) </w:t>
      </w:r>
      <w:r w:rsidRPr="00565535">
        <w:rPr>
          <w:b/>
        </w:rPr>
        <w:t>Disclosing Disability in the Workplace a Review of Literature and Practice in the Irish Public Sector</w:t>
      </w:r>
      <w:r>
        <w:t>, Dublin; NDA, p.64.</w:t>
      </w:r>
    </w:p>
  </w:footnote>
  <w:footnote w:id="222">
    <w:p w14:paraId="5A975EBC" w14:textId="6C90728F" w:rsidR="009707C2" w:rsidRDefault="009707C2">
      <w:pPr>
        <w:pStyle w:val="FootnoteText"/>
      </w:pPr>
      <w:r>
        <w:rPr>
          <w:rStyle w:val="FootnoteReference"/>
        </w:rPr>
        <w:footnoteRef/>
      </w:r>
      <w:r>
        <w:t xml:space="preserve"> Positive action as regards disability is regulated under section 33 of the </w:t>
      </w:r>
      <w:r w:rsidRPr="006E2E21">
        <w:rPr>
          <w:b/>
        </w:rPr>
        <w:t>Employment Equality Acts</w:t>
      </w:r>
      <w:r>
        <w:t>.</w:t>
      </w:r>
    </w:p>
  </w:footnote>
  <w:footnote w:id="223">
    <w:p w14:paraId="08387B7D" w14:textId="424DF209" w:rsidR="009707C2" w:rsidRDefault="009707C2" w:rsidP="00E630E8">
      <w:pPr>
        <w:pStyle w:val="FootnoteText"/>
      </w:pPr>
      <w:r>
        <w:rPr>
          <w:rStyle w:val="FootnoteReference"/>
        </w:rPr>
        <w:footnoteRef/>
      </w:r>
      <w:r>
        <w:t xml:space="preserve"> </w:t>
      </w:r>
      <w:r w:rsidRPr="00B76929">
        <w:rPr>
          <w:bCs/>
        </w:rPr>
        <w:t>Irish Business</w:t>
      </w:r>
      <w:r w:rsidRPr="00B76929">
        <w:t> and </w:t>
      </w:r>
      <w:r w:rsidRPr="00B76929">
        <w:rPr>
          <w:bCs/>
        </w:rPr>
        <w:t>Employers Confederation</w:t>
      </w:r>
      <w:r>
        <w:t xml:space="preserve"> (2012) </w:t>
      </w:r>
      <w:r w:rsidRPr="00380074">
        <w:rPr>
          <w:b/>
        </w:rPr>
        <w:t>Mental health and wellbeing: A Line Manager’s Guide</w:t>
      </w:r>
      <w:r>
        <w:t>, Dublin: Ibec, p.16.</w:t>
      </w:r>
    </w:p>
  </w:footnote>
  <w:footnote w:id="224">
    <w:p w14:paraId="79E624ED" w14:textId="77777777" w:rsidR="009707C2" w:rsidRDefault="009707C2" w:rsidP="00E630E8">
      <w:pPr>
        <w:pStyle w:val="FootnoteText"/>
      </w:pPr>
      <w:r>
        <w:rPr>
          <w:rStyle w:val="FootnoteReference"/>
        </w:rPr>
        <w:footnoteRef/>
      </w:r>
      <w:r>
        <w:t xml:space="preserve"> National Disability Authority (2009) </w:t>
      </w:r>
      <w:r w:rsidRPr="00565535">
        <w:rPr>
          <w:b/>
        </w:rPr>
        <w:t>Disclosing Disability in the Workplace a Review of Literature and Practice in the Irish Public Sector</w:t>
      </w:r>
      <w:r>
        <w:t>, Dublin; NDA, p.64.</w:t>
      </w:r>
    </w:p>
  </w:footnote>
  <w:footnote w:id="225">
    <w:p w14:paraId="0D2392FC" w14:textId="5446A6D1" w:rsidR="009707C2" w:rsidRDefault="009707C2">
      <w:pPr>
        <w:pStyle w:val="FootnoteText"/>
      </w:pPr>
      <w:r>
        <w:rPr>
          <w:rStyle w:val="FootnoteReference"/>
        </w:rPr>
        <w:footnoteRef/>
      </w:r>
      <w:r>
        <w:t xml:space="preserve"> Webster, B. (2014) </w:t>
      </w:r>
      <w:r w:rsidRPr="00076680">
        <w:rPr>
          <w:b/>
        </w:rPr>
        <w:t>A </w:t>
      </w:r>
      <w:r w:rsidRPr="00076680">
        <w:rPr>
          <w:b/>
          <w:bCs/>
        </w:rPr>
        <w:t>Mental Health Policy Document</w:t>
      </w:r>
      <w:r w:rsidRPr="00076680">
        <w:rPr>
          <w:b/>
        </w:rPr>
        <w:t> for the </w:t>
      </w:r>
      <w:r w:rsidRPr="00076680">
        <w:rPr>
          <w:b/>
          <w:bCs/>
        </w:rPr>
        <w:t>Workplace</w:t>
      </w:r>
      <w:r>
        <w:rPr>
          <w:b/>
          <w:bCs/>
        </w:rPr>
        <w:t xml:space="preserve">, </w:t>
      </w:r>
      <w:r>
        <w:rPr>
          <w:bCs/>
        </w:rPr>
        <w:t>Dublin: See Change, p.15.</w:t>
      </w:r>
    </w:p>
  </w:footnote>
  <w:footnote w:id="226">
    <w:p w14:paraId="28CA7CD4" w14:textId="6AB4D0DE" w:rsidR="009707C2" w:rsidRDefault="009707C2">
      <w:pPr>
        <w:pStyle w:val="FootnoteText"/>
      </w:pPr>
      <w:r>
        <w:rPr>
          <w:rStyle w:val="FootnoteReference"/>
        </w:rPr>
        <w:footnoteRef/>
      </w:r>
      <w:r>
        <w:t xml:space="preserve"> National Disability Authority (2009) </w:t>
      </w:r>
      <w:r w:rsidRPr="00565535">
        <w:rPr>
          <w:b/>
        </w:rPr>
        <w:t>Disclosing Disability in the Workplace a Review of Literature and Practice in the Irish Public Sector</w:t>
      </w:r>
      <w:r>
        <w:t>, Dublin: NDA, p.75.</w:t>
      </w:r>
    </w:p>
  </w:footnote>
  <w:footnote w:id="227">
    <w:p w14:paraId="7B239C17" w14:textId="77777777" w:rsidR="009707C2" w:rsidRDefault="009707C2">
      <w:pPr>
        <w:pStyle w:val="FootnoteText"/>
      </w:pPr>
      <w:r>
        <w:rPr>
          <w:rStyle w:val="FootnoteReference"/>
        </w:rPr>
        <w:footnoteRef/>
      </w:r>
      <w:r>
        <w:t xml:space="preserve"> </w:t>
      </w:r>
      <w:r w:rsidRPr="00EF0194">
        <w:t xml:space="preserve">RSM PACEC &amp; National Disability Authority (2018) </w:t>
      </w:r>
      <w:r w:rsidRPr="0053132E">
        <w:rPr>
          <w:b/>
        </w:rPr>
        <w:t>Research on good practice in the employment of people with disabilities in the public sector</w:t>
      </w:r>
      <w:r w:rsidRPr="00EF0194">
        <w:t>, Dublin: RSM PACEC &amp; NDA</w:t>
      </w:r>
      <w:r>
        <w:t>, p.6.</w:t>
      </w:r>
    </w:p>
  </w:footnote>
  <w:footnote w:id="228">
    <w:p w14:paraId="20281EB6" w14:textId="77777777" w:rsidR="009707C2" w:rsidRPr="00A76448" w:rsidRDefault="009707C2">
      <w:pPr>
        <w:pStyle w:val="FootnoteText"/>
      </w:pPr>
      <w:r>
        <w:rPr>
          <w:rStyle w:val="FootnoteReference"/>
        </w:rPr>
        <w:footnoteRef/>
      </w:r>
      <w:r>
        <w:t xml:space="preserve"> National Disability Authority (2018) </w:t>
      </w:r>
      <w:r w:rsidRPr="00A76448">
        <w:rPr>
          <w:b/>
        </w:rPr>
        <w:t>Report on Compliance with Part 5 of the Disability Act 2005 for 2017</w:t>
      </w:r>
      <w:r w:rsidRPr="00A76448">
        <w:t xml:space="preserve">, </w:t>
      </w:r>
      <w:r>
        <w:t>Dublin: NDA, p.4.</w:t>
      </w:r>
    </w:p>
  </w:footnote>
  <w:footnote w:id="229">
    <w:p w14:paraId="3E2EE570" w14:textId="77777777" w:rsidR="009707C2" w:rsidRDefault="009707C2">
      <w:pPr>
        <w:pStyle w:val="FootnoteText"/>
      </w:pPr>
      <w:r>
        <w:rPr>
          <w:rStyle w:val="FootnoteReference"/>
        </w:rPr>
        <w:footnoteRef/>
      </w:r>
      <w:r>
        <w:t xml:space="preserve"> National Disability Authority (2018) </w:t>
      </w:r>
      <w:r w:rsidRPr="00A76448">
        <w:rPr>
          <w:b/>
        </w:rPr>
        <w:t>Report on Compliance with Part 5 of the Disability Act 2005 for 2017</w:t>
      </w:r>
      <w:r w:rsidRPr="00A76448">
        <w:t xml:space="preserve">, </w:t>
      </w:r>
      <w:r>
        <w:t>Dublin: NDA, p.4.</w:t>
      </w:r>
    </w:p>
  </w:footnote>
  <w:footnote w:id="230">
    <w:p w14:paraId="2824D1CE" w14:textId="24A0B8F5" w:rsidR="009707C2" w:rsidRDefault="009707C2" w:rsidP="00321CDE">
      <w:pPr>
        <w:pStyle w:val="FootnoteText"/>
      </w:pPr>
      <w:r>
        <w:rPr>
          <w:rStyle w:val="FootnoteReference"/>
        </w:rPr>
        <w:footnoteRef/>
      </w:r>
      <w:r>
        <w:t xml:space="preserve"> </w:t>
      </w:r>
      <w:r w:rsidRPr="00B76929">
        <w:rPr>
          <w:bCs/>
        </w:rPr>
        <w:t>Irish Business</w:t>
      </w:r>
      <w:r w:rsidRPr="00B76929">
        <w:t> and </w:t>
      </w:r>
      <w:r w:rsidRPr="00B76929">
        <w:rPr>
          <w:bCs/>
        </w:rPr>
        <w:t>Employers Confederation</w:t>
      </w:r>
      <w:r>
        <w:t xml:space="preserve"> (2012) </w:t>
      </w:r>
      <w:r w:rsidRPr="00380074">
        <w:rPr>
          <w:b/>
        </w:rPr>
        <w:t>Mental health and wellbeing: A Line Manager’s Guide</w:t>
      </w:r>
      <w:r>
        <w:t>, Dublin: Ibec, p.16.</w:t>
      </w:r>
    </w:p>
  </w:footnote>
  <w:footnote w:id="231">
    <w:p w14:paraId="279196B1" w14:textId="2DD23EF6" w:rsidR="009707C2" w:rsidRDefault="009707C2">
      <w:pPr>
        <w:pStyle w:val="FootnoteText"/>
      </w:pPr>
      <w:r>
        <w:rPr>
          <w:rStyle w:val="FootnoteReference"/>
        </w:rPr>
        <w:footnoteRef/>
      </w:r>
      <w:r>
        <w:t xml:space="preserve"> National Disability Authority (2009) </w:t>
      </w:r>
      <w:r w:rsidRPr="00565535">
        <w:rPr>
          <w:b/>
        </w:rPr>
        <w:t>Disclosing Disability in the Workplace a Review of Literature and Practice in the Irish Public Sector</w:t>
      </w:r>
      <w:r>
        <w:t>, Dublin: NDA, p.72.</w:t>
      </w:r>
    </w:p>
  </w:footnote>
  <w:footnote w:id="232">
    <w:p w14:paraId="174EC963" w14:textId="77777777" w:rsidR="009707C2" w:rsidRDefault="009707C2">
      <w:pPr>
        <w:pStyle w:val="FootnoteText"/>
      </w:pPr>
      <w:r>
        <w:rPr>
          <w:rStyle w:val="FootnoteReference"/>
        </w:rPr>
        <w:footnoteRef/>
      </w:r>
      <w:r>
        <w:t xml:space="preserve"> </w:t>
      </w:r>
      <w:r w:rsidRPr="004974AB">
        <w:t xml:space="preserve">UK Cabinet Office (2017) </w:t>
      </w:r>
      <w:r w:rsidRPr="0053132E">
        <w:rPr>
          <w:b/>
          <w:bCs/>
        </w:rPr>
        <w:t xml:space="preserve">A Brilliant Civil Service: </w:t>
      </w:r>
      <w:r w:rsidRPr="0053132E">
        <w:rPr>
          <w:b/>
        </w:rPr>
        <w:t>becoming t</w:t>
      </w:r>
      <w:r>
        <w:rPr>
          <w:b/>
        </w:rPr>
        <w:t xml:space="preserve">he UK’s most inclusive employer, </w:t>
      </w:r>
      <w:r w:rsidRPr="0053132E">
        <w:rPr>
          <w:b/>
        </w:rPr>
        <w:t>The Civil Service Diversity and Inclusion Strategy,</w:t>
      </w:r>
      <w:r w:rsidRPr="004974AB">
        <w:rPr>
          <w:i/>
        </w:rPr>
        <w:t xml:space="preserve"> </w:t>
      </w:r>
      <w:r>
        <w:t>London: UK Cabinet Office, p.31.</w:t>
      </w:r>
    </w:p>
  </w:footnote>
  <w:footnote w:id="233">
    <w:p w14:paraId="4490A093" w14:textId="71B1B3DB" w:rsidR="009707C2" w:rsidRPr="000E56FF" w:rsidRDefault="009707C2">
      <w:pPr>
        <w:pStyle w:val="FootnoteText"/>
        <w:rPr>
          <w:bCs/>
        </w:rPr>
      </w:pPr>
      <w:r>
        <w:rPr>
          <w:rStyle w:val="FootnoteReference"/>
        </w:rPr>
        <w:footnoteRef/>
      </w:r>
      <w:r>
        <w:t xml:space="preserve"> Health Service Executive, ‘</w:t>
      </w:r>
      <w:r w:rsidRPr="000E56FF">
        <w:rPr>
          <w:b/>
          <w:bCs/>
        </w:rPr>
        <w:t>HSE announces project pa</w:t>
      </w:r>
      <w:r>
        <w:rPr>
          <w:b/>
          <w:bCs/>
        </w:rPr>
        <w:t>r</w:t>
      </w:r>
      <w:r w:rsidRPr="000E56FF">
        <w:rPr>
          <w:b/>
          <w:bCs/>
        </w:rPr>
        <w:t>tnership with Mental Health First Aid Ireland</w:t>
      </w:r>
      <w:r>
        <w:rPr>
          <w:b/>
          <w:bCs/>
        </w:rPr>
        <w:t xml:space="preserve">’ </w:t>
      </w:r>
      <w:r>
        <w:t>[press release]</w:t>
      </w:r>
      <w:r w:rsidRPr="00A65D3C">
        <w:rPr>
          <w:bCs/>
        </w:rPr>
        <w:t>,</w:t>
      </w:r>
      <w:r>
        <w:rPr>
          <w:b/>
          <w:bCs/>
        </w:rPr>
        <w:t xml:space="preserve"> </w:t>
      </w:r>
      <w:r>
        <w:rPr>
          <w:bCs/>
        </w:rPr>
        <w:t>available on the HSE website &lt;</w:t>
      </w:r>
      <w:hyperlink r:id="rId33" w:history="1">
        <w:r w:rsidRPr="000E56FF">
          <w:rPr>
            <w:rStyle w:val="Hyperlink"/>
            <w:bCs/>
          </w:rPr>
          <w:t>https://www.hse.ie/eng/services/news/media/pressrel/hse-announces-project-patnership-with-mental-health-first-aid-ireland.html</w:t>
        </w:r>
      </w:hyperlink>
      <w:r>
        <w:rPr>
          <w:bCs/>
        </w:rPr>
        <w:t xml:space="preserve">&gt;. </w:t>
      </w:r>
    </w:p>
  </w:footnote>
  <w:footnote w:id="234">
    <w:p w14:paraId="5AD64982" w14:textId="6C6A7C28" w:rsidR="009707C2" w:rsidRDefault="009707C2">
      <w:pPr>
        <w:pStyle w:val="FootnoteText"/>
      </w:pPr>
      <w:r>
        <w:rPr>
          <w:rStyle w:val="FootnoteReference"/>
        </w:rPr>
        <w:footnoteRef/>
      </w:r>
      <w:r>
        <w:t xml:space="preserve"> More information on See Change’s “</w:t>
      </w:r>
      <w:r w:rsidRPr="00A65D3C">
        <w:rPr>
          <w:b/>
        </w:rPr>
        <w:t>Green Ribbon Campaign</w:t>
      </w:r>
      <w:r>
        <w:t>” is available on their website &lt;</w:t>
      </w:r>
      <w:hyperlink r:id="rId34" w:history="1">
        <w:r w:rsidRPr="00A65D3C">
          <w:rPr>
            <w:rStyle w:val="Hyperlink"/>
          </w:rPr>
          <w:t>https://seechange.ie/green-ribbon/</w:t>
        </w:r>
      </w:hyperlink>
      <w:r>
        <w:t>&gt;.</w:t>
      </w:r>
    </w:p>
  </w:footnote>
  <w:footnote w:id="235">
    <w:p w14:paraId="3C6E4D4E" w14:textId="48141AB9" w:rsidR="009707C2" w:rsidRDefault="009707C2">
      <w:pPr>
        <w:pStyle w:val="FootnoteText"/>
      </w:pPr>
      <w:r>
        <w:rPr>
          <w:rStyle w:val="FootnoteReference"/>
        </w:rPr>
        <w:footnoteRef/>
      </w:r>
      <w:r>
        <w:t xml:space="preserve"> Equality Commission for Northern Ireland (2019) </w:t>
      </w:r>
      <w:r>
        <w:rPr>
          <w:b/>
        </w:rPr>
        <w:t>Mental Health Charter</w:t>
      </w:r>
      <w:r w:rsidRPr="00A65D3C">
        <w:t xml:space="preserve">, </w:t>
      </w:r>
      <w:r>
        <w:t>available on the Equality Commission for Northern Ireland website &lt;</w:t>
      </w:r>
      <w:hyperlink r:id="rId35" w:history="1">
        <w:r w:rsidRPr="00054E5A">
          <w:rPr>
            <w:rStyle w:val="Hyperlink"/>
          </w:rPr>
          <w:t>https://www.equalityni.org/ECNI/media/ECNI/Publications/Employers%20and%20Service%20Providers/MentalHealthCharter.pdf</w:t>
        </w:r>
      </w:hyperlink>
      <w:r>
        <w:t xml:space="preserve"> &gt;. </w:t>
      </w:r>
    </w:p>
  </w:footnote>
  <w:footnote w:id="236">
    <w:p w14:paraId="64436995" w14:textId="0842EB6D" w:rsidR="009707C2" w:rsidRDefault="009707C2">
      <w:pPr>
        <w:pStyle w:val="FootnoteText"/>
      </w:pPr>
      <w:r>
        <w:rPr>
          <w:rStyle w:val="FootnoteReference"/>
        </w:rPr>
        <w:footnoteRef/>
      </w:r>
      <w:r>
        <w:t xml:space="preserve"> </w:t>
      </w:r>
      <w:r w:rsidRPr="00B76929">
        <w:rPr>
          <w:bCs/>
        </w:rPr>
        <w:t>Irish Business</w:t>
      </w:r>
      <w:r w:rsidRPr="00B76929">
        <w:t> and </w:t>
      </w:r>
      <w:r w:rsidRPr="00B76929">
        <w:rPr>
          <w:bCs/>
        </w:rPr>
        <w:t>Employers Confederation</w:t>
      </w:r>
      <w:r>
        <w:t xml:space="preserve"> (2012) </w:t>
      </w:r>
      <w:r w:rsidRPr="00380074">
        <w:rPr>
          <w:b/>
        </w:rPr>
        <w:t>Mental health and wellbeing: A Line Manager’s Guide</w:t>
      </w:r>
      <w:r>
        <w:t>, Dublin: Ibec, pp.10-13.</w:t>
      </w:r>
    </w:p>
  </w:footnote>
  <w:footnote w:id="237">
    <w:p w14:paraId="5F889782" w14:textId="0626173B" w:rsidR="009707C2" w:rsidRDefault="009707C2">
      <w:pPr>
        <w:pStyle w:val="FootnoteText"/>
      </w:pPr>
      <w:r>
        <w:rPr>
          <w:rStyle w:val="FootnoteReference"/>
        </w:rPr>
        <w:footnoteRef/>
      </w:r>
      <w:r>
        <w:t xml:space="preserve"> </w:t>
      </w:r>
      <w:r w:rsidRPr="00B76929">
        <w:rPr>
          <w:bCs/>
        </w:rPr>
        <w:t>Irish Business</w:t>
      </w:r>
      <w:r w:rsidRPr="00B76929">
        <w:t> and </w:t>
      </w:r>
      <w:r w:rsidRPr="00B76929">
        <w:rPr>
          <w:bCs/>
        </w:rPr>
        <w:t>Employers Confederation</w:t>
      </w:r>
      <w:r w:rsidRPr="00B76929">
        <w:t xml:space="preserve"> (2012) </w:t>
      </w:r>
      <w:r w:rsidRPr="00B76929">
        <w:rPr>
          <w:b/>
        </w:rPr>
        <w:t>Mental health and wellbeing: A Line Manager’s Guide</w:t>
      </w:r>
      <w:r>
        <w:t>, Dublin: Ibec, p.10.</w:t>
      </w:r>
    </w:p>
  </w:footnote>
  <w:footnote w:id="238">
    <w:p w14:paraId="0AD08ACA" w14:textId="74701EDE" w:rsidR="009707C2" w:rsidRDefault="009707C2">
      <w:pPr>
        <w:pStyle w:val="FootnoteText"/>
      </w:pPr>
      <w:r>
        <w:rPr>
          <w:rStyle w:val="FootnoteReference"/>
        </w:rPr>
        <w:footnoteRef/>
      </w:r>
      <w:r>
        <w:t xml:space="preserve"> Equality Commission for Northern Ireland (2019) </w:t>
      </w:r>
      <w:r>
        <w:rPr>
          <w:b/>
        </w:rPr>
        <w:t>Mental Health Charter</w:t>
      </w:r>
      <w:r w:rsidRPr="00A65D3C">
        <w:t xml:space="preserve">, </w:t>
      </w:r>
      <w:r>
        <w:t>available on the Equality Commission for Northern Ireland website &lt;</w:t>
      </w:r>
      <w:hyperlink r:id="rId36" w:history="1">
        <w:r w:rsidRPr="00054E5A">
          <w:rPr>
            <w:rStyle w:val="Hyperlink"/>
          </w:rPr>
          <w:t>https://www.equalityni.org/ECNI/media/ECNI/Publications/Employers%20and%20Service%20Providers/MentalHealthCharter.pdf</w:t>
        </w:r>
      </w:hyperlink>
      <w:r>
        <w:t xml:space="preserve"> &gt;.</w:t>
      </w:r>
    </w:p>
  </w:footnote>
  <w:footnote w:id="239">
    <w:p w14:paraId="0E2CA9F7" w14:textId="0390D94A" w:rsidR="009707C2" w:rsidRDefault="009707C2">
      <w:pPr>
        <w:pStyle w:val="FootnoteText"/>
      </w:pPr>
      <w:r>
        <w:rPr>
          <w:rStyle w:val="FootnoteReference"/>
        </w:rPr>
        <w:footnoteRef/>
      </w:r>
      <w:r>
        <w:t xml:space="preserve"> Equality Commission for Northern Ireland (2019) </w:t>
      </w:r>
      <w:r>
        <w:rPr>
          <w:b/>
        </w:rPr>
        <w:t>Mental Health Charter</w:t>
      </w:r>
      <w:r w:rsidRPr="00A65D3C">
        <w:t xml:space="preserve">, </w:t>
      </w:r>
      <w:r>
        <w:t>available on the Equality Commission for Northern Ireland website &lt;</w:t>
      </w:r>
      <w:hyperlink r:id="rId37" w:history="1">
        <w:r w:rsidRPr="00054E5A">
          <w:rPr>
            <w:rStyle w:val="Hyperlink"/>
          </w:rPr>
          <w:t>https://www.equalityni.org/ECNI/media/ECNI/Publications/Employers%20and%20Service%20Providers/MentalHealthCharter.pdf</w:t>
        </w:r>
      </w:hyperlink>
      <w:r>
        <w:t xml:space="preserve"> &gt;.</w:t>
      </w:r>
    </w:p>
  </w:footnote>
  <w:footnote w:id="240">
    <w:p w14:paraId="7B6CF76C" w14:textId="77777777" w:rsidR="009707C2" w:rsidRDefault="009707C2">
      <w:pPr>
        <w:pStyle w:val="FootnoteText"/>
      </w:pPr>
      <w:r>
        <w:rPr>
          <w:rStyle w:val="FootnoteReference"/>
        </w:rPr>
        <w:footnoteRef/>
      </w:r>
      <w:r>
        <w:t xml:space="preserve"> Equality Commission for Northern Ireland (2018) </w:t>
      </w:r>
      <w:r w:rsidRPr="003F6BDC">
        <w:rPr>
          <w:b/>
          <w:bCs/>
        </w:rPr>
        <w:t>Disability Code of Practice: Employment and Occupation</w:t>
      </w:r>
      <w:r>
        <w:rPr>
          <w:bCs/>
        </w:rPr>
        <w:t>, Belfast: Equality Commission, p.20.</w:t>
      </w:r>
    </w:p>
  </w:footnote>
  <w:footnote w:id="241">
    <w:p w14:paraId="1E5CEA24" w14:textId="77777777" w:rsidR="009707C2" w:rsidRDefault="009707C2">
      <w:pPr>
        <w:pStyle w:val="FootnoteText"/>
      </w:pPr>
      <w:r>
        <w:rPr>
          <w:rStyle w:val="FootnoteReference"/>
        </w:rPr>
        <w:footnoteRef/>
      </w:r>
      <w:r>
        <w:t xml:space="preserve"> Equality and Human Rights Commission (2014) </w:t>
      </w:r>
      <w:r w:rsidRPr="002D5E57">
        <w:rPr>
          <w:b/>
        </w:rPr>
        <w:t>Good equality practice for employers: equality policies, equality training and monitoring</w:t>
      </w:r>
      <w:r>
        <w:t>,</w:t>
      </w:r>
      <w:r w:rsidRPr="002D5E57">
        <w:t xml:space="preserve"> </w:t>
      </w:r>
      <w:r>
        <w:t>London: EHRC, p.33.</w:t>
      </w:r>
    </w:p>
  </w:footnote>
  <w:footnote w:id="242">
    <w:p w14:paraId="14D5E72A" w14:textId="6EF7C82A" w:rsidR="009707C2" w:rsidRPr="00A95A4F" w:rsidRDefault="009707C2">
      <w:pPr>
        <w:pStyle w:val="FootnoteText"/>
        <w:rPr>
          <w:b/>
        </w:rPr>
      </w:pPr>
      <w:r>
        <w:rPr>
          <w:rStyle w:val="FootnoteReference"/>
        </w:rPr>
        <w:footnoteRef/>
      </w:r>
      <w:r>
        <w:t xml:space="preserve"> Alban-Metcalfe, J. (2008) </w:t>
      </w:r>
      <w:r w:rsidRPr="00A95A4F">
        <w:rPr>
          <w:b/>
        </w:rPr>
        <w:t>Effective Leadership and Organisational Culture for the Recruitment and Retention of People with Disabilities in the Irish Public Sector</w:t>
      </w:r>
      <w:r>
        <w:t>, Dublin: NDA, p.79.</w:t>
      </w:r>
    </w:p>
  </w:footnote>
  <w:footnote w:id="243">
    <w:p w14:paraId="46982225" w14:textId="4E831E04" w:rsidR="009707C2" w:rsidRDefault="009707C2">
      <w:pPr>
        <w:pStyle w:val="FootnoteText"/>
      </w:pPr>
      <w:r>
        <w:rPr>
          <w:rStyle w:val="FootnoteReference"/>
        </w:rPr>
        <w:footnoteRef/>
      </w:r>
      <w:r>
        <w:t xml:space="preserve"> More information is available on the website of the </w:t>
      </w:r>
      <w:r w:rsidRPr="00A75A14">
        <w:t>Centre for Excellence in Universal Design at the NDA</w:t>
      </w:r>
      <w:r>
        <w:rPr>
          <w:b/>
        </w:rPr>
        <w:t xml:space="preserve"> </w:t>
      </w:r>
      <w:r w:rsidRPr="00A75A14">
        <w:t>&lt;</w:t>
      </w:r>
      <w:hyperlink r:id="rId38" w:history="1">
        <w:r w:rsidRPr="00A75A14">
          <w:rPr>
            <w:rStyle w:val="Hyperlink"/>
          </w:rPr>
          <w:t>http://universaldesign.ie/</w:t>
        </w:r>
      </w:hyperlink>
      <w:r w:rsidRPr="00A75A14">
        <w:t>&gt;.</w:t>
      </w:r>
    </w:p>
  </w:footnote>
  <w:footnote w:id="244">
    <w:p w14:paraId="3FEED551" w14:textId="0181FC88" w:rsidR="009707C2" w:rsidRDefault="009707C2">
      <w:pPr>
        <w:pStyle w:val="FootnoteText"/>
      </w:pPr>
      <w:r>
        <w:rPr>
          <w:rStyle w:val="FootnoteReference"/>
        </w:rPr>
        <w:footnoteRef/>
      </w:r>
      <w:r>
        <w:t xml:space="preserve"> </w:t>
      </w:r>
      <w:r w:rsidRPr="00264EA5">
        <w:t xml:space="preserve">Barry, E. (2013) </w:t>
      </w:r>
      <w:r w:rsidRPr="00264EA5">
        <w:rPr>
          <w:b/>
        </w:rPr>
        <w:t>Case Law Review on Mental Health in the Workplace</w:t>
      </w:r>
      <w:r>
        <w:t>, Dublin: See Change, p.32</w:t>
      </w:r>
      <w:r w:rsidRPr="00264EA5">
        <w:t>.</w:t>
      </w:r>
    </w:p>
  </w:footnote>
  <w:footnote w:id="245">
    <w:p w14:paraId="6D8F1CF3" w14:textId="3CFAC9AE" w:rsidR="009707C2" w:rsidRDefault="009707C2">
      <w:pPr>
        <w:pStyle w:val="FootnoteText"/>
      </w:pPr>
      <w:r>
        <w:rPr>
          <w:rStyle w:val="FootnoteReference"/>
        </w:rPr>
        <w:footnoteRef/>
      </w:r>
      <w:r>
        <w:t xml:space="preserve"> Job Accommodation Network, </w:t>
      </w:r>
      <w:r w:rsidRPr="00FB7FC0">
        <w:rPr>
          <w:b/>
        </w:rPr>
        <w:t>‘Five Practical Tips for Providing and Maintaining Effective Job Accommodations’</w:t>
      </w:r>
      <w:r>
        <w:t>, available on the Job Accommodation Network website &lt;</w:t>
      </w:r>
      <w:hyperlink r:id="rId39" w:history="1">
        <w:r w:rsidRPr="00A01331">
          <w:rPr>
            <w:rStyle w:val="Hyperlink"/>
          </w:rPr>
          <w:t>https://askjan.org/publications/index.cfm</w:t>
        </w:r>
      </w:hyperlink>
      <w:r>
        <w:t xml:space="preserve">&gt;. </w:t>
      </w:r>
    </w:p>
  </w:footnote>
  <w:footnote w:id="246">
    <w:p w14:paraId="2656871F" w14:textId="51DB32F9" w:rsidR="009707C2" w:rsidRDefault="009707C2">
      <w:pPr>
        <w:pStyle w:val="FootnoteText"/>
      </w:pPr>
      <w:r>
        <w:rPr>
          <w:rStyle w:val="FootnoteReference"/>
        </w:rPr>
        <w:footnoteRef/>
      </w:r>
      <w:r>
        <w:t xml:space="preserve"> Job Accommodation Network, </w:t>
      </w:r>
      <w:r w:rsidRPr="00FB7FC0">
        <w:rPr>
          <w:b/>
        </w:rPr>
        <w:t>‘Five Practical Tips for Providing and Maintaining Effective Job Accommodations’</w:t>
      </w:r>
      <w:r>
        <w:t>, available on the Job Accommodation Network website &lt;</w:t>
      </w:r>
      <w:hyperlink r:id="rId40" w:history="1">
        <w:r w:rsidRPr="00A01331">
          <w:rPr>
            <w:rStyle w:val="Hyperlink"/>
          </w:rPr>
          <w:t>https://askjan.org/publications/index.cfm</w:t>
        </w:r>
      </w:hyperlink>
      <w:r>
        <w:t>&gt;.</w:t>
      </w:r>
    </w:p>
  </w:footnote>
  <w:footnote w:id="247">
    <w:p w14:paraId="608A7904" w14:textId="2A584BD3" w:rsidR="009707C2" w:rsidRDefault="009707C2">
      <w:pPr>
        <w:pStyle w:val="FootnoteText"/>
      </w:pPr>
      <w:r>
        <w:rPr>
          <w:rStyle w:val="FootnoteReference"/>
        </w:rPr>
        <w:footnoteRef/>
      </w:r>
      <w:r>
        <w:t xml:space="preserve"> More information is available on the Equality Commission for Northern Ireland website &lt;</w:t>
      </w:r>
      <w:hyperlink r:id="rId41" w:history="1">
        <w:r w:rsidRPr="00A65D3C">
          <w:rPr>
            <w:rStyle w:val="Hyperlink"/>
          </w:rPr>
          <w:t>https://www.equalityni.org/Employers-Service-Providers</w:t>
        </w:r>
      </w:hyperlink>
      <w:r>
        <w:t xml:space="preserve">&gt;. </w:t>
      </w:r>
    </w:p>
  </w:footnote>
  <w:footnote w:id="248">
    <w:p w14:paraId="3B51769B" w14:textId="27C1F27B" w:rsidR="009707C2" w:rsidRDefault="009707C2" w:rsidP="00A939F9">
      <w:pPr>
        <w:pStyle w:val="FootnoteText"/>
      </w:pPr>
      <w:r>
        <w:rPr>
          <w:rStyle w:val="FootnoteReference"/>
        </w:rPr>
        <w:footnoteRef/>
      </w:r>
      <w:r>
        <w:t xml:space="preserve"> Job Accommodation Network, ‘</w:t>
      </w:r>
      <w:r w:rsidRPr="0040549A">
        <w:rPr>
          <w:b/>
        </w:rPr>
        <w:t>Five Practical Tips for Providing and Maintaining Effective Job Accommodations</w:t>
      </w:r>
      <w:r>
        <w:t>’, available on the Job Accommodation Network website &lt;</w:t>
      </w:r>
      <w:hyperlink r:id="rId42" w:history="1">
        <w:r w:rsidRPr="00A01331">
          <w:rPr>
            <w:rStyle w:val="Hyperlink"/>
          </w:rPr>
          <w:t>https://askjan.org/publications/index.cfm</w:t>
        </w:r>
      </w:hyperlink>
      <w:r>
        <w:t>&gt;.</w:t>
      </w:r>
    </w:p>
  </w:footnote>
  <w:footnote w:id="249">
    <w:p w14:paraId="3F3FDE38" w14:textId="758C37B2" w:rsidR="009707C2" w:rsidRDefault="009707C2">
      <w:pPr>
        <w:pStyle w:val="FootnoteText"/>
      </w:pPr>
      <w:r>
        <w:rPr>
          <w:rStyle w:val="FootnoteReference"/>
        </w:rPr>
        <w:footnoteRef/>
      </w:r>
      <w:r>
        <w:t xml:space="preserve"> Job Accommodation Network, ‘</w:t>
      </w:r>
      <w:r w:rsidRPr="0040549A">
        <w:rPr>
          <w:b/>
        </w:rPr>
        <w:t>Five Practical Tips for Providing and Maintaining Effective Job Accommodations</w:t>
      </w:r>
      <w:r>
        <w:t>’, available on the Job Accommodation Network website &lt;</w:t>
      </w:r>
      <w:hyperlink r:id="rId43" w:history="1">
        <w:r w:rsidRPr="00A01331">
          <w:rPr>
            <w:rStyle w:val="Hyperlink"/>
          </w:rPr>
          <w:t>https://askjan.org/publications/index.cfm</w:t>
        </w:r>
      </w:hyperlink>
      <w:r>
        <w:t>&gt;.</w:t>
      </w:r>
    </w:p>
  </w:footnote>
  <w:footnote w:id="250">
    <w:p w14:paraId="103CCFE1" w14:textId="77777777" w:rsidR="009707C2" w:rsidRDefault="009707C2">
      <w:pPr>
        <w:pStyle w:val="FootnoteText"/>
      </w:pPr>
      <w:r>
        <w:rPr>
          <w:rStyle w:val="FootnoteReference"/>
        </w:rPr>
        <w:footnoteRef/>
      </w:r>
      <w:r>
        <w:t xml:space="preserve"> Equality Commission for Northern Ireland (2018) </w:t>
      </w:r>
      <w:r w:rsidRPr="003F6BDC">
        <w:rPr>
          <w:b/>
          <w:bCs/>
        </w:rPr>
        <w:t>Disability Code of Practice: Employment and Occupation</w:t>
      </w:r>
      <w:r>
        <w:rPr>
          <w:bCs/>
        </w:rPr>
        <w:t>, Belfast: Equality Commission, p.23.</w:t>
      </w:r>
    </w:p>
  </w:footnote>
  <w:footnote w:id="251">
    <w:p w14:paraId="07FFB3CC" w14:textId="660354C7" w:rsidR="009707C2" w:rsidRDefault="009707C2">
      <w:pPr>
        <w:pStyle w:val="FootnoteText"/>
      </w:pPr>
      <w:r>
        <w:rPr>
          <w:rStyle w:val="FootnoteReference"/>
        </w:rPr>
        <w:footnoteRef/>
      </w:r>
      <w:r>
        <w:t xml:space="preserve"> More information is available on the Public Appointments Service website &lt;</w:t>
      </w:r>
      <w:hyperlink r:id="rId44" w:history="1">
        <w:r w:rsidRPr="00A24939">
          <w:rPr>
            <w:rStyle w:val="Hyperlink"/>
          </w:rPr>
          <w:t>https://www.publicjobs.ie/documents/Process-Flowchart-Reasonable-Accommodations.pdf</w:t>
        </w:r>
      </w:hyperlink>
      <w:r>
        <w:t xml:space="preserve">&gt;. </w:t>
      </w:r>
    </w:p>
  </w:footnote>
  <w:footnote w:id="252">
    <w:p w14:paraId="77A15067" w14:textId="77777777" w:rsidR="009707C2" w:rsidRDefault="009707C2">
      <w:pPr>
        <w:pStyle w:val="FootnoteText"/>
      </w:pPr>
      <w:r>
        <w:rPr>
          <w:rStyle w:val="FootnoteReference"/>
        </w:rPr>
        <w:footnoteRef/>
      </w:r>
      <w:r>
        <w:t xml:space="preserve"> Equality Commission for Northern Ireland (2018) </w:t>
      </w:r>
      <w:r w:rsidRPr="003F6BDC">
        <w:rPr>
          <w:b/>
          <w:bCs/>
        </w:rPr>
        <w:t>Disability Code of Practice: Employment and Occupation</w:t>
      </w:r>
      <w:r>
        <w:rPr>
          <w:bCs/>
        </w:rPr>
        <w:t>, Belfast: Equality Commission, p.23.</w:t>
      </w:r>
    </w:p>
  </w:footnote>
  <w:footnote w:id="253">
    <w:p w14:paraId="7B1FFF20" w14:textId="3DB6B7C0" w:rsidR="009707C2" w:rsidRDefault="009707C2">
      <w:pPr>
        <w:pStyle w:val="FootnoteText"/>
      </w:pPr>
      <w:r>
        <w:rPr>
          <w:rStyle w:val="FootnoteReference"/>
        </w:rPr>
        <w:footnoteRef/>
      </w:r>
      <w:r>
        <w:t xml:space="preserve"> See Section 2.3.3.</w:t>
      </w:r>
    </w:p>
  </w:footnote>
  <w:footnote w:id="254">
    <w:p w14:paraId="02968193" w14:textId="15405D64" w:rsidR="009707C2" w:rsidRDefault="009707C2">
      <w:pPr>
        <w:pStyle w:val="FootnoteText"/>
      </w:pPr>
      <w:r>
        <w:rPr>
          <w:rStyle w:val="FootnoteReference"/>
        </w:rPr>
        <w:footnoteRef/>
      </w:r>
      <w:r>
        <w:t xml:space="preserve"> Webster, B. (2014) </w:t>
      </w:r>
      <w:r w:rsidRPr="00076680">
        <w:rPr>
          <w:b/>
        </w:rPr>
        <w:t>A </w:t>
      </w:r>
      <w:r w:rsidRPr="00076680">
        <w:rPr>
          <w:b/>
          <w:bCs/>
        </w:rPr>
        <w:t>Mental Health Policy Document</w:t>
      </w:r>
      <w:r w:rsidRPr="00076680">
        <w:rPr>
          <w:b/>
        </w:rPr>
        <w:t> for the </w:t>
      </w:r>
      <w:r w:rsidRPr="00076680">
        <w:rPr>
          <w:b/>
          <w:bCs/>
        </w:rPr>
        <w:t>Workplace</w:t>
      </w:r>
      <w:r>
        <w:rPr>
          <w:b/>
          <w:bCs/>
        </w:rPr>
        <w:t xml:space="preserve">, </w:t>
      </w:r>
      <w:r>
        <w:rPr>
          <w:bCs/>
        </w:rPr>
        <w:t>Dublin: See Change, p.9.</w:t>
      </w:r>
    </w:p>
  </w:footnote>
  <w:footnote w:id="255">
    <w:p w14:paraId="62F58525" w14:textId="48262E23" w:rsidR="009707C2" w:rsidRDefault="009707C2">
      <w:pPr>
        <w:pStyle w:val="FootnoteText"/>
      </w:pPr>
      <w:r>
        <w:rPr>
          <w:rStyle w:val="FootnoteReference"/>
        </w:rPr>
        <w:footnoteRef/>
      </w:r>
      <w:r>
        <w:t xml:space="preserve"> Webster, B. (2014) </w:t>
      </w:r>
      <w:r w:rsidRPr="00076680">
        <w:rPr>
          <w:b/>
        </w:rPr>
        <w:t>A </w:t>
      </w:r>
      <w:r w:rsidRPr="00076680">
        <w:rPr>
          <w:b/>
          <w:bCs/>
        </w:rPr>
        <w:t>Mental Health Policy Document</w:t>
      </w:r>
      <w:r w:rsidRPr="00076680">
        <w:rPr>
          <w:b/>
        </w:rPr>
        <w:t> for the </w:t>
      </w:r>
      <w:r w:rsidRPr="00076680">
        <w:rPr>
          <w:b/>
          <w:bCs/>
        </w:rPr>
        <w:t>Workplace</w:t>
      </w:r>
      <w:r>
        <w:rPr>
          <w:b/>
          <w:bCs/>
        </w:rPr>
        <w:t xml:space="preserve">, </w:t>
      </w:r>
      <w:r>
        <w:rPr>
          <w:bCs/>
        </w:rPr>
        <w:t>Dublin: See Change, p.9.</w:t>
      </w:r>
    </w:p>
  </w:footnote>
  <w:footnote w:id="256">
    <w:p w14:paraId="0001C4C0" w14:textId="72511F84" w:rsidR="009707C2" w:rsidRDefault="009707C2">
      <w:pPr>
        <w:pStyle w:val="FootnoteText"/>
      </w:pPr>
      <w:r>
        <w:rPr>
          <w:rStyle w:val="FootnoteReference"/>
        </w:rPr>
        <w:footnoteRef/>
      </w:r>
      <w:r>
        <w:t xml:space="preserve"> Webster, B. (2014) </w:t>
      </w:r>
      <w:r w:rsidRPr="00076680">
        <w:rPr>
          <w:b/>
        </w:rPr>
        <w:t>A </w:t>
      </w:r>
      <w:r w:rsidRPr="00076680">
        <w:rPr>
          <w:b/>
          <w:bCs/>
        </w:rPr>
        <w:t>Mental Health Policy Document</w:t>
      </w:r>
      <w:r w:rsidRPr="00076680">
        <w:rPr>
          <w:b/>
        </w:rPr>
        <w:t> for the </w:t>
      </w:r>
      <w:r w:rsidRPr="00076680">
        <w:rPr>
          <w:b/>
          <w:bCs/>
        </w:rPr>
        <w:t>Workplace</w:t>
      </w:r>
      <w:r>
        <w:rPr>
          <w:b/>
          <w:bCs/>
        </w:rPr>
        <w:t xml:space="preserve">, </w:t>
      </w:r>
      <w:r>
        <w:rPr>
          <w:bCs/>
        </w:rPr>
        <w:t xml:space="preserve">Dublin: See Change, </w:t>
      </w:r>
      <w:r w:rsidRPr="00837DEF">
        <w:rPr>
          <w:bCs/>
        </w:rPr>
        <w:t>p</w:t>
      </w:r>
      <w:r>
        <w:rPr>
          <w:bCs/>
        </w:rPr>
        <w:t>p.23-24</w:t>
      </w:r>
      <w:r w:rsidRPr="00837DEF">
        <w:rPr>
          <w:bCs/>
        </w:rPr>
        <w:t>.</w:t>
      </w:r>
    </w:p>
  </w:footnote>
  <w:footnote w:id="257">
    <w:p w14:paraId="5EE597DF" w14:textId="77777777" w:rsidR="009707C2" w:rsidRDefault="009707C2">
      <w:pPr>
        <w:pStyle w:val="FootnoteText"/>
      </w:pPr>
      <w:r>
        <w:rPr>
          <w:rStyle w:val="FootnoteReference"/>
        </w:rPr>
        <w:footnoteRef/>
      </w:r>
      <w:r>
        <w:t xml:space="preserve"> Equality and Human Rights Commission (2014) </w:t>
      </w:r>
      <w:r w:rsidRPr="002D5E57">
        <w:rPr>
          <w:b/>
        </w:rPr>
        <w:t>Good equality practice for employers: equality policies, equality training and monitoring</w:t>
      </w:r>
      <w:r>
        <w:t>,</w:t>
      </w:r>
      <w:r w:rsidRPr="002D5E57">
        <w:t xml:space="preserve"> </w:t>
      </w:r>
      <w:r>
        <w:t>London: EHRC, p.33.</w:t>
      </w:r>
    </w:p>
  </w:footnote>
  <w:footnote w:id="258">
    <w:p w14:paraId="2900209A" w14:textId="77777777" w:rsidR="009707C2" w:rsidRDefault="009707C2" w:rsidP="004D5E8D">
      <w:pPr>
        <w:pStyle w:val="FootnoteText"/>
      </w:pPr>
      <w:r>
        <w:rPr>
          <w:rStyle w:val="FootnoteReference"/>
        </w:rPr>
        <w:footnoteRef/>
      </w:r>
      <w:r>
        <w:t xml:space="preserve"> International Labour Organisation (2016) </w:t>
      </w:r>
      <w:r w:rsidRPr="0053132E">
        <w:rPr>
          <w:b/>
        </w:rPr>
        <w:t>Promoting Diversity and Inclusion Through Workplace Adjustments: A Practical Guide</w:t>
      </w:r>
      <w:r>
        <w:t>, Geneva: ILO, p.84.</w:t>
      </w:r>
    </w:p>
  </w:footnote>
  <w:footnote w:id="259">
    <w:p w14:paraId="04EF8C71" w14:textId="77777777" w:rsidR="009707C2" w:rsidRDefault="009707C2">
      <w:pPr>
        <w:pStyle w:val="FootnoteText"/>
      </w:pPr>
      <w:r>
        <w:rPr>
          <w:rStyle w:val="FootnoteReference"/>
        </w:rPr>
        <w:footnoteRef/>
      </w:r>
      <w:r>
        <w:t xml:space="preserve"> </w:t>
      </w:r>
      <w:r w:rsidRPr="004974AB">
        <w:t xml:space="preserve">UK Cabinet Office (2017) </w:t>
      </w:r>
      <w:r w:rsidRPr="0053132E">
        <w:rPr>
          <w:b/>
          <w:bCs/>
        </w:rPr>
        <w:t xml:space="preserve">A Brilliant Civil Service: </w:t>
      </w:r>
      <w:r w:rsidRPr="0053132E">
        <w:rPr>
          <w:b/>
        </w:rPr>
        <w:t>becoming t</w:t>
      </w:r>
      <w:r>
        <w:rPr>
          <w:b/>
        </w:rPr>
        <w:t xml:space="preserve">he UK’s most inclusive employer, </w:t>
      </w:r>
      <w:r w:rsidRPr="0053132E">
        <w:rPr>
          <w:b/>
        </w:rPr>
        <w:t>The Civil Service Diversity and Inclusion Strategy,</w:t>
      </w:r>
      <w:r w:rsidRPr="004974AB">
        <w:rPr>
          <w:i/>
        </w:rPr>
        <w:t xml:space="preserve"> </w:t>
      </w:r>
      <w:r>
        <w:t>London: UK Cabinet Office, p.10.</w:t>
      </w:r>
    </w:p>
  </w:footnote>
  <w:footnote w:id="260">
    <w:p w14:paraId="74EB6C04" w14:textId="77777777" w:rsidR="009707C2" w:rsidRDefault="009707C2">
      <w:pPr>
        <w:pStyle w:val="FootnoteText"/>
      </w:pPr>
      <w:r>
        <w:rPr>
          <w:rStyle w:val="FootnoteReference"/>
        </w:rPr>
        <w:footnoteRef/>
      </w:r>
      <w:r>
        <w:t xml:space="preserve"> National Disability Authority (2015) </w:t>
      </w:r>
      <w:r w:rsidRPr="002253D2">
        <w:rPr>
          <w:b/>
        </w:rPr>
        <w:t>Retaining employees who acquire a disability: A guide for employers</w:t>
      </w:r>
      <w:r>
        <w:t>, Dublin: NDA, p.14.</w:t>
      </w:r>
    </w:p>
  </w:footnote>
  <w:footnote w:id="261">
    <w:p w14:paraId="069BD2AA" w14:textId="77777777" w:rsidR="009707C2" w:rsidRDefault="009707C2">
      <w:pPr>
        <w:pStyle w:val="FootnoteText"/>
      </w:pPr>
      <w:r>
        <w:rPr>
          <w:rStyle w:val="FootnoteReference"/>
        </w:rPr>
        <w:footnoteRef/>
      </w:r>
      <w:r>
        <w:t xml:space="preserve"> </w:t>
      </w:r>
      <w:r w:rsidRPr="00EF0194">
        <w:t xml:space="preserve">RSM PACEC &amp; National Disability Authority (2018) </w:t>
      </w:r>
      <w:r w:rsidRPr="0053132E">
        <w:rPr>
          <w:b/>
        </w:rPr>
        <w:t>Research on good practice in the employment of people with disabilities in the public sector</w:t>
      </w:r>
      <w:r w:rsidRPr="00EF0194">
        <w:t>, Dublin: RSM PACEC &amp; NDA</w:t>
      </w:r>
      <w:r>
        <w:t>, p.43.</w:t>
      </w:r>
    </w:p>
  </w:footnote>
  <w:footnote w:id="262">
    <w:p w14:paraId="1F89CDA4" w14:textId="0D7D5AFC" w:rsidR="009707C2" w:rsidRDefault="009707C2">
      <w:pPr>
        <w:pStyle w:val="FootnoteText"/>
      </w:pPr>
      <w:r>
        <w:rPr>
          <w:rStyle w:val="FootnoteReference"/>
        </w:rPr>
        <w:footnoteRef/>
      </w:r>
      <w:r>
        <w:t xml:space="preserve"> Job Accommodation Network, </w:t>
      </w:r>
      <w:r w:rsidRPr="000A7234">
        <w:rPr>
          <w:b/>
        </w:rPr>
        <w:t>‘Monitoring Reasonable Accommodations’</w:t>
      </w:r>
      <w:r>
        <w:t>, available on the Job Accommodation Network website &lt;</w:t>
      </w:r>
      <w:hyperlink r:id="rId45" w:history="1">
        <w:r w:rsidRPr="00A01331">
          <w:rPr>
            <w:rStyle w:val="Hyperlink"/>
          </w:rPr>
          <w:t>https://askjan.org/publications/index.cfm</w:t>
        </w:r>
      </w:hyperlink>
      <w:r>
        <w:t>&gt;.</w:t>
      </w:r>
    </w:p>
  </w:footnote>
  <w:footnote w:id="263">
    <w:p w14:paraId="0846AA07" w14:textId="77777777" w:rsidR="009707C2" w:rsidRDefault="009707C2">
      <w:pPr>
        <w:pStyle w:val="FootnoteText"/>
      </w:pPr>
      <w:r>
        <w:rPr>
          <w:rStyle w:val="FootnoteReference"/>
        </w:rPr>
        <w:footnoteRef/>
      </w:r>
      <w:r>
        <w:t xml:space="preserve"> </w:t>
      </w:r>
      <w:r w:rsidRPr="00FB3CF6">
        <w:t>Equality Authority and the Department of Justice, Equality and Law Reform</w:t>
      </w:r>
      <w:r>
        <w:t xml:space="preserve"> (2003) </w:t>
      </w:r>
      <w:r w:rsidRPr="00FB3CF6">
        <w:rPr>
          <w:b/>
        </w:rPr>
        <w:t>Disability Resource Pack: Positive Action for the Recruitment and Retention of People with Disabilities in the State Sector</w:t>
      </w:r>
      <w:r>
        <w:rPr>
          <w:b/>
        </w:rPr>
        <w:t xml:space="preserve">, </w:t>
      </w:r>
      <w:r>
        <w:rPr>
          <w:rFonts w:hint="eastAsia"/>
        </w:rPr>
        <w:t>Dublin</w:t>
      </w:r>
      <w:r w:rsidRPr="00FB3CF6">
        <w:rPr>
          <w:rFonts w:hint="eastAsia"/>
        </w:rPr>
        <w:t>: Equality Authority</w:t>
      </w:r>
      <w:r>
        <w:t>.</w:t>
      </w:r>
    </w:p>
  </w:footnote>
  <w:footnote w:id="264">
    <w:p w14:paraId="19F589AA" w14:textId="5E48D58B" w:rsidR="009707C2" w:rsidRDefault="009707C2">
      <w:pPr>
        <w:pStyle w:val="FootnoteText"/>
      </w:pPr>
      <w:r>
        <w:rPr>
          <w:rStyle w:val="FootnoteReference"/>
        </w:rPr>
        <w:footnoteRef/>
      </w:r>
      <w:r>
        <w:t xml:space="preserve"> </w:t>
      </w:r>
      <w:r w:rsidRPr="00F527C0">
        <w:t>Raymond,</w:t>
      </w:r>
      <w:r>
        <w:t xml:space="preserve"> M.,</w:t>
      </w:r>
      <w:r w:rsidRPr="00F527C0">
        <w:t xml:space="preserve"> </w:t>
      </w:r>
      <w:r>
        <w:t>Olsen</w:t>
      </w:r>
      <w:r w:rsidRPr="00F527C0">
        <w:t>,</w:t>
      </w:r>
      <w:r>
        <w:t xml:space="preserve"> J.,</w:t>
      </w:r>
      <w:r w:rsidRPr="00F527C0">
        <w:t xml:space="preserve"> Ainsworth,</w:t>
      </w:r>
      <w:r>
        <w:t xml:space="preserve"> S.,</w:t>
      </w:r>
      <w:r w:rsidRPr="00F527C0">
        <w:t xml:space="preserve"> Lotia,</w:t>
      </w:r>
      <w:r>
        <w:t xml:space="preserve"> N.,</w:t>
      </w:r>
      <w:r w:rsidRPr="00F527C0">
        <w:t xml:space="preserve"> Harbridge</w:t>
      </w:r>
      <w:r>
        <w:t>, R.</w:t>
      </w:r>
      <w:r w:rsidRPr="00F527C0">
        <w:t xml:space="preserve"> </w:t>
      </w:r>
      <w:r>
        <w:t>&amp;</w:t>
      </w:r>
      <w:r w:rsidRPr="00F527C0">
        <w:t xml:space="preserve"> Holland,</w:t>
      </w:r>
      <w:r>
        <w:t xml:space="preserve"> A. (2019)</w:t>
      </w:r>
      <w:r w:rsidRPr="00F527C0">
        <w:t xml:space="preserve"> </w:t>
      </w:r>
      <w:r w:rsidRPr="00F527C0">
        <w:rPr>
          <w:b/>
          <w:bCs/>
        </w:rPr>
        <w:t xml:space="preserve">Improving Access and Inclusion in Employment for People with Disabilities </w:t>
      </w:r>
      <w:r w:rsidRPr="00F527C0">
        <w:rPr>
          <w:b/>
        </w:rPr>
        <w:t xml:space="preserve">- Implementation of Workplace Adjustments in ‘Best-Practice’ Organisations, </w:t>
      </w:r>
      <w:r w:rsidRPr="00F02FDF">
        <w:t>Melbourne: University of Melbourne,</w:t>
      </w:r>
      <w:r>
        <w:rPr>
          <w:b/>
        </w:rPr>
        <w:t xml:space="preserve"> </w:t>
      </w:r>
      <w:r>
        <w:t>p.9</w:t>
      </w:r>
      <w:r w:rsidRPr="00F527C0">
        <w:t>.</w:t>
      </w:r>
    </w:p>
  </w:footnote>
  <w:footnote w:id="265">
    <w:p w14:paraId="7BAEFE4B" w14:textId="77777777" w:rsidR="009707C2" w:rsidRDefault="009707C2">
      <w:pPr>
        <w:pStyle w:val="FootnoteText"/>
      </w:pPr>
      <w:r>
        <w:rPr>
          <w:rStyle w:val="FootnoteReference"/>
        </w:rPr>
        <w:footnoteRef/>
      </w:r>
      <w:r>
        <w:t xml:space="preserve"> Equality Commission for Northern Ireland (2018) </w:t>
      </w:r>
      <w:r w:rsidRPr="003F6BDC">
        <w:rPr>
          <w:b/>
          <w:bCs/>
        </w:rPr>
        <w:t>Disability Code of Practice: Employment and Occupation</w:t>
      </w:r>
      <w:r>
        <w:rPr>
          <w:bCs/>
        </w:rPr>
        <w:t>, Belfast: Equality Commission, p.24.</w:t>
      </w:r>
    </w:p>
  </w:footnote>
  <w:footnote w:id="266">
    <w:p w14:paraId="332D6C25" w14:textId="426BD5A8" w:rsidR="009707C2" w:rsidRDefault="009707C2">
      <w:pPr>
        <w:pStyle w:val="FootnoteText"/>
      </w:pPr>
      <w:r>
        <w:rPr>
          <w:rStyle w:val="FootnoteReference"/>
        </w:rPr>
        <w:footnoteRef/>
      </w:r>
      <w:r>
        <w:t xml:space="preserve"> </w:t>
      </w:r>
      <w:r w:rsidRPr="00DC0E1A">
        <w:t xml:space="preserve">Barry, E. (2013) </w:t>
      </w:r>
      <w:r w:rsidRPr="00DC0E1A">
        <w:rPr>
          <w:b/>
        </w:rPr>
        <w:t>Case Law Review on Mental Health in the Workplace</w:t>
      </w:r>
      <w:r w:rsidRPr="00DC0E1A">
        <w:t>, Dublin: See Change, p.31.</w:t>
      </w:r>
    </w:p>
  </w:footnote>
  <w:footnote w:id="267">
    <w:p w14:paraId="035E84A7" w14:textId="77777777" w:rsidR="009707C2" w:rsidRDefault="009707C2">
      <w:pPr>
        <w:pStyle w:val="FootnoteText"/>
      </w:pPr>
      <w:r>
        <w:rPr>
          <w:rStyle w:val="FootnoteReference"/>
        </w:rPr>
        <w:footnoteRef/>
      </w:r>
      <w:r>
        <w:t xml:space="preserve"> Equality and Human Rights Commission (2011) </w:t>
      </w:r>
      <w:r w:rsidRPr="0023584A">
        <w:rPr>
          <w:b/>
        </w:rPr>
        <w:t>Equality Act 2010 Code of Practice – Employment Statutory Code of Practice</w:t>
      </w:r>
      <w:r>
        <w:t>, London: EHRC, p.220.</w:t>
      </w:r>
    </w:p>
  </w:footnote>
  <w:footnote w:id="268">
    <w:p w14:paraId="5C13A274" w14:textId="01AC1740" w:rsidR="009707C2" w:rsidRPr="00693223" w:rsidRDefault="009707C2" w:rsidP="00706CC7">
      <w:pPr>
        <w:pStyle w:val="FootnoteText"/>
      </w:pPr>
      <w:r>
        <w:rPr>
          <w:rStyle w:val="FootnoteReference"/>
        </w:rPr>
        <w:footnoteRef/>
      </w:r>
      <w:r>
        <w:t xml:space="preserve"> Health Service Executive - Employers Agency (2006)</w:t>
      </w:r>
      <w:r w:rsidRPr="00706CC7">
        <w:t xml:space="preserve"> </w:t>
      </w:r>
      <w:r w:rsidRPr="00706CC7">
        <w:rPr>
          <w:b/>
          <w:bCs/>
        </w:rPr>
        <w:t>Guidelines on the</w:t>
      </w:r>
      <w:r>
        <w:rPr>
          <w:b/>
          <w:bCs/>
        </w:rPr>
        <w:t xml:space="preserve"> Equal Opportunities Aspects of</w:t>
      </w:r>
      <w:r>
        <w:t xml:space="preserve"> </w:t>
      </w:r>
      <w:r>
        <w:rPr>
          <w:b/>
          <w:bCs/>
        </w:rPr>
        <w:t xml:space="preserve">Employing People with Disabilities </w:t>
      </w:r>
      <w:r w:rsidRPr="00706CC7">
        <w:rPr>
          <w:b/>
          <w:bCs/>
        </w:rPr>
        <w:t>in the Health Service</w:t>
      </w:r>
      <w:r>
        <w:rPr>
          <w:b/>
          <w:bCs/>
        </w:rPr>
        <w:t xml:space="preserve">, </w:t>
      </w:r>
      <w:r>
        <w:rPr>
          <w:bCs/>
        </w:rPr>
        <w:t>Dublin: HSE, p.7.</w:t>
      </w:r>
    </w:p>
  </w:footnote>
  <w:footnote w:id="269">
    <w:p w14:paraId="784C2749" w14:textId="77777777" w:rsidR="009707C2" w:rsidRDefault="009707C2">
      <w:pPr>
        <w:pStyle w:val="FootnoteText"/>
      </w:pPr>
      <w:r>
        <w:rPr>
          <w:rStyle w:val="FootnoteReference"/>
        </w:rPr>
        <w:footnoteRef/>
      </w:r>
      <w:r>
        <w:t xml:space="preserve"> Equality and Human Rights Commission (2011) </w:t>
      </w:r>
      <w:r w:rsidRPr="0023584A">
        <w:rPr>
          <w:b/>
        </w:rPr>
        <w:t>Equality Act 2010 Code of Practice – Employment Statutory Code of Practice</w:t>
      </w:r>
      <w:r>
        <w:t>, London: EHRC, p.220.</w:t>
      </w:r>
    </w:p>
  </w:footnote>
  <w:footnote w:id="270">
    <w:p w14:paraId="1C8C11FC" w14:textId="77777777" w:rsidR="009707C2" w:rsidRDefault="009707C2">
      <w:pPr>
        <w:pStyle w:val="FootnoteText"/>
      </w:pPr>
      <w:r>
        <w:rPr>
          <w:rStyle w:val="FootnoteReference"/>
        </w:rPr>
        <w:footnoteRef/>
      </w:r>
      <w:r>
        <w:t xml:space="preserve"> </w:t>
      </w:r>
      <w:r w:rsidRPr="00EF0194">
        <w:t xml:space="preserve">RSM PACEC &amp; National Disability Authority (2018) </w:t>
      </w:r>
      <w:r w:rsidRPr="0053132E">
        <w:rPr>
          <w:b/>
        </w:rPr>
        <w:t>Research on good practice in the employment of people with disabilities in the public sector</w:t>
      </w:r>
      <w:r w:rsidRPr="00EF0194">
        <w:t>, Dublin: RSM PACEC &amp; NDA</w:t>
      </w:r>
      <w:r>
        <w:t>, p.37.</w:t>
      </w:r>
    </w:p>
  </w:footnote>
  <w:footnote w:id="271">
    <w:p w14:paraId="449AAAC4" w14:textId="77777777" w:rsidR="009707C2" w:rsidRDefault="009707C2">
      <w:pPr>
        <w:pStyle w:val="FootnoteText"/>
      </w:pPr>
      <w:r>
        <w:rPr>
          <w:rStyle w:val="FootnoteReference"/>
        </w:rPr>
        <w:footnoteRef/>
      </w:r>
      <w:r>
        <w:t xml:space="preserve"> </w:t>
      </w:r>
      <w:r w:rsidRPr="00EF0194">
        <w:t xml:space="preserve">RSM PACEC &amp; National Disability Authority (2018) </w:t>
      </w:r>
      <w:r w:rsidRPr="0053132E">
        <w:rPr>
          <w:b/>
        </w:rPr>
        <w:t>Research on good practice in the employment of people with disabilities in the public sector</w:t>
      </w:r>
      <w:r w:rsidRPr="00EF0194">
        <w:t>, Dublin: RSM PACEC &amp; NDA</w:t>
      </w:r>
      <w:r>
        <w:t>, p.37.</w:t>
      </w:r>
    </w:p>
  </w:footnote>
  <w:footnote w:id="272">
    <w:p w14:paraId="7C960035" w14:textId="0250BFE5" w:rsidR="009707C2" w:rsidRDefault="009707C2">
      <w:pPr>
        <w:pStyle w:val="FootnoteText"/>
      </w:pPr>
      <w:r>
        <w:rPr>
          <w:rStyle w:val="FootnoteReference"/>
        </w:rPr>
        <w:footnoteRef/>
      </w:r>
      <w:r>
        <w:t xml:space="preserve"> See Section 4.2.1.</w:t>
      </w:r>
    </w:p>
  </w:footnote>
  <w:footnote w:id="273">
    <w:p w14:paraId="2192FDBF" w14:textId="77777777" w:rsidR="009707C2" w:rsidRDefault="009707C2">
      <w:pPr>
        <w:pStyle w:val="FootnoteText"/>
      </w:pPr>
      <w:r>
        <w:rPr>
          <w:rStyle w:val="FootnoteReference"/>
        </w:rPr>
        <w:footnoteRef/>
      </w:r>
      <w:r>
        <w:t xml:space="preserve"> Equality and Human Rights Commission (2011) </w:t>
      </w:r>
      <w:r w:rsidRPr="0023584A">
        <w:rPr>
          <w:b/>
        </w:rPr>
        <w:t>Equality Act 2010 Code of Practice – Employment Statutory Code of Practice</w:t>
      </w:r>
      <w:r>
        <w:t>, London: EHRC, p.225.</w:t>
      </w:r>
    </w:p>
  </w:footnote>
  <w:footnote w:id="274">
    <w:p w14:paraId="1F1D520B" w14:textId="77777777" w:rsidR="009707C2" w:rsidRDefault="009707C2">
      <w:pPr>
        <w:pStyle w:val="FootnoteText"/>
      </w:pPr>
      <w:r>
        <w:rPr>
          <w:rStyle w:val="FootnoteReference"/>
        </w:rPr>
        <w:footnoteRef/>
      </w:r>
      <w:r>
        <w:t xml:space="preserve"> Equality and Human Rights Commission (2014) </w:t>
      </w:r>
      <w:r w:rsidRPr="002D5E57">
        <w:rPr>
          <w:b/>
        </w:rPr>
        <w:t>Good equality practice for employers: equality policies, equality training and monitoring</w:t>
      </w:r>
      <w:r>
        <w:t>,</w:t>
      </w:r>
      <w:r w:rsidRPr="002D5E57">
        <w:t xml:space="preserve"> </w:t>
      </w:r>
      <w:r>
        <w:t>London: EHRC, p.40.</w:t>
      </w:r>
    </w:p>
  </w:footnote>
  <w:footnote w:id="275">
    <w:p w14:paraId="42E138AD" w14:textId="77777777" w:rsidR="009707C2" w:rsidRDefault="009707C2">
      <w:pPr>
        <w:pStyle w:val="FootnoteText"/>
      </w:pPr>
      <w:r>
        <w:rPr>
          <w:rStyle w:val="FootnoteReference"/>
        </w:rPr>
        <w:footnoteRef/>
      </w:r>
      <w:r>
        <w:t xml:space="preserve"> Equality and Human Rights Commission (2011) </w:t>
      </w:r>
      <w:r w:rsidRPr="0023584A">
        <w:rPr>
          <w:b/>
        </w:rPr>
        <w:t>Equality Act 2010 Code of Practice – Employment Statutory Code of Practice</w:t>
      </w:r>
      <w:r>
        <w:t>, London: EHRC, p.228.</w:t>
      </w:r>
    </w:p>
  </w:footnote>
  <w:footnote w:id="276">
    <w:p w14:paraId="55482607" w14:textId="77777777" w:rsidR="009707C2" w:rsidRDefault="009707C2">
      <w:pPr>
        <w:pStyle w:val="FootnoteText"/>
      </w:pPr>
      <w:r>
        <w:rPr>
          <w:rStyle w:val="FootnoteReference"/>
        </w:rPr>
        <w:footnoteRef/>
      </w:r>
      <w:r>
        <w:t xml:space="preserve"> Equality and Human Rights Commission (2011) </w:t>
      </w:r>
      <w:r w:rsidRPr="0023584A">
        <w:rPr>
          <w:b/>
        </w:rPr>
        <w:t>Equality Act 2010 Code of Practice – Employment Statutory Code of Practice</w:t>
      </w:r>
      <w:r>
        <w:t>, London: EHRC, p.232.</w:t>
      </w:r>
    </w:p>
  </w:footnote>
  <w:footnote w:id="277">
    <w:p w14:paraId="4BE7CAEF" w14:textId="77777777" w:rsidR="009707C2" w:rsidRDefault="009707C2">
      <w:pPr>
        <w:pStyle w:val="FootnoteText"/>
      </w:pPr>
      <w:r>
        <w:rPr>
          <w:rStyle w:val="FootnoteReference"/>
        </w:rPr>
        <w:footnoteRef/>
      </w:r>
      <w:r>
        <w:t xml:space="preserve"> </w:t>
      </w:r>
      <w:r w:rsidRPr="00EF0194">
        <w:t xml:space="preserve">RSM PACEC &amp; National Disability Authority (2018) </w:t>
      </w:r>
      <w:r w:rsidRPr="0053132E">
        <w:rPr>
          <w:b/>
        </w:rPr>
        <w:t>Research on good practice in the employment of people with disabilities in the public sector</w:t>
      </w:r>
      <w:r w:rsidRPr="00EF0194">
        <w:t>, Dublin: RSM PACEC &amp; NDA</w:t>
      </w:r>
      <w:r>
        <w:t>, p.8.</w:t>
      </w:r>
    </w:p>
  </w:footnote>
  <w:footnote w:id="278">
    <w:p w14:paraId="355DA4D7" w14:textId="6BCF94D5" w:rsidR="009707C2" w:rsidRPr="00D60F59" w:rsidRDefault="009707C2">
      <w:pPr>
        <w:pStyle w:val="FootnoteText"/>
      </w:pPr>
      <w:r>
        <w:rPr>
          <w:rStyle w:val="FootnoteReference"/>
        </w:rPr>
        <w:footnoteRef/>
      </w:r>
      <w:r>
        <w:t xml:space="preserve"> National Disability Authority (2018) </w:t>
      </w:r>
      <w:r w:rsidRPr="004615BA">
        <w:rPr>
          <w:b/>
        </w:rPr>
        <w:t>Assisting People with Autism in Employment – Guidance for Line Managers and HR Professionals</w:t>
      </w:r>
      <w:r>
        <w:rPr>
          <w:b/>
        </w:rPr>
        <w:t xml:space="preserve">, </w:t>
      </w:r>
      <w:r w:rsidRPr="00D60F59">
        <w:t>Dublin: NDA.</w:t>
      </w:r>
    </w:p>
  </w:footnote>
  <w:footnote w:id="279">
    <w:p w14:paraId="24A42082" w14:textId="095E2DBD" w:rsidR="009707C2" w:rsidRDefault="009707C2">
      <w:pPr>
        <w:pStyle w:val="FootnoteText"/>
      </w:pPr>
      <w:r>
        <w:rPr>
          <w:rStyle w:val="FootnoteReference"/>
        </w:rPr>
        <w:footnoteRef/>
      </w:r>
      <w:r>
        <w:t xml:space="preserve"> </w:t>
      </w:r>
      <w:r w:rsidRPr="00175EA1">
        <w:t xml:space="preserve">Barry, E. (2013) </w:t>
      </w:r>
      <w:r w:rsidRPr="00175EA1">
        <w:rPr>
          <w:b/>
        </w:rPr>
        <w:t>Case Law Review on Mental Health in the Workplace</w:t>
      </w:r>
      <w:r>
        <w:t>, Dublin: See Change, p.31.</w:t>
      </w:r>
    </w:p>
  </w:footnote>
  <w:footnote w:id="280">
    <w:p w14:paraId="6F2AA220" w14:textId="536CD758" w:rsidR="009707C2" w:rsidRDefault="009707C2">
      <w:pPr>
        <w:pStyle w:val="FootnoteText"/>
      </w:pPr>
      <w:r>
        <w:rPr>
          <w:rStyle w:val="FootnoteReference"/>
        </w:rPr>
        <w:footnoteRef/>
      </w:r>
      <w:r>
        <w:t xml:space="preserve"> For more information, see </w:t>
      </w:r>
      <w:r w:rsidRPr="00F2243D">
        <w:t>Centre for Excellence in Universal Design at the National Disability Authority</w:t>
      </w:r>
      <w:r>
        <w:t xml:space="preserve"> (2010) </w:t>
      </w:r>
      <w:r w:rsidRPr="00F2243D">
        <w:rPr>
          <w:b/>
        </w:rPr>
        <w:t>Building for Everyone: A Universal Design Approach – Sanitary facilities</w:t>
      </w:r>
      <w:r>
        <w:t>, Dublin: CEUD.</w:t>
      </w:r>
    </w:p>
  </w:footnote>
  <w:footnote w:id="281">
    <w:p w14:paraId="16611E59" w14:textId="77777777" w:rsidR="009707C2" w:rsidRDefault="009707C2">
      <w:pPr>
        <w:pStyle w:val="FootnoteText"/>
      </w:pPr>
      <w:r>
        <w:rPr>
          <w:rStyle w:val="FootnoteReference"/>
        </w:rPr>
        <w:footnoteRef/>
      </w:r>
      <w:r>
        <w:t xml:space="preserve"> Equality and Human Rights Commission (2011) </w:t>
      </w:r>
      <w:r w:rsidRPr="0023584A">
        <w:rPr>
          <w:b/>
        </w:rPr>
        <w:t>Equality Act 2010 Code of Practice – Employment Statutory Code of Practice</w:t>
      </w:r>
      <w:r>
        <w:t>, London: EHRC, p.233.</w:t>
      </w:r>
    </w:p>
  </w:footnote>
  <w:footnote w:id="282">
    <w:p w14:paraId="26D608E9" w14:textId="77777777" w:rsidR="009707C2" w:rsidRDefault="009707C2">
      <w:pPr>
        <w:pStyle w:val="FootnoteText"/>
      </w:pPr>
      <w:r>
        <w:rPr>
          <w:rStyle w:val="FootnoteReference"/>
        </w:rPr>
        <w:footnoteRef/>
      </w:r>
      <w:r>
        <w:t xml:space="preserve"> </w:t>
      </w:r>
      <w:r w:rsidRPr="00FB3CF6">
        <w:t>Equality Authority and the Department of Justice, Equality and Law Reform</w:t>
      </w:r>
      <w:r>
        <w:t xml:space="preserve"> (2003) </w:t>
      </w:r>
      <w:r w:rsidRPr="00FB3CF6">
        <w:rPr>
          <w:b/>
        </w:rPr>
        <w:t>Disability Resource Pack: Positive Action for the Recruitment and Retention of People with Disabilities in the State Sector</w:t>
      </w:r>
      <w:r>
        <w:rPr>
          <w:b/>
        </w:rPr>
        <w:t xml:space="preserve">, </w:t>
      </w:r>
      <w:r>
        <w:rPr>
          <w:rFonts w:hint="eastAsia"/>
        </w:rPr>
        <w:t>Dublin</w:t>
      </w:r>
      <w:r w:rsidRPr="00FB3CF6">
        <w:rPr>
          <w:rFonts w:hint="eastAsia"/>
        </w:rPr>
        <w:t>: Equality Authority</w:t>
      </w:r>
      <w:r>
        <w:t>.</w:t>
      </w:r>
    </w:p>
  </w:footnote>
  <w:footnote w:id="283">
    <w:p w14:paraId="7C209E8B" w14:textId="77777777" w:rsidR="009707C2" w:rsidRDefault="009707C2">
      <w:pPr>
        <w:pStyle w:val="FootnoteText"/>
      </w:pPr>
      <w:r>
        <w:rPr>
          <w:rStyle w:val="FootnoteReference"/>
        </w:rPr>
        <w:footnoteRef/>
      </w:r>
      <w:r>
        <w:t xml:space="preserve"> National Disability Authority (2015) </w:t>
      </w:r>
      <w:r w:rsidRPr="000E5291">
        <w:rPr>
          <w:b/>
        </w:rPr>
        <w:t>Reasonable Accommodations for people with Autism Spectrum Disorder</w:t>
      </w:r>
      <w:r>
        <w:t>, Dublin: NDA, p.14.</w:t>
      </w:r>
    </w:p>
  </w:footnote>
  <w:footnote w:id="284">
    <w:p w14:paraId="0A6F3AC7" w14:textId="1BA4E9F5" w:rsidR="009707C2" w:rsidRPr="007F77B0" w:rsidRDefault="009707C2" w:rsidP="007F77B0">
      <w:pPr>
        <w:pStyle w:val="FootnoteText"/>
      </w:pPr>
      <w:r>
        <w:rPr>
          <w:rStyle w:val="FootnoteReference"/>
        </w:rPr>
        <w:footnoteRef/>
      </w:r>
      <w:r>
        <w:t xml:space="preserve"> </w:t>
      </w:r>
      <w:r w:rsidRPr="00F527C0">
        <w:t>Raymond,</w:t>
      </w:r>
      <w:r>
        <w:t xml:space="preserve"> M.,</w:t>
      </w:r>
      <w:r w:rsidRPr="00F527C0">
        <w:t xml:space="preserve"> </w:t>
      </w:r>
      <w:r>
        <w:t>Olsen</w:t>
      </w:r>
      <w:r w:rsidRPr="00F527C0">
        <w:t>,</w:t>
      </w:r>
      <w:r>
        <w:t xml:space="preserve"> J.,</w:t>
      </w:r>
      <w:r w:rsidRPr="00F527C0">
        <w:t xml:space="preserve"> Ainsworth,</w:t>
      </w:r>
      <w:r>
        <w:t xml:space="preserve"> S.,</w:t>
      </w:r>
      <w:r w:rsidRPr="00F527C0">
        <w:t xml:space="preserve"> Lotia,</w:t>
      </w:r>
      <w:r>
        <w:t xml:space="preserve"> N.,</w:t>
      </w:r>
      <w:r w:rsidRPr="00F527C0">
        <w:t xml:space="preserve"> Harbridge</w:t>
      </w:r>
      <w:r>
        <w:t>, R.</w:t>
      </w:r>
      <w:r w:rsidRPr="00F527C0">
        <w:t xml:space="preserve"> </w:t>
      </w:r>
      <w:r>
        <w:t>&amp;</w:t>
      </w:r>
      <w:r w:rsidRPr="00F527C0">
        <w:t xml:space="preserve"> Holland,</w:t>
      </w:r>
      <w:r>
        <w:t xml:space="preserve"> A. (2019)</w:t>
      </w:r>
      <w:r w:rsidRPr="00F527C0">
        <w:t xml:space="preserve"> </w:t>
      </w:r>
      <w:r w:rsidRPr="00F527C0">
        <w:rPr>
          <w:b/>
          <w:bCs/>
        </w:rPr>
        <w:t xml:space="preserve">Improving Access and Inclusion in Employment for People with Disabilities </w:t>
      </w:r>
      <w:r w:rsidRPr="00F527C0">
        <w:rPr>
          <w:b/>
        </w:rPr>
        <w:t xml:space="preserve">- Implementation of Workplace Adjustments in ‘Best-Practice’ Organisations, </w:t>
      </w:r>
      <w:r w:rsidRPr="00F02FDF">
        <w:t>Melbourne: University of Melbourne,</w:t>
      </w:r>
      <w:r>
        <w:rPr>
          <w:b/>
        </w:rPr>
        <w:t xml:space="preserve"> </w:t>
      </w:r>
      <w:r>
        <w:t>p.9</w:t>
      </w:r>
      <w:r w:rsidRPr="00F527C0">
        <w:t>.</w:t>
      </w:r>
    </w:p>
  </w:footnote>
  <w:footnote w:id="285">
    <w:p w14:paraId="682E9691" w14:textId="77777777" w:rsidR="009707C2" w:rsidRDefault="009707C2">
      <w:pPr>
        <w:pStyle w:val="FootnoteText"/>
      </w:pPr>
      <w:r>
        <w:rPr>
          <w:rStyle w:val="FootnoteReference"/>
        </w:rPr>
        <w:footnoteRef/>
      </w:r>
      <w:r>
        <w:t xml:space="preserve"> </w:t>
      </w:r>
      <w:r w:rsidRPr="00EF0194">
        <w:t xml:space="preserve">RSM PACEC &amp; National Disability Authority (2018) </w:t>
      </w:r>
      <w:r w:rsidRPr="0053132E">
        <w:rPr>
          <w:b/>
        </w:rPr>
        <w:t>Research on good practice in the employment of people with disabilities in the public sector</w:t>
      </w:r>
      <w:r w:rsidRPr="00EF0194">
        <w:t>, Dublin: RSM PACEC &amp; NDA</w:t>
      </w:r>
      <w:r>
        <w:t>, p.8.</w:t>
      </w:r>
    </w:p>
  </w:footnote>
  <w:footnote w:id="286">
    <w:p w14:paraId="5E53344E" w14:textId="753652EE" w:rsidR="009707C2" w:rsidRDefault="009707C2">
      <w:pPr>
        <w:pStyle w:val="FootnoteText"/>
      </w:pPr>
      <w:r>
        <w:rPr>
          <w:rStyle w:val="FootnoteReference"/>
        </w:rPr>
        <w:footnoteRef/>
      </w:r>
      <w:r>
        <w:t xml:space="preserve"> More information is available on the Department of Public Expenditure and Reform website &lt;</w:t>
      </w:r>
      <w:hyperlink r:id="rId46" w:history="1">
        <w:r w:rsidRPr="00DF2DE8">
          <w:rPr>
            <w:rStyle w:val="Hyperlink"/>
          </w:rPr>
          <w:t>https://hr.per.gov.ie/disability/</w:t>
        </w:r>
      </w:hyperlink>
      <w:r>
        <w:t xml:space="preserve">&gt;. </w:t>
      </w:r>
    </w:p>
  </w:footnote>
  <w:footnote w:id="287">
    <w:p w14:paraId="390A894D" w14:textId="77777777" w:rsidR="009707C2" w:rsidRDefault="009707C2" w:rsidP="00CF12C7">
      <w:pPr>
        <w:pStyle w:val="FootnoteText"/>
      </w:pPr>
      <w:r>
        <w:rPr>
          <w:rStyle w:val="FootnoteReference"/>
        </w:rPr>
        <w:footnoteRef/>
      </w:r>
      <w:r>
        <w:t xml:space="preserve"> International Labour Organisation (2016) </w:t>
      </w:r>
      <w:r w:rsidRPr="0053132E">
        <w:rPr>
          <w:b/>
        </w:rPr>
        <w:t>Promoting Diversity and Inclusion Through Workplace Adjustments: A Practical Guide</w:t>
      </w:r>
      <w:r>
        <w:t>, Geneva: ILO, p.40.</w:t>
      </w:r>
    </w:p>
  </w:footnote>
  <w:footnote w:id="288">
    <w:p w14:paraId="64421734" w14:textId="77777777" w:rsidR="009707C2" w:rsidRDefault="009707C2">
      <w:pPr>
        <w:pStyle w:val="FootnoteText"/>
      </w:pPr>
      <w:r>
        <w:rPr>
          <w:rStyle w:val="FootnoteReference"/>
        </w:rPr>
        <w:footnoteRef/>
      </w:r>
      <w:r>
        <w:t xml:space="preserve"> National Disability Authority (2015) </w:t>
      </w:r>
      <w:r w:rsidRPr="002253D2">
        <w:rPr>
          <w:b/>
        </w:rPr>
        <w:t>Retaining employees who acquire a disability: A guide for employers</w:t>
      </w:r>
      <w:r>
        <w:t>, Dublin: NDA, p.15.</w:t>
      </w:r>
    </w:p>
  </w:footnote>
  <w:footnote w:id="289">
    <w:p w14:paraId="568103A0" w14:textId="77777777" w:rsidR="009707C2" w:rsidRDefault="009707C2">
      <w:pPr>
        <w:pStyle w:val="FootnoteText"/>
      </w:pPr>
      <w:r>
        <w:rPr>
          <w:rStyle w:val="FootnoteReference"/>
        </w:rPr>
        <w:footnoteRef/>
      </w:r>
      <w:r>
        <w:t xml:space="preserve"> </w:t>
      </w:r>
      <w:r w:rsidRPr="00FB3CF6">
        <w:t>Equality Authority and the Department of Justice, Equality and Law Reform</w:t>
      </w:r>
      <w:r>
        <w:t xml:space="preserve"> (2003) </w:t>
      </w:r>
      <w:r w:rsidRPr="00FB3CF6">
        <w:rPr>
          <w:b/>
        </w:rPr>
        <w:t>Disability Resource Pack: Positive Action for the Recruitment and Retention of People with Disabilities in the State Sector</w:t>
      </w:r>
      <w:r>
        <w:rPr>
          <w:b/>
        </w:rPr>
        <w:t xml:space="preserve">, </w:t>
      </w:r>
      <w:r>
        <w:rPr>
          <w:rFonts w:hint="eastAsia"/>
        </w:rPr>
        <w:t>Dublin</w:t>
      </w:r>
      <w:r w:rsidRPr="00FB3CF6">
        <w:rPr>
          <w:rFonts w:hint="eastAsia"/>
        </w:rPr>
        <w:t>: Equality Authority</w:t>
      </w:r>
      <w:r>
        <w:t>.</w:t>
      </w:r>
    </w:p>
  </w:footnote>
  <w:footnote w:id="290">
    <w:p w14:paraId="2E74F3E2" w14:textId="77777777" w:rsidR="009707C2" w:rsidRDefault="009707C2" w:rsidP="00EC74E9">
      <w:pPr>
        <w:pStyle w:val="FootnoteText"/>
      </w:pPr>
      <w:r>
        <w:rPr>
          <w:rStyle w:val="FootnoteReference"/>
        </w:rPr>
        <w:footnoteRef/>
      </w:r>
      <w:r>
        <w:t xml:space="preserve"> </w:t>
      </w:r>
      <w:r w:rsidRPr="00FB3CF6">
        <w:t>Equality Authority and the Department of Justice, Equality and Law Reform</w:t>
      </w:r>
      <w:r>
        <w:t xml:space="preserve"> (2003) </w:t>
      </w:r>
      <w:r w:rsidRPr="00FB3CF6">
        <w:rPr>
          <w:b/>
        </w:rPr>
        <w:t>Disability Resource Pack: Positive Action for the Recruitment and Retention of People with Disabilities in the State Sector</w:t>
      </w:r>
      <w:r>
        <w:rPr>
          <w:b/>
        </w:rPr>
        <w:t xml:space="preserve">, </w:t>
      </w:r>
      <w:r>
        <w:rPr>
          <w:rFonts w:hint="eastAsia"/>
        </w:rPr>
        <w:t>Dublin</w:t>
      </w:r>
      <w:r w:rsidRPr="00FB3CF6">
        <w:rPr>
          <w:rFonts w:hint="eastAsia"/>
        </w:rPr>
        <w:t>: Equality Authority</w:t>
      </w:r>
      <w:r>
        <w:t>.</w:t>
      </w:r>
    </w:p>
  </w:footnote>
  <w:footnote w:id="291">
    <w:p w14:paraId="57BCE803" w14:textId="77777777" w:rsidR="009707C2" w:rsidRDefault="009707C2">
      <w:pPr>
        <w:pStyle w:val="FootnoteText"/>
      </w:pPr>
      <w:r>
        <w:rPr>
          <w:rStyle w:val="FootnoteReference"/>
        </w:rPr>
        <w:footnoteRef/>
      </w:r>
      <w:r>
        <w:t xml:space="preserve"> </w:t>
      </w:r>
      <w:r w:rsidRPr="00FB3CF6">
        <w:t>Equality Authority and the Department of Justice, Equality and Law Reform</w:t>
      </w:r>
      <w:r>
        <w:t xml:space="preserve"> (2003) </w:t>
      </w:r>
      <w:r w:rsidRPr="00FB3CF6">
        <w:rPr>
          <w:b/>
        </w:rPr>
        <w:t>Disability Resource Pack: Positive Action for the Recruitment and Retention of People with Disabilities in the State Sector</w:t>
      </w:r>
      <w:r>
        <w:rPr>
          <w:b/>
        </w:rPr>
        <w:t xml:space="preserve">, </w:t>
      </w:r>
      <w:r>
        <w:rPr>
          <w:rFonts w:hint="eastAsia"/>
        </w:rPr>
        <w:t>Dublin</w:t>
      </w:r>
      <w:r w:rsidRPr="00FB3CF6">
        <w:rPr>
          <w:rFonts w:hint="eastAsia"/>
        </w:rPr>
        <w:t>: Equality Authority</w:t>
      </w:r>
      <w:r>
        <w:t>.</w:t>
      </w:r>
    </w:p>
  </w:footnote>
  <w:footnote w:id="292">
    <w:p w14:paraId="051D9CCD" w14:textId="77777777" w:rsidR="009707C2" w:rsidRDefault="009707C2">
      <w:pPr>
        <w:pStyle w:val="FootnoteText"/>
      </w:pPr>
      <w:r>
        <w:rPr>
          <w:rStyle w:val="FootnoteReference"/>
        </w:rPr>
        <w:footnoteRef/>
      </w:r>
      <w:r>
        <w:t xml:space="preserve"> National Disability Authority (2015) </w:t>
      </w:r>
      <w:r w:rsidRPr="002253D2">
        <w:rPr>
          <w:b/>
        </w:rPr>
        <w:t>Retaining employees who acquire a disability: A guide for employers</w:t>
      </w:r>
      <w:r>
        <w:t>, Dublin: NDA, p.3.</w:t>
      </w:r>
    </w:p>
  </w:footnote>
  <w:footnote w:id="293">
    <w:p w14:paraId="5C15128D" w14:textId="7A51B5FC" w:rsidR="009707C2" w:rsidRDefault="009707C2">
      <w:pPr>
        <w:pStyle w:val="FootnoteText"/>
      </w:pPr>
      <w:r>
        <w:rPr>
          <w:rStyle w:val="FootnoteReference"/>
        </w:rPr>
        <w:footnoteRef/>
      </w:r>
      <w:r>
        <w:t xml:space="preserve"> </w:t>
      </w:r>
      <w:r w:rsidRPr="00B76929">
        <w:rPr>
          <w:bCs/>
        </w:rPr>
        <w:t>Irish Business</w:t>
      </w:r>
      <w:r w:rsidRPr="00B76929">
        <w:t> and </w:t>
      </w:r>
      <w:r w:rsidRPr="00B76929">
        <w:rPr>
          <w:bCs/>
        </w:rPr>
        <w:t>Employers Confederation</w:t>
      </w:r>
      <w:r>
        <w:t xml:space="preserve"> (2012) </w:t>
      </w:r>
      <w:r w:rsidRPr="00380074">
        <w:rPr>
          <w:b/>
        </w:rPr>
        <w:t>Mental health and wellbeing: A Line Manager’s Guide</w:t>
      </w:r>
      <w:r>
        <w:t>, Dublin: Ibec, p.24.</w:t>
      </w:r>
    </w:p>
  </w:footnote>
  <w:footnote w:id="294">
    <w:p w14:paraId="2F75A043" w14:textId="77777777" w:rsidR="009707C2" w:rsidRDefault="009707C2">
      <w:pPr>
        <w:pStyle w:val="FootnoteText"/>
      </w:pPr>
      <w:r>
        <w:rPr>
          <w:rStyle w:val="FootnoteReference"/>
        </w:rPr>
        <w:footnoteRef/>
      </w:r>
      <w:r>
        <w:t xml:space="preserve"> National Disability Authority (2015) </w:t>
      </w:r>
      <w:r w:rsidRPr="002253D2">
        <w:rPr>
          <w:b/>
        </w:rPr>
        <w:t>Retaining employees who acquire a disability: A guide for employers</w:t>
      </w:r>
      <w:r>
        <w:t>, Dublin: NDA, p.17.</w:t>
      </w:r>
    </w:p>
  </w:footnote>
  <w:footnote w:id="295">
    <w:p w14:paraId="2E420402" w14:textId="4B56588C" w:rsidR="009707C2" w:rsidRDefault="009707C2" w:rsidP="00F41096">
      <w:pPr>
        <w:pStyle w:val="FootnoteText"/>
      </w:pPr>
      <w:r>
        <w:rPr>
          <w:rStyle w:val="FootnoteReference"/>
        </w:rPr>
        <w:footnoteRef/>
      </w:r>
      <w:r>
        <w:t xml:space="preserve"> Again, it should be noted that the review </w:t>
      </w:r>
      <w:r w:rsidRPr="00131802">
        <w:t xml:space="preserve">was undertaken prior to the Supreme Court judgment in </w:t>
      </w:r>
      <w:r w:rsidRPr="00A5023C">
        <w:rPr>
          <w:b/>
        </w:rPr>
        <w:t>Daly v Nano Nagle School</w:t>
      </w:r>
      <w:r w:rsidRPr="00131802">
        <w:t>.</w:t>
      </w:r>
    </w:p>
  </w:footnote>
  <w:footnote w:id="296">
    <w:p w14:paraId="7C52FDC9" w14:textId="40597CFB" w:rsidR="009707C2" w:rsidRDefault="009707C2">
      <w:pPr>
        <w:pStyle w:val="FootnoteText"/>
      </w:pPr>
      <w:r>
        <w:rPr>
          <w:rStyle w:val="FootnoteReference"/>
        </w:rPr>
        <w:footnoteRef/>
      </w:r>
      <w:r>
        <w:t xml:space="preserve"> </w:t>
      </w:r>
      <w:r w:rsidRPr="00072126">
        <w:t xml:space="preserve">The Irish Human Rights and Equality Commission is preparing a new legal code of practice to promote greater employment of people with disabilities. </w:t>
      </w:r>
      <w:r>
        <w:t xml:space="preserve">Irish Human Rights and Equality Commission, </w:t>
      </w:r>
      <w:r w:rsidRPr="00D60F59">
        <w:rPr>
          <w:b/>
        </w:rPr>
        <w:t>‘Discrimination Against People with Disabilities in Employment a Persistent and Pernicious Roadblock to Worker’s Dignity and Inclusion’</w:t>
      </w:r>
      <w:r>
        <w:rPr>
          <w:b/>
        </w:rPr>
        <w:t xml:space="preserve"> </w:t>
      </w:r>
      <w:r>
        <w:t>[press release], available from their website at &lt;</w:t>
      </w:r>
      <w:r w:rsidRPr="00ED70C2">
        <w:t>https://www.ihrec.ie/discrimination-against-people-with-disabilities-in-employment-a-persistent-and-pernicious-roadblock-to-workers-dignity-and-inclusion/</w:t>
      </w:r>
      <w:r>
        <w:t>&gt;.</w:t>
      </w:r>
    </w:p>
  </w:footnote>
  <w:footnote w:id="297">
    <w:p w14:paraId="17787D07" w14:textId="18E2E677" w:rsidR="009707C2" w:rsidRDefault="009707C2">
      <w:pPr>
        <w:pStyle w:val="FootnoteText"/>
      </w:pPr>
      <w:r>
        <w:rPr>
          <w:rStyle w:val="FootnoteReference"/>
        </w:rPr>
        <w:footnoteRef/>
      </w:r>
      <w:r>
        <w:t xml:space="preserve"> The Department of Justice and Equality has committed to undertaking such a campaign as part of the Comprehensive Employment Strategy. </w:t>
      </w:r>
      <w:r w:rsidRPr="0040253D">
        <w:t xml:space="preserve">Government of Ireland (2019) </w:t>
      </w:r>
      <w:r w:rsidRPr="0040253D">
        <w:rPr>
          <w:b/>
        </w:rPr>
        <w:t>Comprehensive Employment Strategy:</w:t>
      </w:r>
      <w:r>
        <w:rPr>
          <w:b/>
        </w:rPr>
        <w:t xml:space="preserve"> Phase T</w:t>
      </w:r>
      <w:r w:rsidRPr="0040253D">
        <w:rPr>
          <w:b/>
        </w:rPr>
        <w:t>wo Action Plan 2019-2021</w:t>
      </w:r>
      <w:r w:rsidRPr="0040253D">
        <w:t>, Dublin: Stationery Office, p.</w:t>
      </w:r>
      <w:r>
        <w:t>35</w:t>
      </w:r>
      <w:r w:rsidRPr="0040253D">
        <w:t>.</w:t>
      </w:r>
    </w:p>
  </w:footnote>
  <w:footnote w:id="298">
    <w:p w14:paraId="09F6BE1A" w14:textId="18E15D7A" w:rsidR="009707C2" w:rsidRDefault="009707C2">
      <w:pPr>
        <w:pStyle w:val="FootnoteText"/>
      </w:pPr>
      <w:r>
        <w:rPr>
          <w:rStyle w:val="FootnoteReference"/>
        </w:rPr>
        <w:footnoteRef/>
      </w:r>
      <w:r>
        <w:t xml:space="preserve"> The Wage Subsidy Scheme was last reviewed in 2016. </w:t>
      </w:r>
      <w:r w:rsidRPr="00E51619">
        <w:t>Minister of State at the Department of Employment Affairs and Social Protection, the Department of Justice and Equality and the Department of Health with special responsibility for Disability Issues</w:t>
      </w:r>
      <w:r>
        <w:t xml:space="preserve">, </w:t>
      </w:r>
      <w:r w:rsidRPr="0068751E">
        <w:t xml:space="preserve">Finian McGrath TD, </w:t>
      </w:r>
      <w:r w:rsidRPr="0068751E">
        <w:rPr>
          <w:b/>
        </w:rPr>
        <w:t>Parliamentary Que</w:t>
      </w:r>
      <w:r>
        <w:rPr>
          <w:b/>
        </w:rPr>
        <w:t>stion, 4 December 2018, 50433</w:t>
      </w:r>
      <w:r w:rsidRPr="0068751E">
        <w:rPr>
          <w:b/>
        </w:rPr>
        <w:t>/18</w:t>
      </w:r>
      <w:r>
        <w:rPr>
          <w: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2"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3"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4" w15:restartNumberingAfterBreak="0">
    <w:nsid w:val="FFFFFF88"/>
    <w:multiLevelType w:val="multilevel"/>
    <w:tmpl w:val="A11C3FD6"/>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FFFFFF89"/>
    <w:multiLevelType w:val="singleLevel"/>
    <w:tmpl w:val="E4089A26"/>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6" w15:restartNumberingAfterBreak="0">
    <w:nsid w:val="028C56C0"/>
    <w:multiLevelType w:val="hybridMultilevel"/>
    <w:tmpl w:val="7BE0D5EA"/>
    <w:lvl w:ilvl="0" w:tplc="18090017">
      <w:start w:val="1"/>
      <w:numFmt w:val="lowerLetter"/>
      <w:lvlText w:val="%1)"/>
      <w:lvlJc w:val="left"/>
      <w:pPr>
        <w:ind w:left="795" w:hanging="360"/>
      </w:pPr>
    </w:lvl>
    <w:lvl w:ilvl="1" w:tplc="18090019" w:tentative="1">
      <w:start w:val="1"/>
      <w:numFmt w:val="lowerLetter"/>
      <w:lvlText w:val="%2."/>
      <w:lvlJc w:val="left"/>
      <w:pPr>
        <w:ind w:left="1515" w:hanging="360"/>
      </w:pPr>
    </w:lvl>
    <w:lvl w:ilvl="2" w:tplc="1809001B" w:tentative="1">
      <w:start w:val="1"/>
      <w:numFmt w:val="lowerRoman"/>
      <w:lvlText w:val="%3."/>
      <w:lvlJc w:val="right"/>
      <w:pPr>
        <w:ind w:left="2235" w:hanging="180"/>
      </w:pPr>
    </w:lvl>
    <w:lvl w:ilvl="3" w:tplc="1809000F" w:tentative="1">
      <w:start w:val="1"/>
      <w:numFmt w:val="decimal"/>
      <w:lvlText w:val="%4."/>
      <w:lvlJc w:val="left"/>
      <w:pPr>
        <w:ind w:left="2955" w:hanging="360"/>
      </w:pPr>
    </w:lvl>
    <w:lvl w:ilvl="4" w:tplc="18090019" w:tentative="1">
      <w:start w:val="1"/>
      <w:numFmt w:val="lowerLetter"/>
      <w:lvlText w:val="%5."/>
      <w:lvlJc w:val="left"/>
      <w:pPr>
        <w:ind w:left="3675" w:hanging="360"/>
      </w:pPr>
    </w:lvl>
    <w:lvl w:ilvl="5" w:tplc="1809001B" w:tentative="1">
      <w:start w:val="1"/>
      <w:numFmt w:val="lowerRoman"/>
      <w:lvlText w:val="%6."/>
      <w:lvlJc w:val="right"/>
      <w:pPr>
        <w:ind w:left="4395" w:hanging="180"/>
      </w:pPr>
    </w:lvl>
    <w:lvl w:ilvl="6" w:tplc="1809000F" w:tentative="1">
      <w:start w:val="1"/>
      <w:numFmt w:val="decimal"/>
      <w:lvlText w:val="%7."/>
      <w:lvlJc w:val="left"/>
      <w:pPr>
        <w:ind w:left="5115" w:hanging="360"/>
      </w:pPr>
    </w:lvl>
    <w:lvl w:ilvl="7" w:tplc="18090019" w:tentative="1">
      <w:start w:val="1"/>
      <w:numFmt w:val="lowerLetter"/>
      <w:lvlText w:val="%8."/>
      <w:lvlJc w:val="left"/>
      <w:pPr>
        <w:ind w:left="5835" w:hanging="360"/>
      </w:pPr>
    </w:lvl>
    <w:lvl w:ilvl="8" w:tplc="1809001B" w:tentative="1">
      <w:start w:val="1"/>
      <w:numFmt w:val="lowerRoman"/>
      <w:lvlText w:val="%9."/>
      <w:lvlJc w:val="right"/>
      <w:pPr>
        <w:ind w:left="6555" w:hanging="180"/>
      </w:pPr>
    </w:lvl>
  </w:abstractNum>
  <w:abstractNum w:abstractNumId="7" w15:restartNumberingAfterBreak="0">
    <w:nsid w:val="07EA4E95"/>
    <w:multiLevelType w:val="hybridMultilevel"/>
    <w:tmpl w:val="BCBAD7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35C51D5"/>
    <w:multiLevelType w:val="hybridMultilevel"/>
    <w:tmpl w:val="5DFE5D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9B97844"/>
    <w:multiLevelType w:val="hybridMultilevel"/>
    <w:tmpl w:val="1FF6A13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2301A9F"/>
    <w:multiLevelType w:val="hybridMultilevel"/>
    <w:tmpl w:val="F63E3C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35F7C9B"/>
    <w:multiLevelType w:val="hybridMultilevel"/>
    <w:tmpl w:val="448AF7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B8058E9"/>
    <w:multiLevelType w:val="hybridMultilevel"/>
    <w:tmpl w:val="682CEDF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EB962C5"/>
    <w:multiLevelType w:val="hybridMultilevel"/>
    <w:tmpl w:val="C28E4F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F536A01"/>
    <w:multiLevelType w:val="hybridMultilevel"/>
    <w:tmpl w:val="5DF4D28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8DC2A5C"/>
    <w:multiLevelType w:val="hybridMultilevel"/>
    <w:tmpl w:val="6B6808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BBC1458"/>
    <w:multiLevelType w:val="hybridMultilevel"/>
    <w:tmpl w:val="6B6808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D210226"/>
    <w:multiLevelType w:val="hybridMultilevel"/>
    <w:tmpl w:val="E51E4E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DC8055F"/>
    <w:multiLevelType w:val="multilevel"/>
    <w:tmpl w:val="876CA298"/>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6"/>
  </w:num>
  <w:num w:numId="8">
    <w:abstractNumId w:val="16"/>
  </w:num>
  <w:num w:numId="9">
    <w:abstractNumId w:val="11"/>
  </w:num>
  <w:num w:numId="10">
    <w:abstractNumId w:val="4"/>
    <w:lvlOverride w:ilvl="0">
      <w:startOverride w:val="1"/>
    </w:lvlOverride>
  </w:num>
  <w:num w:numId="11">
    <w:abstractNumId w:val="4"/>
    <w:lvlOverride w:ilvl="0">
      <w:startOverride w:val="1"/>
    </w:lvlOverride>
  </w:num>
  <w:num w:numId="12">
    <w:abstractNumId w:val="15"/>
  </w:num>
  <w:num w:numId="13">
    <w:abstractNumId w:val="4"/>
  </w:num>
  <w:num w:numId="14">
    <w:abstractNumId w:val="4"/>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17"/>
  </w:num>
  <w:num w:numId="20">
    <w:abstractNumId w:val="14"/>
  </w:num>
  <w:num w:numId="21">
    <w:abstractNumId w:val="4"/>
  </w:num>
  <w:num w:numId="22">
    <w:abstractNumId w:val="4"/>
  </w:num>
  <w:num w:numId="23">
    <w:abstractNumId w:val="18"/>
  </w:num>
  <w:num w:numId="24">
    <w:abstractNumId w:val="13"/>
  </w:num>
  <w:num w:numId="25">
    <w:abstractNumId w:val="10"/>
  </w:num>
  <w:num w:numId="26">
    <w:abstractNumId w:val="12"/>
  </w:num>
  <w:num w:numId="27">
    <w:abstractNumId w:val="8"/>
  </w:num>
  <w:num w:numId="28">
    <w:abstractNumId w:val="9"/>
  </w:num>
  <w:num w:numId="29">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99"/>
    <w:rsid w:val="0000160D"/>
    <w:rsid w:val="00001854"/>
    <w:rsid w:val="00007D35"/>
    <w:rsid w:val="00016BCA"/>
    <w:rsid w:val="00021451"/>
    <w:rsid w:val="00025EB8"/>
    <w:rsid w:val="00026289"/>
    <w:rsid w:val="0002734F"/>
    <w:rsid w:val="0003105A"/>
    <w:rsid w:val="000314D7"/>
    <w:rsid w:val="00031823"/>
    <w:rsid w:val="00035DCD"/>
    <w:rsid w:val="00035F32"/>
    <w:rsid w:val="00037C18"/>
    <w:rsid w:val="00041566"/>
    <w:rsid w:val="00043185"/>
    <w:rsid w:val="00043856"/>
    <w:rsid w:val="00043BB7"/>
    <w:rsid w:val="000503FA"/>
    <w:rsid w:val="00051A37"/>
    <w:rsid w:val="00051A5F"/>
    <w:rsid w:val="00054BA7"/>
    <w:rsid w:val="00055006"/>
    <w:rsid w:val="00057B52"/>
    <w:rsid w:val="00061FFC"/>
    <w:rsid w:val="0006282E"/>
    <w:rsid w:val="00064280"/>
    <w:rsid w:val="0006639F"/>
    <w:rsid w:val="00067C04"/>
    <w:rsid w:val="00070194"/>
    <w:rsid w:val="00070CC1"/>
    <w:rsid w:val="00072126"/>
    <w:rsid w:val="00073225"/>
    <w:rsid w:val="00075C3C"/>
    <w:rsid w:val="00076680"/>
    <w:rsid w:val="00077D70"/>
    <w:rsid w:val="000808EA"/>
    <w:rsid w:val="000874D0"/>
    <w:rsid w:val="000876E1"/>
    <w:rsid w:val="00090097"/>
    <w:rsid w:val="00093D3A"/>
    <w:rsid w:val="00095242"/>
    <w:rsid w:val="00097509"/>
    <w:rsid w:val="000A092B"/>
    <w:rsid w:val="000A0BAB"/>
    <w:rsid w:val="000A1D27"/>
    <w:rsid w:val="000A2948"/>
    <w:rsid w:val="000A6D0E"/>
    <w:rsid w:val="000A6FEB"/>
    <w:rsid w:val="000A7234"/>
    <w:rsid w:val="000A7890"/>
    <w:rsid w:val="000A7AA2"/>
    <w:rsid w:val="000B0221"/>
    <w:rsid w:val="000B1101"/>
    <w:rsid w:val="000B2C74"/>
    <w:rsid w:val="000B34C4"/>
    <w:rsid w:val="000B3CEB"/>
    <w:rsid w:val="000B40FF"/>
    <w:rsid w:val="000B470E"/>
    <w:rsid w:val="000B5089"/>
    <w:rsid w:val="000B654D"/>
    <w:rsid w:val="000B6684"/>
    <w:rsid w:val="000B6A1E"/>
    <w:rsid w:val="000B6C87"/>
    <w:rsid w:val="000B7229"/>
    <w:rsid w:val="000B7FC1"/>
    <w:rsid w:val="000C07CB"/>
    <w:rsid w:val="000C0D29"/>
    <w:rsid w:val="000C0DF4"/>
    <w:rsid w:val="000C15DE"/>
    <w:rsid w:val="000C295E"/>
    <w:rsid w:val="000C3272"/>
    <w:rsid w:val="000C3D82"/>
    <w:rsid w:val="000C4532"/>
    <w:rsid w:val="000C5055"/>
    <w:rsid w:val="000C60DD"/>
    <w:rsid w:val="000D0320"/>
    <w:rsid w:val="000D0423"/>
    <w:rsid w:val="000D4060"/>
    <w:rsid w:val="000D437B"/>
    <w:rsid w:val="000E0FDF"/>
    <w:rsid w:val="000E110C"/>
    <w:rsid w:val="000E241D"/>
    <w:rsid w:val="000E273D"/>
    <w:rsid w:val="000E284B"/>
    <w:rsid w:val="000E2906"/>
    <w:rsid w:val="000E5291"/>
    <w:rsid w:val="000E56FF"/>
    <w:rsid w:val="000F042E"/>
    <w:rsid w:val="000F08D5"/>
    <w:rsid w:val="000F401C"/>
    <w:rsid w:val="000F4162"/>
    <w:rsid w:val="000F443D"/>
    <w:rsid w:val="000F5A33"/>
    <w:rsid w:val="000F6785"/>
    <w:rsid w:val="000F7C06"/>
    <w:rsid w:val="0010379F"/>
    <w:rsid w:val="00104F83"/>
    <w:rsid w:val="0010533A"/>
    <w:rsid w:val="0010635C"/>
    <w:rsid w:val="00107521"/>
    <w:rsid w:val="00110594"/>
    <w:rsid w:val="00112216"/>
    <w:rsid w:val="00112E7A"/>
    <w:rsid w:val="00113EBF"/>
    <w:rsid w:val="001164D5"/>
    <w:rsid w:val="00120838"/>
    <w:rsid w:val="00121108"/>
    <w:rsid w:val="00122B42"/>
    <w:rsid w:val="0012656A"/>
    <w:rsid w:val="00127CDC"/>
    <w:rsid w:val="00130489"/>
    <w:rsid w:val="001306E2"/>
    <w:rsid w:val="00130DFC"/>
    <w:rsid w:val="00131802"/>
    <w:rsid w:val="001336DB"/>
    <w:rsid w:val="0013421A"/>
    <w:rsid w:val="00135A06"/>
    <w:rsid w:val="00135B87"/>
    <w:rsid w:val="00135E9B"/>
    <w:rsid w:val="00137DE1"/>
    <w:rsid w:val="00140D07"/>
    <w:rsid w:val="00140D9C"/>
    <w:rsid w:val="00143AE5"/>
    <w:rsid w:val="00153A2A"/>
    <w:rsid w:val="00154DB3"/>
    <w:rsid w:val="00156C4E"/>
    <w:rsid w:val="0016009D"/>
    <w:rsid w:val="001642F6"/>
    <w:rsid w:val="0016439B"/>
    <w:rsid w:val="001652C2"/>
    <w:rsid w:val="00165589"/>
    <w:rsid w:val="0016628A"/>
    <w:rsid w:val="001715E1"/>
    <w:rsid w:val="0017406A"/>
    <w:rsid w:val="00174172"/>
    <w:rsid w:val="00174A7F"/>
    <w:rsid w:val="0017571D"/>
    <w:rsid w:val="00175EA1"/>
    <w:rsid w:val="00176BCE"/>
    <w:rsid w:val="00181CDE"/>
    <w:rsid w:val="00181FE6"/>
    <w:rsid w:val="00182226"/>
    <w:rsid w:val="001835E4"/>
    <w:rsid w:val="00183816"/>
    <w:rsid w:val="00184691"/>
    <w:rsid w:val="00186FB8"/>
    <w:rsid w:val="00190D10"/>
    <w:rsid w:val="00191290"/>
    <w:rsid w:val="00192243"/>
    <w:rsid w:val="00193A6A"/>
    <w:rsid w:val="0019405C"/>
    <w:rsid w:val="00194957"/>
    <w:rsid w:val="00195286"/>
    <w:rsid w:val="00195776"/>
    <w:rsid w:val="00197B14"/>
    <w:rsid w:val="001A1D32"/>
    <w:rsid w:val="001A5081"/>
    <w:rsid w:val="001A5893"/>
    <w:rsid w:val="001A6043"/>
    <w:rsid w:val="001B03F5"/>
    <w:rsid w:val="001B06E4"/>
    <w:rsid w:val="001B1B4C"/>
    <w:rsid w:val="001B3342"/>
    <w:rsid w:val="001B65E4"/>
    <w:rsid w:val="001C3C66"/>
    <w:rsid w:val="001C40A9"/>
    <w:rsid w:val="001C5975"/>
    <w:rsid w:val="001C72C7"/>
    <w:rsid w:val="001D034E"/>
    <w:rsid w:val="001D115E"/>
    <w:rsid w:val="001D254E"/>
    <w:rsid w:val="001D3F24"/>
    <w:rsid w:val="001D60C9"/>
    <w:rsid w:val="001D6689"/>
    <w:rsid w:val="001F1BD5"/>
    <w:rsid w:val="001F2DAD"/>
    <w:rsid w:val="001F4110"/>
    <w:rsid w:val="001F56D1"/>
    <w:rsid w:val="001F7EB9"/>
    <w:rsid w:val="002003BA"/>
    <w:rsid w:val="00201404"/>
    <w:rsid w:val="00203086"/>
    <w:rsid w:val="00203097"/>
    <w:rsid w:val="0020365A"/>
    <w:rsid w:val="0020489C"/>
    <w:rsid w:val="00204CDC"/>
    <w:rsid w:val="002108FA"/>
    <w:rsid w:val="002118C9"/>
    <w:rsid w:val="00211D80"/>
    <w:rsid w:val="00214243"/>
    <w:rsid w:val="00221B9F"/>
    <w:rsid w:val="00222845"/>
    <w:rsid w:val="0022319D"/>
    <w:rsid w:val="00223ECB"/>
    <w:rsid w:val="00224B19"/>
    <w:rsid w:val="002253D2"/>
    <w:rsid w:val="00227943"/>
    <w:rsid w:val="00231A04"/>
    <w:rsid w:val="00231DD9"/>
    <w:rsid w:val="002346AD"/>
    <w:rsid w:val="0023584A"/>
    <w:rsid w:val="00235DD2"/>
    <w:rsid w:val="00243DAD"/>
    <w:rsid w:val="002447EE"/>
    <w:rsid w:val="00245EAF"/>
    <w:rsid w:val="00252A7E"/>
    <w:rsid w:val="002539EB"/>
    <w:rsid w:val="00255085"/>
    <w:rsid w:val="00257FA7"/>
    <w:rsid w:val="00260ED0"/>
    <w:rsid w:val="002624AB"/>
    <w:rsid w:val="00264811"/>
    <w:rsid w:val="00264EA5"/>
    <w:rsid w:val="0026586A"/>
    <w:rsid w:val="002665FF"/>
    <w:rsid w:val="00267BFA"/>
    <w:rsid w:val="00267C6B"/>
    <w:rsid w:val="00270702"/>
    <w:rsid w:val="002707A9"/>
    <w:rsid w:val="002719B7"/>
    <w:rsid w:val="002731D4"/>
    <w:rsid w:val="002745A3"/>
    <w:rsid w:val="0027491F"/>
    <w:rsid w:val="00275F1E"/>
    <w:rsid w:val="002777EA"/>
    <w:rsid w:val="002803D7"/>
    <w:rsid w:val="00282D1A"/>
    <w:rsid w:val="0028444A"/>
    <w:rsid w:val="00284824"/>
    <w:rsid w:val="00285487"/>
    <w:rsid w:val="00287B8E"/>
    <w:rsid w:val="00290EA2"/>
    <w:rsid w:val="00291852"/>
    <w:rsid w:val="002926CC"/>
    <w:rsid w:val="002949DE"/>
    <w:rsid w:val="002966BB"/>
    <w:rsid w:val="00297179"/>
    <w:rsid w:val="002A119D"/>
    <w:rsid w:val="002A2338"/>
    <w:rsid w:val="002A2AA2"/>
    <w:rsid w:val="002A366C"/>
    <w:rsid w:val="002A54CC"/>
    <w:rsid w:val="002A5677"/>
    <w:rsid w:val="002A5CFA"/>
    <w:rsid w:val="002B19A6"/>
    <w:rsid w:val="002B1D7D"/>
    <w:rsid w:val="002B48CE"/>
    <w:rsid w:val="002C2468"/>
    <w:rsid w:val="002C256B"/>
    <w:rsid w:val="002C29E6"/>
    <w:rsid w:val="002C2E62"/>
    <w:rsid w:val="002C6F5F"/>
    <w:rsid w:val="002C75E6"/>
    <w:rsid w:val="002D0546"/>
    <w:rsid w:val="002D085C"/>
    <w:rsid w:val="002D2763"/>
    <w:rsid w:val="002D2A02"/>
    <w:rsid w:val="002D42E4"/>
    <w:rsid w:val="002D44E1"/>
    <w:rsid w:val="002D5E57"/>
    <w:rsid w:val="002D6100"/>
    <w:rsid w:val="002D654A"/>
    <w:rsid w:val="002E2CF2"/>
    <w:rsid w:val="002E48B0"/>
    <w:rsid w:val="002E4E46"/>
    <w:rsid w:val="002E664C"/>
    <w:rsid w:val="002E76D3"/>
    <w:rsid w:val="002E79DB"/>
    <w:rsid w:val="002F0640"/>
    <w:rsid w:val="002F2D45"/>
    <w:rsid w:val="002F31FA"/>
    <w:rsid w:val="002F3460"/>
    <w:rsid w:val="002F3A31"/>
    <w:rsid w:val="00302224"/>
    <w:rsid w:val="00302504"/>
    <w:rsid w:val="00306824"/>
    <w:rsid w:val="00307A93"/>
    <w:rsid w:val="00310DFC"/>
    <w:rsid w:val="00311222"/>
    <w:rsid w:val="00314E7A"/>
    <w:rsid w:val="00316D45"/>
    <w:rsid w:val="003170DA"/>
    <w:rsid w:val="003200B3"/>
    <w:rsid w:val="00321CDE"/>
    <w:rsid w:val="00322798"/>
    <w:rsid w:val="00323868"/>
    <w:rsid w:val="003243D6"/>
    <w:rsid w:val="00325547"/>
    <w:rsid w:val="00325A7D"/>
    <w:rsid w:val="0032638E"/>
    <w:rsid w:val="003279C8"/>
    <w:rsid w:val="003301BE"/>
    <w:rsid w:val="00331B35"/>
    <w:rsid w:val="00331FBE"/>
    <w:rsid w:val="00335A38"/>
    <w:rsid w:val="00340931"/>
    <w:rsid w:val="003420F3"/>
    <w:rsid w:val="00344F8B"/>
    <w:rsid w:val="00346617"/>
    <w:rsid w:val="003468BC"/>
    <w:rsid w:val="00346BBE"/>
    <w:rsid w:val="00346CED"/>
    <w:rsid w:val="003472B2"/>
    <w:rsid w:val="00347897"/>
    <w:rsid w:val="00347C8E"/>
    <w:rsid w:val="00352784"/>
    <w:rsid w:val="00352811"/>
    <w:rsid w:val="003537CC"/>
    <w:rsid w:val="0035402D"/>
    <w:rsid w:val="00354449"/>
    <w:rsid w:val="0035538A"/>
    <w:rsid w:val="003579AF"/>
    <w:rsid w:val="00357F54"/>
    <w:rsid w:val="00361311"/>
    <w:rsid w:val="00363C49"/>
    <w:rsid w:val="00365371"/>
    <w:rsid w:val="00366F2D"/>
    <w:rsid w:val="00370D21"/>
    <w:rsid w:val="00371B56"/>
    <w:rsid w:val="00374946"/>
    <w:rsid w:val="00374ED2"/>
    <w:rsid w:val="00375E0E"/>
    <w:rsid w:val="0037776B"/>
    <w:rsid w:val="00380074"/>
    <w:rsid w:val="00380AE4"/>
    <w:rsid w:val="00382A6C"/>
    <w:rsid w:val="00385846"/>
    <w:rsid w:val="00391A5C"/>
    <w:rsid w:val="00393143"/>
    <w:rsid w:val="00394E84"/>
    <w:rsid w:val="0039567E"/>
    <w:rsid w:val="003A1254"/>
    <w:rsid w:val="003A2261"/>
    <w:rsid w:val="003A2693"/>
    <w:rsid w:val="003A2CE3"/>
    <w:rsid w:val="003A38F6"/>
    <w:rsid w:val="003A44C8"/>
    <w:rsid w:val="003A6734"/>
    <w:rsid w:val="003A6F9D"/>
    <w:rsid w:val="003A7D08"/>
    <w:rsid w:val="003B1097"/>
    <w:rsid w:val="003B10EC"/>
    <w:rsid w:val="003B3254"/>
    <w:rsid w:val="003B62DE"/>
    <w:rsid w:val="003C1D92"/>
    <w:rsid w:val="003C29CA"/>
    <w:rsid w:val="003C354B"/>
    <w:rsid w:val="003C3C4B"/>
    <w:rsid w:val="003C5A15"/>
    <w:rsid w:val="003D0A2C"/>
    <w:rsid w:val="003D738F"/>
    <w:rsid w:val="003E1548"/>
    <w:rsid w:val="003E1D4A"/>
    <w:rsid w:val="003E430A"/>
    <w:rsid w:val="003E4A4E"/>
    <w:rsid w:val="003E4F1D"/>
    <w:rsid w:val="003E6194"/>
    <w:rsid w:val="003E63DA"/>
    <w:rsid w:val="003E7316"/>
    <w:rsid w:val="003F08E9"/>
    <w:rsid w:val="003F1D36"/>
    <w:rsid w:val="003F2B9A"/>
    <w:rsid w:val="003F664A"/>
    <w:rsid w:val="003F6BDC"/>
    <w:rsid w:val="00400842"/>
    <w:rsid w:val="004014FC"/>
    <w:rsid w:val="0040253D"/>
    <w:rsid w:val="00402EDA"/>
    <w:rsid w:val="0040549A"/>
    <w:rsid w:val="0041117A"/>
    <w:rsid w:val="00412EA1"/>
    <w:rsid w:val="00415E19"/>
    <w:rsid w:val="00415EBC"/>
    <w:rsid w:val="00415F4A"/>
    <w:rsid w:val="00416643"/>
    <w:rsid w:val="00417A84"/>
    <w:rsid w:val="004211ED"/>
    <w:rsid w:val="00421E9F"/>
    <w:rsid w:val="00422542"/>
    <w:rsid w:val="00423869"/>
    <w:rsid w:val="00424F17"/>
    <w:rsid w:val="00425162"/>
    <w:rsid w:val="004269F0"/>
    <w:rsid w:val="00427A39"/>
    <w:rsid w:val="0043293F"/>
    <w:rsid w:val="00433438"/>
    <w:rsid w:val="00433A46"/>
    <w:rsid w:val="0043534F"/>
    <w:rsid w:val="004356EC"/>
    <w:rsid w:val="00440AB1"/>
    <w:rsid w:val="00440E3A"/>
    <w:rsid w:val="00443E96"/>
    <w:rsid w:val="00444001"/>
    <w:rsid w:val="0044406A"/>
    <w:rsid w:val="0044475D"/>
    <w:rsid w:val="00447491"/>
    <w:rsid w:val="004510B3"/>
    <w:rsid w:val="0045124D"/>
    <w:rsid w:val="004512AE"/>
    <w:rsid w:val="004537B8"/>
    <w:rsid w:val="0045472D"/>
    <w:rsid w:val="0045476C"/>
    <w:rsid w:val="004566DD"/>
    <w:rsid w:val="00460834"/>
    <w:rsid w:val="00460D81"/>
    <w:rsid w:val="004615BA"/>
    <w:rsid w:val="00462A03"/>
    <w:rsid w:val="004655A7"/>
    <w:rsid w:val="004675F1"/>
    <w:rsid w:val="00470F15"/>
    <w:rsid w:val="0047147B"/>
    <w:rsid w:val="00472EED"/>
    <w:rsid w:val="00481B1F"/>
    <w:rsid w:val="00482934"/>
    <w:rsid w:val="00483DAF"/>
    <w:rsid w:val="004841EF"/>
    <w:rsid w:val="0048485D"/>
    <w:rsid w:val="00486A1E"/>
    <w:rsid w:val="00487999"/>
    <w:rsid w:val="00487A62"/>
    <w:rsid w:val="00490E18"/>
    <w:rsid w:val="00493397"/>
    <w:rsid w:val="004934C9"/>
    <w:rsid w:val="004A1221"/>
    <w:rsid w:val="004A2693"/>
    <w:rsid w:val="004A4265"/>
    <w:rsid w:val="004A4A76"/>
    <w:rsid w:val="004A511B"/>
    <w:rsid w:val="004A7561"/>
    <w:rsid w:val="004A7E2D"/>
    <w:rsid w:val="004B0FAD"/>
    <w:rsid w:val="004B1797"/>
    <w:rsid w:val="004B3801"/>
    <w:rsid w:val="004B4E47"/>
    <w:rsid w:val="004B63CD"/>
    <w:rsid w:val="004B701E"/>
    <w:rsid w:val="004B71B4"/>
    <w:rsid w:val="004C18CC"/>
    <w:rsid w:val="004C36B2"/>
    <w:rsid w:val="004C5836"/>
    <w:rsid w:val="004C5B86"/>
    <w:rsid w:val="004D1900"/>
    <w:rsid w:val="004D1916"/>
    <w:rsid w:val="004D5E8D"/>
    <w:rsid w:val="004D7BB1"/>
    <w:rsid w:val="004E083B"/>
    <w:rsid w:val="004E0C11"/>
    <w:rsid w:val="004E0CF3"/>
    <w:rsid w:val="004E1E8C"/>
    <w:rsid w:val="004E38C4"/>
    <w:rsid w:val="004E54C3"/>
    <w:rsid w:val="004E7020"/>
    <w:rsid w:val="004F1DBE"/>
    <w:rsid w:val="004F2D96"/>
    <w:rsid w:val="004F3A73"/>
    <w:rsid w:val="004F74CE"/>
    <w:rsid w:val="00500675"/>
    <w:rsid w:val="0050094A"/>
    <w:rsid w:val="0050151A"/>
    <w:rsid w:val="005025E7"/>
    <w:rsid w:val="0050265C"/>
    <w:rsid w:val="0050270E"/>
    <w:rsid w:val="00502BED"/>
    <w:rsid w:val="0050318A"/>
    <w:rsid w:val="005037B0"/>
    <w:rsid w:val="0050483C"/>
    <w:rsid w:val="00504B61"/>
    <w:rsid w:val="00505E01"/>
    <w:rsid w:val="00507170"/>
    <w:rsid w:val="00512F28"/>
    <w:rsid w:val="0051309A"/>
    <w:rsid w:val="005131D3"/>
    <w:rsid w:val="00513580"/>
    <w:rsid w:val="00513AC0"/>
    <w:rsid w:val="0051597A"/>
    <w:rsid w:val="00516A6F"/>
    <w:rsid w:val="00517921"/>
    <w:rsid w:val="005206AB"/>
    <w:rsid w:val="005221FA"/>
    <w:rsid w:val="00523183"/>
    <w:rsid w:val="005235A8"/>
    <w:rsid w:val="005237A1"/>
    <w:rsid w:val="005251F1"/>
    <w:rsid w:val="00527655"/>
    <w:rsid w:val="00531237"/>
    <w:rsid w:val="0053200A"/>
    <w:rsid w:val="00534013"/>
    <w:rsid w:val="0053635F"/>
    <w:rsid w:val="00536B99"/>
    <w:rsid w:val="005373C9"/>
    <w:rsid w:val="00537E14"/>
    <w:rsid w:val="005412DD"/>
    <w:rsid w:val="00541482"/>
    <w:rsid w:val="00545001"/>
    <w:rsid w:val="00545013"/>
    <w:rsid w:val="00550358"/>
    <w:rsid w:val="00550765"/>
    <w:rsid w:val="00551B42"/>
    <w:rsid w:val="00552A32"/>
    <w:rsid w:val="00560B89"/>
    <w:rsid w:val="00562CCE"/>
    <w:rsid w:val="005653A0"/>
    <w:rsid w:val="005654A6"/>
    <w:rsid w:val="00567B24"/>
    <w:rsid w:val="00567C19"/>
    <w:rsid w:val="0057301E"/>
    <w:rsid w:val="005744E4"/>
    <w:rsid w:val="00576098"/>
    <w:rsid w:val="00576BB7"/>
    <w:rsid w:val="00581F9D"/>
    <w:rsid w:val="00583803"/>
    <w:rsid w:val="00583F45"/>
    <w:rsid w:val="00586B03"/>
    <w:rsid w:val="00587238"/>
    <w:rsid w:val="00593447"/>
    <w:rsid w:val="00593F62"/>
    <w:rsid w:val="005960C7"/>
    <w:rsid w:val="005A05D8"/>
    <w:rsid w:val="005A0B7C"/>
    <w:rsid w:val="005A121E"/>
    <w:rsid w:val="005A2EB3"/>
    <w:rsid w:val="005B090C"/>
    <w:rsid w:val="005B13BD"/>
    <w:rsid w:val="005B6535"/>
    <w:rsid w:val="005C02C2"/>
    <w:rsid w:val="005C053C"/>
    <w:rsid w:val="005C1775"/>
    <w:rsid w:val="005C2FB0"/>
    <w:rsid w:val="005C5856"/>
    <w:rsid w:val="005C62D5"/>
    <w:rsid w:val="005D1545"/>
    <w:rsid w:val="005D3093"/>
    <w:rsid w:val="005D503A"/>
    <w:rsid w:val="005D6219"/>
    <w:rsid w:val="005D6E98"/>
    <w:rsid w:val="005E18C7"/>
    <w:rsid w:val="005E1DA6"/>
    <w:rsid w:val="005E2B83"/>
    <w:rsid w:val="005E2DE8"/>
    <w:rsid w:val="005E59B8"/>
    <w:rsid w:val="005F0E42"/>
    <w:rsid w:val="005F14BA"/>
    <w:rsid w:val="005F243C"/>
    <w:rsid w:val="005F2525"/>
    <w:rsid w:val="005F6301"/>
    <w:rsid w:val="005F6CA4"/>
    <w:rsid w:val="005F744A"/>
    <w:rsid w:val="00600A26"/>
    <w:rsid w:val="006010F2"/>
    <w:rsid w:val="0060255C"/>
    <w:rsid w:val="0060454C"/>
    <w:rsid w:val="0061315D"/>
    <w:rsid w:val="00615AA2"/>
    <w:rsid w:val="00616BAA"/>
    <w:rsid w:val="00616CA9"/>
    <w:rsid w:val="006170EE"/>
    <w:rsid w:val="00617E0C"/>
    <w:rsid w:val="00620740"/>
    <w:rsid w:val="0062194F"/>
    <w:rsid w:val="00622B6E"/>
    <w:rsid w:val="0062315F"/>
    <w:rsid w:val="00623D4B"/>
    <w:rsid w:val="006262DC"/>
    <w:rsid w:val="006272C6"/>
    <w:rsid w:val="00630CDD"/>
    <w:rsid w:val="006333BF"/>
    <w:rsid w:val="00633D19"/>
    <w:rsid w:val="0063419B"/>
    <w:rsid w:val="006349ED"/>
    <w:rsid w:val="00640665"/>
    <w:rsid w:val="0065104B"/>
    <w:rsid w:val="006511C1"/>
    <w:rsid w:val="0065125F"/>
    <w:rsid w:val="00652C24"/>
    <w:rsid w:val="006540D8"/>
    <w:rsid w:val="006540F5"/>
    <w:rsid w:val="006567FF"/>
    <w:rsid w:val="00657A3B"/>
    <w:rsid w:val="006616D8"/>
    <w:rsid w:val="00662A01"/>
    <w:rsid w:val="00663287"/>
    <w:rsid w:val="00665951"/>
    <w:rsid w:val="00670149"/>
    <w:rsid w:val="006711F8"/>
    <w:rsid w:val="006733B2"/>
    <w:rsid w:val="0067563E"/>
    <w:rsid w:val="006764C9"/>
    <w:rsid w:val="006824EE"/>
    <w:rsid w:val="00682AB9"/>
    <w:rsid w:val="006846B2"/>
    <w:rsid w:val="00684A1A"/>
    <w:rsid w:val="00685E04"/>
    <w:rsid w:val="00686754"/>
    <w:rsid w:val="00686B25"/>
    <w:rsid w:val="0068751E"/>
    <w:rsid w:val="00690393"/>
    <w:rsid w:val="00690A54"/>
    <w:rsid w:val="00693223"/>
    <w:rsid w:val="00693D0C"/>
    <w:rsid w:val="006967A5"/>
    <w:rsid w:val="00697A1E"/>
    <w:rsid w:val="00697ACA"/>
    <w:rsid w:val="006A35EE"/>
    <w:rsid w:val="006A3F02"/>
    <w:rsid w:val="006A4AE5"/>
    <w:rsid w:val="006A5ED7"/>
    <w:rsid w:val="006A650D"/>
    <w:rsid w:val="006A68D7"/>
    <w:rsid w:val="006B0DCD"/>
    <w:rsid w:val="006B1799"/>
    <w:rsid w:val="006B33D7"/>
    <w:rsid w:val="006B3801"/>
    <w:rsid w:val="006B5E5E"/>
    <w:rsid w:val="006B61B1"/>
    <w:rsid w:val="006B64D3"/>
    <w:rsid w:val="006B72AE"/>
    <w:rsid w:val="006B754B"/>
    <w:rsid w:val="006C0085"/>
    <w:rsid w:val="006C2D67"/>
    <w:rsid w:val="006C313D"/>
    <w:rsid w:val="006C498E"/>
    <w:rsid w:val="006C4A86"/>
    <w:rsid w:val="006C69FB"/>
    <w:rsid w:val="006D12F0"/>
    <w:rsid w:val="006D481A"/>
    <w:rsid w:val="006D4994"/>
    <w:rsid w:val="006E18CB"/>
    <w:rsid w:val="006E1B42"/>
    <w:rsid w:val="006E1D0D"/>
    <w:rsid w:val="006E2E21"/>
    <w:rsid w:val="006E3B6F"/>
    <w:rsid w:val="006E5D51"/>
    <w:rsid w:val="006E6F54"/>
    <w:rsid w:val="006F0F1F"/>
    <w:rsid w:val="006F2456"/>
    <w:rsid w:val="006F27D2"/>
    <w:rsid w:val="006F2AA6"/>
    <w:rsid w:val="006F42C4"/>
    <w:rsid w:val="006F7FFB"/>
    <w:rsid w:val="00701122"/>
    <w:rsid w:val="00702D44"/>
    <w:rsid w:val="007049A4"/>
    <w:rsid w:val="00704EED"/>
    <w:rsid w:val="00705EE2"/>
    <w:rsid w:val="0070685B"/>
    <w:rsid w:val="00706CC7"/>
    <w:rsid w:val="007101B8"/>
    <w:rsid w:val="0071052E"/>
    <w:rsid w:val="00712814"/>
    <w:rsid w:val="00713129"/>
    <w:rsid w:val="00713293"/>
    <w:rsid w:val="00714A01"/>
    <w:rsid w:val="00716D53"/>
    <w:rsid w:val="007235E1"/>
    <w:rsid w:val="00725DE6"/>
    <w:rsid w:val="007276C2"/>
    <w:rsid w:val="00732C7D"/>
    <w:rsid w:val="007332A6"/>
    <w:rsid w:val="007337B6"/>
    <w:rsid w:val="00735132"/>
    <w:rsid w:val="007368A7"/>
    <w:rsid w:val="00741592"/>
    <w:rsid w:val="00741595"/>
    <w:rsid w:val="007440AB"/>
    <w:rsid w:val="00744A61"/>
    <w:rsid w:val="007455E2"/>
    <w:rsid w:val="00746D47"/>
    <w:rsid w:val="00747F76"/>
    <w:rsid w:val="00753222"/>
    <w:rsid w:val="007537D8"/>
    <w:rsid w:val="0075393F"/>
    <w:rsid w:val="00753C45"/>
    <w:rsid w:val="0075794E"/>
    <w:rsid w:val="00757D00"/>
    <w:rsid w:val="00761662"/>
    <w:rsid w:val="00762D3C"/>
    <w:rsid w:val="007635FB"/>
    <w:rsid w:val="007655D5"/>
    <w:rsid w:val="00765C58"/>
    <w:rsid w:val="00767D85"/>
    <w:rsid w:val="00770B6A"/>
    <w:rsid w:val="00771624"/>
    <w:rsid w:val="00772760"/>
    <w:rsid w:val="00776CA2"/>
    <w:rsid w:val="00777093"/>
    <w:rsid w:val="00777FE9"/>
    <w:rsid w:val="0078157D"/>
    <w:rsid w:val="00781725"/>
    <w:rsid w:val="00782BAA"/>
    <w:rsid w:val="00786F89"/>
    <w:rsid w:val="0079057E"/>
    <w:rsid w:val="007932CE"/>
    <w:rsid w:val="00794C3D"/>
    <w:rsid w:val="0079504E"/>
    <w:rsid w:val="007959D7"/>
    <w:rsid w:val="007971DA"/>
    <w:rsid w:val="007A44AD"/>
    <w:rsid w:val="007A4FE7"/>
    <w:rsid w:val="007A50B5"/>
    <w:rsid w:val="007A565D"/>
    <w:rsid w:val="007A6399"/>
    <w:rsid w:val="007A7527"/>
    <w:rsid w:val="007B025B"/>
    <w:rsid w:val="007B38D6"/>
    <w:rsid w:val="007B3EE2"/>
    <w:rsid w:val="007B7B82"/>
    <w:rsid w:val="007C1D90"/>
    <w:rsid w:val="007C230B"/>
    <w:rsid w:val="007C3DDD"/>
    <w:rsid w:val="007C588F"/>
    <w:rsid w:val="007C58CA"/>
    <w:rsid w:val="007C7CFC"/>
    <w:rsid w:val="007D054E"/>
    <w:rsid w:val="007D2306"/>
    <w:rsid w:val="007D239E"/>
    <w:rsid w:val="007D4184"/>
    <w:rsid w:val="007D6167"/>
    <w:rsid w:val="007D6C77"/>
    <w:rsid w:val="007D7495"/>
    <w:rsid w:val="007E11C0"/>
    <w:rsid w:val="007E14E1"/>
    <w:rsid w:val="007E176F"/>
    <w:rsid w:val="007E26F2"/>
    <w:rsid w:val="007E2962"/>
    <w:rsid w:val="007E3450"/>
    <w:rsid w:val="007E4BD1"/>
    <w:rsid w:val="007F08E9"/>
    <w:rsid w:val="007F3436"/>
    <w:rsid w:val="007F6114"/>
    <w:rsid w:val="007F77B0"/>
    <w:rsid w:val="00803EB4"/>
    <w:rsid w:val="00805855"/>
    <w:rsid w:val="00805952"/>
    <w:rsid w:val="008074C4"/>
    <w:rsid w:val="008126C5"/>
    <w:rsid w:val="008143FF"/>
    <w:rsid w:val="00814EDD"/>
    <w:rsid w:val="0081620C"/>
    <w:rsid w:val="0081689A"/>
    <w:rsid w:val="0081777C"/>
    <w:rsid w:val="0082042B"/>
    <w:rsid w:val="008209D5"/>
    <w:rsid w:val="00820C30"/>
    <w:rsid w:val="00821F47"/>
    <w:rsid w:val="0082234B"/>
    <w:rsid w:val="00823C13"/>
    <w:rsid w:val="00824D04"/>
    <w:rsid w:val="00825EFC"/>
    <w:rsid w:val="008264BE"/>
    <w:rsid w:val="00826522"/>
    <w:rsid w:val="00831247"/>
    <w:rsid w:val="00831FA1"/>
    <w:rsid w:val="008322D3"/>
    <w:rsid w:val="00832306"/>
    <w:rsid w:val="0083547B"/>
    <w:rsid w:val="00835A4B"/>
    <w:rsid w:val="008364C4"/>
    <w:rsid w:val="0083653A"/>
    <w:rsid w:val="00836C9C"/>
    <w:rsid w:val="00837DEF"/>
    <w:rsid w:val="00845B43"/>
    <w:rsid w:val="00846BD8"/>
    <w:rsid w:val="00846DC3"/>
    <w:rsid w:val="0084728C"/>
    <w:rsid w:val="00847727"/>
    <w:rsid w:val="00851C34"/>
    <w:rsid w:val="008522D7"/>
    <w:rsid w:val="00852C0E"/>
    <w:rsid w:val="008556C5"/>
    <w:rsid w:val="00856100"/>
    <w:rsid w:val="00856E19"/>
    <w:rsid w:val="00857E8C"/>
    <w:rsid w:val="00861101"/>
    <w:rsid w:val="00862DF8"/>
    <w:rsid w:val="00863575"/>
    <w:rsid w:val="00864276"/>
    <w:rsid w:val="008648FD"/>
    <w:rsid w:val="008656B7"/>
    <w:rsid w:val="00865B7A"/>
    <w:rsid w:val="00865CC9"/>
    <w:rsid w:val="008700EA"/>
    <w:rsid w:val="00871D68"/>
    <w:rsid w:val="00874995"/>
    <w:rsid w:val="008756B2"/>
    <w:rsid w:val="0087721E"/>
    <w:rsid w:val="00883AED"/>
    <w:rsid w:val="00884CC1"/>
    <w:rsid w:val="00885EAF"/>
    <w:rsid w:val="00885FA4"/>
    <w:rsid w:val="008905CC"/>
    <w:rsid w:val="00894115"/>
    <w:rsid w:val="0089491A"/>
    <w:rsid w:val="0089592A"/>
    <w:rsid w:val="00895F3E"/>
    <w:rsid w:val="00896176"/>
    <w:rsid w:val="00896672"/>
    <w:rsid w:val="00897DD4"/>
    <w:rsid w:val="008A26DE"/>
    <w:rsid w:val="008A26DF"/>
    <w:rsid w:val="008A5BB1"/>
    <w:rsid w:val="008B0401"/>
    <w:rsid w:val="008B0528"/>
    <w:rsid w:val="008B1878"/>
    <w:rsid w:val="008B1CBC"/>
    <w:rsid w:val="008B4C94"/>
    <w:rsid w:val="008B69BF"/>
    <w:rsid w:val="008C0B44"/>
    <w:rsid w:val="008C0FAB"/>
    <w:rsid w:val="008C31E0"/>
    <w:rsid w:val="008C38B9"/>
    <w:rsid w:val="008C78E6"/>
    <w:rsid w:val="008D23A5"/>
    <w:rsid w:val="008D46FC"/>
    <w:rsid w:val="008D677E"/>
    <w:rsid w:val="008D7984"/>
    <w:rsid w:val="008D7A7D"/>
    <w:rsid w:val="008E2AEA"/>
    <w:rsid w:val="008E3D30"/>
    <w:rsid w:val="008E3EB4"/>
    <w:rsid w:val="008E43E7"/>
    <w:rsid w:val="008E5784"/>
    <w:rsid w:val="008E59FD"/>
    <w:rsid w:val="008E69A8"/>
    <w:rsid w:val="008E7631"/>
    <w:rsid w:val="008E7660"/>
    <w:rsid w:val="008F06C5"/>
    <w:rsid w:val="008F1152"/>
    <w:rsid w:val="008F16F8"/>
    <w:rsid w:val="008F29EC"/>
    <w:rsid w:val="008F3D95"/>
    <w:rsid w:val="008F5D10"/>
    <w:rsid w:val="008F7735"/>
    <w:rsid w:val="009014F5"/>
    <w:rsid w:val="009019DE"/>
    <w:rsid w:val="009040F9"/>
    <w:rsid w:val="009057EB"/>
    <w:rsid w:val="00905C69"/>
    <w:rsid w:val="00906949"/>
    <w:rsid w:val="00907F54"/>
    <w:rsid w:val="00911193"/>
    <w:rsid w:val="009115CA"/>
    <w:rsid w:val="00911A5F"/>
    <w:rsid w:val="009153A1"/>
    <w:rsid w:val="009213B2"/>
    <w:rsid w:val="009221B0"/>
    <w:rsid w:val="00922CE8"/>
    <w:rsid w:val="0092531B"/>
    <w:rsid w:val="0092706D"/>
    <w:rsid w:val="00931F63"/>
    <w:rsid w:val="00932FC9"/>
    <w:rsid w:val="0093361B"/>
    <w:rsid w:val="00933FE3"/>
    <w:rsid w:val="00934ECC"/>
    <w:rsid w:val="009372AC"/>
    <w:rsid w:val="00937AFE"/>
    <w:rsid w:val="00940156"/>
    <w:rsid w:val="009409DF"/>
    <w:rsid w:val="00940DB0"/>
    <w:rsid w:val="00945E9C"/>
    <w:rsid w:val="00946230"/>
    <w:rsid w:val="00947E4C"/>
    <w:rsid w:val="00947F71"/>
    <w:rsid w:val="00951E2B"/>
    <w:rsid w:val="00953202"/>
    <w:rsid w:val="00954B2E"/>
    <w:rsid w:val="009578CB"/>
    <w:rsid w:val="009606C1"/>
    <w:rsid w:val="00962268"/>
    <w:rsid w:val="009629CD"/>
    <w:rsid w:val="00964859"/>
    <w:rsid w:val="00964A15"/>
    <w:rsid w:val="0096775C"/>
    <w:rsid w:val="00967C43"/>
    <w:rsid w:val="009700FF"/>
    <w:rsid w:val="009707C2"/>
    <w:rsid w:val="00970CA1"/>
    <w:rsid w:val="00971F25"/>
    <w:rsid w:val="00973323"/>
    <w:rsid w:val="00973BFD"/>
    <w:rsid w:val="00973CBA"/>
    <w:rsid w:val="0097468E"/>
    <w:rsid w:val="0097586A"/>
    <w:rsid w:val="00976F39"/>
    <w:rsid w:val="00976F7F"/>
    <w:rsid w:val="00977494"/>
    <w:rsid w:val="009801DD"/>
    <w:rsid w:val="00980D98"/>
    <w:rsid w:val="00981D93"/>
    <w:rsid w:val="00982A7E"/>
    <w:rsid w:val="00986091"/>
    <w:rsid w:val="009871C4"/>
    <w:rsid w:val="00990383"/>
    <w:rsid w:val="0099408E"/>
    <w:rsid w:val="009A1D55"/>
    <w:rsid w:val="009A26C0"/>
    <w:rsid w:val="009A543B"/>
    <w:rsid w:val="009A56F3"/>
    <w:rsid w:val="009A61BF"/>
    <w:rsid w:val="009A6BA1"/>
    <w:rsid w:val="009A7404"/>
    <w:rsid w:val="009A7FD0"/>
    <w:rsid w:val="009B0A49"/>
    <w:rsid w:val="009B0E4D"/>
    <w:rsid w:val="009B2CCE"/>
    <w:rsid w:val="009B2D37"/>
    <w:rsid w:val="009B7709"/>
    <w:rsid w:val="009C0D2C"/>
    <w:rsid w:val="009C3BD7"/>
    <w:rsid w:val="009C4D62"/>
    <w:rsid w:val="009C7954"/>
    <w:rsid w:val="009D56DF"/>
    <w:rsid w:val="009D659E"/>
    <w:rsid w:val="009D6D71"/>
    <w:rsid w:val="009D7A52"/>
    <w:rsid w:val="009E009B"/>
    <w:rsid w:val="009E0BC7"/>
    <w:rsid w:val="009E17DD"/>
    <w:rsid w:val="009E36AF"/>
    <w:rsid w:val="009F24E2"/>
    <w:rsid w:val="009F2FEA"/>
    <w:rsid w:val="009F5335"/>
    <w:rsid w:val="00A0015B"/>
    <w:rsid w:val="00A01331"/>
    <w:rsid w:val="00A01DCD"/>
    <w:rsid w:val="00A0224C"/>
    <w:rsid w:val="00A03528"/>
    <w:rsid w:val="00A05270"/>
    <w:rsid w:val="00A12DD4"/>
    <w:rsid w:val="00A1491F"/>
    <w:rsid w:val="00A17B37"/>
    <w:rsid w:val="00A202A9"/>
    <w:rsid w:val="00A2186E"/>
    <w:rsid w:val="00A24939"/>
    <w:rsid w:val="00A25A69"/>
    <w:rsid w:val="00A2624A"/>
    <w:rsid w:val="00A268FD"/>
    <w:rsid w:val="00A26C05"/>
    <w:rsid w:val="00A30629"/>
    <w:rsid w:val="00A30732"/>
    <w:rsid w:val="00A310A5"/>
    <w:rsid w:val="00A33D73"/>
    <w:rsid w:val="00A3401A"/>
    <w:rsid w:val="00A34144"/>
    <w:rsid w:val="00A357E2"/>
    <w:rsid w:val="00A37D33"/>
    <w:rsid w:val="00A401BF"/>
    <w:rsid w:val="00A40916"/>
    <w:rsid w:val="00A419AD"/>
    <w:rsid w:val="00A433AE"/>
    <w:rsid w:val="00A4367D"/>
    <w:rsid w:val="00A44C3F"/>
    <w:rsid w:val="00A5023C"/>
    <w:rsid w:val="00A51B68"/>
    <w:rsid w:val="00A533F1"/>
    <w:rsid w:val="00A564A6"/>
    <w:rsid w:val="00A57D6E"/>
    <w:rsid w:val="00A60322"/>
    <w:rsid w:val="00A6043A"/>
    <w:rsid w:val="00A60E28"/>
    <w:rsid w:val="00A6113B"/>
    <w:rsid w:val="00A617BC"/>
    <w:rsid w:val="00A644AF"/>
    <w:rsid w:val="00A65D3C"/>
    <w:rsid w:val="00A6785B"/>
    <w:rsid w:val="00A67E95"/>
    <w:rsid w:val="00A75A14"/>
    <w:rsid w:val="00A76448"/>
    <w:rsid w:val="00A77351"/>
    <w:rsid w:val="00A80CD6"/>
    <w:rsid w:val="00A8183A"/>
    <w:rsid w:val="00A818DB"/>
    <w:rsid w:val="00A81F75"/>
    <w:rsid w:val="00A83486"/>
    <w:rsid w:val="00A861D7"/>
    <w:rsid w:val="00A86465"/>
    <w:rsid w:val="00A867A5"/>
    <w:rsid w:val="00A90C7C"/>
    <w:rsid w:val="00A93916"/>
    <w:rsid w:val="00A939F9"/>
    <w:rsid w:val="00A93A53"/>
    <w:rsid w:val="00A941E8"/>
    <w:rsid w:val="00A94A40"/>
    <w:rsid w:val="00A95A4F"/>
    <w:rsid w:val="00A9662E"/>
    <w:rsid w:val="00A97432"/>
    <w:rsid w:val="00AA042D"/>
    <w:rsid w:val="00AA2C29"/>
    <w:rsid w:val="00AA2EA5"/>
    <w:rsid w:val="00AA58AE"/>
    <w:rsid w:val="00AA66F2"/>
    <w:rsid w:val="00AA69E3"/>
    <w:rsid w:val="00AB0EC2"/>
    <w:rsid w:val="00AB1425"/>
    <w:rsid w:val="00AB1EA3"/>
    <w:rsid w:val="00AB2C62"/>
    <w:rsid w:val="00AB3B02"/>
    <w:rsid w:val="00AB505A"/>
    <w:rsid w:val="00AB55B4"/>
    <w:rsid w:val="00AB57F5"/>
    <w:rsid w:val="00AB7BD0"/>
    <w:rsid w:val="00AC46B0"/>
    <w:rsid w:val="00AC7CEE"/>
    <w:rsid w:val="00AC7DD1"/>
    <w:rsid w:val="00AD03DC"/>
    <w:rsid w:val="00AD08D9"/>
    <w:rsid w:val="00AD1515"/>
    <w:rsid w:val="00AD1C2B"/>
    <w:rsid w:val="00AD4986"/>
    <w:rsid w:val="00AD526E"/>
    <w:rsid w:val="00AD6B31"/>
    <w:rsid w:val="00AD76B9"/>
    <w:rsid w:val="00AE0266"/>
    <w:rsid w:val="00AE3C49"/>
    <w:rsid w:val="00AE47BB"/>
    <w:rsid w:val="00AE6307"/>
    <w:rsid w:val="00AF04EE"/>
    <w:rsid w:val="00AF2CA1"/>
    <w:rsid w:val="00AF6923"/>
    <w:rsid w:val="00AF7A3C"/>
    <w:rsid w:val="00B0008E"/>
    <w:rsid w:val="00B0169E"/>
    <w:rsid w:val="00B024B0"/>
    <w:rsid w:val="00B02593"/>
    <w:rsid w:val="00B10FC5"/>
    <w:rsid w:val="00B139B2"/>
    <w:rsid w:val="00B14618"/>
    <w:rsid w:val="00B16E1D"/>
    <w:rsid w:val="00B2387C"/>
    <w:rsid w:val="00B26FDD"/>
    <w:rsid w:val="00B304B6"/>
    <w:rsid w:val="00B327CE"/>
    <w:rsid w:val="00B32FDB"/>
    <w:rsid w:val="00B34848"/>
    <w:rsid w:val="00B3539C"/>
    <w:rsid w:val="00B353D9"/>
    <w:rsid w:val="00B370A6"/>
    <w:rsid w:val="00B40CC0"/>
    <w:rsid w:val="00B42C40"/>
    <w:rsid w:val="00B46D89"/>
    <w:rsid w:val="00B4738F"/>
    <w:rsid w:val="00B50F0C"/>
    <w:rsid w:val="00B5264F"/>
    <w:rsid w:val="00B607CC"/>
    <w:rsid w:val="00B61D8E"/>
    <w:rsid w:val="00B65365"/>
    <w:rsid w:val="00B65517"/>
    <w:rsid w:val="00B65710"/>
    <w:rsid w:val="00B657D8"/>
    <w:rsid w:val="00B7088D"/>
    <w:rsid w:val="00B72726"/>
    <w:rsid w:val="00B72D5A"/>
    <w:rsid w:val="00B73F19"/>
    <w:rsid w:val="00B74E44"/>
    <w:rsid w:val="00B75AE1"/>
    <w:rsid w:val="00B76547"/>
    <w:rsid w:val="00B76929"/>
    <w:rsid w:val="00B769D1"/>
    <w:rsid w:val="00B77321"/>
    <w:rsid w:val="00B7772F"/>
    <w:rsid w:val="00B77823"/>
    <w:rsid w:val="00B77B10"/>
    <w:rsid w:val="00B77DD5"/>
    <w:rsid w:val="00B80EB9"/>
    <w:rsid w:val="00B80F65"/>
    <w:rsid w:val="00B82789"/>
    <w:rsid w:val="00B82C08"/>
    <w:rsid w:val="00B83391"/>
    <w:rsid w:val="00B84011"/>
    <w:rsid w:val="00B90F54"/>
    <w:rsid w:val="00B96CD8"/>
    <w:rsid w:val="00B97074"/>
    <w:rsid w:val="00B97343"/>
    <w:rsid w:val="00B9748A"/>
    <w:rsid w:val="00B979D7"/>
    <w:rsid w:val="00BA124F"/>
    <w:rsid w:val="00BA2579"/>
    <w:rsid w:val="00BA3AC0"/>
    <w:rsid w:val="00BA49E3"/>
    <w:rsid w:val="00BA5EDD"/>
    <w:rsid w:val="00BB123E"/>
    <w:rsid w:val="00BB62A5"/>
    <w:rsid w:val="00BB7C2F"/>
    <w:rsid w:val="00BC068E"/>
    <w:rsid w:val="00BC1215"/>
    <w:rsid w:val="00BC4F85"/>
    <w:rsid w:val="00BC74C2"/>
    <w:rsid w:val="00BD1878"/>
    <w:rsid w:val="00BD1E05"/>
    <w:rsid w:val="00BD7A7C"/>
    <w:rsid w:val="00BE34A3"/>
    <w:rsid w:val="00BE3DCC"/>
    <w:rsid w:val="00BE4D22"/>
    <w:rsid w:val="00BE4DD2"/>
    <w:rsid w:val="00BE5187"/>
    <w:rsid w:val="00BF20FF"/>
    <w:rsid w:val="00BF2CCB"/>
    <w:rsid w:val="00BF343F"/>
    <w:rsid w:val="00BF50F8"/>
    <w:rsid w:val="00BF64F5"/>
    <w:rsid w:val="00BF68DB"/>
    <w:rsid w:val="00BF69EF"/>
    <w:rsid w:val="00BF6B20"/>
    <w:rsid w:val="00BF75A9"/>
    <w:rsid w:val="00C00B0B"/>
    <w:rsid w:val="00C012B0"/>
    <w:rsid w:val="00C01C3C"/>
    <w:rsid w:val="00C02835"/>
    <w:rsid w:val="00C02876"/>
    <w:rsid w:val="00C03A62"/>
    <w:rsid w:val="00C03FD9"/>
    <w:rsid w:val="00C055FB"/>
    <w:rsid w:val="00C0649D"/>
    <w:rsid w:val="00C074D0"/>
    <w:rsid w:val="00C108F1"/>
    <w:rsid w:val="00C13094"/>
    <w:rsid w:val="00C138E7"/>
    <w:rsid w:val="00C13B4D"/>
    <w:rsid w:val="00C1402E"/>
    <w:rsid w:val="00C14EC3"/>
    <w:rsid w:val="00C154AE"/>
    <w:rsid w:val="00C15A29"/>
    <w:rsid w:val="00C1708C"/>
    <w:rsid w:val="00C206E8"/>
    <w:rsid w:val="00C211BD"/>
    <w:rsid w:val="00C21258"/>
    <w:rsid w:val="00C216B6"/>
    <w:rsid w:val="00C22951"/>
    <w:rsid w:val="00C2409D"/>
    <w:rsid w:val="00C2448E"/>
    <w:rsid w:val="00C248A9"/>
    <w:rsid w:val="00C264EB"/>
    <w:rsid w:val="00C30373"/>
    <w:rsid w:val="00C31765"/>
    <w:rsid w:val="00C32E98"/>
    <w:rsid w:val="00C343CE"/>
    <w:rsid w:val="00C351A8"/>
    <w:rsid w:val="00C35D37"/>
    <w:rsid w:val="00C35E92"/>
    <w:rsid w:val="00C37856"/>
    <w:rsid w:val="00C37B67"/>
    <w:rsid w:val="00C43A4C"/>
    <w:rsid w:val="00C45D16"/>
    <w:rsid w:val="00C4648A"/>
    <w:rsid w:val="00C51242"/>
    <w:rsid w:val="00C557F6"/>
    <w:rsid w:val="00C5581B"/>
    <w:rsid w:val="00C62785"/>
    <w:rsid w:val="00C63E79"/>
    <w:rsid w:val="00C645C6"/>
    <w:rsid w:val="00C6587E"/>
    <w:rsid w:val="00C66A52"/>
    <w:rsid w:val="00C7388B"/>
    <w:rsid w:val="00C73920"/>
    <w:rsid w:val="00C80002"/>
    <w:rsid w:val="00C817CA"/>
    <w:rsid w:val="00C83822"/>
    <w:rsid w:val="00C84FE8"/>
    <w:rsid w:val="00C867C9"/>
    <w:rsid w:val="00C86CB6"/>
    <w:rsid w:val="00C97AF7"/>
    <w:rsid w:val="00C97CEA"/>
    <w:rsid w:val="00CA0804"/>
    <w:rsid w:val="00CA1DE8"/>
    <w:rsid w:val="00CA2F52"/>
    <w:rsid w:val="00CA6E62"/>
    <w:rsid w:val="00CA77ED"/>
    <w:rsid w:val="00CB2601"/>
    <w:rsid w:val="00CB2F48"/>
    <w:rsid w:val="00CB34BE"/>
    <w:rsid w:val="00CB3A01"/>
    <w:rsid w:val="00CB4796"/>
    <w:rsid w:val="00CB4EC9"/>
    <w:rsid w:val="00CB5FFB"/>
    <w:rsid w:val="00CB71C6"/>
    <w:rsid w:val="00CB7FF5"/>
    <w:rsid w:val="00CC17DC"/>
    <w:rsid w:val="00CC2894"/>
    <w:rsid w:val="00CC4516"/>
    <w:rsid w:val="00CC4715"/>
    <w:rsid w:val="00CC7BE3"/>
    <w:rsid w:val="00CD0C66"/>
    <w:rsid w:val="00CD1B74"/>
    <w:rsid w:val="00CD475B"/>
    <w:rsid w:val="00CD4D33"/>
    <w:rsid w:val="00CD6B0C"/>
    <w:rsid w:val="00CD74E3"/>
    <w:rsid w:val="00CE15CD"/>
    <w:rsid w:val="00CE2B2D"/>
    <w:rsid w:val="00CE2D0A"/>
    <w:rsid w:val="00CE4244"/>
    <w:rsid w:val="00CE5EFA"/>
    <w:rsid w:val="00CE674A"/>
    <w:rsid w:val="00CE7B77"/>
    <w:rsid w:val="00CF1231"/>
    <w:rsid w:val="00CF12C7"/>
    <w:rsid w:val="00CF1705"/>
    <w:rsid w:val="00CF1B37"/>
    <w:rsid w:val="00CF4359"/>
    <w:rsid w:val="00CF504B"/>
    <w:rsid w:val="00D01052"/>
    <w:rsid w:val="00D05820"/>
    <w:rsid w:val="00D066DE"/>
    <w:rsid w:val="00D07345"/>
    <w:rsid w:val="00D119D3"/>
    <w:rsid w:val="00D13D44"/>
    <w:rsid w:val="00D172E2"/>
    <w:rsid w:val="00D17BEF"/>
    <w:rsid w:val="00D20497"/>
    <w:rsid w:val="00D205DB"/>
    <w:rsid w:val="00D217C6"/>
    <w:rsid w:val="00D24D05"/>
    <w:rsid w:val="00D34632"/>
    <w:rsid w:val="00D35C4E"/>
    <w:rsid w:val="00D361EE"/>
    <w:rsid w:val="00D42E9D"/>
    <w:rsid w:val="00D43B5E"/>
    <w:rsid w:val="00D4638F"/>
    <w:rsid w:val="00D605D9"/>
    <w:rsid w:val="00D60F59"/>
    <w:rsid w:val="00D61C9F"/>
    <w:rsid w:val="00D62D31"/>
    <w:rsid w:val="00D63FD0"/>
    <w:rsid w:val="00D66093"/>
    <w:rsid w:val="00D67172"/>
    <w:rsid w:val="00D673AC"/>
    <w:rsid w:val="00D700B7"/>
    <w:rsid w:val="00D70522"/>
    <w:rsid w:val="00D71639"/>
    <w:rsid w:val="00D770D8"/>
    <w:rsid w:val="00D771B2"/>
    <w:rsid w:val="00D80D5E"/>
    <w:rsid w:val="00D82EDF"/>
    <w:rsid w:val="00D83F99"/>
    <w:rsid w:val="00D85A16"/>
    <w:rsid w:val="00D90599"/>
    <w:rsid w:val="00D94C45"/>
    <w:rsid w:val="00D95F10"/>
    <w:rsid w:val="00DA0BE2"/>
    <w:rsid w:val="00DA7103"/>
    <w:rsid w:val="00DB1218"/>
    <w:rsid w:val="00DB1EC8"/>
    <w:rsid w:val="00DB568C"/>
    <w:rsid w:val="00DB5D76"/>
    <w:rsid w:val="00DB5E63"/>
    <w:rsid w:val="00DC0E1A"/>
    <w:rsid w:val="00DC0EE6"/>
    <w:rsid w:val="00DC2466"/>
    <w:rsid w:val="00DC24C3"/>
    <w:rsid w:val="00DC3E7C"/>
    <w:rsid w:val="00DC6B0C"/>
    <w:rsid w:val="00DC6DA1"/>
    <w:rsid w:val="00DD0E07"/>
    <w:rsid w:val="00DD48D2"/>
    <w:rsid w:val="00DD4938"/>
    <w:rsid w:val="00DE07DD"/>
    <w:rsid w:val="00DE475E"/>
    <w:rsid w:val="00DE47E3"/>
    <w:rsid w:val="00DE5795"/>
    <w:rsid w:val="00DE5D59"/>
    <w:rsid w:val="00DE7603"/>
    <w:rsid w:val="00DF00F3"/>
    <w:rsid w:val="00DF27E0"/>
    <w:rsid w:val="00DF28BE"/>
    <w:rsid w:val="00DF2DE8"/>
    <w:rsid w:val="00DF3459"/>
    <w:rsid w:val="00DF37E6"/>
    <w:rsid w:val="00DF3A69"/>
    <w:rsid w:val="00DF443C"/>
    <w:rsid w:val="00E014E2"/>
    <w:rsid w:val="00E01CBD"/>
    <w:rsid w:val="00E05912"/>
    <w:rsid w:val="00E071B2"/>
    <w:rsid w:val="00E07C87"/>
    <w:rsid w:val="00E113D9"/>
    <w:rsid w:val="00E12A58"/>
    <w:rsid w:val="00E13F31"/>
    <w:rsid w:val="00E1523D"/>
    <w:rsid w:val="00E21474"/>
    <w:rsid w:val="00E2150D"/>
    <w:rsid w:val="00E233B7"/>
    <w:rsid w:val="00E24771"/>
    <w:rsid w:val="00E262AD"/>
    <w:rsid w:val="00E2739F"/>
    <w:rsid w:val="00E304AC"/>
    <w:rsid w:val="00E35052"/>
    <w:rsid w:val="00E3519B"/>
    <w:rsid w:val="00E35947"/>
    <w:rsid w:val="00E36388"/>
    <w:rsid w:val="00E41D41"/>
    <w:rsid w:val="00E46CDC"/>
    <w:rsid w:val="00E473FF"/>
    <w:rsid w:val="00E51619"/>
    <w:rsid w:val="00E51A0D"/>
    <w:rsid w:val="00E5245E"/>
    <w:rsid w:val="00E573FF"/>
    <w:rsid w:val="00E630E8"/>
    <w:rsid w:val="00E6414D"/>
    <w:rsid w:val="00E64296"/>
    <w:rsid w:val="00E65265"/>
    <w:rsid w:val="00E672AF"/>
    <w:rsid w:val="00E677CE"/>
    <w:rsid w:val="00E67F2D"/>
    <w:rsid w:val="00E702E2"/>
    <w:rsid w:val="00E70BD9"/>
    <w:rsid w:val="00E74793"/>
    <w:rsid w:val="00E74AE7"/>
    <w:rsid w:val="00E762FA"/>
    <w:rsid w:val="00E773CB"/>
    <w:rsid w:val="00E7784F"/>
    <w:rsid w:val="00E811B8"/>
    <w:rsid w:val="00E85B2F"/>
    <w:rsid w:val="00E90A1A"/>
    <w:rsid w:val="00E9128F"/>
    <w:rsid w:val="00E91AD4"/>
    <w:rsid w:val="00E93418"/>
    <w:rsid w:val="00E96662"/>
    <w:rsid w:val="00E97CFC"/>
    <w:rsid w:val="00E97DB5"/>
    <w:rsid w:val="00EA092E"/>
    <w:rsid w:val="00EA336B"/>
    <w:rsid w:val="00EA638C"/>
    <w:rsid w:val="00EB0416"/>
    <w:rsid w:val="00EB1682"/>
    <w:rsid w:val="00EB2714"/>
    <w:rsid w:val="00EB3C44"/>
    <w:rsid w:val="00EB4927"/>
    <w:rsid w:val="00EB4A48"/>
    <w:rsid w:val="00EC01E3"/>
    <w:rsid w:val="00EC1793"/>
    <w:rsid w:val="00EC1F09"/>
    <w:rsid w:val="00EC2FA6"/>
    <w:rsid w:val="00EC6888"/>
    <w:rsid w:val="00EC6CE5"/>
    <w:rsid w:val="00EC74E9"/>
    <w:rsid w:val="00ED3817"/>
    <w:rsid w:val="00ED3F61"/>
    <w:rsid w:val="00ED5E42"/>
    <w:rsid w:val="00ED70C2"/>
    <w:rsid w:val="00EE36F9"/>
    <w:rsid w:val="00EE4A8B"/>
    <w:rsid w:val="00EE5BC0"/>
    <w:rsid w:val="00EE601F"/>
    <w:rsid w:val="00EF0FAF"/>
    <w:rsid w:val="00EF1854"/>
    <w:rsid w:val="00EF23D5"/>
    <w:rsid w:val="00EF56E6"/>
    <w:rsid w:val="00EF5E88"/>
    <w:rsid w:val="00EF7D51"/>
    <w:rsid w:val="00F001EC"/>
    <w:rsid w:val="00F02FDF"/>
    <w:rsid w:val="00F07BBC"/>
    <w:rsid w:val="00F1124B"/>
    <w:rsid w:val="00F128EA"/>
    <w:rsid w:val="00F12A99"/>
    <w:rsid w:val="00F13F84"/>
    <w:rsid w:val="00F15E85"/>
    <w:rsid w:val="00F209AB"/>
    <w:rsid w:val="00F2229C"/>
    <w:rsid w:val="00F2243D"/>
    <w:rsid w:val="00F27A56"/>
    <w:rsid w:val="00F31AEA"/>
    <w:rsid w:val="00F32D31"/>
    <w:rsid w:val="00F339B5"/>
    <w:rsid w:val="00F33F50"/>
    <w:rsid w:val="00F351D6"/>
    <w:rsid w:val="00F3565F"/>
    <w:rsid w:val="00F378F8"/>
    <w:rsid w:val="00F41096"/>
    <w:rsid w:val="00F417B3"/>
    <w:rsid w:val="00F44109"/>
    <w:rsid w:val="00F44320"/>
    <w:rsid w:val="00F46A27"/>
    <w:rsid w:val="00F4753F"/>
    <w:rsid w:val="00F47D21"/>
    <w:rsid w:val="00F50B29"/>
    <w:rsid w:val="00F51292"/>
    <w:rsid w:val="00F527C0"/>
    <w:rsid w:val="00F52819"/>
    <w:rsid w:val="00F53F25"/>
    <w:rsid w:val="00F561AA"/>
    <w:rsid w:val="00F567A7"/>
    <w:rsid w:val="00F57EB4"/>
    <w:rsid w:val="00F60AAB"/>
    <w:rsid w:val="00F623F4"/>
    <w:rsid w:val="00F629BC"/>
    <w:rsid w:val="00F637AA"/>
    <w:rsid w:val="00F63FDD"/>
    <w:rsid w:val="00F64153"/>
    <w:rsid w:val="00F66052"/>
    <w:rsid w:val="00F6613C"/>
    <w:rsid w:val="00F66531"/>
    <w:rsid w:val="00F66913"/>
    <w:rsid w:val="00F72095"/>
    <w:rsid w:val="00F73EC1"/>
    <w:rsid w:val="00F74F5C"/>
    <w:rsid w:val="00F75B07"/>
    <w:rsid w:val="00F77273"/>
    <w:rsid w:val="00F8041A"/>
    <w:rsid w:val="00F804B3"/>
    <w:rsid w:val="00F82030"/>
    <w:rsid w:val="00F84587"/>
    <w:rsid w:val="00F84767"/>
    <w:rsid w:val="00F84872"/>
    <w:rsid w:val="00F8520F"/>
    <w:rsid w:val="00F85D4C"/>
    <w:rsid w:val="00F86B7B"/>
    <w:rsid w:val="00F87428"/>
    <w:rsid w:val="00F92124"/>
    <w:rsid w:val="00F92A46"/>
    <w:rsid w:val="00F93F4F"/>
    <w:rsid w:val="00F9719B"/>
    <w:rsid w:val="00FA048A"/>
    <w:rsid w:val="00FA1905"/>
    <w:rsid w:val="00FA4B9B"/>
    <w:rsid w:val="00FB0AB0"/>
    <w:rsid w:val="00FB2B1A"/>
    <w:rsid w:val="00FB2DFD"/>
    <w:rsid w:val="00FB3962"/>
    <w:rsid w:val="00FB3A2E"/>
    <w:rsid w:val="00FB6254"/>
    <w:rsid w:val="00FB652F"/>
    <w:rsid w:val="00FB65B5"/>
    <w:rsid w:val="00FB6EC3"/>
    <w:rsid w:val="00FB797E"/>
    <w:rsid w:val="00FB7FC0"/>
    <w:rsid w:val="00FC3154"/>
    <w:rsid w:val="00FC3AC3"/>
    <w:rsid w:val="00FC667C"/>
    <w:rsid w:val="00FC706C"/>
    <w:rsid w:val="00FC7A97"/>
    <w:rsid w:val="00FD204E"/>
    <w:rsid w:val="00FD6FB5"/>
    <w:rsid w:val="00FD7393"/>
    <w:rsid w:val="00FD7423"/>
    <w:rsid w:val="00FD79BE"/>
    <w:rsid w:val="00FE09C3"/>
    <w:rsid w:val="00FE2982"/>
    <w:rsid w:val="00FE61F8"/>
    <w:rsid w:val="00FE6FFE"/>
    <w:rsid w:val="00FF13F9"/>
    <w:rsid w:val="00FF1BC8"/>
    <w:rsid w:val="00FF4DC0"/>
    <w:rsid w:val="00FF5A6E"/>
    <w:rsid w:val="00FF7002"/>
    <w:rsid w:val="00FF73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E00624"/>
  <w15:chartTrackingRefBased/>
  <w15:docId w15:val="{4012CD5A-9513-4D92-B2CE-61CA9638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096"/>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63419B"/>
    <w:pPr>
      <w:keepNext/>
      <w:keepLines/>
      <w:tabs>
        <w:tab w:val="right" w:leader="dot" w:pos="8630"/>
      </w:tab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1"/>
      </w:numPr>
      <w:spacing w:before="120" w:after="120"/>
    </w:pPr>
  </w:style>
  <w:style w:type="paragraph" w:styleId="ListBullet2">
    <w:name w:val="List Bullet 2"/>
    <w:basedOn w:val="Normal"/>
    <w:pPr>
      <w:numPr>
        <w:numId w:val="2"/>
      </w:numPr>
      <w:spacing w:before="60" w:after="60"/>
    </w:pPr>
  </w:style>
  <w:style w:type="paragraph" w:styleId="ListBullet3">
    <w:name w:val="List Bullet 3"/>
    <w:basedOn w:val="Normal"/>
    <w:pPr>
      <w:numPr>
        <w:numId w:val="3"/>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spacing w:after="120"/>
    </w:pPr>
  </w:style>
  <w:style w:type="paragraph" w:styleId="ListNumber2">
    <w:name w:val="List Number 2"/>
    <w:basedOn w:val="Normal"/>
    <w:pPr>
      <w:numPr>
        <w:numId w:val="5"/>
      </w:numPr>
      <w:tabs>
        <w:tab w:val="clear" w:pos="641"/>
        <w:tab w:val="num" w:pos="643"/>
      </w:tabs>
      <w:spacing w:before="60" w:after="60"/>
    </w:pPr>
  </w:style>
  <w:style w:type="paragraph" w:styleId="ListNumber3">
    <w:name w:val="List Number 3"/>
    <w:basedOn w:val="Normal"/>
    <w:pPr>
      <w:numPr>
        <w:numId w:val="6"/>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link w:val="FootnoteTextChar"/>
    <w:semiHidden/>
    <w:rsid w:val="00287B8E"/>
    <w:pPr>
      <w:spacing w:after="120"/>
    </w:pPr>
    <w:rPr>
      <w:sz w:val="22"/>
      <w:szCs w:val="20"/>
    </w:rPr>
  </w:style>
  <w:style w:type="paragraph" w:styleId="TOC2">
    <w:name w:val="toc 2"/>
    <w:basedOn w:val="Normal"/>
    <w:next w:val="Normal"/>
    <w:autoRedefine/>
    <w:uiPriority w:val="39"/>
    <w:rsid w:val="0089592A"/>
    <w:pPr>
      <w:keepLines/>
      <w:tabs>
        <w:tab w:val="right" w:leader="dot" w:pos="8630"/>
      </w:tabs>
      <w:spacing w:after="60"/>
      <w:ind w:left="261"/>
    </w:pPr>
    <w:rPr>
      <w:rFonts w:cs="Arial Bold"/>
      <w:bCs/>
      <w:iCs/>
      <w:noProof/>
    </w:r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styleId="BalloonText">
    <w:name w:val="Balloon Text"/>
    <w:basedOn w:val="Normal"/>
    <w:link w:val="BalloonTextChar"/>
    <w:rsid w:val="00536B99"/>
    <w:pPr>
      <w:spacing w:after="0"/>
    </w:pPr>
    <w:rPr>
      <w:rFonts w:ascii="Segoe UI" w:hAnsi="Segoe UI" w:cs="Segoe UI"/>
      <w:sz w:val="18"/>
      <w:szCs w:val="18"/>
    </w:rPr>
  </w:style>
  <w:style w:type="character" w:customStyle="1" w:styleId="BalloonTextChar">
    <w:name w:val="Balloon Text Char"/>
    <w:basedOn w:val="DefaultParagraphFont"/>
    <w:link w:val="BalloonText"/>
    <w:rsid w:val="00536B99"/>
    <w:rPr>
      <w:rFonts w:ascii="Segoe UI" w:eastAsia="Times New Roman" w:hAnsi="Segoe UI" w:cs="Segoe UI"/>
      <w:sz w:val="18"/>
      <w:szCs w:val="18"/>
      <w:lang w:eastAsia="en-US"/>
    </w:rPr>
  </w:style>
  <w:style w:type="paragraph" w:styleId="ListParagraph">
    <w:name w:val="List Paragraph"/>
    <w:basedOn w:val="Normal"/>
    <w:uiPriority w:val="34"/>
    <w:qFormat/>
    <w:rsid w:val="002D42E4"/>
    <w:pPr>
      <w:ind w:left="720"/>
      <w:contextualSpacing/>
    </w:pPr>
  </w:style>
  <w:style w:type="paragraph" w:styleId="TOCHeading">
    <w:name w:val="TOC Heading"/>
    <w:basedOn w:val="Heading1"/>
    <w:next w:val="Normal"/>
    <w:uiPriority w:val="39"/>
    <w:unhideWhenUsed/>
    <w:qFormat/>
    <w:rsid w:val="00400842"/>
    <w:pPr>
      <w:keepLines/>
      <w:pBdr>
        <w:top w:val="none" w:sz="0" w:space="0" w:color="auto"/>
        <w:left w:val="none" w:sz="0" w:space="0" w:color="auto"/>
        <w:bottom w:val="none" w:sz="0" w:space="0" w:color="auto"/>
        <w:right w:val="none" w:sz="0" w:space="0" w:color="auto"/>
      </w:pBdr>
      <w:spacing w:before="240" w:after="0" w:line="259" w:lineRule="auto"/>
      <w:ind w:left="0"/>
      <w:outlineLvl w:val="9"/>
    </w:pPr>
    <w:rPr>
      <w:rFonts w:asciiTheme="majorHAnsi" w:eastAsiaTheme="majorEastAsia" w:hAnsiTheme="majorHAnsi" w:cstheme="majorBidi"/>
      <w:b w:val="0"/>
      <w:bCs w:val="0"/>
      <w:color w:val="2E74B5" w:themeColor="accent1" w:themeShade="BF"/>
      <w:kern w:val="0"/>
      <w:lang w:val="en-US"/>
    </w:rPr>
  </w:style>
  <w:style w:type="paragraph" w:styleId="TOC3">
    <w:name w:val="toc 3"/>
    <w:basedOn w:val="Normal"/>
    <w:next w:val="Normal"/>
    <w:autoRedefine/>
    <w:uiPriority w:val="39"/>
    <w:rsid w:val="0093361B"/>
    <w:pPr>
      <w:tabs>
        <w:tab w:val="left" w:pos="1540"/>
        <w:tab w:val="right" w:leader="dot" w:pos="8630"/>
      </w:tabs>
      <w:spacing w:after="100"/>
      <w:ind w:left="520"/>
    </w:pPr>
    <w:rPr>
      <w:rFonts w:eastAsia="Calibri" w:cs="Arial Bold"/>
      <w:bCs/>
      <w:noProof/>
    </w:rPr>
  </w:style>
  <w:style w:type="character" w:styleId="CommentReference">
    <w:name w:val="annotation reference"/>
    <w:basedOn w:val="DefaultParagraphFont"/>
    <w:rsid w:val="00622B6E"/>
    <w:rPr>
      <w:sz w:val="16"/>
      <w:szCs w:val="16"/>
    </w:rPr>
  </w:style>
  <w:style w:type="paragraph" w:styleId="CommentSubject">
    <w:name w:val="annotation subject"/>
    <w:basedOn w:val="CommentText"/>
    <w:next w:val="CommentText"/>
    <w:link w:val="CommentSubjectChar"/>
    <w:rsid w:val="00622B6E"/>
    <w:rPr>
      <w:rFonts w:ascii="Gill Sans MT" w:hAnsi="Gill Sans MT"/>
      <w:b/>
      <w:bCs/>
      <w:szCs w:val="20"/>
      <w:lang w:val="en-IE"/>
    </w:rPr>
  </w:style>
  <w:style w:type="character" w:customStyle="1" w:styleId="CommentSubjectChar">
    <w:name w:val="Comment Subject Char"/>
    <w:basedOn w:val="CommentTextChar"/>
    <w:link w:val="CommentSubject"/>
    <w:rsid w:val="00622B6E"/>
    <w:rPr>
      <w:rFonts w:ascii="Gill Sans MT" w:eastAsia="Times New Roman" w:hAnsi="Gill Sans MT"/>
      <w:b/>
      <w:bCs/>
      <w:szCs w:val="24"/>
      <w:lang w:eastAsia="en-US"/>
    </w:rPr>
  </w:style>
  <w:style w:type="paragraph" w:styleId="NormalWeb">
    <w:name w:val="Normal (Web)"/>
    <w:basedOn w:val="Normal"/>
    <w:rsid w:val="006B72AE"/>
    <w:rPr>
      <w:rFonts w:ascii="Times New Roman" w:hAnsi="Times New Roman"/>
      <w:sz w:val="24"/>
    </w:rPr>
  </w:style>
  <w:style w:type="character" w:customStyle="1" w:styleId="FootnoteTextChar">
    <w:name w:val="Footnote Text Char"/>
    <w:basedOn w:val="DefaultParagraphFont"/>
    <w:link w:val="FootnoteText"/>
    <w:semiHidden/>
    <w:rsid w:val="00F41096"/>
    <w:rPr>
      <w:rFonts w:ascii="Gill Sans MT" w:eastAsia="Times New Roman" w:hAnsi="Gill Sans MT"/>
      <w:sz w:val="22"/>
      <w:lang w:eastAsia="en-US"/>
    </w:rPr>
  </w:style>
  <w:style w:type="paragraph" w:styleId="Revision">
    <w:name w:val="Revision"/>
    <w:hidden/>
    <w:uiPriority w:val="99"/>
    <w:semiHidden/>
    <w:rsid w:val="00F41096"/>
    <w:rPr>
      <w:rFonts w:ascii="Gill Sans MT" w:eastAsia="Times New Roman" w:hAnsi="Gill Sans MT"/>
      <w:sz w:val="2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40513">
      <w:bodyDiv w:val="1"/>
      <w:marLeft w:val="0"/>
      <w:marRight w:val="0"/>
      <w:marTop w:val="0"/>
      <w:marBottom w:val="0"/>
      <w:divBdr>
        <w:top w:val="none" w:sz="0" w:space="0" w:color="auto"/>
        <w:left w:val="none" w:sz="0" w:space="0" w:color="auto"/>
        <w:bottom w:val="none" w:sz="0" w:space="0" w:color="auto"/>
        <w:right w:val="none" w:sz="0" w:space="0" w:color="auto"/>
      </w:divBdr>
    </w:div>
    <w:div w:id="129328636">
      <w:bodyDiv w:val="1"/>
      <w:marLeft w:val="0"/>
      <w:marRight w:val="0"/>
      <w:marTop w:val="0"/>
      <w:marBottom w:val="0"/>
      <w:divBdr>
        <w:top w:val="none" w:sz="0" w:space="0" w:color="auto"/>
        <w:left w:val="none" w:sz="0" w:space="0" w:color="auto"/>
        <w:bottom w:val="none" w:sz="0" w:space="0" w:color="auto"/>
        <w:right w:val="none" w:sz="0" w:space="0" w:color="auto"/>
      </w:divBdr>
    </w:div>
    <w:div w:id="268199214">
      <w:bodyDiv w:val="1"/>
      <w:marLeft w:val="0"/>
      <w:marRight w:val="0"/>
      <w:marTop w:val="0"/>
      <w:marBottom w:val="0"/>
      <w:divBdr>
        <w:top w:val="none" w:sz="0" w:space="0" w:color="auto"/>
        <w:left w:val="none" w:sz="0" w:space="0" w:color="auto"/>
        <w:bottom w:val="none" w:sz="0" w:space="0" w:color="auto"/>
        <w:right w:val="none" w:sz="0" w:space="0" w:color="auto"/>
      </w:divBdr>
    </w:div>
    <w:div w:id="413866859">
      <w:bodyDiv w:val="1"/>
      <w:marLeft w:val="0"/>
      <w:marRight w:val="0"/>
      <w:marTop w:val="0"/>
      <w:marBottom w:val="0"/>
      <w:divBdr>
        <w:top w:val="none" w:sz="0" w:space="0" w:color="auto"/>
        <w:left w:val="none" w:sz="0" w:space="0" w:color="auto"/>
        <w:bottom w:val="none" w:sz="0" w:space="0" w:color="auto"/>
        <w:right w:val="none" w:sz="0" w:space="0" w:color="auto"/>
      </w:divBdr>
      <w:divsChild>
        <w:div w:id="332608983">
          <w:marLeft w:val="0"/>
          <w:marRight w:val="0"/>
          <w:marTop w:val="0"/>
          <w:marBottom w:val="0"/>
          <w:divBdr>
            <w:top w:val="none" w:sz="0" w:space="0" w:color="auto"/>
            <w:left w:val="none" w:sz="0" w:space="0" w:color="auto"/>
            <w:bottom w:val="none" w:sz="0" w:space="0" w:color="auto"/>
            <w:right w:val="none" w:sz="0" w:space="0" w:color="auto"/>
          </w:divBdr>
          <w:divsChild>
            <w:div w:id="1695885806">
              <w:marLeft w:val="0"/>
              <w:marRight w:val="0"/>
              <w:marTop w:val="0"/>
              <w:marBottom w:val="0"/>
              <w:divBdr>
                <w:top w:val="none" w:sz="0" w:space="0" w:color="auto"/>
                <w:left w:val="none" w:sz="0" w:space="0" w:color="auto"/>
                <w:bottom w:val="none" w:sz="0" w:space="0" w:color="auto"/>
                <w:right w:val="none" w:sz="0" w:space="0" w:color="auto"/>
              </w:divBdr>
              <w:divsChild>
                <w:div w:id="162149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76428">
      <w:bodyDiv w:val="1"/>
      <w:marLeft w:val="0"/>
      <w:marRight w:val="0"/>
      <w:marTop w:val="0"/>
      <w:marBottom w:val="0"/>
      <w:divBdr>
        <w:top w:val="none" w:sz="0" w:space="0" w:color="auto"/>
        <w:left w:val="none" w:sz="0" w:space="0" w:color="auto"/>
        <w:bottom w:val="none" w:sz="0" w:space="0" w:color="auto"/>
        <w:right w:val="none" w:sz="0" w:space="0" w:color="auto"/>
      </w:divBdr>
    </w:div>
    <w:div w:id="467745167">
      <w:bodyDiv w:val="1"/>
      <w:marLeft w:val="0"/>
      <w:marRight w:val="0"/>
      <w:marTop w:val="0"/>
      <w:marBottom w:val="0"/>
      <w:divBdr>
        <w:top w:val="none" w:sz="0" w:space="0" w:color="auto"/>
        <w:left w:val="none" w:sz="0" w:space="0" w:color="auto"/>
        <w:bottom w:val="none" w:sz="0" w:space="0" w:color="auto"/>
        <w:right w:val="none" w:sz="0" w:space="0" w:color="auto"/>
      </w:divBdr>
    </w:div>
    <w:div w:id="592666176">
      <w:bodyDiv w:val="1"/>
      <w:marLeft w:val="0"/>
      <w:marRight w:val="0"/>
      <w:marTop w:val="0"/>
      <w:marBottom w:val="0"/>
      <w:divBdr>
        <w:top w:val="none" w:sz="0" w:space="0" w:color="auto"/>
        <w:left w:val="none" w:sz="0" w:space="0" w:color="auto"/>
        <w:bottom w:val="none" w:sz="0" w:space="0" w:color="auto"/>
        <w:right w:val="none" w:sz="0" w:space="0" w:color="auto"/>
      </w:divBdr>
    </w:div>
    <w:div w:id="608047332">
      <w:bodyDiv w:val="1"/>
      <w:marLeft w:val="0"/>
      <w:marRight w:val="0"/>
      <w:marTop w:val="0"/>
      <w:marBottom w:val="0"/>
      <w:divBdr>
        <w:top w:val="none" w:sz="0" w:space="0" w:color="auto"/>
        <w:left w:val="none" w:sz="0" w:space="0" w:color="auto"/>
        <w:bottom w:val="none" w:sz="0" w:space="0" w:color="auto"/>
        <w:right w:val="none" w:sz="0" w:space="0" w:color="auto"/>
      </w:divBdr>
    </w:div>
    <w:div w:id="616374951">
      <w:bodyDiv w:val="1"/>
      <w:marLeft w:val="0"/>
      <w:marRight w:val="0"/>
      <w:marTop w:val="0"/>
      <w:marBottom w:val="0"/>
      <w:divBdr>
        <w:top w:val="none" w:sz="0" w:space="0" w:color="auto"/>
        <w:left w:val="none" w:sz="0" w:space="0" w:color="auto"/>
        <w:bottom w:val="none" w:sz="0" w:space="0" w:color="auto"/>
        <w:right w:val="none" w:sz="0" w:space="0" w:color="auto"/>
      </w:divBdr>
    </w:div>
    <w:div w:id="817040180">
      <w:bodyDiv w:val="1"/>
      <w:marLeft w:val="0"/>
      <w:marRight w:val="0"/>
      <w:marTop w:val="0"/>
      <w:marBottom w:val="0"/>
      <w:divBdr>
        <w:top w:val="none" w:sz="0" w:space="0" w:color="auto"/>
        <w:left w:val="none" w:sz="0" w:space="0" w:color="auto"/>
        <w:bottom w:val="none" w:sz="0" w:space="0" w:color="auto"/>
        <w:right w:val="none" w:sz="0" w:space="0" w:color="auto"/>
      </w:divBdr>
    </w:div>
    <w:div w:id="896209966">
      <w:bodyDiv w:val="1"/>
      <w:marLeft w:val="0"/>
      <w:marRight w:val="0"/>
      <w:marTop w:val="0"/>
      <w:marBottom w:val="0"/>
      <w:divBdr>
        <w:top w:val="none" w:sz="0" w:space="0" w:color="auto"/>
        <w:left w:val="none" w:sz="0" w:space="0" w:color="auto"/>
        <w:bottom w:val="none" w:sz="0" w:space="0" w:color="auto"/>
        <w:right w:val="none" w:sz="0" w:space="0" w:color="auto"/>
      </w:divBdr>
    </w:div>
    <w:div w:id="958758665">
      <w:bodyDiv w:val="1"/>
      <w:marLeft w:val="0"/>
      <w:marRight w:val="0"/>
      <w:marTop w:val="0"/>
      <w:marBottom w:val="0"/>
      <w:divBdr>
        <w:top w:val="none" w:sz="0" w:space="0" w:color="auto"/>
        <w:left w:val="none" w:sz="0" w:space="0" w:color="auto"/>
        <w:bottom w:val="none" w:sz="0" w:space="0" w:color="auto"/>
        <w:right w:val="none" w:sz="0" w:space="0" w:color="auto"/>
      </w:divBdr>
    </w:div>
    <w:div w:id="1117985265">
      <w:bodyDiv w:val="1"/>
      <w:marLeft w:val="0"/>
      <w:marRight w:val="0"/>
      <w:marTop w:val="0"/>
      <w:marBottom w:val="0"/>
      <w:divBdr>
        <w:top w:val="none" w:sz="0" w:space="0" w:color="auto"/>
        <w:left w:val="none" w:sz="0" w:space="0" w:color="auto"/>
        <w:bottom w:val="none" w:sz="0" w:space="0" w:color="auto"/>
        <w:right w:val="none" w:sz="0" w:space="0" w:color="auto"/>
      </w:divBdr>
    </w:div>
    <w:div w:id="1170289330">
      <w:bodyDiv w:val="1"/>
      <w:marLeft w:val="0"/>
      <w:marRight w:val="0"/>
      <w:marTop w:val="0"/>
      <w:marBottom w:val="0"/>
      <w:divBdr>
        <w:top w:val="none" w:sz="0" w:space="0" w:color="auto"/>
        <w:left w:val="none" w:sz="0" w:space="0" w:color="auto"/>
        <w:bottom w:val="none" w:sz="0" w:space="0" w:color="auto"/>
        <w:right w:val="none" w:sz="0" w:space="0" w:color="auto"/>
      </w:divBdr>
    </w:div>
    <w:div w:id="1255285100">
      <w:bodyDiv w:val="1"/>
      <w:marLeft w:val="0"/>
      <w:marRight w:val="0"/>
      <w:marTop w:val="0"/>
      <w:marBottom w:val="0"/>
      <w:divBdr>
        <w:top w:val="none" w:sz="0" w:space="0" w:color="auto"/>
        <w:left w:val="none" w:sz="0" w:space="0" w:color="auto"/>
        <w:bottom w:val="none" w:sz="0" w:space="0" w:color="auto"/>
        <w:right w:val="none" w:sz="0" w:space="0" w:color="auto"/>
      </w:divBdr>
    </w:div>
    <w:div w:id="1450781164">
      <w:bodyDiv w:val="1"/>
      <w:marLeft w:val="0"/>
      <w:marRight w:val="0"/>
      <w:marTop w:val="0"/>
      <w:marBottom w:val="0"/>
      <w:divBdr>
        <w:top w:val="none" w:sz="0" w:space="0" w:color="auto"/>
        <w:left w:val="none" w:sz="0" w:space="0" w:color="auto"/>
        <w:bottom w:val="none" w:sz="0" w:space="0" w:color="auto"/>
        <w:right w:val="none" w:sz="0" w:space="0" w:color="auto"/>
      </w:divBdr>
    </w:div>
    <w:div w:id="1476407318">
      <w:bodyDiv w:val="1"/>
      <w:marLeft w:val="0"/>
      <w:marRight w:val="0"/>
      <w:marTop w:val="0"/>
      <w:marBottom w:val="0"/>
      <w:divBdr>
        <w:top w:val="none" w:sz="0" w:space="0" w:color="auto"/>
        <w:left w:val="none" w:sz="0" w:space="0" w:color="auto"/>
        <w:bottom w:val="none" w:sz="0" w:space="0" w:color="auto"/>
        <w:right w:val="none" w:sz="0" w:space="0" w:color="auto"/>
      </w:divBdr>
    </w:div>
    <w:div w:id="1560675527">
      <w:bodyDiv w:val="1"/>
      <w:marLeft w:val="0"/>
      <w:marRight w:val="0"/>
      <w:marTop w:val="0"/>
      <w:marBottom w:val="0"/>
      <w:divBdr>
        <w:top w:val="none" w:sz="0" w:space="0" w:color="auto"/>
        <w:left w:val="none" w:sz="0" w:space="0" w:color="auto"/>
        <w:bottom w:val="none" w:sz="0" w:space="0" w:color="auto"/>
        <w:right w:val="none" w:sz="0" w:space="0" w:color="auto"/>
      </w:divBdr>
    </w:div>
    <w:div w:id="1678459155">
      <w:bodyDiv w:val="1"/>
      <w:marLeft w:val="0"/>
      <w:marRight w:val="0"/>
      <w:marTop w:val="0"/>
      <w:marBottom w:val="0"/>
      <w:divBdr>
        <w:top w:val="none" w:sz="0" w:space="0" w:color="auto"/>
        <w:left w:val="none" w:sz="0" w:space="0" w:color="auto"/>
        <w:bottom w:val="none" w:sz="0" w:space="0" w:color="auto"/>
        <w:right w:val="none" w:sz="0" w:space="0" w:color="auto"/>
      </w:divBdr>
    </w:div>
    <w:div w:id="1729458135">
      <w:bodyDiv w:val="1"/>
      <w:marLeft w:val="0"/>
      <w:marRight w:val="0"/>
      <w:marTop w:val="0"/>
      <w:marBottom w:val="0"/>
      <w:divBdr>
        <w:top w:val="none" w:sz="0" w:space="0" w:color="auto"/>
        <w:left w:val="none" w:sz="0" w:space="0" w:color="auto"/>
        <w:bottom w:val="none" w:sz="0" w:space="0" w:color="auto"/>
        <w:right w:val="none" w:sz="0" w:space="0" w:color="auto"/>
      </w:divBdr>
    </w:div>
    <w:div w:id="1819956720">
      <w:bodyDiv w:val="1"/>
      <w:marLeft w:val="0"/>
      <w:marRight w:val="0"/>
      <w:marTop w:val="0"/>
      <w:marBottom w:val="0"/>
      <w:divBdr>
        <w:top w:val="none" w:sz="0" w:space="0" w:color="auto"/>
        <w:left w:val="none" w:sz="0" w:space="0" w:color="auto"/>
        <w:bottom w:val="none" w:sz="0" w:space="0" w:color="auto"/>
        <w:right w:val="none" w:sz="0" w:space="0" w:color="auto"/>
      </w:divBdr>
    </w:div>
    <w:div w:id="188555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elfare.ie/en/Pages/Reasonable-Accommodation-Fund_holder.aspx" TargetMode="External"/><Relationship Id="rId18" Type="http://schemas.openxmlformats.org/officeDocument/2006/relationships/hyperlink" Target="https://www.hse.ie/eng/services/news/media/pressrel/hse-announces-project-patnership-with-mental-health-first-aid-ireland.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hrec.ie/supreme-court-significantly-clarifies-rights-of-persons-with-disabilities-to-reasonable-workplace-accommodation/" TargetMode="External"/><Relationship Id="rId7" Type="http://schemas.openxmlformats.org/officeDocument/2006/relationships/endnotes" Target="endnotes.xml"/><Relationship Id="rId12" Type="http://schemas.openxmlformats.org/officeDocument/2006/relationships/hyperlink" Target="http://www.welfare.ie/en/Pages/Personal-Reader-Grant.aspx" TargetMode="External"/><Relationship Id="rId17" Type="http://schemas.openxmlformats.org/officeDocument/2006/relationships/hyperlink" Target="https://www.equalityni.org/ECNI/media/ECNI/Publications/Employers%20and%20Service%20Providers/MentalHealthCharter.pdf" TargetMode="External"/><Relationship Id="rId25" Type="http://schemas.openxmlformats.org/officeDocument/2006/relationships/hyperlink" Target="http://nda.ie/Resources/Factsheets/NDA-Factsheet-2-Employment/NDA-Factsheet-2-Employment.html" TargetMode="External"/><Relationship Id="rId2" Type="http://schemas.openxmlformats.org/officeDocument/2006/relationships/numbering" Target="numbering.xml"/><Relationship Id="rId16" Type="http://schemas.openxmlformats.org/officeDocument/2006/relationships/hyperlink" Target="http://www.employerdisabilityinfo.ie/about/submissions/deasp-report" TargetMode="External"/><Relationship Id="rId20" Type="http://schemas.openxmlformats.org/officeDocument/2006/relationships/hyperlink" Target="https://www.ihrec.ie/rights-of-persons-with-disabilities-to-reasonable-workplace-accommodation-at-question-in-supreme-court-case-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lfare.ie/en/Pages/Job-Interview-Interpreter-Grant.aspx" TargetMode="External"/><Relationship Id="rId24" Type="http://schemas.openxmlformats.org/officeDocument/2006/relationships/hyperlink" Target="https://askjan.org/publications/index.cfm" TargetMode="External"/><Relationship Id="rId5" Type="http://schemas.openxmlformats.org/officeDocument/2006/relationships/webSettings" Target="webSettings.xml"/><Relationship Id="rId15" Type="http://schemas.openxmlformats.org/officeDocument/2006/relationships/hyperlink" Target="http://www.welfare.ie/en/Pages/Workplace-Equipment-Adaptation-Grant.aspx" TargetMode="External"/><Relationship Id="rId23" Type="http://schemas.openxmlformats.org/officeDocument/2006/relationships/hyperlink" Target="https://askjan.org/publications/index.cfm" TargetMode="External"/><Relationship Id="rId28" Type="http://schemas.openxmlformats.org/officeDocument/2006/relationships/theme" Target="theme/theme1.xml"/><Relationship Id="rId10" Type="http://schemas.openxmlformats.org/officeDocument/2006/relationships/hyperlink" Target="http://www.welfare.ie/en/Pages/Employee-Retention-Scheme.aspx" TargetMode="External"/><Relationship Id="rId19" Type="http://schemas.openxmlformats.org/officeDocument/2006/relationships/hyperlink" Target="https://www.ihrec.ie/discrimination-against-people-with-disabilities-in-employment-a-persistent-and-pernicious-roadblock-to-workers-dignity-and-inclusion/" TargetMode="External"/><Relationship Id="rId4" Type="http://schemas.openxmlformats.org/officeDocument/2006/relationships/settings" Target="settings.xml"/><Relationship Id="rId9" Type="http://schemas.openxmlformats.org/officeDocument/2006/relationships/hyperlink" Target="http://www.welfare.ie/en/Pages/Disability-Awareness-Training_holder.aspx" TargetMode="External"/><Relationship Id="rId14" Type="http://schemas.openxmlformats.org/officeDocument/2006/relationships/hyperlink" Target="http://www.welfare.ie/en/Pages/Wage-Subsidy-Scheme_holder_3176.aspx" TargetMode="External"/><Relationship Id="rId22" Type="http://schemas.openxmlformats.org/officeDocument/2006/relationships/hyperlink" Target="https://www.ihrec.ie/download/pdf/ihrec_employment_equality_rights_explained.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dyslexia.ie/information/adults-and-the-workplace/disclosure/" TargetMode="External"/><Relationship Id="rId13" Type="http://schemas.openxmlformats.org/officeDocument/2006/relationships/hyperlink" Target="https://askjan.org/index.cfm" TargetMode="External"/><Relationship Id="rId18" Type="http://schemas.openxmlformats.org/officeDocument/2006/relationships/hyperlink" Target="https://www.ihrec.ie/allhumanallequal" TargetMode="External"/><Relationship Id="rId26" Type="http://schemas.openxmlformats.org/officeDocument/2006/relationships/hyperlink" Target="http://www.employerdisabilityinfo.ie/about/submissions/deasp-report" TargetMode="External"/><Relationship Id="rId39" Type="http://schemas.openxmlformats.org/officeDocument/2006/relationships/hyperlink" Target="https://askjan.org/publications/index.cfm" TargetMode="External"/><Relationship Id="rId3" Type="http://schemas.openxmlformats.org/officeDocument/2006/relationships/hyperlink" Target="https://www.ihrec.ie/our-work/legal-activity/amicus-curiae-power/" TargetMode="External"/><Relationship Id="rId21" Type="http://schemas.openxmlformats.org/officeDocument/2006/relationships/hyperlink" Target="http://www.welfare.ie/en/Pages/Workplace-Equipment-Adaptation-Grant.aspx" TargetMode="External"/><Relationship Id="rId34" Type="http://schemas.openxmlformats.org/officeDocument/2006/relationships/hyperlink" Target="https://seechange.ie/green-ribbon/" TargetMode="External"/><Relationship Id="rId42" Type="http://schemas.openxmlformats.org/officeDocument/2006/relationships/hyperlink" Target="https://askjan.org/publications/index.cfm" TargetMode="External"/><Relationship Id="rId7" Type="http://schemas.openxmlformats.org/officeDocument/2006/relationships/hyperlink" Target="https://www.ihrec.ie/download/pdf/ihrec_employment_equality_rights_explained.pdf" TargetMode="External"/><Relationship Id="rId12" Type="http://schemas.openxmlformats.org/officeDocument/2006/relationships/hyperlink" Target="https://www.jobaccess.gov.au/employers/employer-toolkit" TargetMode="External"/><Relationship Id="rId17" Type="http://schemas.openxmlformats.org/officeDocument/2006/relationships/hyperlink" Target="https://www.ihrec.ie/rights-of-persons-with-disabilities-to-reasonable-workplace-accommodation-at-question-in-supreme-court-case-2/" TargetMode="External"/><Relationship Id="rId25" Type="http://schemas.openxmlformats.org/officeDocument/2006/relationships/hyperlink" Target="http://www.employerdisabilityinfo.ie/about/submissions/deasp-report" TargetMode="External"/><Relationship Id="rId33" Type="http://schemas.openxmlformats.org/officeDocument/2006/relationships/hyperlink" Target="https://www.hse.ie/eng/services/news/media/pressrel/hse-announces-project-patnership-with-mental-health-first-aid-ireland.html" TargetMode="External"/><Relationship Id="rId38" Type="http://schemas.openxmlformats.org/officeDocument/2006/relationships/hyperlink" Target="http://universaldesign.ie/" TargetMode="External"/><Relationship Id="rId46" Type="http://schemas.openxmlformats.org/officeDocument/2006/relationships/hyperlink" Target="https://hr.per.gov.ie/disability/" TargetMode="External"/><Relationship Id="rId2" Type="http://schemas.openxmlformats.org/officeDocument/2006/relationships/hyperlink" Target="http://nda.ie/Publications/Employment/Employment-Publications/" TargetMode="External"/><Relationship Id="rId16" Type="http://schemas.openxmlformats.org/officeDocument/2006/relationships/hyperlink" Target="http://www.welfare.ie/en/Pages/Disability-Awareness-Training_holder.aspx" TargetMode="External"/><Relationship Id="rId20" Type="http://schemas.openxmlformats.org/officeDocument/2006/relationships/hyperlink" Target="http://www.welfare.ie/en/Pages/Reasonable-Accommodation-Fund_holder.aspx" TargetMode="External"/><Relationship Id="rId29" Type="http://schemas.openxmlformats.org/officeDocument/2006/relationships/hyperlink" Target="http://www.welfare.ie/en/pdf/DisabilityAwarenessTrainingApplication.pdf" TargetMode="External"/><Relationship Id="rId41" Type="http://schemas.openxmlformats.org/officeDocument/2006/relationships/hyperlink" Target="https://www.equalityni.org/Employers-Service-Providers" TargetMode="External"/><Relationship Id="rId1" Type="http://schemas.openxmlformats.org/officeDocument/2006/relationships/hyperlink" Target="http://www.lawreform.ie" TargetMode="External"/><Relationship Id="rId6" Type="http://schemas.openxmlformats.org/officeDocument/2006/relationships/hyperlink" Target="https://www.ihrec.ie/download/pdf/ihrec_employment_equality_rights_explained.pdf" TargetMode="External"/><Relationship Id="rId11" Type="http://schemas.openxmlformats.org/officeDocument/2006/relationships/hyperlink" Target="https://www.jobaccess.gov.au/" TargetMode="External"/><Relationship Id="rId24" Type="http://schemas.openxmlformats.org/officeDocument/2006/relationships/hyperlink" Target="http://www.welfare.ie/en/Pages/Employee-Retention-Scheme.aspx" TargetMode="External"/><Relationship Id="rId32" Type="http://schemas.openxmlformats.org/officeDocument/2006/relationships/hyperlink" Target="http://www.employerdisabilityinfo.ie/about/submissions/deasp-report" TargetMode="External"/><Relationship Id="rId37" Type="http://schemas.openxmlformats.org/officeDocument/2006/relationships/hyperlink" Target="https://www.equalityni.org/ECNI/media/ECNI/Publications/Employers%20and%20Service%20Providers/MentalHealthCharter.pdf" TargetMode="External"/><Relationship Id="rId40" Type="http://schemas.openxmlformats.org/officeDocument/2006/relationships/hyperlink" Target="https://askjan.org/publications/index.cfm" TargetMode="External"/><Relationship Id="rId45" Type="http://schemas.openxmlformats.org/officeDocument/2006/relationships/hyperlink" Target="https://askjan.org/publications/index.cfm" TargetMode="External"/><Relationship Id="rId5" Type="http://schemas.openxmlformats.org/officeDocument/2006/relationships/hyperlink" Target="https://www.ihrec.ie/guides-and-tools/human-rights-and-equality-for-employers/what-does-the-law-say/disability-and-reasonable-accommodation/" TargetMode="External"/><Relationship Id="rId15" Type="http://schemas.openxmlformats.org/officeDocument/2006/relationships/hyperlink" Target="http://www.welfare.ie/en/Pages/Disability-Awareness-Training_holder.aspx" TargetMode="External"/><Relationship Id="rId23" Type="http://schemas.openxmlformats.org/officeDocument/2006/relationships/hyperlink" Target="http://www.welfare.ie/en/Pages/Job-Interview-Interpreter-Grant.aspx" TargetMode="External"/><Relationship Id="rId28" Type="http://schemas.openxmlformats.org/officeDocument/2006/relationships/hyperlink" Target="http://www.welfare.ie/en/Pages/Disability-Awareness-Training_holder.aspx" TargetMode="External"/><Relationship Id="rId36" Type="http://schemas.openxmlformats.org/officeDocument/2006/relationships/hyperlink" Target="https://www.equalityni.org/ECNI/media/ECNI/Publications/Employers%20and%20Service%20Providers/MentalHealthCharter.pdf" TargetMode="External"/><Relationship Id="rId10" Type="http://schemas.openxmlformats.org/officeDocument/2006/relationships/hyperlink" Target="http://www.employerdisabilityinfo.ie/about/submissions/deasp-report" TargetMode="External"/><Relationship Id="rId19" Type="http://schemas.openxmlformats.org/officeDocument/2006/relationships/hyperlink" Target="https://www.ahead.ie/wam" TargetMode="External"/><Relationship Id="rId31" Type="http://schemas.openxmlformats.org/officeDocument/2006/relationships/hyperlink" Target="http://www.employerdisabilityinfo.ie/about/submissions/deasp-report" TargetMode="External"/><Relationship Id="rId44" Type="http://schemas.openxmlformats.org/officeDocument/2006/relationships/hyperlink" Target="https://www.publicjobs.ie/documents/Process-Flowchart-Reasonable-Accommodations.pdf" TargetMode="External"/><Relationship Id="rId4" Type="http://schemas.openxmlformats.org/officeDocument/2006/relationships/hyperlink" Target="https://www.ihrec.ie/supreme-court-significantly-clarifies-rights-of-persons-with-disabilities-to-reasonable-workplace-accommodation/" TargetMode="External"/><Relationship Id="rId9" Type="http://schemas.openxmlformats.org/officeDocument/2006/relationships/hyperlink" Target="http://www.employerdisabilityinfo.ie/about/submissions/deasp-report" TargetMode="External"/><Relationship Id="rId14" Type="http://schemas.openxmlformats.org/officeDocument/2006/relationships/hyperlink" Target="https://www.equalityni.org/Employers-Service-Providers" TargetMode="External"/><Relationship Id="rId22" Type="http://schemas.openxmlformats.org/officeDocument/2006/relationships/hyperlink" Target="http://www.welfare.ie/en/Pages/Personal-Reader-Grant.aspx" TargetMode="External"/><Relationship Id="rId27" Type="http://schemas.openxmlformats.org/officeDocument/2006/relationships/hyperlink" Target="http://www.welfare.ie/en/Pages/Wage-Subsidy-Scheme_holder_3176.aspx" TargetMode="External"/><Relationship Id="rId30" Type="http://schemas.openxmlformats.org/officeDocument/2006/relationships/hyperlink" Target="http://www.employerdisabilityinfo.ie/about/submissions/deasp-report" TargetMode="External"/><Relationship Id="rId35" Type="http://schemas.openxmlformats.org/officeDocument/2006/relationships/hyperlink" Target="https://www.equalityni.org/ECNI/media/ECNI/Publications/Employers%20and%20Service%20Providers/MentalHealthCharter.pdf" TargetMode="External"/><Relationship Id="rId43" Type="http://schemas.openxmlformats.org/officeDocument/2006/relationships/hyperlink" Target="https://askjan.org/publications/index.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7FF27-9BBA-49FD-B406-A6EFA3F58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0</TotalTime>
  <Pages>132</Pages>
  <Words>37058</Words>
  <Characters>211232</Characters>
  <Application>Microsoft Office Word</Application>
  <DocSecurity>4</DocSecurity>
  <Lines>1760</Lines>
  <Paragraphs>495</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247795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P. Finlay</dc:creator>
  <cp:keywords>Reasonable Accommodations</cp:keywords>
  <cp:lastModifiedBy>Heather C. O'Leary</cp:lastModifiedBy>
  <cp:revision>2</cp:revision>
  <cp:lastPrinted>2020-06-05T13:02:00Z</cp:lastPrinted>
  <dcterms:created xsi:type="dcterms:W3CDTF">2022-06-13T14:18:00Z</dcterms:created>
  <dcterms:modified xsi:type="dcterms:W3CDTF">2022-06-13T14:18:00Z</dcterms:modified>
</cp:coreProperties>
</file>