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1B80" w14:textId="77777777" w:rsidR="00AE6E8D" w:rsidRPr="00B76C1D" w:rsidRDefault="00AE6E8D" w:rsidP="00AE6E8D">
      <w:pPr>
        <w:pStyle w:val="Title"/>
        <w:rPr>
          <w:color w:val="auto"/>
        </w:rPr>
      </w:pPr>
      <w:r w:rsidRPr="00B76C1D">
        <w:rPr>
          <w:color w:val="auto"/>
        </w:rPr>
        <w:t>National Disability Authority</w:t>
      </w:r>
    </w:p>
    <w:p w14:paraId="7A24AC7A" w14:textId="77777777" w:rsidR="00A4018D" w:rsidRPr="00B76C1D" w:rsidRDefault="00A4018D" w:rsidP="00A4018D">
      <w:pPr>
        <w:pStyle w:val="Title"/>
        <w:spacing w:after="120"/>
        <w:rPr>
          <w:color w:val="auto"/>
        </w:rPr>
      </w:pPr>
      <w:r w:rsidRPr="00B76C1D">
        <w:rPr>
          <w:color w:val="auto"/>
        </w:rPr>
        <w:t>Review of Apprenticeship</w:t>
      </w:r>
    </w:p>
    <w:p w14:paraId="6BF9C040" w14:textId="77777777" w:rsidR="00AE6E8D" w:rsidRPr="00B76C1D" w:rsidRDefault="00A4018D" w:rsidP="00AE6E8D">
      <w:pPr>
        <w:pStyle w:val="Title"/>
        <w:rPr>
          <w:color w:val="auto"/>
        </w:rPr>
      </w:pPr>
      <w:r w:rsidRPr="00B76C1D">
        <w:rPr>
          <w:color w:val="auto"/>
        </w:rPr>
        <w:t xml:space="preserve">Advice </w:t>
      </w:r>
      <w:r w:rsidR="00AE6E8D" w:rsidRPr="00B76C1D">
        <w:rPr>
          <w:color w:val="auto"/>
        </w:rPr>
        <w:t xml:space="preserve">to the Department of Education and Skills </w:t>
      </w:r>
    </w:p>
    <w:p w14:paraId="675141DF" w14:textId="77777777" w:rsidR="00AE6E8D" w:rsidRPr="00B76C1D" w:rsidRDefault="00AE6E8D" w:rsidP="00AE6E8D">
      <w:pPr>
        <w:pStyle w:val="Heading1"/>
        <w:rPr>
          <w:color w:val="auto"/>
        </w:rPr>
      </w:pPr>
      <w:r w:rsidRPr="00B76C1D">
        <w:rPr>
          <w:color w:val="auto"/>
        </w:rPr>
        <w:t>Introduction</w:t>
      </w:r>
    </w:p>
    <w:p w14:paraId="3358F422" w14:textId="77777777" w:rsidR="00BC1C31" w:rsidRPr="00B76C1D" w:rsidRDefault="00AE6E8D" w:rsidP="00413C05">
      <w:pPr>
        <w:rPr>
          <w:color w:val="auto"/>
        </w:rPr>
      </w:pPr>
      <w:r w:rsidRPr="00B76C1D">
        <w:rPr>
          <w:color w:val="auto"/>
        </w:rPr>
        <w:t xml:space="preserve">The National Disability Authority (NDA) is the </w:t>
      </w:r>
      <w:r w:rsidR="00A4018D" w:rsidRPr="00B76C1D">
        <w:rPr>
          <w:color w:val="auto"/>
        </w:rPr>
        <w:t>i</w:t>
      </w:r>
      <w:r w:rsidRPr="00B76C1D">
        <w:rPr>
          <w:color w:val="auto"/>
        </w:rPr>
        <w:t>ndependent state body providing expert advice on disability policy and practice to the</w:t>
      </w:r>
      <w:r w:rsidR="00BC1C31" w:rsidRPr="00B76C1D">
        <w:rPr>
          <w:color w:val="auto"/>
        </w:rPr>
        <w:t xml:space="preserve"> Government.</w:t>
      </w:r>
      <w:r w:rsidRPr="00B76C1D">
        <w:rPr>
          <w:color w:val="auto"/>
        </w:rPr>
        <w:t xml:space="preserve"> </w:t>
      </w:r>
    </w:p>
    <w:p w14:paraId="769A9A4F" w14:textId="77777777" w:rsidR="00A4018D" w:rsidRPr="00B76C1D" w:rsidRDefault="00A4018D" w:rsidP="00A4018D">
      <w:pPr>
        <w:autoSpaceDE w:val="0"/>
        <w:autoSpaceDN w:val="0"/>
        <w:adjustRightInd w:val="0"/>
        <w:rPr>
          <w:color w:val="auto"/>
          <w:sz w:val="18"/>
          <w:szCs w:val="18"/>
          <w:lang w:val="en-GB" w:eastAsia="en-GB"/>
        </w:rPr>
      </w:pPr>
      <w:r w:rsidRPr="00B76C1D">
        <w:rPr>
          <w:color w:val="auto"/>
          <w:lang w:val="en-GB" w:eastAsia="en-GB"/>
        </w:rPr>
        <w:t xml:space="preserve">The NDA welcomes this review and </w:t>
      </w:r>
      <w:proofErr w:type="gramStart"/>
      <w:r w:rsidRPr="00B76C1D">
        <w:rPr>
          <w:color w:val="auto"/>
          <w:lang w:val="en-GB" w:eastAsia="en-GB"/>
        </w:rPr>
        <w:t>in particular that</w:t>
      </w:r>
      <w:proofErr w:type="gramEnd"/>
      <w:r w:rsidRPr="00B76C1D">
        <w:rPr>
          <w:color w:val="auto"/>
          <w:lang w:val="en-GB" w:eastAsia="en-GB"/>
        </w:rPr>
        <w:t xml:space="preserve"> the review will ‘explore the potential for connections between work-based learning and other further education and training provision.’</w:t>
      </w:r>
    </w:p>
    <w:p w14:paraId="241EC05D" w14:textId="77777777" w:rsidR="0099026C" w:rsidRPr="00B76C1D" w:rsidRDefault="0099026C" w:rsidP="0099026C">
      <w:pPr>
        <w:pStyle w:val="Heading2"/>
        <w:rPr>
          <w:color w:val="auto"/>
        </w:rPr>
      </w:pPr>
      <w:r w:rsidRPr="00B76C1D">
        <w:rPr>
          <w:color w:val="auto"/>
        </w:rPr>
        <w:t>Comprehensive employment strategy for disability</w:t>
      </w:r>
    </w:p>
    <w:p w14:paraId="4AC66668" w14:textId="77777777" w:rsidR="00A4018D" w:rsidRPr="00B76C1D" w:rsidRDefault="00A4018D" w:rsidP="00413C05">
      <w:pPr>
        <w:rPr>
          <w:color w:val="auto"/>
        </w:rPr>
      </w:pPr>
      <w:r w:rsidRPr="00B76C1D">
        <w:rPr>
          <w:color w:val="auto"/>
        </w:rPr>
        <w:t xml:space="preserve">The National Disability Authority has been recently invited by the Government </w:t>
      </w:r>
      <w:r w:rsidR="00AE6E8D" w:rsidRPr="00B76C1D">
        <w:rPr>
          <w:color w:val="auto"/>
        </w:rPr>
        <w:t xml:space="preserve">to develop a </w:t>
      </w:r>
      <w:bookmarkStart w:id="0" w:name="OLE_LINK1"/>
      <w:bookmarkStart w:id="1" w:name="OLE_LINK2"/>
      <w:r w:rsidRPr="00B76C1D">
        <w:rPr>
          <w:color w:val="auto"/>
        </w:rPr>
        <w:t xml:space="preserve">ten-year </w:t>
      </w:r>
      <w:r w:rsidR="00AE6E8D" w:rsidRPr="00B76C1D">
        <w:rPr>
          <w:color w:val="auto"/>
        </w:rPr>
        <w:t>comprehensive employment strategy for people with disabilities,</w:t>
      </w:r>
      <w:bookmarkEnd w:id="0"/>
      <w:bookmarkEnd w:id="1"/>
      <w:r w:rsidR="00AE6E8D" w:rsidRPr="00B76C1D">
        <w:rPr>
          <w:color w:val="auto"/>
        </w:rPr>
        <w:t xml:space="preserve"> in partnership with relevant government departments and agencies, and </w:t>
      </w:r>
      <w:r w:rsidRPr="00B76C1D">
        <w:rPr>
          <w:color w:val="auto"/>
        </w:rPr>
        <w:t>to report</w:t>
      </w:r>
      <w:r w:rsidR="00E13E2B" w:rsidRPr="00B76C1D">
        <w:rPr>
          <w:color w:val="auto"/>
        </w:rPr>
        <w:t xml:space="preserve"> to the Cabinet Sub Com</w:t>
      </w:r>
      <w:r w:rsidR="00BC1C31" w:rsidRPr="00B76C1D">
        <w:rPr>
          <w:color w:val="auto"/>
        </w:rPr>
        <w:t>mittee on Employment</w:t>
      </w:r>
      <w:r w:rsidRPr="00B76C1D">
        <w:rPr>
          <w:color w:val="auto"/>
        </w:rPr>
        <w:t xml:space="preserve"> by end March 2014.</w:t>
      </w:r>
      <w:r w:rsidR="00BC1C31" w:rsidRPr="00B76C1D">
        <w:rPr>
          <w:color w:val="auto"/>
        </w:rPr>
        <w:t xml:space="preserve"> </w:t>
      </w:r>
    </w:p>
    <w:p w14:paraId="38538D95" w14:textId="77777777" w:rsidR="00A4018D" w:rsidRDefault="00A4018D" w:rsidP="00413C05">
      <w:pPr>
        <w:rPr>
          <w:color w:val="auto"/>
        </w:rPr>
      </w:pPr>
      <w:r w:rsidRPr="00B76C1D">
        <w:rPr>
          <w:color w:val="auto"/>
        </w:rPr>
        <w:t xml:space="preserve">Apprenticeships have a role to play in building the skills and capacities of people with disabilities, and so will </w:t>
      </w:r>
      <w:r w:rsidR="00B04E1E" w:rsidRPr="00B76C1D">
        <w:rPr>
          <w:color w:val="auto"/>
        </w:rPr>
        <w:t xml:space="preserve">have a part to play in this wider </w:t>
      </w:r>
      <w:proofErr w:type="gramStart"/>
      <w:r w:rsidR="00B04E1E" w:rsidRPr="00B76C1D">
        <w:rPr>
          <w:color w:val="auto"/>
        </w:rPr>
        <w:t>jobs</w:t>
      </w:r>
      <w:proofErr w:type="gramEnd"/>
      <w:r w:rsidR="00B04E1E" w:rsidRPr="00B76C1D">
        <w:rPr>
          <w:color w:val="auto"/>
        </w:rPr>
        <w:t xml:space="preserve"> strategy for people with disabilities. </w:t>
      </w:r>
    </w:p>
    <w:p w14:paraId="786B52E2" w14:textId="77777777" w:rsidR="007136B6" w:rsidRPr="00B76C1D" w:rsidRDefault="007136B6" w:rsidP="00413C05">
      <w:pPr>
        <w:rPr>
          <w:color w:val="auto"/>
        </w:rPr>
      </w:pPr>
      <w:r w:rsidRPr="00B76C1D">
        <w:rPr>
          <w:color w:val="auto"/>
          <w:lang w:val="en-GB" w:eastAsia="en-GB"/>
        </w:rPr>
        <w:t>As with other publicly funded vocation</w:t>
      </w:r>
      <w:r>
        <w:rPr>
          <w:color w:val="auto"/>
          <w:lang w:val="en-GB" w:eastAsia="en-GB"/>
        </w:rPr>
        <w:t>al</w:t>
      </w:r>
      <w:r w:rsidRPr="00B76C1D">
        <w:rPr>
          <w:color w:val="auto"/>
          <w:lang w:val="en-GB" w:eastAsia="en-GB"/>
        </w:rPr>
        <w:t xml:space="preserve"> training provision, access to apprenticeships is underpinned by equality legislation. It is unlawful to discriminate against people with disabilities in relation to employment or training, who </w:t>
      </w:r>
      <w:proofErr w:type="gramStart"/>
      <w:r w:rsidRPr="00B76C1D">
        <w:rPr>
          <w:color w:val="auto"/>
          <w:lang w:val="en-GB" w:eastAsia="en-GB"/>
        </w:rPr>
        <w:t>are able to</w:t>
      </w:r>
      <w:proofErr w:type="gramEnd"/>
      <w:r w:rsidRPr="00B76C1D">
        <w:rPr>
          <w:color w:val="auto"/>
          <w:lang w:val="en-GB" w:eastAsia="en-GB"/>
        </w:rPr>
        <w:t xml:space="preserve"> do the relevant job when reasonably accommodated to do so. These principles applied to apprenticeship mean that apprentices qualify for reasonable accommodation, and that applicants are accepted from people with disabilities who can undergo the training if reasonably accommodated to do so. </w:t>
      </w:r>
      <w:r w:rsidRPr="00B76C1D">
        <w:rPr>
          <w:color w:val="auto"/>
        </w:rPr>
        <w:t>Key to people with disabilities applying for and completing apprenticeships is creating awareness amongst people with disabilities that their individual support needs will be met.</w:t>
      </w:r>
    </w:p>
    <w:p w14:paraId="4857AC6D" w14:textId="77777777" w:rsidR="0099026C" w:rsidRPr="00B76C1D" w:rsidRDefault="0099026C" w:rsidP="00DD647E">
      <w:pPr>
        <w:pStyle w:val="Heading1"/>
        <w:rPr>
          <w:color w:val="auto"/>
        </w:rPr>
      </w:pPr>
      <w:r w:rsidRPr="00B76C1D">
        <w:rPr>
          <w:color w:val="auto"/>
        </w:rPr>
        <w:lastRenderedPageBreak/>
        <w:t>A wider approach to apprenticeship</w:t>
      </w:r>
    </w:p>
    <w:p w14:paraId="667EA30B" w14:textId="77777777" w:rsidR="0099026C" w:rsidRPr="00B76C1D" w:rsidRDefault="0099026C" w:rsidP="0099026C">
      <w:pPr>
        <w:rPr>
          <w:color w:val="auto"/>
          <w:lang w:val="en-GB" w:eastAsia="en-GB"/>
        </w:rPr>
      </w:pPr>
      <w:r w:rsidRPr="00B76C1D">
        <w:rPr>
          <w:color w:val="auto"/>
        </w:rPr>
        <w:t xml:space="preserve">The </w:t>
      </w:r>
      <w:r w:rsidRPr="00B76C1D">
        <w:rPr>
          <w:color w:val="auto"/>
          <w:lang w:val="en-GB" w:eastAsia="en-GB"/>
        </w:rPr>
        <w:t xml:space="preserve">apprenticeship approach, combining on-the-job training with formal training, can have a much wider application outside of the skilled craft/trades to which it traditionally applied. </w:t>
      </w:r>
    </w:p>
    <w:p w14:paraId="2341C7D9" w14:textId="77777777" w:rsidR="0099026C" w:rsidRPr="00B76C1D" w:rsidRDefault="0099026C" w:rsidP="0099026C">
      <w:pPr>
        <w:spacing w:after="120"/>
        <w:rPr>
          <w:color w:val="auto"/>
          <w:lang w:val="en-GB" w:eastAsia="en-GB"/>
        </w:rPr>
      </w:pPr>
      <w:r w:rsidRPr="00B76C1D">
        <w:rPr>
          <w:color w:val="auto"/>
          <w:lang w:val="en-GB" w:eastAsia="en-GB"/>
        </w:rPr>
        <w:t>The National Disability Authority suggests that the new model of apprenticeship to develop from this review might cover</w:t>
      </w:r>
    </w:p>
    <w:p w14:paraId="2D9C840F" w14:textId="77777777" w:rsidR="0099026C" w:rsidRPr="00B76C1D" w:rsidRDefault="0099026C" w:rsidP="0099026C">
      <w:pPr>
        <w:pStyle w:val="ListBullet"/>
      </w:pPr>
      <w:r w:rsidRPr="00B76C1D">
        <w:t>A much wider range of skills and occupations across services, industry agriculture and construction</w:t>
      </w:r>
    </w:p>
    <w:p w14:paraId="6882FE13" w14:textId="77777777" w:rsidR="006F6E6D" w:rsidRPr="00B76C1D" w:rsidRDefault="0099026C" w:rsidP="0099026C">
      <w:pPr>
        <w:pStyle w:val="ListBullet"/>
      </w:pPr>
      <w:r w:rsidRPr="00B76C1D">
        <w:t>A greater range of skill levels,</w:t>
      </w:r>
      <w:r w:rsidR="006F6E6D" w:rsidRPr="00B76C1D">
        <w:t xml:space="preserve"> from </w:t>
      </w:r>
      <w:r w:rsidRPr="00B76C1D">
        <w:t xml:space="preserve">training in basic skills, </w:t>
      </w:r>
      <w:r w:rsidR="006F6E6D" w:rsidRPr="00B76C1D">
        <w:t>to higher technological skills</w:t>
      </w:r>
      <w:r w:rsidR="00C023A0">
        <w:t>, through an on-the-job approach</w:t>
      </w:r>
    </w:p>
    <w:p w14:paraId="045A1BD0" w14:textId="77777777" w:rsidR="0099026C" w:rsidRPr="00B76C1D" w:rsidRDefault="006F6E6D" w:rsidP="00DD647E">
      <w:pPr>
        <w:pStyle w:val="ListBullet"/>
        <w:spacing w:after="240"/>
      </w:pPr>
      <w:r w:rsidRPr="00B76C1D">
        <w:t xml:space="preserve">A range of durations, from short-duration apprenticeships (3-6 months) to the traditional </w:t>
      </w:r>
      <w:proofErr w:type="gramStart"/>
      <w:r w:rsidRPr="00B76C1D">
        <w:t>3 to 4 year</w:t>
      </w:r>
      <w:proofErr w:type="gramEnd"/>
      <w:r w:rsidRPr="00B76C1D">
        <w:t xml:space="preserve"> apprenticeships or longer</w:t>
      </w:r>
    </w:p>
    <w:p w14:paraId="0FE9A62D" w14:textId="77777777" w:rsidR="00B04E1E" w:rsidRPr="00B76C1D" w:rsidRDefault="00BC1C31" w:rsidP="00413C05">
      <w:pPr>
        <w:rPr>
          <w:color w:val="auto"/>
        </w:rPr>
      </w:pPr>
      <w:r w:rsidRPr="00B76C1D">
        <w:rPr>
          <w:color w:val="auto"/>
        </w:rPr>
        <w:t>T</w:t>
      </w:r>
      <w:r w:rsidR="00C11063" w:rsidRPr="00B76C1D">
        <w:rPr>
          <w:color w:val="auto"/>
        </w:rPr>
        <w:t>here</w:t>
      </w:r>
      <w:r w:rsidR="00A00F4B" w:rsidRPr="00B76C1D">
        <w:rPr>
          <w:color w:val="auto"/>
        </w:rPr>
        <w:t xml:space="preserve"> are</w:t>
      </w:r>
      <w:r w:rsidR="00B04E1E" w:rsidRPr="00B76C1D">
        <w:rPr>
          <w:color w:val="auto"/>
        </w:rPr>
        <w:t xml:space="preserve"> </w:t>
      </w:r>
      <w:proofErr w:type="gramStart"/>
      <w:r w:rsidR="00B04E1E" w:rsidRPr="00B76C1D">
        <w:rPr>
          <w:color w:val="auto"/>
        </w:rPr>
        <w:t xml:space="preserve">particular </w:t>
      </w:r>
      <w:r w:rsidR="00A00F4B" w:rsidRPr="00B76C1D">
        <w:rPr>
          <w:color w:val="auto"/>
        </w:rPr>
        <w:t>reasons</w:t>
      </w:r>
      <w:proofErr w:type="gramEnd"/>
      <w:r w:rsidR="00A00F4B" w:rsidRPr="00B76C1D">
        <w:rPr>
          <w:color w:val="auto"/>
        </w:rPr>
        <w:t xml:space="preserve"> why </w:t>
      </w:r>
      <w:r w:rsidR="00B04E1E" w:rsidRPr="00B76C1D">
        <w:rPr>
          <w:color w:val="auto"/>
        </w:rPr>
        <w:t xml:space="preserve">on-the-job learning is </w:t>
      </w:r>
      <w:r w:rsidR="00E13E2B" w:rsidRPr="00B76C1D">
        <w:rPr>
          <w:color w:val="auto"/>
        </w:rPr>
        <w:t>an effective learning and trai</w:t>
      </w:r>
      <w:r w:rsidR="00D14894" w:rsidRPr="00B76C1D">
        <w:rPr>
          <w:color w:val="auto"/>
        </w:rPr>
        <w:t>ning environment</w:t>
      </w:r>
      <w:r w:rsidR="00E13E2B" w:rsidRPr="00B76C1D">
        <w:rPr>
          <w:color w:val="auto"/>
        </w:rPr>
        <w:t xml:space="preserve"> for people with disabilities. </w:t>
      </w:r>
      <w:r w:rsidR="0097445D" w:rsidRPr="00B76C1D">
        <w:rPr>
          <w:color w:val="auto"/>
        </w:rPr>
        <w:t>For example, p</w:t>
      </w:r>
      <w:r w:rsidR="00B04E1E" w:rsidRPr="00B76C1D">
        <w:rPr>
          <w:color w:val="auto"/>
        </w:rPr>
        <w:t xml:space="preserve">eople with intellectual disabilities can find it somewhat difficult to translate learning from a classroom context to a work </w:t>
      </w:r>
      <w:proofErr w:type="gramStart"/>
      <w:r w:rsidR="00B04E1E" w:rsidRPr="00B76C1D">
        <w:rPr>
          <w:color w:val="auto"/>
        </w:rPr>
        <w:t>context, and</w:t>
      </w:r>
      <w:proofErr w:type="gramEnd"/>
      <w:r w:rsidR="00B04E1E" w:rsidRPr="00B76C1D">
        <w:rPr>
          <w:color w:val="auto"/>
        </w:rPr>
        <w:t xml:space="preserve"> learn more easily in a concrete work situation. </w:t>
      </w:r>
      <w:r w:rsidR="0097445D" w:rsidRPr="00B76C1D">
        <w:rPr>
          <w:color w:val="auto"/>
        </w:rPr>
        <w:t>People with mental health difficulties can find learning on the job is more conducive to their recovery than attending training courses where prospects of actual work may be more uncertain.</w:t>
      </w:r>
    </w:p>
    <w:p w14:paraId="1198B4E3" w14:textId="77777777" w:rsidR="00AE6E8D" w:rsidRPr="00B76C1D" w:rsidRDefault="00AE6E8D" w:rsidP="00AE6E8D">
      <w:pPr>
        <w:pStyle w:val="Heading1"/>
        <w:rPr>
          <w:color w:val="auto"/>
        </w:rPr>
      </w:pPr>
      <w:r w:rsidRPr="00B76C1D">
        <w:rPr>
          <w:color w:val="auto"/>
        </w:rPr>
        <w:t>Apprenticeship</w:t>
      </w:r>
      <w:r w:rsidR="008E0313" w:rsidRPr="00B76C1D">
        <w:rPr>
          <w:color w:val="auto"/>
        </w:rPr>
        <w:t>s</w:t>
      </w:r>
      <w:r w:rsidR="00235021" w:rsidRPr="00B76C1D">
        <w:rPr>
          <w:color w:val="auto"/>
        </w:rPr>
        <w:t xml:space="preserve"> as a route for people with disabilities</w:t>
      </w:r>
    </w:p>
    <w:p w14:paraId="2A602635" w14:textId="77777777" w:rsidR="00B10FE0" w:rsidRPr="00B76C1D" w:rsidRDefault="00AE6E8D" w:rsidP="00B10FE0">
      <w:pPr>
        <w:rPr>
          <w:color w:val="auto"/>
        </w:rPr>
      </w:pPr>
      <w:r w:rsidRPr="00B76C1D">
        <w:rPr>
          <w:color w:val="auto"/>
        </w:rPr>
        <w:t xml:space="preserve">Apprenticeships offer young adults including those with disabilities, a career pathway by providing employment while the individual learns </w:t>
      </w:r>
      <w:r w:rsidR="00D14894" w:rsidRPr="00B76C1D">
        <w:rPr>
          <w:color w:val="auto"/>
        </w:rPr>
        <w:t>‘</w:t>
      </w:r>
      <w:r w:rsidRPr="00B76C1D">
        <w:rPr>
          <w:color w:val="auto"/>
        </w:rPr>
        <w:t>on the job</w:t>
      </w:r>
      <w:r w:rsidR="00D14894" w:rsidRPr="00B76C1D">
        <w:rPr>
          <w:color w:val="auto"/>
        </w:rPr>
        <w:t>’.</w:t>
      </w:r>
      <w:r w:rsidRPr="00B76C1D">
        <w:rPr>
          <w:color w:val="auto"/>
        </w:rPr>
        <w:t xml:space="preserve"> </w:t>
      </w:r>
      <w:r w:rsidR="00861CAB" w:rsidRPr="00B76C1D">
        <w:rPr>
          <w:rFonts w:cs="Arial"/>
          <w:color w:val="auto"/>
        </w:rPr>
        <w:t>The National Disability Authority advises that consideration be given to extending the ambit of traditional apprenticeships to include the kind of ‘place and train’ models described below. E</w:t>
      </w:r>
      <w:r w:rsidRPr="00B76C1D">
        <w:rPr>
          <w:color w:val="auto"/>
        </w:rPr>
        <w:t xml:space="preserve">vidence shows that </w:t>
      </w:r>
      <w:r w:rsidR="00861CAB" w:rsidRPr="00B76C1D">
        <w:rPr>
          <w:color w:val="auto"/>
        </w:rPr>
        <w:t>the ‘</w:t>
      </w:r>
      <w:r w:rsidRPr="00B76C1D">
        <w:rPr>
          <w:color w:val="auto"/>
        </w:rPr>
        <w:t>place and train</w:t>
      </w:r>
      <w:r w:rsidR="00861CAB" w:rsidRPr="00B76C1D">
        <w:rPr>
          <w:color w:val="auto"/>
        </w:rPr>
        <w:t>’</w:t>
      </w:r>
      <w:r w:rsidRPr="00B76C1D">
        <w:rPr>
          <w:color w:val="auto"/>
        </w:rPr>
        <w:t xml:space="preserve"> is an appropriate method for many people with disabilities but </w:t>
      </w:r>
      <w:proofErr w:type="gramStart"/>
      <w:r w:rsidRPr="00B76C1D">
        <w:rPr>
          <w:color w:val="auto"/>
        </w:rPr>
        <w:t>in particular for</w:t>
      </w:r>
      <w:proofErr w:type="gramEnd"/>
      <w:r w:rsidRPr="00B76C1D">
        <w:rPr>
          <w:color w:val="auto"/>
        </w:rPr>
        <w:t xml:space="preserve"> learners with intellectual disabilities and those with mental health issues.</w:t>
      </w:r>
      <w:r w:rsidRPr="00B76C1D">
        <w:rPr>
          <w:rStyle w:val="FootnoteReference"/>
          <w:color w:val="auto"/>
        </w:rPr>
        <w:footnoteReference w:id="1"/>
      </w:r>
      <w:r w:rsidRPr="00B76C1D">
        <w:rPr>
          <w:color w:val="auto"/>
        </w:rPr>
        <w:t xml:space="preserve">  </w:t>
      </w:r>
    </w:p>
    <w:p w14:paraId="45A68C81" w14:textId="77777777" w:rsidR="00861CAB" w:rsidRPr="00B76C1D" w:rsidRDefault="00861CAB" w:rsidP="00861CAB">
      <w:pPr>
        <w:rPr>
          <w:rFonts w:cs="Arial"/>
          <w:color w:val="auto"/>
        </w:rPr>
      </w:pPr>
      <w:r w:rsidRPr="00B76C1D">
        <w:rPr>
          <w:rFonts w:cs="Arial"/>
          <w:color w:val="auto"/>
        </w:rPr>
        <w:t>Two examples:</w:t>
      </w:r>
    </w:p>
    <w:p w14:paraId="2169151F" w14:textId="77777777" w:rsidR="00B10FE0" w:rsidRPr="00B76C1D" w:rsidRDefault="00DD647E" w:rsidP="00D14894">
      <w:pPr>
        <w:pStyle w:val="Heading4"/>
        <w:rPr>
          <w:color w:val="auto"/>
          <w:lang w:val="en-GB"/>
        </w:rPr>
      </w:pPr>
      <w:r w:rsidRPr="00B76C1D">
        <w:rPr>
          <w:color w:val="auto"/>
          <w:lang w:val="en-GB"/>
        </w:rPr>
        <w:lastRenderedPageBreak/>
        <w:t xml:space="preserve">1. </w:t>
      </w:r>
      <w:r w:rsidR="006F6E6D" w:rsidRPr="00B76C1D">
        <w:rPr>
          <w:color w:val="auto"/>
          <w:lang w:val="en-GB"/>
        </w:rPr>
        <w:t>Place and Train models for people with intellectual disabilities</w:t>
      </w:r>
    </w:p>
    <w:p w14:paraId="575BFB16" w14:textId="77777777" w:rsidR="007B7E54" w:rsidRPr="00B76C1D" w:rsidRDefault="007B7E54" w:rsidP="00B10FE0">
      <w:pPr>
        <w:rPr>
          <w:color w:val="auto"/>
        </w:rPr>
      </w:pPr>
      <w:r w:rsidRPr="00B76C1D">
        <w:rPr>
          <w:rFonts w:cs="Arial"/>
          <w:color w:val="auto"/>
        </w:rPr>
        <w:t>The British</w:t>
      </w:r>
      <w:r w:rsidR="00B10FE0" w:rsidRPr="00B76C1D">
        <w:rPr>
          <w:rFonts w:cs="Arial"/>
          <w:color w:val="auto"/>
        </w:rPr>
        <w:t xml:space="preserve"> Government’s </w:t>
      </w:r>
      <w:r w:rsidR="00B10FE0" w:rsidRPr="00B76C1D">
        <w:rPr>
          <w:rFonts w:cs="Arial"/>
          <w:b/>
          <w:color w:val="auto"/>
        </w:rPr>
        <w:t>Valuing Employment Now</w:t>
      </w:r>
      <w:r w:rsidR="00B10FE0" w:rsidRPr="00B76C1D">
        <w:rPr>
          <w:rFonts w:cs="Arial"/>
          <w:color w:val="auto"/>
        </w:rPr>
        <w:t xml:space="preserve"> strategy</w:t>
      </w:r>
      <w:r w:rsidRPr="00B76C1D">
        <w:rPr>
          <w:rFonts w:cs="Arial"/>
          <w:color w:val="auto"/>
        </w:rPr>
        <w:t xml:space="preserve"> (2009)</w:t>
      </w:r>
      <w:r w:rsidR="00B10FE0" w:rsidRPr="00B76C1D">
        <w:rPr>
          <w:rStyle w:val="FootnoteReference"/>
          <w:color w:val="auto"/>
        </w:rPr>
        <w:footnoteReference w:id="2"/>
      </w:r>
      <w:r w:rsidR="00B10FE0" w:rsidRPr="00B76C1D">
        <w:rPr>
          <w:rFonts w:cs="Arial"/>
          <w:color w:val="auto"/>
        </w:rPr>
        <w:t xml:space="preserve"> focused on significantly increasing the opportunities for people with intellectual disabilities, especially those with moderate and severe intellectual disabilities, to get real work</w:t>
      </w:r>
      <w:r w:rsidR="00B10FE0" w:rsidRPr="00B76C1D">
        <w:rPr>
          <w:color w:val="auto"/>
        </w:rPr>
        <w:t xml:space="preserve">. </w:t>
      </w:r>
      <w:r w:rsidRPr="00B76C1D">
        <w:rPr>
          <w:color w:val="auto"/>
        </w:rPr>
        <w:t xml:space="preserve">A particular focus was given to a ‘place, train, and monitor’ model, with people with intellectual disabilities placed in workplaces, being supported by job coaches to settle in and acquire relevant skills. </w:t>
      </w:r>
    </w:p>
    <w:p w14:paraId="7EBC5700" w14:textId="77777777" w:rsidR="00B10FE0" w:rsidRPr="00B76C1D" w:rsidRDefault="00B10FE0" w:rsidP="00B10FE0">
      <w:pPr>
        <w:rPr>
          <w:rFonts w:cs="Arial"/>
          <w:color w:val="auto"/>
        </w:rPr>
      </w:pPr>
      <w:r w:rsidRPr="00B76C1D">
        <w:rPr>
          <w:rFonts w:cs="Arial"/>
          <w:color w:val="auto"/>
        </w:rPr>
        <w:t>The job coach in the ‘place, train and monitor’ model plays an essential role in breaking down work into tasks</w:t>
      </w:r>
      <w:r w:rsidR="007B7E54" w:rsidRPr="00B76C1D">
        <w:rPr>
          <w:rFonts w:cs="Arial"/>
          <w:color w:val="auto"/>
        </w:rPr>
        <w:t>,</w:t>
      </w:r>
      <w:r w:rsidRPr="00B76C1D">
        <w:rPr>
          <w:rFonts w:cs="Arial"/>
          <w:color w:val="auto"/>
        </w:rPr>
        <w:t xml:space="preserve"> and step by step</w:t>
      </w:r>
      <w:r w:rsidR="007B7E54" w:rsidRPr="00B76C1D">
        <w:rPr>
          <w:rFonts w:cs="Arial"/>
          <w:color w:val="auto"/>
        </w:rPr>
        <w:t xml:space="preserve"> training in tasks</w:t>
      </w:r>
      <w:r w:rsidRPr="00B76C1D">
        <w:rPr>
          <w:rFonts w:cs="Arial"/>
          <w:color w:val="auto"/>
        </w:rPr>
        <w:t xml:space="preserve">. This typically involves breaking tasks down into component steps for a person with intellectual disabilities. The trainer uses a prompting hierarchy to give just enough information for the person to do the job, without creating dependency. In addition, the job coach supports the person’s social integration into the workplace. </w:t>
      </w:r>
    </w:p>
    <w:p w14:paraId="1A629D4E" w14:textId="77777777" w:rsidR="00B10FE0" w:rsidRPr="00B76C1D" w:rsidRDefault="00861CAB" w:rsidP="00B10FE0">
      <w:pPr>
        <w:rPr>
          <w:rFonts w:cs="Arial"/>
          <w:color w:val="auto"/>
        </w:rPr>
      </w:pPr>
      <w:r w:rsidRPr="00B76C1D">
        <w:rPr>
          <w:rFonts w:cs="Arial"/>
          <w:color w:val="auto"/>
        </w:rPr>
        <w:t>O</w:t>
      </w:r>
      <w:r w:rsidR="00B10FE0" w:rsidRPr="00B76C1D">
        <w:rPr>
          <w:rFonts w:cs="Arial"/>
          <w:color w:val="auto"/>
        </w:rPr>
        <w:t xml:space="preserve">ver time, it is possible to reduce the input from the job coach in these two areas, with just occasional monitoring. </w:t>
      </w:r>
      <w:r w:rsidRPr="00B76C1D">
        <w:rPr>
          <w:rFonts w:cs="Arial"/>
          <w:color w:val="auto"/>
        </w:rPr>
        <w:t>In this model, t</w:t>
      </w:r>
      <w:r w:rsidR="00B10FE0" w:rsidRPr="00B76C1D">
        <w:rPr>
          <w:rFonts w:cs="Arial"/>
          <w:color w:val="auto"/>
        </w:rPr>
        <w:t>he supported employment service continues to maintain a problem solving and career develop</w:t>
      </w:r>
      <w:r w:rsidR="007B7E54" w:rsidRPr="00B76C1D">
        <w:rPr>
          <w:rFonts w:cs="Arial"/>
          <w:color w:val="auto"/>
        </w:rPr>
        <w:t xml:space="preserve">ment brief for the individual. </w:t>
      </w:r>
    </w:p>
    <w:p w14:paraId="54396804" w14:textId="77777777" w:rsidR="00AE1BC6" w:rsidRDefault="00AE1BC6" w:rsidP="00AE1BC6">
      <w:pPr>
        <w:pStyle w:val="Heading3"/>
      </w:pPr>
      <w:r>
        <w:t>Broaden the model of apprenticeship to encompass this approach</w:t>
      </w:r>
    </w:p>
    <w:p w14:paraId="39584183" w14:textId="77777777" w:rsidR="00861CAB" w:rsidRPr="00B76C1D" w:rsidRDefault="00861CAB" w:rsidP="00B10FE0">
      <w:pPr>
        <w:rPr>
          <w:rFonts w:cs="Arial"/>
          <w:color w:val="auto"/>
        </w:rPr>
      </w:pPr>
      <w:r w:rsidRPr="00B76C1D">
        <w:rPr>
          <w:rFonts w:cs="Arial"/>
          <w:color w:val="auto"/>
        </w:rPr>
        <w:t>The kinds of jobs where people with intellectual disabilities have been successfully placed include lower-skilled jobs in catering and retail</w:t>
      </w:r>
      <w:r w:rsidR="00E65036" w:rsidRPr="00B76C1D">
        <w:rPr>
          <w:rFonts w:cs="Arial"/>
          <w:color w:val="auto"/>
        </w:rPr>
        <w:t xml:space="preserve">, where these workers are able to make a real contribution when suitably skilled. A broadening of the model of apprenticeship to include the learning of the more basic skills involved in these kinds of work, and over a shorter period, could play a role in enabling more people with intellectual disabilities reach their potential and get a job. </w:t>
      </w:r>
    </w:p>
    <w:p w14:paraId="09D61330" w14:textId="77777777" w:rsidR="00B10FE0" w:rsidRPr="00B76C1D" w:rsidRDefault="00AE1BC6" w:rsidP="00AE1BC6">
      <w:pPr>
        <w:pStyle w:val="Heading2"/>
        <w:rPr>
          <w:lang w:eastAsia="en-GB"/>
        </w:rPr>
      </w:pPr>
      <w:r>
        <w:rPr>
          <w:lang w:eastAsia="en-GB"/>
        </w:rPr>
        <w:t xml:space="preserve">2. </w:t>
      </w:r>
      <w:r w:rsidR="006F6E6D" w:rsidRPr="00B76C1D">
        <w:rPr>
          <w:lang w:eastAsia="en-GB"/>
        </w:rPr>
        <w:t xml:space="preserve">Place and Train models for people with mental health issues </w:t>
      </w:r>
    </w:p>
    <w:p w14:paraId="74AACEAF" w14:textId="77777777" w:rsidR="00B10FE0" w:rsidRPr="00B76C1D" w:rsidRDefault="00B10FE0" w:rsidP="00235021">
      <w:pPr>
        <w:autoSpaceDE w:val="0"/>
        <w:autoSpaceDN w:val="0"/>
        <w:adjustRightInd w:val="0"/>
        <w:spacing w:after="120"/>
        <w:rPr>
          <w:color w:val="auto"/>
          <w:lang w:eastAsia="en-GB"/>
        </w:rPr>
      </w:pPr>
      <w:r w:rsidRPr="00B76C1D">
        <w:rPr>
          <w:color w:val="auto"/>
          <w:lang w:eastAsia="en-GB"/>
        </w:rPr>
        <w:t xml:space="preserve">In the </w:t>
      </w:r>
      <w:smartTag w:uri="urn:schemas-microsoft-com:office:smarttags" w:element="country-region">
        <w:r w:rsidRPr="00B76C1D">
          <w:rPr>
            <w:color w:val="auto"/>
            <w:lang w:eastAsia="en-GB"/>
          </w:rPr>
          <w:t>USA</w:t>
        </w:r>
      </w:smartTag>
      <w:r w:rsidRPr="00B76C1D">
        <w:rPr>
          <w:color w:val="auto"/>
          <w:lang w:eastAsia="en-GB"/>
        </w:rPr>
        <w:t xml:space="preserve">, </w:t>
      </w:r>
      <w:smartTag w:uri="urn:schemas-microsoft-com:office:smarttags" w:element="country-region">
        <w:r w:rsidRPr="00B76C1D">
          <w:rPr>
            <w:color w:val="auto"/>
            <w:lang w:eastAsia="en-GB"/>
          </w:rPr>
          <w:t>UK</w:t>
        </w:r>
      </w:smartTag>
      <w:r w:rsidRPr="00B76C1D">
        <w:rPr>
          <w:color w:val="auto"/>
          <w:lang w:eastAsia="en-GB"/>
        </w:rPr>
        <w:t xml:space="preserve"> and </w:t>
      </w:r>
      <w:smartTag w:uri="urn:schemas-microsoft-com:office:smarttags" w:element="country-region">
        <w:smartTag w:uri="urn:schemas-microsoft-com:office:smarttags" w:element="place">
          <w:r w:rsidRPr="00B76C1D">
            <w:rPr>
              <w:color w:val="auto"/>
              <w:lang w:eastAsia="en-GB"/>
            </w:rPr>
            <w:t>New Zealand</w:t>
          </w:r>
        </w:smartTag>
      </w:smartTag>
      <w:r w:rsidRPr="00B76C1D">
        <w:rPr>
          <w:color w:val="auto"/>
          <w:lang w:eastAsia="en-GB"/>
        </w:rPr>
        <w:t xml:space="preserve"> a supported employment model called Individual Placement with Support has been introduced to support people with a wide range of mental health issues into work. The key </w:t>
      </w:r>
      <w:r w:rsidRPr="00B76C1D">
        <w:rPr>
          <w:rFonts w:cs="Arial"/>
          <w:color w:val="auto"/>
          <w:lang w:eastAsia="en-GB"/>
        </w:rPr>
        <w:t>principles</w:t>
      </w:r>
      <w:r w:rsidRPr="00B76C1D">
        <w:rPr>
          <w:rStyle w:val="FootnoteReference"/>
          <w:color w:val="auto"/>
          <w:lang w:eastAsia="en-GB"/>
        </w:rPr>
        <w:footnoteReference w:id="3"/>
      </w:r>
      <w:r w:rsidRPr="00B76C1D">
        <w:rPr>
          <w:rFonts w:cs="Arial"/>
          <w:color w:val="auto"/>
          <w:lang w:eastAsia="en-GB"/>
        </w:rPr>
        <w:t xml:space="preserve"> </w:t>
      </w:r>
      <w:r w:rsidRPr="00B76C1D">
        <w:rPr>
          <w:color w:val="auto"/>
          <w:lang w:eastAsia="en-GB"/>
        </w:rPr>
        <w:t>are:</w:t>
      </w:r>
    </w:p>
    <w:p w14:paraId="57C7FCE5" w14:textId="77777777" w:rsidR="00B10FE0" w:rsidRPr="00B76C1D" w:rsidRDefault="00B10FE0" w:rsidP="00B10FE0">
      <w:pPr>
        <w:pStyle w:val="ListBullet"/>
        <w:rPr>
          <w:b/>
        </w:rPr>
      </w:pPr>
      <w:r w:rsidRPr="00B76C1D">
        <w:t>Competitive employment is the primary goal</w:t>
      </w:r>
    </w:p>
    <w:p w14:paraId="2E3DB7A2" w14:textId="77777777" w:rsidR="00B10FE0" w:rsidRPr="00B76C1D" w:rsidRDefault="00B10FE0" w:rsidP="00B10FE0">
      <w:pPr>
        <w:pStyle w:val="ListBullet"/>
        <w:rPr>
          <w:b/>
        </w:rPr>
      </w:pPr>
      <w:r w:rsidRPr="00B76C1D">
        <w:lastRenderedPageBreak/>
        <w:t>This model takes a ‘place, then train’ rather than ‘train, then place’ approach.</w:t>
      </w:r>
      <w:r w:rsidRPr="00B76C1D">
        <w:rPr>
          <w:b/>
        </w:rPr>
        <w:t xml:space="preserve"> </w:t>
      </w:r>
      <w:r w:rsidRPr="00B76C1D">
        <w:t>The rationale is to</w:t>
      </w:r>
      <w:r w:rsidRPr="00B76C1D">
        <w:rPr>
          <w:b/>
        </w:rPr>
        <w:t xml:space="preserve"> </w:t>
      </w:r>
      <w:r w:rsidRPr="00B76C1D">
        <w:t>help people to get a job as quickly as possible and then support them in it, rather than lengthy pre-employment training/preparation</w:t>
      </w:r>
    </w:p>
    <w:p w14:paraId="10BA7E8C" w14:textId="77777777" w:rsidR="00B10FE0" w:rsidRPr="00B76C1D" w:rsidRDefault="00B10FE0" w:rsidP="00B10FE0">
      <w:pPr>
        <w:pStyle w:val="ListBullet"/>
      </w:pPr>
      <w:r w:rsidRPr="00B76C1D">
        <w:t>Everyone who needs it is eligible for employment support</w:t>
      </w:r>
    </w:p>
    <w:p w14:paraId="5D957947" w14:textId="77777777" w:rsidR="00B10FE0" w:rsidRPr="00B76C1D" w:rsidRDefault="00B10FE0" w:rsidP="00B10FE0">
      <w:pPr>
        <w:pStyle w:val="ListBullet"/>
      </w:pPr>
      <w:r w:rsidRPr="00B76C1D">
        <w:t>Job search is consistent with individual preferences</w:t>
      </w:r>
    </w:p>
    <w:p w14:paraId="4A5A9061" w14:textId="77777777" w:rsidR="00B10FE0" w:rsidRPr="00B76C1D" w:rsidRDefault="00B10FE0" w:rsidP="00B10FE0">
      <w:pPr>
        <w:pStyle w:val="ListBullet"/>
      </w:pPr>
      <w:r w:rsidRPr="00B76C1D">
        <w:t>Job search is rapid: beginning within one month</w:t>
      </w:r>
    </w:p>
    <w:p w14:paraId="0F61AF2F" w14:textId="77777777" w:rsidR="00B10FE0" w:rsidRPr="00B76C1D" w:rsidRDefault="00B10FE0" w:rsidP="00B10FE0">
      <w:pPr>
        <w:pStyle w:val="ListBullet"/>
      </w:pPr>
      <w:r w:rsidRPr="00B76C1D">
        <w:t>Employment specialists and clinical teams work and are located together</w:t>
      </w:r>
    </w:p>
    <w:p w14:paraId="318A5EAA" w14:textId="77777777" w:rsidR="00B10FE0" w:rsidRPr="00B76C1D" w:rsidRDefault="00B10FE0" w:rsidP="00B10FE0">
      <w:pPr>
        <w:pStyle w:val="ListBullet"/>
      </w:pPr>
      <w:r w:rsidRPr="00B76C1D">
        <w:t>Support is not time-limited</w:t>
      </w:r>
    </w:p>
    <w:p w14:paraId="245E6944" w14:textId="77777777" w:rsidR="00B10FE0" w:rsidRPr="00B76C1D" w:rsidRDefault="00B10FE0" w:rsidP="00B10FE0">
      <w:pPr>
        <w:pStyle w:val="ListBullet"/>
      </w:pPr>
      <w:r w:rsidRPr="00B76C1D">
        <w:t>Support is individualised to both the employer and the employee</w:t>
      </w:r>
    </w:p>
    <w:p w14:paraId="54F91072" w14:textId="77777777" w:rsidR="00E65036" w:rsidRPr="00B76C1D" w:rsidRDefault="00B10FE0" w:rsidP="00E65036">
      <w:pPr>
        <w:pStyle w:val="ListBullet"/>
        <w:rPr>
          <w:rFonts w:cs="Lucida Sans Unicode"/>
          <w:iCs/>
          <w:lang w:eastAsia="en-GB"/>
        </w:rPr>
      </w:pPr>
      <w:r w:rsidRPr="00B76C1D">
        <w:t>People are clear about their incomes on taking up work. Counselling on welfare benefits assists the person through the transition from benefits to work</w:t>
      </w:r>
    </w:p>
    <w:p w14:paraId="71F8CED6" w14:textId="77777777" w:rsidR="00B10FE0" w:rsidRPr="00B76C1D" w:rsidRDefault="00E65036" w:rsidP="00E65036">
      <w:pPr>
        <w:pStyle w:val="ListBullet"/>
        <w:spacing w:after="240"/>
        <w:rPr>
          <w:rFonts w:cs="Lucida Sans Unicode"/>
          <w:iCs/>
          <w:lang w:eastAsia="en-GB"/>
        </w:rPr>
      </w:pPr>
      <w:r w:rsidRPr="00B76C1D">
        <w:t>I</w:t>
      </w:r>
      <w:r w:rsidR="008E0313" w:rsidRPr="00B76C1D">
        <w:t>t is essential that the job search is rapid and results in a real job</w:t>
      </w:r>
      <w:r w:rsidRPr="00B76C1D">
        <w:t>.</w:t>
      </w:r>
      <w:r w:rsidR="003F4F04" w:rsidRPr="00B76C1D">
        <w:rPr>
          <w:rStyle w:val="FootnoteReference"/>
        </w:rPr>
        <w:footnoteReference w:id="4"/>
      </w:r>
      <w:r w:rsidR="008E0313" w:rsidRPr="00B76C1D">
        <w:t xml:space="preserve"> </w:t>
      </w:r>
    </w:p>
    <w:p w14:paraId="7123D762" w14:textId="77777777" w:rsidR="00E65036" w:rsidRPr="00B76C1D" w:rsidRDefault="00AE1BC6" w:rsidP="00AE6E8D">
      <w:pPr>
        <w:pStyle w:val="ListNumber"/>
        <w:numPr>
          <w:ilvl w:val="0"/>
          <w:numId w:val="0"/>
        </w:numPr>
        <w:rPr>
          <w:color w:val="auto"/>
        </w:rPr>
      </w:pPr>
      <w:r>
        <w:rPr>
          <w:color w:val="auto"/>
        </w:rPr>
        <w:t>There is evidence that this approach is a successful one in securing jobs for people with mental health conditions (see Appendix 2). The ‘work first’ approach in turn is more successf</w:t>
      </w:r>
      <w:r w:rsidR="00C023A0">
        <w:rPr>
          <w:color w:val="auto"/>
        </w:rPr>
        <w:t>ul in enabling people recover f</w:t>
      </w:r>
      <w:r>
        <w:rPr>
          <w:color w:val="auto"/>
        </w:rPr>
        <w:t>r</w:t>
      </w:r>
      <w:r w:rsidR="00C023A0">
        <w:rPr>
          <w:color w:val="auto"/>
        </w:rPr>
        <w:t>om</w:t>
      </w:r>
      <w:r>
        <w:rPr>
          <w:color w:val="auto"/>
        </w:rPr>
        <w:t xml:space="preserve"> episodes of mental ill-health.  </w:t>
      </w:r>
    </w:p>
    <w:p w14:paraId="070ABD52" w14:textId="77777777" w:rsidR="00AE6E8D" w:rsidRPr="00B76C1D" w:rsidRDefault="007B5111" w:rsidP="006555FB">
      <w:pPr>
        <w:pStyle w:val="Heading1"/>
        <w:rPr>
          <w:color w:val="auto"/>
        </w:rPr>
      </w:pPr>
      <w:r>
        <w:rPr>
          <w:color w:val="auto"/>
        </w:rPr>
        <w:t>A</w:t>
      </w:r>
      <w:r w:rsidR="00C11063" w:rsidRPr="00B76C1D">
        <w:rPr>
          <w:color w:val="auto"/>
        </w:rPr>
        <w:t>pprenticeships</w:t>
      </w:r>
      <w:r>
        <w:rPr>
          <w:color w:val="auto"/>
        </w:rPr>
        <w:t xml:space="preserve"> in the new landscape</w:t>
      </w:r>
    </w:p>
    <w:p w14:paraId="420DA9DD" w14:textId="77777777" w:rsidR="007B5111" w:rsidRDefault="009F2B45" w:rsidP="007B5111">
      <w:pPr>
        <w:pStyle w:val="ListNumber"/>
        <w:numPr>
          <w:ilvl w:val="0"/>
          <w:numId w:val="0"/>
        </w:numPr>
        <w:spacing w:after="240"/>
        <w:rPr>
          <w:color w:val="auto"/>
        </w:rPr>
      </w:pPr>
      <w:r w:rsidRPr="00B76C1D">
        <w:rPr>
          <w:color w:val="auto"/>
        </w:rPr>
        <w:t>As the</w:t>
      </w:r>
      <w:r w:rsidR="00AE6E8D" w:rsidRPr="00B76C1D">
        <w:rPr>
          <w:color w:val="auto"/>
        </w:rPr>
        <w:t xml:space="preserve"> new landscape </w:t>
      </w:r>
      <w:r w:rsidRPr="00B76C1D">
        <w:rPr>
          <w:color w:val="auto"/>
        </w:rPr>
        <w:t xml:space="preserve">for further education and training emerges the </w:t>
      </w:r>
      <w:r w:rsidR="00807782" w:rsidRPr="00B76C1D">
        <w:rPr>
          <w:color w:val="auto"/>
        </w:rPr>
        <w:t xml:space="preserve">reworked </w:t>
      </w:r>
      <w:proofErr w:type="gramStart"/>
      <w:r w:rsidRPr="00B76C1D">
        <w:rPr>
          <w:color w:val="auto"/>
        </w:rPr>
        <w:t>apprenticeships</w:t>
      </w:r>
      <w:proofErr w:type="gramEnd"/>
      <w:r w:rsidRPr="00B76C1D">
        <w:rPr>
          <w:color w:val="auto"/>
        </w:rPr>
        <w:t xml:space="preserve"> structure can provide </w:t>
      </w:r>
      <w:r w:rsidR="007B5111">
        <w:rPr>
          <w:color w:val="auto"/>
        </w:rPr>
        <w:t xml:space="preserve">a bridge from second-level education or basic training towards </w:t>
      </w:r>
      <w:r w:rsidR="00DF61C3" w:rsidRPr="00B76C1D">
        <w:rPr>
          <w:color w:val="auto"/>
        </w:rPr>
        <w:t xml:space="preserve">work. </w:t>
      </w:r>
      <w:r w:rsidR="007B5111">
        <w:rPr>
          <w:color w:val="auto"/>
        </w:rPr>
        <w:t xml:space="preserve">A key task in developing the comprehensive employment strategy for people with disabilities is to ensure there are clear bridges and pathways from education into employment.  </w:t>
      </w:r>
    </w:p>
    <w:p w14:paraId="213A4A2B" w14:textId="77777777" w:rsidR="00807782" w:rsidRPr="00B76C1D" w:rsidRDefault="00DF61C3" w:rsidP="00AE6E8D">
      <w:pPr>
        <w:pStyle w:val="ListNumber"/>
        <w:numPr>
          <w:ilvl w:val="0"/>
          <w:numId w:val="0"/>
        </w:numPr>
        <w:rPr>
          <w:color w:val="auto"/>
        </w:rPr>
      </w:pPr>
      <w:r w:rsidRPr="00B76C1D">
        <w:rPr>
          <w:color w:val="auto"/>
        </w:rPr>
        <w:t>The NDA would like to make the following comments.</w:t>
      </w:r>
    </w:p>
    <w:p w14:paraId="543C2704" w14:textId="77777777" w:rsidR="00F90D50" w:rsidRPr="00B76C1D" w:rsidRDefault="006555FB" w:rsidP="00120D30">
      <w:pPr>
        <w:pStyle w:val="Heading2"/>
        <w:rPr>
          <w:color w:val="auto"/>
        </w:rPr>
      </w:pPr>
      <w:r w:rsidRPr="00B76C1D">
        <w:rPr>
          <w:color w:val="auto"/>
        </w:rPr>
        <w:t>Key points for the new model of apprenticeships</w:t>
      </w:r>
    </w:p>
    <w:p w14:paraId="22B1A4AA" w14:textId="77777777" w:rsidR="00AE1BC6" w:rsidRDefault="009F2B45" w:rsidP="00A00F4B">
      <w:pPr>
        <w:pStyle w:val="ListBullet"/>
      </w:pPr>
      <w:r w:rsidRPr="00B76C1D">
        <w:t>SO</w:t>
      </w:r>
      <w:r w:rsidR="00DF61C3" w:rsidRPr="00B76C1D">
        <w:t xml:space="preserve">LAS will have an oversight role </w:t>
      </w:r>
      <w:r w:rsidR="00AE1BC6">
        <w:t xml:space="preserve">in apprenticeships </w:t>
      </w:r>
      <w:r w:rsidR="00DF61C3" w:rsidRPr="00B76C1D">
        <w:t>as the coordination body for further educatio</w:t>
      </w:r>
      <w:r w:rsidR="006547D7" w:rsidRPr="00B76C1D">
        <w:t xml:space="preserve">n </w:t>
      </w:r>
      <w:r w:rsidR="00AE1BC6">
        <w:t xml:space="preserve">and </w:t>
      </w:r>
      <w:r w:rsidR="006547D7" w:rsidRPr="00B76C1D">
        <w:t xml:space="preserve">training </w:t>
      </w:r>
    </w:p>
    <w:p w14:paraId="1406C9EE" w14:textId="77777777" w:rsidR="00AE6E8D" w:rsidRPr="00B76C1D" w:rsidRDefault="00F90D50" w:rsidP="007B5111">
      <w:pPr>
        <w:pStyle w:val="ListBullet"/>
      </w:pPr>
      <w:r w:rsidRPr="00B76C1D">
        <w:lastRenderedPageBreak/>
        <w:t xml:space="preserve">National and local protocols should be developed </w:t>
      </w:r>
      <w:r w:rsidR="007B5111">
        <w:t xml:space="preserve">around how schools and disability services can link into local </w:t>
      </w:r>
      <w:r w:rsidR="00807782" w:rsidRPr="00B76C1D">
        <w:t>Education Training B</w:t>
      </w:r>
      <w:r w:rsidR="00AE6E8D" w:rsidRPr="00B76C1D">
        <w:t>oards</w:t>
      </w:r>
      <w:r w:rsidRPr="00B76C1D">
        <w:t xml:space="preserve"> an</w:t>
      </w:r>
      <w:r w:rsidR="00220CEC" w:rsidRPr="00B76C1D">
        <w:t xml:space="preserve">d </w:t>
      </w:r>
      <w:r w:rsidR="007B5111">
        <w:t>to apprenticeship and on-the-job traineeship opportunities</w:t>
      </w:r>
    </w:p>
    <w:p w14:paraId="637D5D77" w14:textId="77777777" w:rsidR="007B5111" w:rsidRDefault="007B5111" w:rsidP="00A00F4B">
      <w:pPr>
        <w:pStyle w:val="ListBullet"/>
      </w:pPr>
      <w:r>
        <w:t xml:space="preserve">The NDA would like to see a central focal point of advice for employers around </w:t>
      </w:r>
      <w:r w:rsidR="00C023A0">
        <w:t xml:space="preserve">any issues around employing people with disabilities, including as apprentices or trainees, which could offer guidance around issues such as reasonable accommodation or other issues that arise on the job.  </w:t>
      </w:r>
    </w:p>
    <w:p w14:paraId="5B778C4C" w14:textId="77777777" w:rsidR="00FC4430" w:rsidRPr="00FC4430" w:rsidRDefault="00C023A0" w:rsidP="00FC4430">
      <w:pPr>
        <w:pStyle w:val="ListBullet"/>
      </w:pPr>
      <w:r>
        <w:rPr>
          <w:lang w:val="en-GB" w:eastAsia="en-GB"/>
        </w:rPr>
        <w:t xml:space="preserve">It would be useful </w:t>
      </w:r>
      <w:r w:rsidR="00FC4430">
        <w:rPr>
          <w:lang w:val="en-GB" w:eastAsia="en-GB"/>
        </w:rPr>
        <w:t xml:space="preserve">to clarify </w:t>
      </w:r>
      <w:r w:rsidR="00DF61C3" w:rsidRPr="00B76C1D">
        <w:rPr>
          <w:lang w:val="en-GB" w:eastAsia="en-GB"/>
        </w:rPr>
        <w:t xml:space="preserve">an appropriate legal framework for apprenticeship and </w:t>
      </w:r>
      <w:r w:rsidR="008647C1" w:rsidRPr="00B76C1D">
        <w:rPr>
          <w:lang w:val="en-GB" w:eastAsia="en-GB"/>
        </w:rPr>
        <w:t>‘</w:t>
      </w:r>
      <w:r w:rsidR="00DF61C3" w:rsidRPr="00B76C1D">
        <w:rPr>
          <w:lang w:val="en-GB" w:eastAsia="en-GB"/>
        </w:rPr>
        <w:t xml:space="preserve">place-and-train </w:t>
      </w:r>
      <w:proofErr w:type="gramStart"/>
      <w:r w:rsidR="00DF61C3" w:rsidRPr="00B76C1D">
        <w:rPr>
          <w:lang w:val="en-GB" w:eastAsia="en-GB"/>
        </w:rPr>
        <w:t>placements</w:t>
      </w:r>
      <w:r w:rsidR="008647C1" w:rsidRPr="00B76C1D">
        <w:rPr>
          <w:lang w:val="en-GB" w:eastAsia="en-GB"/>
        </w:rPr>
        <w:t>’</w:t>
      </w:r>
      <w:proofErr w:type="gramEnd"/>
      <w:r w:rsidR="00FC4430">
        <w:rPr>
          <w:lang w:val="en-GB" w:eastAsia="en-GB"/>
        </w:rPr>
        <w:t xml:space="preserve">. </w:t>
      </w:r>
    </w:p>
    <w:p w14:paraId="144E394C" w14:textId="77777777" w:rsidR="00AE6E8D" w:rsidRPr="00B76C1D" w:rsidRDefault="00AE6E8D" w:rsidP="00FC4430">
      <w:pPr>
        <w:pStyle w:val="Heading1"/>
      </w:pPr>
      <w:r w:rsidRPr="00B76C1D">
        <w:t>Learning from other jurisdictions</w:t>
      </w:r>
    </w:p>
    <w:p w14:paraId="17F8CB7D" w14:textId="77777777" w:rsidR="00D23698" w:rsidRPr="00845068" w:rsidRDefault="003A682D" w:rsidP="00235021">
      <w:pPr>
        <w:rPr>
          <w:b/>
          <w:color w:val="auto"/>
        </w:rPr>
      </w:pPr>
      <w:r w:rsidRPr="00B76C1D">
        <w:rPr>
          <w:color w:val="auto"/>
          <w:lang w:val="en-GB" w:eastAsia="en-GB"/>
        </w:rPr>
        <w:t xml:space="preserve">In many jurisdictions people with disabilities have been </w:t>
      </w:r>
      <w:proofErr w:type="gramStart"/>
      <w:r w:rsidRPr="00B76C1D">
        <w:rPr>
          <w:color w:val="auto"/>
          <w:lang w:val="en-GB" w:eastAsia="en-GB"/>
        </w:rPr>
        <w:t>under represented</w:t>
      </w:r>
      <w:proofErr w:type="gramEnd"/>
      <w:r w:rsidRPr="00B76C1D">
        <w:rPr>
          <w:color w:val="auto"/>
          <w:lang w:val="en-GB" w:eastAsia="en-GB"/>
        </w:rPr>
        <w:t xml:space="preserve"> i</w:t>
      </w:r>
      <w:r w:rsidR="00120D30" w:rsidRPr="00B76C1D">
        <w:rPr>
          <w:color w:val="auto"/>
          <w:lang w:val="en-GB" w:eastAsia="en-GB"/>
        </w:rPr>
        <w:t xml:space="preserve">n apprenticeships. In </w:t>
      </w:r>
      <w:smartTag w:uri="urn:schemas-microsoft-com:office:smarttags" w:element="place">
        <w:smartTag w:uri="urn:schemas-microsoft-com:office:smarttags" w:element="country-region">
          <w:r w:rsidR="00120D30" w:rsidRPr="00B76C1D">
            <w:rPr>
              <w:color w:val="auto"/>
              <w:lang w:val="en-GB" w:eastAsia="en-GB"/>
            </w:rPr>
            <w:t>Australia</w:t>
          </w:r>
        </w:smartTag>
      </w:smartTag>
      <w:r w:rsidR="00120D30" w:rsidRPr="00B76C1D">
        <w:rPr>
          <w:color w:val="auto"/>
          <w:lang w:val="en-GB" w:eastAsia="en-GB"/>
        </w:rPr>
        <w:t>, for example,</w:t>
      </w:r>
      <w:r w:rsidRPr="00B76C1D">
        <w:rPr>
          <w:color w:val="auto"/>
          <w:lang w:val="en-GB" w:eastAsia="en-GB"/>
        </w:rPr>
        <w:t xml:space="preserve"> they were the least represented</w:t>
      </w:r>
      <w:r w:rsidR="00120D30" w:rsidRPr="00B76C1D">
        <w:rPr>
          <w:color w:val="auto"/>
          <w:lang w:val="en-GB" w:eastAsia="en-GB"/>
        </w:rPr>
        <w:t xml:space="preserve"> of all equality groups. </w:t>
      </w:r>
      <w:r w:rsidRPr="00B76C1D">
        <w:rPr>
          <w:b/>
          <w:color w:val="auto"/>
        </w:rPr>
        <w:t>Successful approaches to placing and supporting apprentices and trainees with disability in Australia</w:t>
      </w:r>
      <w:r w:rsidR="00120D30" w:rsidRPr="00B76C1D">
        <w:rPr>
          <w:b/>
          <w:color w:val="auto"/>
        </w:rPr>
        <w:t xml:space="preserve"> </w:t>
      </w:r>
      <w:r w:rsidR="00120D30" w:rsidRPr="00B76C1D">
        <w:rPr>
          <w:color w:val="auto"/>
        </w:rPr>
        <w:t xml:space="preserve">(Lewis, </w:t>
      </w:r>
      <w:proofErr w:type="spellStart"/>
      <w:r w:rsidR="00120D30" w:rsidRPr="00B76C1D">
        <w:rPr>
          <w:color w:val="auto"/>
        </w:rPr>
        <w:t>Thoresen</w:t>
      </w:r>
      <w:proofErr w:type="spellEnd"/>
      <w:r w:rsidR="00120D30" w:rsidRPr="00B76C1D">
        <w:rPr>
          <w:color w:val="auto"/>
        </w:rPr>
        <w:t xml:space="preserve"> and Cocks, 2010)</w:t>
      </w:r>
      <w:r w:rsidR="00EC6990" w:rsidRPr="00B76C1D">
        <w:rPr>
          <w:rStyle w:val="FootnoteReference"/>
          <w:color w:val="auto"/>
        </w:rPr>
        <w:footnoteReference w:id="5"/>
      </w:r>
      <w:r w:rsidR="00120D30" w:rsidRPr="00B76C1D">
        <w:rPr>
          <w:color w:val="auto"/>
        </w:rPr>
        <w:t xml:space="preserve"> d</w:t>
      </w:r>
      <w:r w:rsidRPr="00B76C1D">
        <w:rPr>
          <w:color w:val="auto"/>
        </w:rPr>
        <w:t>escribe</w:t>
      </w:r>
      <w:r w:rsidR="00120D30" w:rsidRPr="00B76C1D">
        <w:rPr>
          <w:color w:val="auto"/>
        </w:rPr>
        <w:t>s</w:t>
      </w:r>
      <w:r w:rsidRPr="00B76C1D">
        <w:rPr>
          <w:color w:val="auto"/>
        </w:rPr>
        <w:t xml:space="preserve"> three separate p</w:t>
      </w:r>
      <w:r w:rsidR="00120D30" w:rsidRPr="00B76C1D">
        <w:rPr>
          <w:color w:val="auto"/>
        </w:rPr>
        <w:t>rojects that examined the</w:t>
      </w:r>
      <w:r w:rsidRPr="00B76C1D">
        <w:rPr>
          <w:color w:val="auto"/>
        </w:rPr>
        <w:t xml:space="preserve"> effective ways to support people with disabilities commencing and completing apprenticeship</w:t>
      </w:r>
      <w:r w:rsidR="00845068">
        <w:rPr>
          <w:color w:val="auto"/>
        </w:rPr>
        <w:t xml:space="preserve">. </w:t>
      </w:r>
      <w:r w:rsidR="00235021" w:rsidRPr="00B76C1D">
        <w:rPr>
          <w:color w:val="auto"/>
        </w:rPr>
        <w:t xml:space="preserve">Overall, </w:t>
      </w:r>
      <w:r w:rsidR="00845068">
        <w:rPr>
          <w:color w:val="auto"/>
        </w:rPr>
        <w:t xml:space="preserve">it </w:t>
      </w:r>
      <w:r w:rsidR="00DF61C3" w:rsidRPr="00B76C1D">
        <w:rPr>
          <w:color w:val="auto"/>
        </w:rPr>
        <w:t>suggest</w:t>
      </w:r>
      <w:r w:rsidR="00120D30" w:rsidRPr="00B76C1D">
        <w:rPr>
          <w:color w:val="auto"/>
        </w:rPr>
        <w:t>s</w:t>
      </w:r>
      <w:r w:rsidR="00DF61C3" w:rsidRPr="00B76C1D">
        <w:rPr>
          <w:color w:val="auto"/>
        </w:rPr>
        <w:t xml:space="preserve"> </w:t>
      </w:r>
      <w:r w:rsidRPr="00B76C1D">
        <w:rPr>
          <w:rFonts w:cs="Times-Roman"/>
          <w:color w:val="auto"/>
          <w:lang w:val="en-GB" w:eastAsia="en-GB"/>
        </w:rPr>
        <w:t>that disability was not a hindrance to completion of apprenticeships or traineeships.</w:t>
      </w:r>
      <w:r w:rsidR="00DF61C3" w:rsidRPr="00B76C1D">
        <w:rPr>
          <w:rFonts w:cs="Times-Roman"/>
          <w:color w:val="auto"/>
          <w:lang w:val="en-GB" w:eastAsia="en-GB"/>
        </w:rPr>
        <w:t xml:space="preserve"> </w:t>
      </w:r>
    </w:p>
    <w:p w14:paraId="3EA33AB3" w14:textId="77777777" w:rsidR="003A682D" w:rsidRPr="00B76C1D" w:rsidRDefault="00DF61C3" w:rsidP="00235021">
      <w:pPr>
        <w:rPr>
          <w:rFonts w:cs="Times-Roman"/>
          <w:color w:val="auto"/>
          <w:lang w:val="en-GB" w:eastAsia="en-GB"/>
        </w:rPr>
      </w:pPr>
      <w:r w:rsidRPr="00B76C1D">
        <w:rPr>
          <w:rFonts w:cs="Times-Roman"/>
          <w:color w:val="auto"/>
          <w:lang w:val="en-GB" w:eastAsia="en-GB"/>
        </w:rPr>
        <w:t>The key factors</w:t>
      </w:r>
      <w:r w:rsidR="00D23698" w:rsidRPr="00B76C1D">
        <w:rPr>
          <w:rFonts w:cs="Times-Roman"/>
          <w:color w:val="auto"/>
          <w:lang w:val="en-GB" w:eastAsia="en-GB"/>
        </w:rPr>
        <w:t xml:space="preserve"> that assisted people with disabilities to complete successful apprenticeships </w:t>
      </w:r>
      <w:r w:rsidR="00120D30" w:rsidRPr="00B76C1D">
        <w:rPr>
          <w:rFonts w:cs="Times-Roman"/>
          <w:color w:val="auto"/>
          <w:lang w:val="en-GB" w:eastAsia="en-GB"/>
        </w:rPr>
        <w:t xml:space="preserve">were </w:t>
      </w:r>
      <w:r w:rsidRPr="00B76C1D">
        <w:rPr>
          <w:rFonts w:cs="Times-Roman"/>
          <w:color w:val="auto"/>
          <w:lang w:val="en-GB" w:eastAsia="en-GB"/>
        </w:rPr>
        <w:t>a</w:t>
      </w:r>
      <w:r w:rsidR="00120D30" w:rsidRPr="00B76C1D">
        <w:rPr>
          <w:rFonts w:cs="Times-Roman"/>
          <w:color w:val="auto"/>
          <w:lang w:val="en-GB" w:eastAsia="en-GB"/>
        </w:rPr>
        <w:t xml:space="preserve"> combination of </w:t>
      </w:r>
      <w:r w:rsidR="003A682D" w:rsidRPr="00B76C1D">
        <w:rPr>
          <w:rFonts w:cs="Times-Roman"/>
          <w:color w:val="auto"/>
          <w:lang w:val="en-GB" w:eastAsia="en-GB"/>
        </w:rPr>
        <w:t>good job match, accommodating workplace, and intensive post-placement support.</w:t>
      </w:r>
    </w:p>
    <w:p w14:paraId="170FB906" w14:textId="77777777" w:rsidR="00220CEC" w:rsidRPr="00B76C1D" w:rsidRDefault="00220CEC" w:rsidP="00D23698">
      <w:pPr>
        <w:pStyle w:val="BodyText"/>
        <w:rPr>
          <w:color w:val="auto"/>
          <w:lang w:val="en-GB" w:eastAsia="en-GB"/>
        </w:rPr>
      </w:pPr>
      <w:r w:rsidRPr="00B76C1D">
        <w:rPr>
          <w:color w:val="auto"/>
          <w:lang w:val="en-GB" w:eastAsia="en-GB"/>
        </w:rPr>
        <w:t>The specific po</w:t>
      </w:r>
      <w:r w:rsidR="00FC4430">
        <w:rPr>
          <w:color w:val="auto"/>
          <w:lang w:val="en-GB" w:eastAsia="en-GB"/>
        </w:rPr>
        <w:t>st-</w:t>
      </w:r>
      <w:r w:rsidRPr="00B76C1D">
        <w:rPr>
          <w:color w:val="auto"/>
          <w:lang w:val="en-GB" w:eastAsia="en-GB"/>
        </w:rPr>
        <w:t>placement supports included preparing the supervisor and co-workers for:</w:t>
      </w:r>
    </w:p>
    <w:p w14:paraId="5139E668" w14:textId="77777777" w:rsidR="00220CEC" w:rsidRPr="00B76C1D" w:rsidRDefault="00220CEC" w:rsidP="00220CEC">
      <w:pPr>
        <w:pStyle w:val="ListBullet"/>
        <w:rPr>
          <w:lang w:val="en-GB" w:eastAsia="en-GB"/>
        </w:rPr>
      </w:pPr>
      <w:r w:rsidRPr="00B76C1D">
        <w:rPr>
          <w:lang w:val="en-GB" w:eastAsia="en-GB"/>
        </w:rPr>
        <w:t>the ar</w:t>
      </w:r>
      <w:r w:rsidR="003A682D" w:rsidRPr="00B76C1D">
        <w:rPr>
          <w:lang w:val="en-GB" w:eastAsia="en-GB"/>
        </w:rPr>
        <w:t>rival of the</w:t>
      </w:r>
      <w:r w:rsidR="00DF61C3" w:rsidRPr="00B76C1D">
        <w:rPr>
          <w:lang w:val="en-GB" w:eastAsia="en-GB"/>
        </w:rPr>
        <w:t xml:space="preserve"> </w:t>
      </w:r>
      <w:r w:rsidRPr="00B76C1D">
        <w:rPr>
          <w:lang w:val="en-GB" w:eastAsia="en-GB"/>
        </w:rPr>
        <w:t>new apprentice</w:t>
      </w:r>
    </w:p>
    <w:p w14:paraId="35490BB5" w14:textId="77777777" w:rsidR="00220CEC" w:rsidRPr="00B76C1D" w:rsidRDefault="00220CEC" w:rsidP="00220CEC">
      <w:pPr>
        <w:pStyle w:val="ListBullet"/>
        <w:rPr>
          <w:lang w:val="en-GB" w:eastAsia="en-GB"/>
        </w:rPr>
      </w:pPr>
      <w:r w:rsidRPr="00B76C1D">
        <w:rPr>
          <w:lang w:val="en-GB" w:eastAsia="en-GB"/>
        </w:rPr>
        <w:t>dealing with any concerns</w:t>
      </w:r>
    </w:p>
    <w:p w14:paraId="4E52F61F" w14:textId="77777777" w:rsidR="00220CEC" w:rsidRPr="00B76C1D" w:rsidRDefault="003A682D" w:rsidP="00845068">
      <w:pPr>
        <w:pStyle w:val="ListBullet"/>
        <w:rPr>
          <w:lang w:val="en-GB" w:eastAsia="en-GB"/>
        </w:rPr>
      </w:pPr>
      <w:r w:rsidRPr="00B76C1D">
        <w:rPr>
          <w:lang w:val="en-GB" w:eastAsia="en-GB"/>
        </w:rPr>
        <w:t>recruiting their support to provide the necessary in</w:t>
      </w:r>
      <w:r w:rsidR="00220CEC" w:rsidRPr="00B76C1D">
        <w:rPr>
          <w:lang w:val="en-GB" w:eastAsia="en-GB"/>
        </w:rPr>
        <w:t xml:space="preserve">struction and guidance, </w:t>
      </w:r>
    </w:p>
    <w:p w14:paraId="5FB8D528" w14:textId="77777777" w:rsidR="00220CEC" w:rsidRPr="00B76C1D" w:rsidRDefault="00220CEC" w:rsidP="00220CEC">
      <w:pPr>
        <w:pStyle w:val="ListBullet"/>
        <w:rPr>
          <w:lang w:val="en-GB" w:eastAsia="en-GB"/>
        </w:rPr>
      </w:pPr>
      <w:r w:rsidRPr="00B76C1D">
        <w:rPr>
          <w:lang w:val="en-GB" w:eastAsia="en-GB"/>
        </w:rPr>
        <w:t>becoming</w:t>
      </w:r>
      <w:r w:rsidR="003A682D" w:rsidRPr="00B76C1D">
        <w:rPr>
          <w:lang w:val="en-GB" w:eastAsia="en-GB"/>
        </w:rPr>
        <w:t xml:space="preserve"> familiar with the tasks the app</w:t>
      </w:r>
      <w:r w:rsidRPr="00B76C1D">
        <w:rPr>
          <w:lang w:val="en-GB" w:eastAsia="en-GB"/>
        </w:rPr>
        <w:t>rentice was expected to perform</w:t>
      </w:r>
      <w:r w:rsidR="003A682D" w:rsidRPr="00B76C1D">
        <w:rPr>
          <w:lang w:val="en-GB" w:eastAsia="en-GB"/>
        </w:rPr>
        <w:t xml:space="preserve"> arranging any needed workplace modific</w:t>
      </w:r>
      <w:r w:rsidRPr="00B76C1D">
        <w:rPr>
          <w:lang w:val="en-GB" w:eastAsia="en-GB"/>
        </w:rPr>
        <w:t xml:space="preserve">ations or equipment aids </w:t>
      </w:r>
    </w:p>
    <w:p w14:paraId="50D64DD3" w14:textId="77777777" w:rsidR="00220CEC" w:rsidRPr="00B76C1D" w:rsidRDefault="003A682D" w:rsidP="00235021">
      <w:pPr>
        <w:pStyle w:val="ListBullet"/>
        <w:spacing w:after="240"/>
        <w:rPr>
          <w:lang w:val="en-GB" w:eastAsia="en-GB"/>
        </w:rPr>
      </w:pPr>
      <w:r w:rsidRPr="00B76C1D">
        <w:rPr>
          <w:lang w:val="en-GB" w:eastAsia="en-GB"/>
        </w:rPr>
        <w:lastRenderedPageBreak/>
        <w:t>assisting with the apprentices’ skill acquisition and gen</w:t>
      </w:r>
      <w:r w:rsidR="00220CEC" w:rsidRPr="00B76C1D">
        <w:rPr>
          <w:lang w:val="en-GB" w:eastAsia="en-GB"/>
        </w:rPr>
        <w:t>eral performance when required</w:t>
      </w:r>
    </w:p>
    <w:p w14:paraId="48747FE1" w14:textId="77777777" w:rsidR="00AE6E8D" w:rsidRPr="00B76C1D" w:rsidRDefault="003A682D" w:rsidP="00235021">
      <w:pPr>
        <w:pStyle w:val="BodyText"/>
        <w:spacing w:after="240"/>
        <w:rPr>
          <w:rFonts w:cs="Times-Roman"/>
          <w:color w:val="auto"/>
          <w:lang w:val="en-GB" w:eastAsia="en-GB"/>
        </w:rPr>
      </w:pPr>
      <w:r w:rsidRPr="00B76C1D">
        <w:rPr>
          <w:color w:val="auto"/>
          <w:lang w:val="en-GB" w:eastAsia="en-GB"/>
        </w:rPr>
        <w:t>Off-the-job support was also crucial and included overcoming V</w:t>
      </w:r>
      <w:r w:rsidR="00FC4430">
        <w:rPr>
          <w:color w:val="auto"/>
          <w:lang w:val="en-GB" w:eastAsia="en-GB"/>
        </w:rPr>
        <w:t xml:space="preserve">ocational </w:t>
      </w:r>
      <w:r w:rsidRPr="00B76C1D">
        <w:rPr>
          <w:color w:val="auto"/>
          <w:lang w:val="en-GB" w:eastAsia="en-GB"/>
        </w:rPr>
        <w:t>E</w:t>
      </w:r>
      <w:r w:rsidR="00FC4430">
        <w:rPr>
          <w:color w:val="auto"/>
          <w:lang w:val="en-GB" w:eastAsia="en-GB"/>
        </w:rPr>
        <w:t xml:space="preserve">ducation and </w:t>
      </w:r>
      <w:r w:rsidRPr="00B76C1D">
        <w:rPr>
          <w:color w:val="auto"/>
          <w:lang w:val="en-GB" w:eastAsia="en-GB"/>
        </w:rPr>
        <w:t>T</w:t>
      </w:r>
      <w:r w:rsidR="00FC4430">
        <w:rPr>
          <w:color w:val="auto"/>
          <w:lang w:val="en-GB" w:eastAsia="en-GB"/>
        </w:rPr>
        <w:t>raining</w:t>
      </w:r>
      <w:r w:rsidRPr="00B76C1D">
        <w:rPr>
          <w:color w:val="auto"/>
          <w:lang w:val="en-GB" w:eastAsia="en-GB"/>
        </w:rPr>
        <w:t xml:space="preserve"> education providers’ objections to teaching apprentices with disability in their classes and arranging for interpreters, note-takers, tutors, mentors and/or equipment modifications when required.</w:t>
      </w:r>
    </w:p>
    <w:p w14:paraId="385AA79E" w14:textId="77777777" w:rsidR="00FC4430" w:rsidRDefault="00FC4430" w:rsidP="00FC4430">
      <w:pPr>
        <w:pStyle w:val="Heading1"/>
      </w:pPr>
      <w:r>
        <w:t>Conclusion</w:t>
      </w:r>
    </w:p>
    <w:p w14:paraId="08DD19D1" w14:textId="77777777" w:rsidR="00B76C1D" w:rsidRDefault="00A00F4B" w:rsidP="00A00F4B">
      <w:pPr>
        <w:pStyle w:val="ListNumber"/>
        <w:numPr>
          <w:ilvl w:val="0"/>
          <w:numId w:val="0"/>
        </w:numPr>
        <w:rPr>
          <w:color w:val="auto"/>
        </w:rPr>
      </w:pPr>
      <w:r w:rsidRPr="00B76C1D">
        <w:rPr>
          <w:color w:val="auto"/>
        </w:rPr>
        <w:t xml:space="preserve">An effective apprenticeship system can assist many young people, including those with disabilities to progress seamlessly from school to an environment where workplace skills are developed. The suggestions in this </w:t>
      </w:r>
      <w:r w:rsidR="00FC4430">
        <w:rPr>
          <w:color w:val="auto"/>
        </w:rPr>
        <w:t xml:space="preserve">policy advice </w:t>
      </w:r>
      <w:r w:rsidRPr="00B76C1D">
        <w:rPr>
          <w:color w:val="auto"/>
        </w:rPr>
        <w:t xml:space="preserve">focus on the inclusion of people with disabilities into the new apprenticeship system. </w:t>
      </w:r>
    </w:p>
    <w:p w14:paraId="253409FF" w14:textId="77777777" w:rsidR="007D71FC" w:rsidRPr="00B76C1D" w:rsidRDefault="00B76C1D" w:rsidP="00B76C1D">
      <w:pPr>
        <w:pStyle w:val="Heading1"/>
      </w:pPr>
      <w:r>
        <w:br w:type="page"/>
      </w:r>
      <w:r w:rsidR="00B04E1E" w:rsidRPr="00B76C1D">
        <w:lastRenderedPageBreak/>
        <w:t>Appendix</w:t>
      </w:r>
      <w:r w:rsidRPr="00B76C1D">
        <w:t xml:space="preserve"> 1</w:t>
      </w:r>
      <w:r>
        <w:t xml:space="preserve"> – employment of people with disabilities</w:t>
      </w:r>
    </w:p>
    <w:p w14:paraId="58702F69" w14:textId="77777777" w:rsidR="00A4018D" w:rsidRPr="00B76C1D" w:rsidRDefault="00A4018D" w:rsidP="00A4018D">
      <w:pPr>
        <w:rPr>
          <w:color w:val="auto"/>
        </w:rPr>
      </w:pPr>
      <w:r w:rsidRPr="00B76C1D">
        <w:rPr>
          <w:color w:val="auto"/>
        </w:rPr>
        <w:t>People with disabilities are only half as likely to be in employment as others of working age. The 2011 census showed 33% of people with disabilities of working age</w:t>
      </w:r>
      <w:r w:rsidRPr="00B76C1D">
        <w:rPr>
          <w:rStyle w:val="FootnoteReference"/>
          <w:color w:val="auto"/>
        </w:rPr>
        <w:footnoteReference w:id="6"/>
      </w:r>
      <w:r w:rsidRPr="00B76C1D">
        <w:rPr>
          <w:color w:val="auto"/>
        </w:rPr>
        <w:t xml:space="preserve"> in work, compared to 66% of non-disabled people. In total, there were 112,000 people with disabilities in employment. </w:t>
      </w:r>
    </w:p>
    <w:p w14:paraId="62D7BCB0" w14:textId="77777777" w:rsidR="00A4018D" w:rsidRPr="00B76C1D" w:rsidRDefault="00A4018D" w:rsidP="00A4018D">
      <w:pPr>
        <w:jc w:val="center"/>
        <w:rPr>
          <w:b/>
          <w:color w:val="auto"/>
        </w:rPr>
      </w:pPr>
      <w:r w:rsidRPr="00B76C1D">
        <w:rPr>
          <w:b/>
          <w:color w:val="auto"/>
        </w:rPr>
        <w:t>Employment rate of people with disabilities, 2011, by disability type</w:t>
      </w:r>
    </w:p>
    <w:p w14:paraId="096E9B36" w14:textId="7CF78083" w:rsidR="00A4018D" w:rsidRPr="00B76C1D" w:rsidRDefault="00045664" w:rsidP="00A4018D">
      <w:pPr>
        <w:jc w:val="center"/>
        <w:rPr>
          <w:color w:val="auto"/>
        </w:rPr>
      </w:pPr>
      <w:r w:rsidRPr="00B76C1D">
        <w:rPr>
          <w:noProof/>
          <w:color w:val="auto"/>
        </w:rPr>
        <w:drawing>
          <wp:inline distT="0" distB="0" distL="0" distR="0" wp14:anchorId="38D01ACC" wp14:editId="351B9C19">
            <wp:extent cx="4810125" cy="2428875"/>
            <wp:effectExtent l="0" t="0" r="0" b="0"/>
            <wp:docPr id="1" name="Object 1" descr="Graph.  Employment rate of people with disabilities, 2011, by disability typ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3450FFA" w14:textId="77777777" w:rsidR="00A4018D" w:rsidRPr="00B76C1D" w:rsidRDefault="00A4018D" w:rsidP="00A4018D">
      <w:pPr>
        <w:pStyle w:val="Heading2"/>
        <w:rPr>
          <w:color w:val="auto"/>
        </w:rPr>
      </w:pPr>
      <w:r w:rsidRPr="00B76C1D">
        <w:rPr>
          <w:color w:val="auto"/>
        </w:rPr>
        <w:t>Want to work</w:t>
      </w:r>
    </w:p>
    <w:p w14:paraId="3B82CDDA" w14:textId="77777777" w:rsidR="00B76C1D" w:rsidRPr="00B76C1D" w:rsidRDefault="00A4018D" w:rsidP="00A4018D">
      <w:pPr>
        <w:rPr>
          <w:color w:val="auto"/>
        </w:rPr>
      </w:pPr>
      <w:r w:rsidRPr="00B76C1D">
        <w:rPr>
          <w:color w:val="auto"/>
        </w:rPr>
        <w:t xml:space="preserve">Some people with disabilities experience ill-health, which may mean they are unable to work. But </w:t>
      </w:r>
      <w:r w:rsidRPr="00B76C1D">
        <w:rPr>
          <w:color w:val="auto"/>
          <w:lang w:val="en-GB"/>
        </w:rPr>
        <w:t xml:space="preserve">over one third of people with disabilities, and almost two thirds of younger people in the 18-34 age groups who are not at work would like to work if the circumstances were right. Half of all those with </w:t>
      </w:r>
      <w:r w:rsidRPr="00B76C1D">
        <w:rPr>
          <w:color w:val="auto"/>
        </w:rPr>
        <w:t>mental health difficulties and out of work want to work.</w:t>
      </w:r>
      <w:r w:rsidRPr="00B76C1D">
        <w:rPr>
          <w:rStyle w:val="FootnoteReference"/>
          <w:color w:val="auto"/>
        </w:rPr>
        <w:footnoteReference w:id="7"/>
      </w:r>
    </w:p>
    <w:p w14:paraId="241FEA8E" w14:textId="77777777" w:rsidR="00B76C1D" w:rsidRPr="00B76C1D" w:rsidRDefault="00B76C1D" w:rsidP="00B76C1D">
      <w:pPr>
        <w:pStyle w:val="Heading1"/>
        <w:rPr>
          <w:color w:val="auto"/>
        </w:rPr>
      </w:pPr>
      <w:r w:rsidRPr="00B76C1D">
        <w:rPr>
          <w:color w:val="auto"/>
        </w:rPr>
        <w:br w:type="page"/>
      </w:r>
      <w:r w:rsidRPr="00B76C1D">
        <w:rPr>
          <w:color w:val="auto"/>
        </w:rPr>
        <w:lastRenderedPageBreak/>
        <w:t>Appendix 2 – effectiveness of a Place and Train model</w:t>
      </w:r>
    </w:p>
    <w:p w14:paraId="77761290" w14:textId="77777777" w:rsidR="00B76C1D" w:rsidRPr="00B76C1D" w:rsidRDefault="00B76C1D" w:rsidP="00B76C1D">
      <w:pPr>
        <w:keepNext/>
        <w:autoSpaceDE w:val="0"/>
        <w:autoSpaceDN w:val="0"/>
        <w:adjustRightInd w:val="0"/>
        <w:spacing w:before="240" w:after="120"/>
        <w:rPr>
          <w:rFonts w:cs="Gill Sans"/>
          <w:b/>
          <w:bCs/>
          <w:color w:val="auto"/>
          <w:sz w:val="28"/>
          <w:szCs w:val="28"/>
          <w:lang w:eastAsia="en-GB"/>
        </w:rPr>
      </w:pPr>
      <w:r w:rsidRPr="00B76C1D">
        <w:rPr>
          <w:rFonts w:cs="Gill Sans"/>
          <w:b/>
          <w:bCs/>
          <w:color w:val="auto"/>
          <w:sz w:val="28"/>
          <w:szCs w:val="28"/>
          <w:lang w:eastAsia="en-GB"/>
        </w:rPr>
        <w:t xml:space="preserve">Evidence on effectiveness of Individual Placement with Support </w:t>
      </w:r>
    </w:p>
    <w:p w14:paraId="07B31B5F" w14:textId="77777777" w:rsidR="00B76C1D" w:rsidRPr="00B76C1D" w:rsidRDefault="00B76C1D" w:rsidP="00B76C1D">
      <w:pPr>
        <w:autoSpaceDE w:val="0"/>
        <w:autoSpaceDN w:val="0"/>
        <w:adjustRightInd w:val="0"/>
        <w:rPr>
          <w:rFonts w:cs="Gill Sans"/>
          <w:color w:val="auto"/>
          <w:lang w:eastAsia="en-GB"/>
        </w:rPr>
      </w:pPr>
      <w:r w:rsidRPr="00B76C1D">
        <w:rPr>
          <w:rFonts w:cs="Gill Sans"/>
          <w:color w:val="auto"/>
          <w:lang w:eastAsia="en-GB"/>
        </w:rPr>
        <w:t xml:space="preserve">The chart below presents evidence from 16 randomised controlled trials in different jurisdictions of </w:t>
      </w:r>
      <w:r w:rsidRPr="00B76C1D">
        <w:rPr>
          <w:rFonts w:cs="Gill Sans"/>
          <w:bCs/>
          <w:color w:val="auto"/>
          <w:szCs w:val="28"/>
          <w:lang w:eastAsia="en-GB"/>
        </w:rPr>
        <w:t>Individual Placement with Support</w:t>
      </w:r>
      <w:r w:rsidRPr="00B76C1D">
        <w:rPr>
          <w:rFonts w:cs="Gill Sans"/>
          <w:color w:val="auto"/>
          <w:lang w:eastAsia="en-GB"/>
        </w:rPr>
        <w:t xml:space="preserve"> programmes. The results show significantly more success than those who were not assigned to this programme. On average, the findings show that about 60% of people with more serious mental health conditions can gain and sustain employment if the right support is provided. </w:t>
      </w:r>
    </w:p>
    <w:p w14:paraId="7D2DC521" w14:textId="77777777" w:rsidR="00B76C1D" w:rsidRPr="00B76C1D" w:rsidRDefault="00B76C1D" w:rsidP="00B76C1D">
      <w:pPr>
        <w:autoSpaceDE w:val="0"/>
        <w:autoSpaceDN w:val="0"/>
        <w:adjustRightInd w:val="0"/>
        <w:jc w:val="center"/>
        <w:rPr>
          <w:rFonts w:cs="Gill Sans"/>
          <w:b/>
          <w:color w:val="auto"/>
          <w:lang w:eastAsia="en-GB"/>
        </w:rPr>
      </w:pPr>
      <w:r w:rsidRPr="00B76C1D">
        <w:rPr>
          <w:rFonts w:cs="Gill Sans"/>
          <w:b/>
          <w:color w:val="auto"/>
          <w:lang w:eastAsia="en-GB"/>
        </w:rPr>
        <w:t>Evidence that Individual Placement and Support is more effective</w:t>
      </w:r>
    </w:p>
    <w:p w14:paraId="5FF076FA" w14:textId="407E3A6A" w:rsidR="00B76C1D" w:rsidRPr="00B76C1D" w:rsidRDefault="00045664" w:rsidP="00B76C1D">
      <w:pPr>
        <w:autoSpaceDE w:val="0"/>
        <w:autoSpaceDN w:val="0"/>
        <w:adjustRightInd w:val="0"/>
        <w:jc w:val="center"/>
        <w:rPr>
          <w:rFonts w:cs="Gill Sans"/>
          <w:b/>
          <w:color w:val="auto"/>
          <w:lang w:eastAsia="en-GB"/>
        </w:rPr>
      </w:pPr>
      <w:r w:rsidRPr="00B76C1D">
        <w:rPr>
          <w:rFonts w:cs="Gill Sans"/>
          <w:b/>
          <w:noProof/>
          <w:color w:val="auto"/>
          <w:lang w:eastAsia="en-GB"/>
        </w:rPr>
        <w:drawing>
          <wp:inline distT="0" distB="0" distL="0" distR="0" wp14:anchorId="22A0D70F" wp14:editId="79A816C3">
            <wp:extent cx="5486400" cy="2324100"/>
            <wp:effectExtent l="0" t="0" r="0" b="0"/>
            <wp:docPr id="2" name="Picture 2" descr="The chart below presents evidence from 16 randomised controlled trials in different jurisdictions of Individual Placement with Support program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hart below presents evidence from 16 randomised controlled trials in different jurisdictions of Individual Placement with Support programmes. "/>
                    <pic:cNvPicPr>
                      <a:picLocks noChangeAspect="1" noChangeArrowheads="1"/>
                    </pic:cNvPicPr>
                  </pic:nvPicPr>
                  <pic:blipFill>
                    <a:blip r:embed="rId8">
                      <a:extLst>
                        <a:ext uri="{28A0092B-C50C-407E-A947-70E740481C1C}">
                          <a14:useLocalDpi xmlns:a14="http://schemas.microsoft.com/office/drawing/2010/main" val="0"/>
                        </a:ext>
                      </a:extLst>
                    </a:blip>
                    <a:srcRect b="38808"/>
                    <a:stretch>
                      <a:fillRect/>
                    </a:stretch>
                  </pic:blipFill>
                  <pic:spPr bwMode="auto">
                    <a:xfrm>
                      <a:off x="0" y="0"/>
                      <a:ext cx="5486400" cy="2324100"/>
                    </a:xfrm>
                    <a:prstGeom prst="rect">
                      <a:avLst/>
                    </a:prstGeom>
                    <a:noFill/>
                    <a:ln>
                      <a:noFill/>
                    </a:ln>
                  </pic:spPr>
                </pic:pic>
              </a:graphicData>
            </a:graphic>
          </wp:inline>
        </w:drawing>
      </w:r>
    </w:p>
    <w:p w14:paraId="2711358E" w14:textId="77777777" w:rsidR="00B76C1D" w:rsidRPr="00B76C1D" w:rsidRDefault="00B76C1D" w:rsidP="00B76C1D">
      <w:pPr>
        <w:pStyle w:val="Heading3"/>
        <w:rPr>
          <w:color w:val="auto"/>
          <w:lang w:eastAsia="en-GB"/>
        </w:rPr>
      </w:pPr>
      <w:r w:rsidRPr="00B76C1D">
        <w:rPr>
          <w:color w:val="auto"/>
          <w:lang w:eastAsia="en-GB"/>
        </w:rPr>
        <w:t>Results from other studies</w:t>
      </w:r>
    </w:p>
    <w:p w14:paraId="5A404F2B" w14:textId="77777777" w:rsidR="00B76C1D" w:rsidRPr="00B76C1D" w:rsidRDefault="00B76C1D" w:rsidP="00B76C1D">
      <w:pPr>
        <w:autoSpaceDE w:val="0"/>
        <w:autoSpaceDN w:val="0"/>
        <w:adjustRightInd w:val="0"/>
        <w:spacing w:after="120"/>
        <w:rPr>
          <w:rFonts w:cs="Gill Sans"/>
          <w:color w:val="auto"/>
          <w:lang w:eastAsia="en-GB"/>
        </w:rPr>
      </w:pPr>
      <w:r w:rsidRPr="00B76C1D">
        <w:rPr>
          <w:rFonts w:cs="Gill Sans"/>
          <w:b/>
          <w:color w:val="auto"/>
          <w:lang w:eastAsia="en-GB"/>
        </w:rPr>
        <w:t>A.</w:t>
      </w:r>
      <w:r w:rsidRPr="00B76C1D">
        <w:rPr>
          <w:rFonts w:cs="Gill Sans"/>
          <w:color w:val="auto"/>
          <w:lang w:eastAsia="en-GB"/>
        </w:rPr>
        <w:t xml:space="preserve"> A European research project (Burns et al, 2007), that compared traditional vocational service (non-integrated ‘train-place’) with </w:t>
      </w:r>
      <w:r w:rsidRPr="00B76C1D">
        <w:rPr>
          <w:rFonts w:cs="Gill Sans"/>
          <w:bCs/>
          <w:color w:val="auto"/>
          <w:szCs w:val="28"/>
          <w:lang w:eastAsia="en-GB"/>
        </w:rPr>
        <w:t xml:space="preserve">Individual Placement with Support (IPS) </w:t>
      </w:r>
      <w:r w:rsidRPr="00B76C1D">
        <w:rPr>
          <w:rFonts w:cs="Gill Sans"/>
          <w:color w:val="auto"/>
          <w:lang w:eastAsia="en-GB"/>
        </w:rPr>
        <w:t xml:space="preserve">for people with schizophrenia, showed that: </w:t>
      </w:r>
    </w:p>
    <w:p w14:paraId="702A0281" w14:textId="77777777" w:rsidR="00B76C1D" w:rsidRPr="00B76C1D" w:rsidRDefault="00B76C1D" w:rsidP="00B76C1D">
      <w:pPr>
        <w:pStyle w:val="ListBullet"/>
        <w:rPr>
          <w:lang w:eastAsia="en-GB"/>
        </w:rPr>
      </w:pPr>
      <w:r w:rsidRPr="00B76C1D">
        <w:rPr>
          <w:lang w:eastAsia="en-GB"/>
        </w:rPr>
        <w:t>55% gained employment in IPS versus 28% in traditional service</w:t>
      </w:r>
    </w:p>
    <w:p w14:paraId="16AEFF8F" w14:textId="77777777" w:rsidR="00B76C1D" w:rsidRPr="00B76C1D" w:rsidRDefault="00B76C1D" w:rsidP="00B76C1D">
      <w:pPr>
        <w:pStyle w:val="ListBullet"/>
        <w:rPr>
          <w:lang w:eastAsia="en-GB"/>
        </w:rPr>
      </w:pPr>
      <w:r w:rsidRPr="00B76C1D">
        <w:rPr>
          <w:lang w:eastAsia="en-GB"/>
        </w:rPr>
        <w:t>13% drop-out in IPS versus 45% in traditional service</w:t>
      </w:r>
    </w:p>
    <w:p w14:paraId="528ECB9E" w14:textId="77777777" w:rsidR="00B76C1D" w:rsidRPr="00B76C1D" w:rsidRDefault="00B76C1D" w:rsidP="00B76C1D">
      <w:pPr>
        <w:pStyle w:val="ListBullet"/>
        <w:spacing w:after="240"/>
        <w:rPr>
          <w:lang w:eastAsia="en-GB"/>
        </w:rPr>
      </w:pPr>
      <w:r w:rsidRPr="00B76C1D">
        <w:rPr>
          <w:lang w:eastAsia="en-GB"/>
        </w:rPr>
        <w:t>20% readmitted in IPS versus 31% in traditional service</w:t>
      </w:r>
    </w:p>
    <w:p w14:paraId="4B264EDB" w14:textId="77777777" w:rsidR="00B76C1D" w:rsidRPr="00B76C1D" w:rsidRDefault="00B76C1D" w:rsidP="00B76C1D">
      <w:pPr>
        <w:autoSpaceDE w:val="0"/>
        <w:autoSpaceDN w:val="0"/>
        <w:adjustRightInd w:val="0"/>
        <w:rPr>
          <w:rFonts w:cs="Gill Sans"/>
          <w:color w:val="auto"/>
          <w:lang w:eastAsia="en-GB"/>
        </w:rPr>
      </w:pPr>
      <w:r w:rsidRPr="00B76C1D">
        <w:rPr>
          <w:rFonts w:cs="Gill Sans"/>
          <w:color w:val="auto"/>
          <w:lang w:eastAsia="en-GB"/>
        </w:rPr>
        <w:t>Follow-up studies also illustrated that work outcomes improve over time for people with mental health difficulties.</w:t>
      </w:r>
    </w:p>
    <w:p w14:paraId="17ABF4F6" w14:textId="77777777" w:rsidR="00B76C1D" w:rsidRPr="00B76C1D" w:rsidRDefault="00B76C1D" w:rsidP="00B76C1D">
      <w:pPr>
        <w:autoSpaceDE w:val="0"/>
        <w:autoSpaceDN w:val="0"/>
        <w:adjustRightInd w:val="0"/>
        <w:spacing w:after="120"/>
        <w:rPr>
          <w:rFonts w:cs="Gill Sans"/>
          <w:color w:val="auto"/>
          <w:lang w:eastAsia="en-GB"/>
        </w:rPr>
      </w:pPr>
      <w:r w:rsidRPr="00B76C1D">
        <w:rPr>
          <w:rFonts w:cs="Gill Sans"/>
          <w:b/>
          <w:color w:val="auto"/>
          <w:lang w:eastAsia="en-GB"/>
        </w:rPr>
        <w:t xml:space="preserve">B. </w:t>
      </w:r>
      <w:r w:rsidRPr="00B76C1D">
        <w:rPr>
          <w:rFonts w:cs="Gill Sans"/>
          <w:color w:val="auto"/>
          <w:lang w:eastAsia="en-GB"/>
        </w:rPr>
        <w:t xml:space="preserve">A 2007-2008 study, by </w:t>
      </w:r>
      <w:proofErr w:type="gramStart"/>
      <w:r w:rsidRPr="00B76C1D">
        <w:rPr>
          <w:rFonts w:cs="Gill Sans"/>
          <w:color w:val="auto"/>
          <w:lang w:eastAsia="en-GB"/>
        </w:rPr>
        <w:t>South West</w:t>
      </w:r>
      <w:proofErr w:type="gramEnd"/>
      <w:r w:rsidRPr="00B76C1D">
        <w:rPr>
          <w:rFonts w:cs="Gill Sans"/>
          <w:color w:val="auto"/>
          <w:lang w:eastAsia="en-GB"/>
        </w:rPr>
        <w:t xml:space="preserve"> London Community Mental Health Teams, on 1,155 people with mental health issues, who were successfully working or studying in mainstream integrated settings using the </w:t>
      </w:r>
      <w:r w:rsidRPr="00B76C1D">
        <w:rPr>
          <w:rFonts w:cs="Gill Sans"/>
          <w:bCs/>
          <w:color w:val="auto"/>
          <w:szCs w:val="28"/>
          <w:lang w:eastAsia="en-GB"/>
        </w:rPr>
        <w:t>Individual Placement with Support</w:t>
      </w:r>
      <w:r w:rsidRPr="00B76C1D">
        <w:rPr>
          <w:rFonts w:cs="Gill Sans"/>
          <w:color w:val="auto"/>
          <w:lang w:eastAsia="en-GB"/>
        </w:rPr>
        <w:t xml:space="preserve"> programme, showed that:</w:t>
      </w:r>
    </w:p>
    <w:p w14:paraId="3AE14D32" w14:textId="77777777" w:rsidR="00B76C1D" w:rsidRPr="00B76C1D" w:rsidRDefault="00B76C1D" w:rsidP="00B76C1D">
      <w:pPr>
        <w:pStyle w:val="ListBullet"/>
        <w:rPr>
          <w:lang w:eastAsia="en-GB"/>
        </w:rPr>
      </w:pPr>
      <w:r w:rsidRPr="00B76C1D">
        <w:rPr>
          <w:lang w:eastAsia="en-GB"/>
        </w:rPr>
        <w:t>56% (645 people) were supported to get/keep open employment</w:t>
      </w:r>
    </w:p>
    <w:p w14:paraId="705B4A1B" w14:textId="77777777" w:rsidR="00B76C1D" w:rsidRPr="00B76C1D" w:rsidRDefault="00B76C1D" w:rsidP="00B76C1D">
      <w:pPr>
        <w:pStyle w:val="ListBullet"/>
        <w:rPr>
          <w:lang w:eastAsia="en-GB"/>
        </w:rPr>
      </w:pPr>
      <w:r w:rsidRPr="00B76C1D">
        <w:rPr>
          <w:lang w:eastAsia="en-GB"/>
        </w:rPr>
        <w:lastRenderedPageBreak/>
        <w:t>25% (293 people) were supported to get/keep mainstream education/training</w:t>
      </w:r>
    </w:p>
    <w:p w14:paraId="7936F0EE" w14:textId="77777777" w:rsidR="00B76C1D" w:rsidRPr="00B76C1D" w:rsidRDefault="00B76C1D" w:rsidP="00FC4430">
      <w:pPr>
        <w:pStyle w:val="ListBullet"/>
        <w:spacing w:after="240"/>
        <w:rPr>
          <w:lang w:eastAsia="en-GB"/>
        </w:rPr>
      </w:pPr>
      <w:r w:rsidRPr="00B76C1D">
        <w:rPr>
          <w:lang w:eastAsia="en-GB"/>
        </w:rPr>
        <w:t>19% (217 people) were supported in mainstream voluntary work</w:t>
      </w:r>
    </w:p>
    <w:p w14:paraId="4BC5D5DE" w14:textId="77777777" w:rsidR="00B76C1D" w:rsidRPr="00B76C1D" w:rsidRDefault="00B76C1D" w:rsidP="00B76C1D">
      <w:pPr>
        <w:rPr>
          <w:color w:val="auto"/>
        </w:rPr>
      </w:pPr>
      <w:r w:rsidRPr="00B76C1D">
        <w:rPr>
          <w:rFonts w:cs="Gill Sans"/>
          <w:b/>
          <w:bCs/>
          <w:color w:val="auto"/>
          <w:szCs w:val="28"/>
          <w:lang w:eastAsia="en-GB"/>
        </w:rPr>
        <w:t xml:space="preserve">C. </w:t>
      </w:r>
      <w:r w:rsidRPr="00B76C1D">
        <w:rPr>
          <w:rFonts w:cs="Gill Sans"/>
          <w:bCs/>
          <w:color w:val="auto"/>
          <w:szCs w:val="28"/>
          <w:lang w:eastAsia="en-GB"/>
        </w:rPr>
        <w:t>Individual Placement with Support</w:t>
      </w:r>
      <w:r w:rsidRPr="00B76C1D">
        <w:rPr>
          <w:rFonts w:cs="Gill Sans"/>
          <w:color w:val="auto"/>
          <w:lang w:eastAsia="en-GB"/>
        </w:rPr>
        <w:t xml:space="preserve"> programmes assisted 73% of people from a service for people with first episode psychosis to move into employment or education after 2 years.</w:t>
      </w:r>
    </w:p>
    <w:p w14:paraId="7FAA85C7" w14:textId="77777777" w:rsidR="00FC4430" w:rsidRDefault="00FC4430" w:rsidP="00A4018D">
      <w:pPr>
        <w:rPr>
          <w:color w:val="auto"/>
        </w:rPr>
      </w:pPr>
      <w:r>
        <w:rPr>
          <w:color w:val="auto"/>
        </w:rPr>
        <w:br/>
      </w:r>
    </w:p>
    <w:p w14:paraId="4BDB2538" w14:textId="77777777" w:rsidR="00B04E1E" w:rsidRPr="00B76C1D" w:rsidRDefault="00FC4430" w:rsidP="00FC4430">
      <w:pPr>
        <w:pStyle w:val="Heading1"/>
        <w:rPr>
          <w:lang w:val="en-GB" w:eastAsia="en-GB"/>
        </w:rPr>
      </w:pPr>
      <w:r>
        <w:br w:type="page"/>
      </w:r>
      <w:r w:rsidR="00B04E1E" w:rsidRPr="00B76C1D">
        <w:rPr>
          <w:lang w:val="en-GB" w:eastAsia="en-GB"/>
        </w:rPr>
        <w:lastRenderedPageBreak/>
        <w:t>References</w:t>
      </w:r>
    </w:p>
    <w:p w14:paraId="312FADFC" w14:textId="77777777" w:rsidR="00B04E1E" w:rsidRPr="00B76C1D" w:rsidRDefault="00B04E1E" w:rsidP="00B04E1E">
      <w:pPr>
        <w:pStyle w:val="ListContinue"/>
        <w:ind w:left="0"/>
        <w:rPr>
          <w:color w:val="auto"/>
        </w:rPr>
      </w:pPr>
      <w:r w:rsidRPr="00B76C1D">
        <w:rPr>
          <w:color w:val="auto"/>
        </w:rPr>
        <w:t xml:space="preserve">Valuing People Now: a new three-year strategy for people with intellectual disabilities. </w:t>
      </w:r>
      <w:smartTag w:uri="urn:schemas-microsoft-com:office:smarttags" w:element="place">
        <w:smartTag w:uri="urn:schemas-microsoft-com:office:smarttags" w:element="country-region">
          <w:r w:rsidRPr="00B76C1D">
            <w:rPr>
              <w:color w:val="auto"/>
            </w:rPr>
            <w:t>UK</w:t>
          </w:r>
        </w:smartTag>
      </w:smartTag>
      <w:r w:rsidRPr="00B76C1D">
        <w:rPr>
          <w:color w:val="auto"/>
        </w:rPr>
        <w:t xml:space="preserve"> Department of Health (2009) </w:t>
      </w:r>
    </w:p>
    <w:p w14:paraId="0D3271D2" w14:textId="77777777" w:rsidR="00B04E1E" w:rsidRPr="00B76C1D" w:rsidRDefault="00B04E1E" w:rsidP="00B04E1E">
      <w:pPr>
        <w:pStyle w:val="ListContinue"/>
        <w:ind w:left="0"/>
        <w:rPr>
          <w:rFonts w:cs="Helv"/>
          <w:color w:val="auto"/>
          <w:lang w:val="en-GB" w:eastAsia="en-GB"/>
        </w:rPr>
      </w:pPr>
      <w:r w:rsidRPr="00B76C1D">
        <w:rPr>
          <w:rFonts w:cs="MetaBook-Roman"/>
          <w:color w:val="auto"/>
        </w:rPr>
        <w:t xml:space="preserve">Sainsbury Centre (2009a) Briefing 37: </w:t>
      </w:r>
      <w:r w:rsidRPr="00B76C1D">
        <w:rPr>
          <w:rFonts w:cs="MetaBookLF-Italic"/>
          <w:color w:val="auto"/>
        </w:rPr>
        <w:t>Doing what works, Individual Placement and Support into employment</w:t>
      </w:r>
      <w:r w:rsidRPr="00B76C1D">
        <w:rPr>
          <w:rFonts w:cs="MetaBook-Roman"/>
          <w:color w:val="auto"/>
        </w:rPr>
        <w:t xml:space="preserve">. </w:t>
      </w:r>
      <w:smartTag w:uri="urn:schemas-microsoft-com:office:smarttags" w:element="place">
        <w:smartTag w:uri="urn:schemas-microsoft-com:office:smarttags" w:element="City">
          <w:r w:rsidRPr="00B76C1D">
            <w:rPr>
              <w:rFonts w:cs="MetaBook-Roman"/>
              <w:color w:val="auto"/>
            </w:rPr>
            <w:t>London</w:t>
          </w:r>
        </w:smartTag>
      </w:smartTag>
      <w:r w:rsidRPr="00B76C1D">
        <w:rPr>
          <w:rFonts w:cs="MetaBook-Roman"/>
          <w:color w:val="auto"/>
        </w:rPr>
        <w:t>: Centre for Mental Health.</w:t>
      </w:r>
    </w:p>
    <w:p w14:paraId="63452D86" w14:textId="77777777" w:rsidR="00B04E1E" w:rsidRPr="00B76C1D" w:rsidRDefault="00B04E1E" w:rsidP="00B04E1E">
      <w:pPr>
        <w:pStyle w:val="ListContinue"/>
        <w:ind w:left="0"/>
        <w:rPr>
          <w:rFonts w:cs="Lucida Sans Unicode"/>
          <w:color w:val="auto"/>
          <w:lang w:eastAsia="en-GB"/>
        </w:rPr>
      </w:pPr>
      <w:r w:rsidRPr="00B76C1D">
        <w:rPr>
          <w:rFonts w:cs="Lucida Sans Unicode"/>
          <w:iCs/>
          <w:color w:val="auto"/>
          <w:lang w:eastAsia="en-GB"/>
        </w:rPr>
        <w:t xml:space="preserve">Bond, G. (2004) </w:t>
      </w:r>
      <w:r w:rsidRPr="00B76C1D">
        <w:rPr>
          <w:rFonts w:cs="Lucida Sans Unicode"/>
          <w:b/>
          <w:iCs/>
          <w:color w:val="auto"/>
          <w:lang w:eastAsia="en-GB"/>
        </w:rPr>
        <w:t xml:space="preserve">Supported employment: evidence for an evidence-based practice. </w:t>
      </w:r>
      <w:r w:rsidRPr="00B76C1D">
        <w:rPr>
          <w:rFonts w:cs="Lucida Sans Unicode"/>
          <w:iCs/>
          <w:color w:val="auto"/>
          <w:lang w:eastAsia="en-GB"/>
        </w:rPr>
        <w:t>Psychiatric Rehabilitation Journal, 27, 345–359</w:t>
      </w:r>
      <w:r w:rsidRPr="00B76C1D">
        <w:rPr>
          <w:rFonts w:cs="Lucida Sans Unicode"/>
          <w:i/>
          <w:iCs/>
          <w:color w:val="auto"/>
          <w:lang w:eastAsia="en-GB"/>
        </w:rPr>
        <w:t>.</w:t>
      </w:r>
    </w:p>
    <w:p w14:paraId="6FF05C45" w14:textId="77777777" w:rsidR="00B04E1E" w:rsidRPr="00B76C1D" w:rsidRDefault="00B04E1E" w:rsidP="00B04E1E">
      <w:pPr>
        <w:pStyle w:val="ListContinue"/>
        <w:ind w:left="0"/>
        <w:rPr>
          <w:color w:val="auto"/>
        </w:rPr>
      </w:pPr>
      <w:r w:rsidRPr="00B76C1D">
        <w:rPr>
          <w:color w:val="auto"/>
        </w:rPr>
        <w:t xml:space="preserve">Perkins, R Farmer, P and Litchfield, P (2009), </w:t>
      </w:r>
      <w:r w:rsidRPr="00B76C1D">
        <w:rPr>
          <w:b/>
          <w:color w:val="auto"/>
        </w:rPr>
        <w:t xml:space="preserve">Realising ambitions: </w:t>
      </w:r>
      <w:proofErr w:type="gramStart"/>
      <w:r w:rsidRPr="00B76C1D">
        <w:rPr>
          <w:b/>
          <w:color w:val="auto"/>
        </w:rPr>
        <w:t>Better</w:t>
      </w:r>
      <w:proofErr w:type="gramEnd"/>
      <w:r w:rsidRPr="00B76C1D">
        <w:rPr>
          <w:b/>
          <w:color w:val="auto"/>
        </w:rPr>
        <w:t xml:space="preserve"> employment support for people with a mental health condition</w:t>
      </w:r>
      <w:r w:rsidRPr="00B76C1D">
        <w:rPr>
          <w:i/>
          <w:iCs/>
          <w:color w:val="auto"/>
        </w:rPr>
        <w:t>,</w:t>
      </w:r>
      <w:r w:rsidRPr="00B76C1D">
        <w:rPr>
          <w:color w:val="auto"/>
        </w:rPr>
        <w:t xml:space="preserve"> </w:t>
      </w:r>
      <w:smartTag w:uri="urn:schemas-microsoft-com:office:smarttags" w:element="place">
        <w:smartTag w:uri="urn:schemas-microsoft-com:office:smarttags" w:element="City">
          <w:r w:rsidRPr="00B76C1D">
            <w:rPr>
              <w:color w:val="auto"/>
            </w:rPr>
            <w:t>London</w:t>
          </w:r>
        </w:smartTag>
      </w:smartTag>
      <w:r w:rsidRPr="00B76C1D">
        <w:rPr>
          <w:color w:val="auto"/>
        </w:rPr>
        <w:t>: The Stationery Office Ltd</w:t>
      </w:r>
    </w:p>
    <w:p w14:paraId="7310C72A" w14:textId="77777777" w:rsidR="00B04E1E" w:rsidRPr="00B76C1D" w:rsidRDefault="00B04E1E" w:rsidP="00B04E1E">
      <w:pPr>
        <w:pStyle w:val="ListContinue"/>
        <w:ind w:left="0"/>
        <w:rPr>
          <w:color w:val="auto"/>
        </w:rPr>
      </w:pPr>
      <w:r w:rsidRPr="00B76C1D">
        <w:rPr>
          <w:color w:val="auto"/>
        </w:rPr>
        <w:t xml:space="preserve">Sainsbury Centre for Mental Health, </w:t>
      </w:r>
      <w:proofErr w:type="gramStart"/>
      <w:r w:rsidRPr="00B76C1D">
        <w:rPr>
          <w:color w:val="auto"/>
        </w:rPr>
        <w:t>Doing</w:t>
      </w:r>
      <w:proofErr w:type="gramEnd"/>
      <w:r w:rsidRPr="00B76C1D">
        <w:rPr>
          <w:color w:val="auto"/>
        </w:rPr>
        <w:t xml:space="preserve"> what works: Individual placement and support into employment, 2009, cited in Perkins, et al. 2009, </w:t>
      </w:r>
    </w:p>
    <w:p w14:paraId="65B57916" w14:textId="77777777" w:rsidR="00B04E1E" w:rsidRPr="00B76C1D" w:rsidRDefault="00B04E1E" w:rsidP="00B04E1E">
      <w:pPr>
        <w:pStyle w:val="ListContinue"/>
        <w:ind w:left="0"/>
        <w:rPr>
          <w:color w:val="auto"/>
        </w:rPr>
      </w:pPr>
      <w:r w:rsidRPr="00B76C1D">
        <w:rPr>
          <w:color w:val="auto"/>
        </w:rPr>
        <w:t xml:space="preserve">Greg Lewis, </w:t>
      </w:r>
      <w:proofErr w:type="spellStart"/>
      <w:r w:rsidRPr="00B76C1D">
        <w:rPr>
          <w:color w:val="auto"/>
        </w:rPr>
        <w:t>Stian</w:t>
      </w:r>
      <w:proofErr w:type="spellEnd"/>
      <w:r w:rsidRPr="00B76C1D">
        <w:rPr>
          <w:color w:val="auto"/>
        </w:rPr>
        <w:t xml:space="preserve"> H. </w:t>
      </w:r>
      <w:proofErr w:type="spellStart"/>
      <w:r w:rsidRPr="00B76C1D">
        <w:rPr>
          <w:color w:val="auto"/>
        </w:rPr>
        <w:t>Thoresen</w:t>
      </w:r>
      <w:proofErr w:type="spellEnd"/>
      <w:r w:rsidRPr="00B76C1D">
        <w:rPr>
          <w:color w:val="auto"/>
        </w:rPr>
        <w:t xml:space="preserve"> and Errol Cocks September 2010, Centre for Research into Disability and Society, Health Innovation Research Institute, </w:t>
      </w:r>
      <w:smartTag w:uri="urn:schemas-microsoft-com:office:smarttags" w:element="City">
        <w:r w:rsidRPr="00B76C1D">
          <w:rPr>
            <w:color w:val="auto"/>
          </w:rPr>
          <w:t>Perth</w:t>
        </w:r>
      </w:smartTag>
      <w:r w:rsidRPr="00B76C1D">
        <w:rPr>
          <w:color w:val="auto"/>
        </w:rPr>
        <w:t xml:space="preserve"> </w:t>
      </w:r>
      <w:smartTag w:uri="urn:schemas-microsoft-com:office:smarttags" w:element="place">
        <w:smartTag w:uri="urn:schemas-microsoft-com:office:smarttags" w:element="country-region">
          <w:r w:rsidRPr="00B76C1D">
            <w:rPr>
              <w:color w:val="auto"/>
            </w:rPr>
            <w:t>Australia</w:t>
          </w:r>
        </w:smartTag>
      </w:smartTag>
      <w:r w:rsidRPr="00B76C1D">
        <w:rPr>
          <w:color w:val="auto"/>
        </w:rPr>
        <w:t xml:space="preserve">. </w:t>
      </w:r>
      <w:r w:rsidRPr="00B76C1D">
        <w:rPr>
          <w:b/>
          <w:color w:val="auto"/>
        </w:rPr>
        <w:t>Successful approaches to placing and supporting apprentices and trainees with disability in Australia</w:t>
      </w:r>
      <w:r w:rsidRPr="00B76C1D">
        <w:rPr>
          <w:color w:val="auto"/>
        </w:rPr>
        <w:t xml:space="preserve">. </w:t>
      </w:r>
    </w:p>
    <w:p w14:paraId="7DF3314E" w14:textId="77777777" w:rsidR="00B04E1E" w:rsidRPr="00B76C1D" w:rsidRDefault="00B04E1E" w:rsidP="00B04E1E">
      <w:pPr>
        <w:pStyle w:val="ListContinue"/>
        <w:ind w:left="0"/>
        <w:rPr>
          <w:color w:val="auto"/>
        </w:rPr>
      </w:pPr>
      <w:r w:rsidRPr="00B76C1D">
        <w:rPr>
          <w:color w:val="auto"/>
        </w:rPr>
        <w:t xml:space="preserve">Becky Priest, Helen Lockett and Bob Grove, 2009, Centre for Mental Health, </w:t>
      </w:r>
      <w:proofErr w:type="gramStart"/>
      <w:r w:rsidRPr="00B76C1D">
        <w:rPr>
          <w:b/>
          <w:color w:val="auto"/>
        </w:rPr>
        <w:t>Implementing</w:t>
      </w:r>
      <w:proofErr w:type="gramEnd"/>
      <w:r w:rsidRPr="00B76C1D">
        <w:rPr>
          <w:b/>
          <w:color w:val="auto"/>
        </w:rPr>
        <w:t xml:space="preserve"> what works: The impact of the individual placement and support regional trainer</w:t>
      </w:r>
      <w:r w:rsidRPr="00B76C1D">
        <w:rPr>
          <w:color w:val="auto"/>
        </w:rPr>
        <w:t>.</w:t>
      </w:r>
    </w:p>
    <w:p w14:paraId="75B78840" w14:textId="77777777" w:rsidR="00B04E1E" w:rsidRPr="00B76C1D" w:rsidRDefault="00B04E1E" w:rsidP="00A4018D">
      <w:pPr>
        <w:rPr>
          <w:color w:val="auto"/>
        </w:rPr>
      </w:pPr>
    </w:p>
    <w:p w14:paraId="1CF2F677" w14:textId="77777777" w:rsidR="00A4018D" w:rsidRPr="00B76C1D" w:rsidRDefault="00A4018D" w:rsidP="00220CEC">
      <w:pPr>
        <w:pStyle w:val="ListContinue"/>
        <w:rPr>
          <w:color w:val="auto"/>
        </w:rPr>
      </w:pPr>
    </w:p>
    <w:sectPr w:rsidR="00A4018D" w:rsidRPr="00B76C1D">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1DFE" w14:textId="77777777" w:rsidR="00D14E82" w:rsidRDefault="00D14E82">
      <w:r>
        <w:separator/>
      </w:r>
    </w:p>
  </w:endnote>
  <w:endnote w:type="continuationSeparator" w:id="0">
    <w:p w14:paraId="50727F2C" w14:textId="77777777" w:rsidR="00D14E82" w:rsidRDefault="00D1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auto"/>
    <w:notTrueType/>
    <w:pitch w:val="default"/>
    <w:sig w:usb0="00000003" w:usb1="00000000" w:usb2="00000000" w:usb3="00000000" w:csb0="00000001" w:csb1="00000000"/>
  </w:font>
  <w:font w:name="MetaBook-Roman">
    <w:altName w:val="MetaBook-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MetaBookLF-Italic">
    <w:altName w:val="MetaBookLF-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4D44" w14:textId="77777777" w:rsidR="001A5508" w:rsidRDefault="001A5508">
    <w:pPr>
      <w:pStyle w:val="Footer"/>
    </w:pPr>
    <w:r>
      <w:tab/>
    </w:r>
    <w:r>
      <w:tab/>
    </w:r>
    <w:r>
      <w:fldChar w:fldCharType="begin"/>
    </w:r>
    <w:r>
      <w:instrText xml:space="preserve"> PAGE  \* Arabic  \* MERGEFORMAT </w:instrText>
    </w:r>
    <w:r>
      <w:fldChar w:fldCharType="separate"/>
    </w:r>
    <w:r w:rsidR="009E7B5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E668" w14:textId="77777777" w:rsidR="00D14E82" w:rsidRDefault="00D14E82">
      <w:r>
        <w:separator/>
      </w:r>
    </w:p>
  </w:footnote>
  <w:footnote w:type="continuationSeparator" w:id="0">
    <w:p w14:paraId="1D9BAA6D" w14:textId="77777777" w:rsidR="00D14E82" w:rsidRDefault="00D14E82">
      <w:r>
        <w:continuationSeparator/>
      </w:r>
    </w:p>
  </w:footnote>
  <w:footnote w:id="1">
    <w:p w14:paraId="2CE1C566" w14:textId="77777777" w:rsidR="001A5508" w:rsidRPr="00235021" w:rsidRDefault="001A5508" w:rsidP="00AE6E8D">
      <w:pPr>
        <w:pStyle w:val="FootnoteText"/>
        <w:rPr>
          <w:szCs w:val="22"/>
        </w:rPr>
      </w:pPr>
      <w:r>
        <w:rPr>
          <w:rStyle w:val="FootnoteReference"/>
        </w:rPr>
        <w:footnoteRef/>
      </w:r>
      <w:r>
        <w:t xml:space="preserve"> </w:t>
      </w:r>
      <w:r w:rsidRPr="00235021">
        <w:rPr>
          <w:szCs w:val="22"/>
        </w:rPr>
        <w:t xml:space="preserve">Please </w:t>
      </w:r>
      <w:hyperlink r:id="rId1" w:history="1">
        <w:r w:rsidRPr="00235021">
          <w:rPr>
            <w:rStyle w:val="Hyperlink"/>
            <w:szCs w:val="22"/>
          </w:rPr>
          <w:t>www.nda.ie</w:t>
        </w:r>
      </w:hyperlink>
      <w:r w:rsidRPr="00235021">
        <w:rPr>
          <w:szCs w:val="22"/>
        </w:rPr>
        <w:t xml:space="preserve"> employment seminar series for more information.</w:t>
      </w:r>
    </w:p>
  </w:footnote>
  <w:footnote w:id="2">
    <w:p w14:paraId="6C5E9E16" w14:textId="77777777" w:rsidR="001A5508" w:rsidRPr="007136B6" w:rsidRDefault="001A5508" w:rsidP="007136B6">
      <w:pPr>
        <w:autoSpaceDE w:val="0"/>
        <w:autoSpaceDN w:val="0"/>
        <w:adjustRightInd w:val="0"/>
        <w:rPr>
          <w:sz w:val="22"/>
          <w:szCs w:val="22"/>
          <w:lang w:eastAsia="en-GB"/>
        </w:rPr>
      </w:pPr>
      <w:r w:rsidRPr="00235021">
        <w:rPr>
          <w:rStyle w:val="FootnoteReference"/>
          <w:sz w:val="22"/>
          <w:szCs w:val="22"/>
        </w:rPr>
        <w:footnoteRef/>
      </w:r>
      <w:r w:rsidRPr="00235021">
        <w:t xml:space="preserve"> </w:t>
      </w:r>
      <w:hyperlink r:id="rId2" w:history="1">
        <w:r w:rsidRPr="00235021">
          <w:rPr>
            <w:rStyle w:val="Hyperlink"/>
            <w:sz w:val="22"/>
            <w:szCs w:val="22"/>
            <w:lang w:eastAsia="en-GB"/>
          </w:rPr>
          <w:t>www.valuingpeoplenow.dh.gov.uk/content/employmentresources-hub</w:t>
        </w:r>
      </w:hyperlink>
    </w:p>
  </w:footnote>
  <w:footnote w:id="3">
    <w:p w14:paraId="04E3AF80" w14:textId="77777777" w:rsidR="001A5508" w:rsidRPr="00235021" w:rsidRDefault="001A5508" w:rsidP="00235021">
      <w:pPr>
        <w:spacing w:after="120"/>
        <w:rPr>
          <w:rFonts w:cs="Lucida Sans Unicode"/>
          <w:color w:val="auto"/>
          <w:sz w:val="22"/>
          <w:szCs w:val="22"/>
          <w:lang w:eastAsia="en-GB"/>
        </w:rPr>
      </w:pPr>
      <w:r w:rsidRPr="00235021">
        <w:rPr>
          <w:rStyle w:val="FootnoteReference"/>
          <w:color w:val="auto"/>
          <w:sz w:val="22"/>
          <w:szCs w:val="22"/>
        </w:rPr>
        <w:footnoteRef/>
      </w:r>
      <w:r w:rsidRPr="00235021">
        <w:rPr>
          <w:color w:val="auto"/>
          <w:sz w:val="22"/>
          <w:szCs w:val="22"/>
        </w:rPr>
        <w:t xml:space="preserve"> </w:t>
      </w:r>
      <w:r w:rsidRPr="00235021">
        <w:rPr>
          <w:color w:val="auto"/>
          <w:sz w:val="22"/>
          <w:szCs w:val="22"/>
          <w:lang w:eastAsia="en-GB"/>
        </w:rPr>
        <w:t xml:space="preserve">Bond, G. (2004) </w:t>
      </w:r>
      <w:r w:rsidRPr="00235021">
        <w:rPr>
          <w:b/>
          <w:color w:val="auto"/>
          <w:sz w:val="22"/>
          <w:szCs w:val="22"/>
          <w:lang w:eastAsia="en-GB"/>
        </w:rPr>
        <w:t xml:space="preserve">Supported employment: evidence for an evidence-based practice. </w:t>
      </w:r>
      <w:r w:rsidRPr="00235021">
        <w:rPr>
          <w:color w:val="auto"/>
          <w:sz w:val="22"/>
          <w:szCs w:val="22"/>
          <w:lang w:eastAsia="en-GB"/>
        </w:rPr>
        <w:t>Psychiatric Rehabilitation Journal, 27, 345–359</w:t>
      </w:r>
      <w:r w:rsidRPr="00235021">
        <w:rPr>
          <w:i/>
          <w:color w:val="auto"/>
          <w:sz w:val="22"/>
          <w:szCs w:val="22"/>
          <w:lang w:eastAsia="en-GB"/>
        </w:rPr>
        <w:t>.</w:t>
      </w:r>
    </w:p>
  </w:footnote>
  <w:footnote w:id="4">
    <w:p w14:paraId="2DD07E91" w14:textId="77777777" w:rsidR="001A5508" w:rsidRPr="00235021" w:rsidRDefault="001A5508" w:rsidP="003F4F04">
      <w:pPr>
        <w:rPr>
          <w:rFonts w:cs="Lucida Sans Unicode"/>
          <w:iCs/>
          <w:color w:val="auto"/>
          <w:sz w:val="22"/>
          <w:szCs w:val="22"/>
          <w:lang w:eastAsia="en-GB"/>
        </w:rPr>
      </w:pPr>
      <w:r w:rsidRPr="00235021">
        <w:rPr>
          <w:rStyle w:val="FootnoteReference"/>
          <w:color w:val="auto"/>
          <w:sz w:val="22"/>
          <w:szCs w:val="22"/>
        </w:rPr>
        <w:footnoteRef/>
      </w:r>
      <w:r w:rsidRPr="00235021">
        <w:rPr>
          <w:color w:val="auto"/>
          <w:sz w:val="22"/>
          <w:szCs w:val="22"/>
        </w:rPr>
        <w:t xml:space="preserve"> This draws on the presentation of Dr Rachel Perkins</w:t>
      </w:r>
      <w:r w:rsidR="00235021">
        <w:rPr>
          <w:color w:val="auto"/>
          <w:sz w:val="22"/>
          <w:szCs w:val="22"/>
        </w:rPr>
        <w:t xml:space="preserve"> </w:t>
      </w:r>
      <w:proofErr w:type="gramStart"/>
      <w:r w:rsidR="00235021">
        <w:rPr>
          <w:color w:val="auto"/>
          <w:sz w:val="22"/>
          <w:szCs w:val="22"/>
        </w:rPr>
        <w:t>(</w:t>
      </w:r>
      <w:r w:rsidRPr="00235021">
        <w:rPr>
          <w:color w:val="auto"/>
          <w:sz w:val="22"/>
          <w:szCs w:val="22"/>
        </w:rPr>
        <w:t xml:space="preserve"> co</w:t>
      </w:r>
      <w:proofErr w:type="gramEnd"/>
      <w:r w:rsidRPr="00235021">
        <w:rPr>
          <w:color w:val="auto"/>
          <w:sz w:val="22"/>
          <w:szCs w:val="22"/>
        </w:rPr>
        <w:t>-author of UK Government report (2009) Realising ambitions: Better employment support for people with a mental health condition</w:t>
      </w:r>
      <w:r w:rsidR="00235021">
        <w:rPr>
          <w:color w:val="auto"/>
          <w:sz w:val="22"/>
          <w:szCs w:val="22"/>
        </w:rPr>
        <w:t>) at NDA seminar in 2011</w:t>
      </w:r>
      <w:r w:rsidRPr="00235021">
        <w:rPr>
          <w:color w:val="auto"/>
          <w:sz w:val="22"/>
          <w:szCs w:val="22"/>
        </w:rPr>
        <w:t xml:space="preserve"> </w:t>
      </w:r>
    </w:p>
  </w:footnote>
  <w:footnote w:id="5">
    <w:p w14:paraId="32945BF1" w14:textId="77777777" w:rsidR="001A5508" w:rsidRPr="00235021" w:rsidRDefault="001A5508" w:rsidP="00235021">
      <w:pPr>
        <w:pStyle w:val="ListContinue"/>
        <w:spacing w:before="0" w:after="80"/>
        <w:ind w:left="0"/>
        <w:rPr>
          <w:color w:val="000000"/>
          <w:sz w:val="22"/>
          <w:szCs w:val="22"/>
        </w:rPr>
      </w:pPr>
      <w:r w:rsidRPr="00235021">
        <w:rPr>
          <w:rStyle w:val="FootnoteReference"/>
          <w:color w:val="000000"/>
          <w:sz w:val="22"/>
          <w:szCs w:val="22"/>
        </w:rPr>
        <w:footnoteRef/>
      </w:r>
      <w:r w:rsidRPr="00235021">
        <w:rPr>
          <w:color w:val="000000"/>
          <w:sz w:val="22"/>
          <w:szCs w:val="22"/>
        </w:rPr>
        <w:t xml:space="preserve"> Greg Lewis, </w:t>
      </w:r>
      <w:proofErr w:type="spellStart"/>
      <w:r w:rsidRPr="00235021">
        <w:rPr>
          <w:color w:val="000000"/>
          <w:sz w:val="22"/>
          <w:szCs w:val="22"/>
        </w:rPr>
        <w:t>Stian</w:t>
      </w:r>
      <w:proofErr w:type="spellEnd"/>
      <w:r w:rsidRPr="00235021">
        <w:rPr>
          <w:color w:val="000000"/>
          <w:sz w:val="22"/>
          <w:szCs w:val="22"/>
        </w:rPr>
        <w:t xml:space="preserve"> H. </w:t>
      </w:r>
      <w:proofErr w:type="spellStart"/>
      <w:r w:rsidRPr="00235021">
        <w:rPr>
          <w:color w:val="000000"/>
          <w:sz w:val="22"/>
          <w:szCs w:val="22"/>
        </w:rPr>
        <w:t>Thoresen</w:t>
      </w:r>
      <w:proofErr w:type="spellEnd"/>
      <w:r w:rsidRPr="00235021">
        <w:rPr>
          <w:color w:val="000000"/>
          <w:sz w:val="22"/>
          <w:szCs w:val="22"/>
        </w:rPr>
        <w:t xml:space="preserve"> and Errol Cocks September 2010, Centre for Research into Disability and Society, Health Innovation Research Institute, </w:t>
      </w:r>
      <w:smartTag w:uri="urn:schemas-microsoft-com:office:smarttags" w:element="City">
        <w:r w:rsidRPr="00235021">
          <w:rPr>
            <w:color w:val="000000"/>
            <w:sz w:val="22"/>
            <w:szCs w:val="22"/>
          </w:rPr>
          <w:t>Perth</w:t>
        </w:r>
      </w:smartTag>
      <w:r w:rsidRPr="00235021">
        <w:rPr>
          <w:color w:val="000000"/>
          <w:sz w:val="22"/>
          <w:szCs w:val="22"/>
        </w:rPr>
        <w:t xml:space="preserve"> </w:t>
      </w:r>
      <w:smartTag w:uri="urn:schemas-microsoft-com:office:smarttags" w:element="place">
        <w:smartTag w:uri="urn:schemas-microsoft-com:office:smarttags" w:element="country-region">
          <w:r w:rsidRPr="00235021">
            <w:rPr>
              <w:color w:val="000000"/>
              <w:sz w:val="22"/>
              <w:szCs w:val="22"/>
            </w:rPr>
            <w:t>Australia</w:t>
          </w:r>
        </w:smartTag>
      </w:smartTag>
      <w:r w:rsidRPr="00235021">
        <w:rPr>
          <w:color w:val="000000"/>
          <w:sz w:val="22"/>
          <w:szCs w:val="22"/>
        </w:rPr>
        <w:t xml:space="preserve">. </w:t>
      </w:r>
      <w:r w:rsidRPr="00235021">
        <w:rPr>
          <w:b/>
          <w:color w:val="000000"/>
          <w:sz w:val="22"/>
          <w:szCs w:val="22"/>
        </w:rPr>
        <w:t>Successful approaches to placing and supporting apprentices and trainees with disability in Australia</w:t>
      </w:r>
      <w:r w:rsidRPr="00235021">
        <w:rPr>
          <w:color w:val="000000"/>
          <w:sz w:val="22"/>
          <w:szCs w:val="22"/>
        </w:rPr>
        <w:t xml:space="preserve">. </w:t>
      </w:r>
    </w:p>
    <w:p w14:paraId="0097E92C" w14:textId="77777777" w:rsidR="001A5508" w:rsidRDefault="001A5508" w:rsidP="00235021">
      <w:pPr>
        <w:pStyle w:val="FootnoteText"/>
      </w:pPr>
    </w:p>
  </w:footnote>
  <w:footnote w:id="6">
    <w:p w14:paraId="5ED8EE6F" w14:textId="77777777" w:rsidR="00A4018D" w:rsidRPr="00220CEC" w:rsidRDefault="00A4018D" w:rsidP="00A4018D">
      <w:pPr>
        <w:pStyle w:val="FootnoteText"/>
        <w:rPr>
          <w:color w:val="000000"/>
        </w:rPr>
      </w:pPr>
      <w:r w:rsidRPr="00220CEC">
        <w:rPr>
          <w:rStyle w:val="FootnoteReference"/>
          <w:color w:val="000000"/>
        </w:rPr>
        <w:footnoteRef/>
      </w:r>
      <w:r w:rsidRPr="00220CEC">
        <w:rPr>
          <w:color w:val="000000"/>
        </w:rPr>
        <w:t xml:space="preserve"> Age 20 to 64</w:t>
      </w:r>
    </w:p>
  </w:footnote>
  <w:footnote w:id="7">
    <w:p w14:paraId="43401408" w14:textId="77777777" w:rsidR="00A4018D" w:rsidRDefault="00A4018D" w:rsidP="00A4018D">
      <w:pPr>
        <w:pStyle w:val="FootnoteText"/>
      </w:pPr>
      <w:r>
        <w:rPr>
          <w:rStyle w:val="FootnoteReference"/>
        </w:rPr>
        <w:footnoteRef/>
      </w:r>
      <w:r>
        <w:t xml:space="preserve"> National Disability Survey 2006, vol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1AC8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94A7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3FA883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8E6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1080"/>
        </w:tabs>
        <w:ind w:left="1080" w:hanging="360"/>
      </w:pPr>
      <w:rPr>
        <w:rFonts w:ascii="Symbol" w:hAnsi="Symbol" w:hint="default"/>
        <w:sz w:val="20"/>
        <w:szCs w:val="20"/>
      </w:rPr>
    </w:lvl>
  </w:abstractNum>
  <w:abstractNum w:abstractNumId="10" w15:restartNumberingAfterBreak="0">
    <w:nsid w:val="FFFFFFFE"/>
    <w:multiLevelType w:val="singleLevel"/>
    <w:tmpl w:val="27EE406C"/>
    <w:lvl w:ilvl="0">
      <w:numFmt w:val="bullet"/>
      <w:lvlText w:val="*"/>
      <w:lvlJc w:val="left"/>
    </w:lvl>
  </w:abstractNum>
  <w:num w:numId="1" w16cid:durableId="1929804079">
    <w:abstractNumId w:val="9"/>
  </w:num>
  <w:num w:numId="2" w16cid:durableId="1565530417">
    <w:abstractNumId w:val="9"/>
  </w:num>
  <w:num w:numId="3" w16cid:durableId="341203891">
    <w:abstractNumId w:val="7"/>
  </w:num>
  <w:num w:numId="4" w16cid:durableId="474613646">
    <w:abstractNumId w:val="7"/>
  </w:num>
  <w:num w:numId="5" w16cid:durableId="2104917143">
    <w:abstractNumId w:val="6"/>
  </w:num>
  <w:num w:numId="6" w16cid:durableId="2117746211">
    <w:abstractNumId w:val="6"/>
  </w:num>
  <w:num w:numId="7" w16cid:durableId="2051951013">
    <w:abstractNumId w:val="8"/>
  </w:num>
  <w:num w:numId="8" w16cid:durableId="2127195054">
    <w:abstractNumId w:val="8"/>
  </w:num>
  <w:num w:numId="9" w16cid:durableId="944193645">
    <w:abstractNumId w:val="3"/>
  </w:num>
  <w:num w:numId="10" w16cid:durableId="1512406997">
    <w:abstractNumId w:val="3"/>
  </w:num>
  <w:num w:numId="11" w16cid:durableId="1801651605">
    <w:abstractNumId w:val="2"/>
  </w:num>
  <w:num w:numId="12" w16cid:durableId="1493059258">
    <w:abstractNumId w:val="2"/>
  </w:num>
  <w:num w:numId="13" w16cid:durableId="249892487">
    <w:abstractNumId w:val="5"/>
  </w:num>
  <w:num w:numId="14" w16cid:durableId="314722928">
    <w:abstractNumId w:val="4"/>
  </w:num>
  <w:num w:numId="15" w16cid:durableId="1723673117">
    <w:abstractNumId w:val="1"/>
  </w:num>
  <w:num w:numId="16" w16cid:durableId="1585452999">
    <w:abstractNumId w:val="0"/>
  </w:num>
  <w:num w:numId="17" w16cid:durableId="1360470649">
    <w:abstractNumId w:val="1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30"/>
    <w:rsid w:val="00045664"/>
    <w:rsid w:val="00055418"/>
    <w:rsid w:val="000E413D"/>
    <w:rsid w:val="001004DA"/>
    <w:rsid w:val="00120D30"/>
    <w:rsid w:val="0013443C"/>
    <w:rsid w:val="0013755B"/>
    <w:rsid w:val="00181FE6"/>
    <w:rsid w:val="001A5508"/>
    <w:rsid w:val="001B5800"/>
    <w:rsid w:val="001C2025"/>
    <w:rsid w:val="001F0D22"/>
    <w:rsid w:val="00216588"/>
    <w:rsid w:val="00220CEC"/>
    <w:rsid w:val="00227660"/>
    <w:rsid w:val="00232005"/>
    <w:rsid w:val="00235021"/>
    <w:rsid w:val="00252C30"/>
    <w:rsid w:val="00265A74"/>
    <w:rsid w:val="0027248E"/>
    <w:rsid w:val="00287B8E"/>
    <w:rsid w:val="002C023F"/>
    <w:rsid w:val="002C7407"/>
    <w:rsid w:val="002D100B"/>
    <w:rsid w:val="00361086"/>
    <w:rsid w:val="003836A6"/>
    <w:rsid w:val="003A44C8"/>
    <w:rsid w:val="003A682D"/>
    <w:rsid w:val="003B10EC"/>
    <w:rsid w:val="003B1C36"/>
    <w:rsid w:val="003B642C"/>
    <w:rsid w:val="003D10ED"/>
    <w:rsid w:val="003E104F"/>
    <w:rsid w:val="003F4F04"/>
    <w:rsid w:val="00413C05"/>
    <w:rsid w:val="004273CD"/>
    <w:rsid w:val="004934C9"/>
    <w:rsid w:val="004C07A7"/>
    <w:rsid w:val="004C5836"/>
    <w:rsid w:val="004C620F"/>
    <w:rsid w:val="00545E23"/>
    <w:rsid w:val="005C292B"/>
    <w:rsid w:val="005E032F"/>
    <w:rsid w:val="006004C8"/>
    <w:rsid w:val="006068D1"/>
    <w:rsid w:val="00613E97"/>
    <w:rsid w:val="006249F2"/>
    <w:rsid w:val="00633F73"/>
    <w:rsid w:val="0065147B"/>
    <w:rsid w:val="0065411B"/>
    <w:rsid w:val="006547D7"/>
    <w:rsid w:val="006555FB"/>
    <w:rsid w:val="006E0C75"/>
    <w:rsid w:val="006F25EC"/>
    <w:rsid w:val="006F6E6D"/>
    <w:rsid w:val="007136B6"/>
    <w:rsid w:val="007608EF"/>
    <w:rsid w:val="007B381B"/>
    <w:rsid w:val="007B5111"/>
    <w:rsid w:val="007B6238"/>
    <w:rsid w:val="007B63BB"/>
    <w:rsid w:val="007B7E54"/>
    <w:rsid w:val="007C1D90"/>
    <w:rsid w:val="007C73F7"/>
    <w:rsid w:val="007D71FC"/>
    <w:rsid w:val="00807782"/>
    <w:rsid w:val="00831FA1"/>
    <w:rsid w:val="00845068"/>
    <w:rsid w:val="00847038"/>
    <w:rsid w:val="00861CAB"/>
    <w:rsid w:val="008647C1"/>
    <w:rsid w:val="0086491A"/>
    <w:rsid w:val="008E0313"/>
    <w:rsid w:val="008F29EC"/>
    <w:rsid w:val="0091632E"/>
    <w:rsid w:val="009222D3"/>
    <w:rsid w:val="00923419"/>
    <w:rsid w:val="009469FF"/>
    <w:rsid w:val="00950FDA"/>
    <w:rsid w:val="0097445D"/>
    <w:rsid w:val="009868CE"/>
    <w:rsid w:val="0099026C"/>
    <w:rsid w:val="009A0530"/>
    <w:rsid w:val="009C3A30"/>
    <w:rsid w:val="009C3BD7"/>
    <w:rsid w:val="009C4D62"/>
    <w:rsid w:val="009D3081"/>
    <w:rsid w:val="009E7B5D"/>
    <w:rsid w:val="009F132B"/>
    <w:rsid w:val="009F2B45"/>
    <w:rsid w:val="00A00F4B"/>
    <w:rsid w:val="00A0284D"/>
    <w:rsid w:val="00A05270"/>
    <w:rsid w:val="00A1079C"/>
    <w:rsid w:val="00A33284"/>
    <w:rsid w:val="00A4018D"/>
    <w:rsid w:val="00A443B9"/>
    <w:rsid w:val="00A62C69"/>
    <w:rsid w:val="00AA356B"/>
    <w:rsid w:val="00AD0A37"/>
    <w:rsid w:val="00AE1BC6"/>
    <w:rsid w:val="00AE6E8D"/>
    <w:rsid w:val="00B04E1E"/>
    <w:rsid w:val="00B05425"/>
    <w:rsid w:val="00B05D5D"/>
    <w:rsid w:val="00B10FE0"/>
    <w:rsid w:val="00B76547"/>
    <w:rsid w:val="00B76C1D"/>
    <w:rsid w:val="00B837E6"/>
    <w:rsid w:val="00B942CD"/>
    <w:rsid w:val="00BA2579"/>
    <w:rsid w:val="00BC100B"/>
    <w:rsid w:val="00BC1C31"/>
    <w:rsid w:val="00BC74C2"/>
    <w:rsid w:val="00BD0DCA"/>
    <w:rsid w:val="00BE1A9A"/>
    <w:rsid w:val="00BE3DCC"/>
    <w:rsid w:val="00C023A0"/>
    <w:rsid w:val="00C11063"/>
    <w:rsid w:val="00C154AE"/>
    <w:rsid w:val="00C44C6A"/>
    <w:rsid w:val="00C632F9"/>
    <w:rsid w:val="00C725CE"/>
    <w:rsid w:val="00C867C9"/>
    <w:rsid w:val="00CB280C"/>
    <w:rsid w:val="00D02608"/>
    <w:rsid w:val="00D039E2"/>
    <w:rsid w:val="00D0773C"/>
    <w:rsid w:val="00D14894"/>
    <w:rsid w:val="00D14E82"/>
    <w:rsid w:val="00D23698"/>
    <w:rsid w:val="00D23CC1"/>
    <w:rsid w:val="00D23DCB"/>
    <w:rsid w:val="00D4681B"/>
    <w:rsid w:val="00D5494F"/>
    <w:rsid w:val="00D70522"/>
    <w:rsid w:val="00DD647E"/>
    <w:rsid w:val="00DF61C3"/>
    <w:rsid w:val="00E13E2B"/>
    <w:rsid w:val="00E65036"/>
    <w:rsid w:val="00E65DC7"/>
    <w:rsid w:val="00E87651"/>
    <w:rsid w:val="00EC6990"/>
    <w:rsid w:val="00F11101"/>
    <w:rsid w:val="00F351D6"/>
    <w:rsid w:val="00F5087B"/>
    <w:rsid w:val="00F90D50"/>
    <w:rsid w:val="00F95C13"/>
    <w:rsid w:val="00FA17E3"/>
    <w:rsid w:val="00FC4430"/>
    <w:rsid w:val="00FC4DC9"/>
    <w:rsid w:val="00FE08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670EAB57"/>
  <w15:chartTrackingRefBased/>
  <w15:docId w15:val="{002C5A68-BD1F-4239-9A79-3E9A2011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cs="Helvetica"/>
      <w:color w:val="002041"/>
      <w:sz w:val="26"/>
      <w:szCs w:val="26"/>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cs="Times New Roman"/>
      <w:color w:val="auto"/>
      <w:sz w:val="20"/>
      <w:szCs w:val="24"/>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cs="Times New Roman"/>
      <w:color w:val="auto"/>
      <w:sz w:val="24"/>
      <w:szCs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rsid w:val="0099026C"/>
    <w:pPr>
      <w:numPr>
        <w:numId w:val="2"/>
      </w:numPr>
      <w:spacing w:after="120"/>
      <w:ind w:left="357" w:hanging="357"/>
    </w:pPr>
    <w:rPr>
      <w:color w:val="auto"/>
    </w:r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
    <w:basedOn w:val="Normal"/>
    <w:semiHidden/>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paragraph" w:styleId="BodyText">
    <w:name w:val="Body Text"/>
    <w:basedOn w:val="Normal"/>
    <w:rsid w:val="003A682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valuingpeoplenow.dh.gov.uk/content/employmentresources-hub" TargetMode="External"/><Relationship Id="rId1" Type="http://schemas.openxmlformats.org/officeDocument/2006/relationships/hyperlink" Target="http://www.nda.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DA%20Style%202011.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96969696969697E-2"/>
          <c:y val="8.9795918367346933E-2"/>
          <c:w val="0.88484848484848488"/>
          <c:h val="0.53469387755102038"/>
        </c:manualLayout>
      </c:layout>
      <c:barChart>
        <c:barDir val="col"/>
        <c:grouping val="clustered"/>
        <c:varyColors val="0"/>
        <c:ser>
          <c:idx val="0"/>
          <c:order val="0"/>
          <c:tx>
            <c:strRef>
              <c:f>Sheet1!$A$2</c:f>
              <c:strCache>
                <c:ptCount val="1"/>
              </c:strCache>
            </c:strRef>
          </c:tx>
          <c:spPr>
            <a:solidFill>
              <a:srgbClr val="0000FF"/>
            </a:solidFill>
            <a:ln w="12700">
              <a:solidFill>
                <a:srgbClr val="000000"/>
              </a:solidFill>
              <a:prstDash val="solid"/>
            </a:ln>
          </c:spPr>
          <c:invertIfNegative val="0"/>
          <c:dPt>
            <c:idx val="0"/>
            <c:invertIfNegative val="0"/>
            <c:bubble3D val="0"/>
            <c:spPr>
              <a:solidFill>
                <a:srgbClr val="339966"/>
              </a:solidFill>
              <a:ln w="12700">
                <a:solidFill>
                  <a:srgbClr val="000000"/>
                </a:solidFill>
                <a:prstDash val="solid"/>
              </a:ln>
            </c:spPr>
            <c:extLst>
              <c:ext xmlns:c16="http://schemas.microsoft.com/office/drawing/2014/chart" uri="{C3380CC4-5D6E-409C-BE32-E72D297353CC}">
                <c16:uniqueId val="{00000000-DAD4-4F7A-A0A9-1ED07A83EC6C}"/>
              </c:ext>
            </c:extLst>
          </c:dPt>
          <c:dLbls>
            <c:spPr>
              <a:noFill/>
              <a:ln w="25400">
                <a:noFill/>
              </a:ln>
            </c:spPr>
            <c:txPr>
              <a:bodyPr wrap="square" lIns="38100" tIns="19050" rIns="38100" bIns="19050" anchor="ctr">
                <a:spAutoFit/>
              </a:bodyPr>
              <a:lstStyle/>
              <a:p>
                <a:pPr>
                  <a:defRPr sz="775" b="0" i="0" u="none" strike="noStrike" baseline="0">
                    <a:solidFill>
                      <a:srgbClr val="000000"/>
                    </a:solidFill>
                    <a:latin typeface="MS P????"/>
                    <a:ea typeface="MS P????"/>
                    <a:cs typeface="MS P????"/>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No disab</c:v>
                </c:pt>
                <c:pt idx="1">
                  <c:v>Pwd</c:v>
                </c:pt>
                <c:pt idx="2">
                  <c:v>Blind</c:v>
                </c:pt>
                <c:pt idx="3">
                  <c:v>Deaf</c:v>
                </c:pt>
                <c:pt idx="4">
                  <c:v>Physical</c:v>
                </c:pt>
                <c:pt idx="5">
                  <c:v>ID</c:v>
                </c:pt>
                <c:pt idx="6">
                  <c:v>Learning</c:v>
                </c:pt>
                <c:pt idx="7">
                  <c:v>M Health</c:v>
                </c:pt>
                <c:pt idx="8">
                  <c:v>Ill</c:v>
                </c:pt>
                <c:pt idx="9">
                  <c:v>Difficulty working</c:v>
                </c:pt>
              </c:strCache>
            </c:strRef>
          </c:cat>
          <c:val>
            <c:numRef>
              <c:f>Sheet1!$B$2:$K$2</c:f>
              <c:numCache>
                <c:formatCode>0%</c:formatCode>
                <c:ptCount val="10"/>
                <c:pt idx="0">
                  <c:v>0.66</c:v>
                </c:pt>
                <c:pt idx="1">
                  <c:v>0.33</c:v>
                </c:pt>
                <c:pt idx="2">
                  <c:v>0.34</c:v>
                </c:pt>
                <c:pt idx="3">
                  <c:v>0.43</c:v>
                </c:pt>
                <c:pt idx="4">
                  <c:v>0.18</c:v>
                </c:pt>
                <c:pt idx="5">
                  <c:v>0.17</c:v>
                </c:pt>
                <c:pt idx="6">
                  <c:v>0.23</c:v>
                </c:pt>
                <c:pt idx="7">
                  <c:v>0.23</c:v>
                </c:pt>
                <c:pt idx="8">
                  <c:v>0.32</c:v>
                </c:pt>
                <c:pt idx="9">
                  <c:v>0.14000000000000001</c:v>
                </c:pt>
              </c:numCache>
            </c:numRef>
          </c:val>
          <c:extLst>
            <c:ext xmlns:c16="http://schemas.microsoft.com/office/drawing/2014/chart" uri="{C3380CC4-5D6E-409C-BE32-E72D297353CC}">
              <c16:uniqueId val="{00000001-DAD4-4F7A-A0A9-1ED07A83EC6C}"/>
            </c:ext>
          </c:extLst>
        </c:ser>
        <c:dLbls>
          <c:showLegendKey val="0"/>
          <c:showVal val="0"/>
          <c:showCatName val="0"/>
          <c:showSerName val="0"/>
          <c:showPercent val="0"/>
          <c:showBubbleSize val="0"/>
        </c:dLbls>
        <c:gapWidth val="150"/>
        <c:axId val="221898912"/>
        <c:axId val="1"/>
      </c:barChart>
      <c:catAx>
        <c:axId val="22189891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MS P????"/>
                <a:ea typeface="MS P????"/>
                <a:cs typeface="MS P????"/>
              </a:defRPr>
            </a:pPr>
            <a:endParaRPr lang="en-US"/>
          </a:p>
        </c:txPr>
        <c:crossAx val="1"/>
        <c:crosses val="autoZero"/>
        <c:auto val="1"/>
        <c:lblAlgn val="ctr"/>
        <c:lblOffset val="100"/>
        <c:tickLblSkip val="1"/>
        <c:tickMarkSkip val="1"/>
        <c:noMultiLvlLbl val="0"/>
      </c:catAx>
      <c:valAx>
        <c:axId val="1"/>
        <c:scaling>
          <c:orientation val="minMax"/>
          <c:max val="0.8"/>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S P????"/>
                <a:ea typeface="MS P????"/>
                <a:cs typeface="MS P????"/>
              </a:defRPr>
            </a:pPr>
            <a:endParaRPr lang="en-US"/>
          </a:p>
        </c:txPr>
        <c:crossAx val="221898912"/>
        <c:crosses val="autoZero"/>
        <c:crossBetween val="between"/>
        <c:majorUnit val="0.2"/>
        <c:minorUnit val="0.02"/>
      </c:valAx>
      <c:spPr>
        <a:noFill/>
        <a:ln w="12700">
          <a:solidFill>
            <a:srgbClr val="000000"/>
          </a:solidFill>
          <a:prstDash val="solid"/>
        </a:ln>
      </c:spPr>
    </c:plotArea>
    <c:plotVisOnly val="1"/>
    <c:dispBlanksAs val="gap"/>
    <c:showDLblsOverMax val="0"/>
  </c:chart>
  <c:spPr>
    <a:noFill/>
    <a:ln w="6350"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c:spPr>
  <c:txPr>
    <a:bodyPr/>
    <a:lstStyle/>
    <a:p>
      <a:pPr>
        <a:defRPr sz="1000" b="1" i="0" u="none" strike="noStrike" baseline="0">
          <a:solidFill>
            <a:srgbClr val="000000"/>
          </a:solidFill>
          <a:latin typeface="MS P????"/>
          <a:ea typeface="MS P????"/>
          <a:cs typeface="MS P????"/>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2011.dot</Template>
  <TotalTime>1</TotalTime>
  <Pages>10</Pages>
  <Words>1980</Words>
  <Characters>11520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National Disability Authority</vt:lpstr>
    </vt:vector>
  </TitlesOfParts>
  <Company>National Disability Authority</Company>
  <LinksUpToDate>false</LinksUpToDate>
  <CharactersWithSpaces>13474</CharactersWithSpaces>
  <SharedDoc>false</SharedDoc>
  <HLinks>
    <vt:vector size="12" baseType="variant">
      <vt:variant>
        <vt:i4>5963849</vt:i4>
      </vt:variant>
      <vt:variant>
        <vt:i4>3</vt:i4>
      </vt:variant>
      <vt:variant>
        <vt:i4>0</vt:i4>
      </vt:variant>
      <vt:variant>
        <vt:i4>5</vt:i4>
      </vt:variant>
      <vt:variant>
        <vt:lpwstr>http://www.valuingpeoplenow.dh.gov.uk/content/employmentresources-hub</vt:lpwstr>
      </vt:variant>
      <vt:variant>
        <vt:lpwstr/>
      </vt:variant>
      <vt:variant>
        <vt:i4>6422655</vt:i4>
      </vt:variant>
      <vt:variant>
        <vt:i4>0</vt:i4>
      </vt:variant>
      <vt:variant>
        <vt:i4>0</vt:i4>
      </vt:variant>
      <vt:variant>
        <vt:i4>5</vt:i4>
      </vt:variant>
      <vt:variant>
        <vt:lpwstr>http://www.nda.ie/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Authority</dc:title>
  <dc:subject/>
  <dc:creator>wilkinsonm</dc:creator>
  <cp:keywords/>
  <cp:lastModifiedBy>Heather O'Leary (NDA)</cp:lastModifiedBy>
  <cp:revision>2</cp:revision>
  <cp:lastPrinted>2013-09-27T17:31:00Z</cp:lastPrinted>
  <dcterms:created xsi:type="dcterms:W3CDTF">2023-07-13T13:48:00Z</dcterms:created>
  <dcterms:modified xsi:type="dcterms:W3CDTF">2023-07-13T13:48:00Z</dcterms:modified>
</cp:coreProperties>
</file>